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Computer-Aided Civil and Infrastructure Engineering (Wiley)</w:t>
      </w:r>
    </w:p>
    <w:p>
      <w:r>
        <w:t>[Authors and affiliations to be completed at submission]</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Re-layout is formulated as weighted Steiner-tree synthesis on the municipal road graph with per-edge conductor sizing, under explicit engineering feasibility gates (415 V radial feeders, coincident load, ~150 kVA transformer zones, ampacity, 6% voltage-drop limit); the linearized power flow is AC-validated on every feasible synthesized feeder. Across 554 feasible LV clusters serving 58.6 MW of modeled demand in three Japanese municipalities, VoF is 0.01%, 0.39%, and 0.20% of like-for-like NPC — inside a prespecified 1% practical equivalence margin. A secondary naive contrast reaches −10%, but this is an estimand artifact, not a real saving. Once LV physics is respected, like-for-like renewal is a defensible default.</w:t>
      </w:r>
    </w:p>
    <w:p>
      <w:r>
        <w:t>Keywords: infrastructure renewal; distribution network planning; undergrounding; Steiner tree; life-cycle cost; engineering feasibility; open data</w:t>
      </w:r>
    </w:p>
    <w:p>
      <w:pPr>
        <w:pStyle w:val="Heading1"/>
      </w:pPr>
      <w:r>
        <w:t>1. Introduction</w:t>
      </w:r>
    </w:p>
    <w:p>
      <w:r>
        <w:t xml:space="preserve">Civil infrastructure systems face a large renewal cohort: aging overhead distribution lines are increasingly replaced by underground cables for resilience and amenity </w:t>
      </w:r>
      <w:r>
        <w:t>(Taheri et al., 2023)</w:t>
      </w:r>
      <w:r>
        <w:t xml:space="preserve">. Renewal programs conventionally reproduce the legacy overhead route underground (like-for-like), because easements, customer drop points, and construction sequencing push planners toward the incumbent layout. Cost-benefit studies of undergrounding have evaluated the system-level policy choice of burying lines versus retaining overhead service </w:t>
      </w:r>
      <w:r>
        <w:t>(Fenrick and Getachew, 2012)</w:t>
      </w:r>
      <w:r>
        <w:t xml:space="preserve">; </w:t>
      </w:r>
      <w:r>
        <w:t>(Larsen, 2016)</w:t>
      </w:r>
      <w:r>
        <w:t xml:space="preserve">, and network-planning research has long treated topology as a decision variable at expansion, reconfiguration, or greenfield routing stages </w:t>
      </w:r>
      <w:r>
        <w:t>(Baran and Wu, 1989a)</w:t>
      </w:r>
      <w:r>
        <w:t xml:space="preserve">; </w:t>
      </w:r>
      <w:r>
        <w:t>(Samui et al., 2012)</w:t>
      </w:r>
      <w:r>
        <w:t xml:space="preserve">; </w:t>
      </w:r>
      <w:r>
        <w:t>(Camargo et al., 2013)</w:t>
      </w:r>
      <w:r>
        <w:t xml:space="preserve">; </w:t>
      </w:r>
      <w:r>
        <w:t>(Kumar et al., 2014)</w:t>
      </w:r>
      <w:r>
        <w:t>. However,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bounded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unobserved, we reconstruct it as an ensemble — in the spirit of data-driven geo-referenced LV topology synthesis </w:t>
      </w:r>
      <w:r>
        <w:t>(Abhilash et al., 2021)</w:t>
      </w:r>
      <w:r>
        <w:t xml:space="preserve"> — and carry reconstruction uncertainty into the results via a topology divergence distance (TDD) rather than asserting a single ground truth. The optimization core uses a weighted Steiner-tree approximation </w:t>
      </w:r>
      <w:r>
        <w:t>(Kou et al., 1981)</w:t>
      </w:r>
      <w:r>
        <w:t xml:space="preserve">; </w:t>
      </w:r>
      <w:r>
        <w:t>(Hwang and Richards, 1992)</w:t>
      </w:r>
      <w:r>
        <w:t xml:space="preserve"> on the municipal road graph, with classical discretized conductor selection </w:t>
      </w:r>
      <w:r>
        <w:t>(Tram and Wall, 1988)</w:t>
      </w:r>
      <w:r>
        <w:t xml:space="preserve"> and a linearized radial power-flow model </w:t>
      </w:r>
      <w:r>
        <w:t>(Baran and Wu, 1989b)</w:t>
      </w:r>
      <w:r>
        <w:t xml:space="preserve">; </w:t>
      </w:r>
      <w:r>
        <w:t>(Gan and Low, 2014)</w:t>
      </w:r>
      <w:r>
        <w:t xml:space="preserve">. Benchmark validation uses pandapower </w:t>
      </w:r>
      <w:r>
        <w:t>(Thurner et al., 2018)</w:t>
      </w:r>
      <w:r>
        <w:t xml:space="preserve">. Demand geography derives from OpenStreetMap buildings and roads </w:t>
      </w:r>
      <w:r>
        <w:t>(Haklay and Weber, 2008)</w:t>
      </w:r>
      <w:r>
        <w:t xml:space="preserve">, and a rooftop-PV extension follows distributed-generation planning practice </w:t>
      </w:r>
      <w:r>
        <w:t>(Tarraq et al., 2023)</w:t>
      </w:r>
      <w:r>
        <w:t xml:space="preserve">. Asset-renewal context follows standard asset-management treatment of deteriorating infrastructure </w:t>
      </w:r>
      <w:r>
        <w:t>(Ross, 2019)</w:t>
      </w:r>
      <w:r>
        <w:t>. The central methodological claim is that the *choice of estimand* determines whether re-layout appears valuable: a forced-redesign contrast manufactures apparent savings that vanish once the incumbent layout is admitted to the feasible design space.</w:t>
      </w:r>
    </w:p>
    <w:p>
      <w:pPr>
        <w:pStyle w:val="Heading1"/>
      </w:pPr>
      <w:r>
        <w:t>2. Data and methods</w:t>
      </w:r>
    </w:p>
    <w:p>
      <w:pPr>
        <w:pStyle w:val="Heading2"/>
      </w:pPr>
      <w:r>
        <w:t>2.1 Study zones and data tiers</w:t>
      </w:r>
    </w:p>
    <w:p>
      <w:r>
        <w:t>Three municipalities were selected for complementary data tiers rather than representativeness of Japan as a whole (Table 1).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machine-readable source registry.</w:t>
      </w:r>
    </w:p>
    <w:p>
      <w:pPr>
        <w:pStyle w:val="Heading2"/>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2"/>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r>
        <w:t>Two contrasts are distinguished. The primary estimand is the value of topology flexibility</w:t>
      </w:r>
    </w:p>
    <w:p>
      <m:oMathPara>
        <m:oMath>
          <m:r>
            <m:t>VoF = mean_r max(0, NPC(S1_r) − min(NPC(S1_r), NPC(S2)))</m:t>
          </m:r>
        </m:oMath>
      </m:oMathPara>
    </w:p>
    <w:p>
      <w:r>
        <w:t>averaged over reconstruction replicates r: retaining the incumbent layout is an admissible decision inside the redesign set, so VoF is nonnegative by construction and measures the value of having redesign available as an option, not of forcing it. The secondary, naive contrast ΔNPC (defined below) instead compares the ensemble-based incumbent representation against a forced-redesign candidate set that excludes the incumbent itself. Economic equivalence is prespecified at |Δ|/NPC(S1) ≤ 1%: the margin was frozen before outcome inspection, derived from the model's resolution limits (±30% construction-cost uncertainty, surrogate loss-model error, and municipal unit-price variation), not from observed effect sizes.</w:t>
      </w:r>
    </w:p>
    <w:p>
      <w:pPr>
        <w:pStyle w:val="Heading2"/>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clusters (554 feasible) serving 58.6 MW of modeled LV peak demand — 75%, 55%, and 53% of total zone demand in Sano/Kudamatsu/Yasu (the remainder is MV-served by design and cancels in every contrast). The primary estimand VoF is 0.01% (0.0007 bn JPY), 0.39%, and 0.20%: all three zones fall inside the prespecified 1% economic-equivalence margin and are classified economically_equivalent. The secondary naive contrast ΔNPC is 0.01%, -10.1%, and 0.20%; conductor upsizing is negligible and peak losses are essentially unchanged, so the contrast is entirely a construction-cost comparison (Figures 1–3).</w:t>
      </w:r>
    </w:p>
    <w:p>
      <w:r>
        <w:drawing>
          <wp:inline xmlns:a="http://schemas.openxmlformats.org/drawingml/2006/main" xmlns:pic="http://schemas.openxmlformats.org/drawingml/2006/picture">
            <wp:extent cx="5303520" cy="2017964"/>
            <wp:docPr id="1" name="Picture 1"/>
            <wp:cNvGraphicFramePr>
              <a:graphicFrameLocks noChangeAspect="1"/>
            </wp:cNvGraphicFramePr>
            <a:graphic>
              <a:graphicData uri="http://schemas.openxmlformats.org/drawingml/2006/picture">
                <pic:pic>
                  <pic:nvPicPr>
                    <pic:cNvPr id="0" name="v4_fig1_study_zones.png"/>
                    <pic:cNvPicPr/>
                  </pic:nvPicPr>
                  <pic:blipFill>
                    <a:blip r:embed="rId9"/>
                    <a:stretch>
                      <a:fillRect/>
                    </a:stretch>
                  </pic:blipFill>
                  <pic:spPr>
                    <a:xfrm>
                      <a:off x="0" y="0"/>
                      <a:ext cx="5303520" cy="2017964"/>
                    </a:xfrm>
                    <a:prstGeom prst="rect"/>
                  </pic:spPr>
                </pic:pic>
              </a:graphicData>
            </a:graphic>
          </wp:inline>
        </w:drawing>
      </w:r>
    </w:p>
    <w:p>
      <w:r>
        <w:t>Figure 1. Study zones: road graph (grey) and snapped building demand nodes (blue).</w:t>
      </w:r>
    </w:p>
    <w:p>
      <w:r>
        <w:drawing>
          <wp:inline xmlns:a="http://schemas.openxmlformats.org/drawingml/2006/main" xmlns:pic="http://schemas.openxmlformats.org/drawingml/2006/picture">
            <wp:extent cx="5303520" cy="2477175"/>
            <wp:docPr id="2" name="Picture 2"/>
            <wp:cNvGraphicFramePr>
              <a:graphicFrameLocks noChangeAspect="1"/>
            </wp:cNvGraphicFramePr>
            <a:graphic>
              <a:graphicData uri="http://schemas.openxmlformats.org/drawingml/2006/picture">
                <pic:pic>
                  <pic:nvPicPr>
                    <pic:cNvPr id="0" name="v4_fig2_topology_example.png"/>
                    <pic:cNvPicPr/>
                  </pic:nvPicPr>
                  <pic:blipFill>
                    <a:blip r:embed="rId10"/>
                    <a:stretch>
                      <a:fillRect/>
                    </a:stretch>
                  </pic:blipFill>
                  <pic:spPr>
                    <a:xfrm>
                      <a:off x="0" y="0"/>
                      <a:ext cx="5303520" cy="2477175"/>
                    </a:xfrm>
                    <a:prstGeom prst="rect"/>
                  </pic:spPr>
                </pic:pic>
              </a:graphicData>
            </a:graphic>
          </wp:inline>
        </w:drawing>
      </w:r>
    </w:p>
    <w:p>
      <w:r>
        <w:t>Figure 2. Example feeder cluster: S1 like-for-like replicate vs S2 optimized layout.</w:t>
      </w:r>
    </w:p>
    <w:p>
      <w:r>
        <w:drawing>
          <wp:inline xmlns:a="http://schemas.openxmlformats.org/drawingml/2006/main" xmlns:pic="http://schemas.openxmlformats.org/drawingml/2006/picture">
            <wp:extent cx="5303520" cy="3505717"/>
            <wp:docPr id="3" name="Picture 3"/>
            <wp:cNvGraphicFramePr>
              <a:graphicFrameLocks noChangeAspect="1"/>
            </wp:cNvGraphicFramePr>
            <a:graphic>
              <a:graphicData uri="http://schemas.openxmlformats.org/drawingml/2006/picture">
                <pic:pic>
                  <pic:nvPicPr>
                    <pic:cNvPr id="0" name="v4_fig3_delta.png"/>
                    <pic:cNvPicPr/>
                  </pic:nvPicPr>
                  <pic:blipFill>
                    <a:blip r:embed="rId11"/>
                    <a:stretch>
                      <a:fillRect/>
                    </a:stretch>
                  </pic:blipFill>
                  <pic:spPr>
                    <a:xfrm>
                      <a:off x="0" y="0"/>
                      <a:ext cx="5303520" cy="3505717"/>
                    </a:xfrm>
                    <a:prstGeom prst="rect"/>
                  </pic:spPr>
                </pic:pic>
              </a:graphicData>
            </a:graphic>
          </wp:inline>
        </w:drawing>
      </w:r>
    </w:p>
    <w:p>
      <w:r>
        <w:t>Figure 3. Primary estimand VoF by zone vs Monte-Carlo mean of the secondary naive ΔNPC.</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A secondary rooftop-PV overlay (S3; 25.1, 8.1, and 8.2 MWp modeled potential) is scenario-based, relies on generous self-consumption assumptions, and is reported as an upper bound in the Supplement (Figure S1); it does not alter the primary VoF conclusion.</w:t>
      </w:r>
    </w:p>
    <w:p>
      <w:pPr>
        <w:pStyle w:val="Heading1"/>
      </w:pPr>
      <w:r>
        <w:t>4. Discussion</w:t>
      </w:r>
    </w:p>
    <w:p>
      <w:r>
        <w:t xml:space="preserve">The central finding is bounded and informative: under the nonnegative VoF estimand, inherited LV layouts in all three zones are economically equivalent to the best feasible re-layout — the value of topology flexibility at renewal is below 0.5% of life-cycle cost everywhere. This sits alongside, and extends, two literatures that have not previously met. System-level cost-benefit analyses conclude that undergrounding is generally not cost-effective as a blanket policy </w:t>
      </w:r>
      <w:r>
        <w:t>(Fenrick and Getachew, 2012)</w:t>
      </w:r>
      <w:r>
        <w:t xml:space="preserve">; </w:t>
      </w:r>
      <w:r>
        <w:t>(Larsen, 2016)</w:t>
      </w:r>
      <w:r>
        <w:t xml:space="preserve">; our result shows that even inside a committed undergrounding program, the incumbent layout is already near the life-cycle optimum, so the residual value of re-layout is small. Feeder-routing and expansion-planning methods optimize topology against a fixed or greenfield demand surface </w:t>
      </w:r>
      <w:r>
        <w:t>(Samui et al., 2012)</w:t>
      </w:r>
      <w:r>
        <w:t xml:space="preserve">; </w:t>
      </w:r>
      <w:r>
        <w:t>(Kumar et al., 2014)</w:t>
      </w:r>
      <w:r>
        <w:t xml:space="preserve">; we add the renewal-window choice-set structure in which the incumbent remains admissible, turning the question from 'find the better network' into 'is the option to redesign worth exercising'. Geo-referenced synthesis of LV topologies from open data </w:t>
      </w:r>
      <w:r>
        <w:t>(Abhilash et al., 2021)</w:t>
      </w:r>
      <w:r>
        <w:t xml:space="preserve"> provides the reconstruction precedent; we add feasibility gating and reconstruction-ensemble uncertainty before any cost contrast is drawn.</w:t>
      </w:r>
    </w:p>
    <w:p>
      <w:r>
        <w:t>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evaluated on 672 feasible synthesized feeders, all converged). This validates the linearized calculations on synthesized feeder models, not actual municipal topology.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r>
        <w:drawing>
          <wp:inline xmlns:a="http://schemas.openxmlformats.org/drawingml/2006/main" xmlns:pic="http://schemas.openxmlformats.org/drawingml/2006/picture">
            <wp:extent cx="5303520" cy="1689700"/>
            <wp:docPr id="4" name="Picture 4"/>
            <wp:cNvGraphicFramePr>
              <a:graphicFrameLocks noChangeAspect="1"/>
            </wp:cNvGraphicFramePr>
            <a:graphic>
              <a:graphicData uri="http://schemas.openxmlformats.org/drawingml/2006/picture">
                <pic:pic>
                  <pic:nvPicPr>
                    <pic:cNvPr id="0" name="v4_fig4_tornado.png"/>
                    <pic:cNvPicPr/>
                  </pic:nvPicPr>
                  <pic:blipFill>
                    <a:blip r:embed="rId12"/>
                    <a:stretch>
                      <a:fillRect/>
                    </a:stretch>
                  </pic:blipFill>
                  <pic:spPr>
                    <a:xfrm>
                      <a:off x="0" y="0"/>
                      <a:ext cx="5303520" cy="1689700"/>
                    </a:xfrm>
                    <a:prstGeom prst="rect"/>
                  </pic:spPr>
                </pic:pic>
              </a:graphicData>
            </a:graphic>
          </wp:inline>
        </w:drawing>
      </w:r>
    </w:p>
    <w:p>
      <w:r>
        <w:t>Figure 4. Sensitivity to engineering assumptions: secondary naive ΔNPC (bars) vs primary VoF (dots); grey band = prespecified 1% equivalence margin.</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prespecified 1% margin). Large headline ΔNPC magnitudes reported for re-layout at renewal should be audited for feasibility gating and for estimand design before they are cited as benefits. For infrastructure asset management, the practical implication is that like-for-like undergrounding renewal is a defensible default at LV scale; the small modeled value of LV topology flexibility suggests that MV-level planning and distributed-generation integration may warrant separate evaluation rather than assuming substantial gains from LV re-layout alone.</w:t>
      </w:r>
    </w:p>
    <w:p>
      <w:pPr>
        <w:pStyle w:val="Heading1"/>
      </w:pPr>
      <w:r>
        <w:t>Acknowledgements</w:t>
      </w:r>
    </w:p>
    <w:p>
      <w:r>
        <w:t>[to be completed at submission]</w:t>
      </w:r>
    </w:p>
    <w:p>
      <w:pPr>
        <w:pStyle w:val="Heading1"/>
      </w:pPr>
      <w:r>
        <w:t>Declarations</w:t>
      </w:r>
    </w:p>
    <w:p>
      <w:r>
        <w:t>Declaration of generative AI: during the preparation of this work the author used an AI coding assistant for code scaffolding and drafting. The author reviewed and edited all content and takes full responsibility for the publication.</w:t>
      </w:r>
    </w:p>
    <w:p>
      <w:r>
        <w:t>Data availability: all scripts, the source registry, checksums, and machine-readable result tables are provided in the supplementary repository snapshot (github.com/bougtoir/underground-topology).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mean of the secondary naive ΔNPC.</w:t>
      </w:r>
    </w:p>
    <w:p>
      <w:r>
        <w:t>Figure 4. Sensitivity to engineering assumptions in all zones: secondary naive ΔNPC ranges (bars) vs primary VoF (dots); grey band = prespecified 1% economic-equivalence margin.</w:t>
      </w:r>
    </w:p>
    <w:p>
      <w:pPr>
        <w:pStyle w:val="Heading1"/>
      </w:pPr>
      <w:r>
        <w:t>Tables</w:t>
      </w:r>
    </w:p>
    <w:p>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feasible</w:t>
            </w:r>
          </w:p>
        </w:tc>
        <w:tc>
          <w:tcPr>
            <w:tcW w:type="dxa" w:w="864"/>
          </w:tcPr>
          <w:p>
            <w:r>
              <w:t>demand MW</w:t>
            </w:r>
          </w:p>
        </w:tc>
        <w:tc>
          <w:tcPr>
            <w:tcW w:type="dxa" w:w="864"/>
          </w:tcPr>
          <w:p>
            <w:r>
              <w:t>S1 NPC (bn JPY)</w:t>
            </w:r>
          </w:p>
        </w:tc>
        <w:tc>
          <w:tcPr>
            <w:tcW w:type="dxa" w:w="864"/>
          </w:tcPr>
          <w:p>
            <w:r>
              <w:t>S2 NPC</w:t>
            </w:r>
          </w:p>
        </w:tc>
        <w:tc>
          <w:tcPr>
            <w:tcW w:type="dxa" w:w="864"/>
          </w:tcPr>
          <w:p>
            <w:r>
              <w:t>VoF (bn JPY)</w:t>
            </w:r>
          </w:p>
        </w:tc>
        <w:tc>
          <w:tcPr>
            <w:tcW w:type="dxa" w:w="864"/>
          </w:tcPr>
          <w:p>
            <w:r>
              <w:t>VoF % (primary)</w:t>
            </w:r>
          </w:p>
        </w:tc>
        <w:tc>
          <w:tcPr>
            <w:tcW w:type="dxa" w:w="864"/>
          </w:tcPr>
          <w:p>
            <w:r>
              <w:t>ΔNPC bn (secondary)</w:t>
            </w:r>
          </w:p>
        </w:tc>
        <w:tc>
          <w:tcPr>
            <w:tcW w:type="dxa" w:w="864"/>
          </w:tcPr>
          <w:p>
            <w:r>
              <w:t>ΔNPC % (secondary)</w:t>
            </w:r>
          </w:p>
        </w:tc>
      </w:tr>
      <w:tr>
        <w:tc>
          <w:tcPr>
            <w:tcW w:type="dxa" w:w="864"/>
          </w:tcPr>
          <w:p>
            <w:r>
              <w:t>sano</w:t>
            </w:r>
          </w:p>
        </w:tc>
        <w:tc>
          <w:tcPr>
            <w:tcW w:type="dxa" w:w="864"/>
          </w:tcPr>
          <w:p>
            <w:r>
              <w:t>385</w:t>
            </w:r>
          </w:p>
        </w:tc>
        <w:tc>
          <w:tcPr>
            <w:tcW w:type="dxa" w:w="864"/>
          </w:tcPr>
          <w:p>
            <w:r>
              <w:t>360</w:t>
            </w:r>
          </w:p>
        </w:tc>
        <w:tc>
          <w:tcPr>
            <w:tcW w:type="dxa" w:w="864"/>
          </w:tcPr>
          <w:p>
            <w:r>
              <w:t>38.4</w:t>
            </w:r>
          </w:p>
        </w:tc>
        <w:tc>
          <w:tcPr>
            <w:tcW w:type="dxa" w:w="864"/>
          </w:tcPr>
          <w:p>
            <w:r>
              <w:t>4.84</w:t>
            </w:r>
          </w:p>
        </w:tc>
        <w:tc>
          <w:tcPr>
            <w:tcW w:type="dxa" w:w="864"/>
          </w:tcPr>
          <w:p>
            <w:r>
              <w:t>4.84</w:t>
            </w:r>
          </w:p>
        </w:tc>
        <w:tc>
          <w:tcPr>
            <w:tcW w:type="dxa" w:w="864"/>
          </w:tcPr>
          <w:p>
            <w:r>
              <w:t>0.0007</w:t>
            </w:r>
          </w:p>
        </w:tc>
        <w:tc>
          <w:tcPr>
            <w:tcW w:type="dxa" w:w="864"/>
          </w:tcPr>
          <w:p>
            <w:r>
              <w:t>0.014</w:t>
            </w:r>
          </w:p>
        </w:tc>
        <w:tc>
          <w:tcPr>
            <w:tcW w:type="dxa" w:w="864"/>
          </w:tcPr>
          <w:p>
            <w:r>
              <w:t>0.001</w:t>
            </w:r>
          </w:p>
        </w:tc>
        <w:tc>
          <w:tcPr>
            <w:tcW w:type="dxa" w:w="864"/>
          </w:tcPr>
          <w:p>
            <w:r>
              <w:t>0.01</w:t>
            </w:r>
          </w:p>
        </w:tc>
      </w:tr>
      <w:tr>
        <w:tc>
          <w:tcPr>
            <w:tcW w:type="dxa" w:w="864"/>
          </w:tcPr>
          <w:p>
            <w:r>
              <w:t>kudamatsu</w:t>
            </w:r>
          </w:p>
        </w:tc>
        <w:tc>
          <w:tcPr>
            <w:tcW w:type="dxa" w:w="864"/>
          </w:tcPr>
          <w:p>
            <w:r>
              <w:t>96</w:t>
            </w:r>
          </w:p>
        </w:tc>
        <w:tc>
          <w:tcPr>
            <w:tcW w:type="dxa" w:w="864"/>
          </w:tcPr>
          <w:p>
            <w:r>
              <w:t>88</w:t>
            </w:r>
          </w:p>
        </w:tc>
        <w:tc>
          <w:tcPr>
            <w:tcW w:type="dxa" w:w="864"/>
          </w:tcPr>
          <w:p>
            <w:r>
              <w:t>9.5</w:t>
            </w:r>
          </w:p>
        </w:tc>
        <w:tc>
          <w:tcPr>
            <w:tcW w:type="dxa" w:w="864"/>
          </w:tcPr>
          <w:p>
            <w:r>
              <w:t>4.65</w:t>
            </w:r>
          </w:p>
        </w:tc>
        <w:tc>
          <w:tcPr>
            <w:tcW w:type="dxa" w:w="864"/>
          </w:tcPr>
          <w:p>
            <w:r>
              <w:t>5.12</w:t>
            </w:r>
          </w:p>
        </w:tc>
        <w:tc>
          <w:tcPr>
            <w:tcW w:type="dxa" w:w="864"/>
          </w:tcPr>
          <w:p>
            <w:r>
              <w:t>0.0183</w:t>
            </w:r>
          </w:p>
        </w:tc>
        <w:tc>
          <w:tcPr>
            <w:tcW w:type="dxa" w:w="864"/>
          </w:tcPr>
          <w:p>
            <w:r>
              <w:t>0.394</w:t>
            </w:r>
          </w:p>
        </w:tc>
        <w:tc>
          <w:tcPr>
            <w:tcW w:type="dxa" w:w="864"/>
          </w:tcPr>
          <w:p>
            <w:r>
              <w:t>-0.468</w:t>
            </w:r>
          </w:p>
        </w:tc>
        <w:tc>
          <w:tcPr>
            <w:tcW w:type="dxa" w:w="864"/>
          </w:tcPr>
          <w:p>
            <w:r>
              <w:t>-10.1</w:t>
            </w:r>
          </w:p>
        </w:tc>
      </w:tr>
      <w:tr>
        <w:tc>
          <w:tcPr>
            <w:tcW w:type="dxa" w:w="864"/>
          </w:tcPr>
          <w:p>
            <w:r>
              <w:t>yasu</w:t>
            </w:r>
          </w:p>
        </w:tc>
        <w:tc>
          <w:tcPr>
            <w:tcW w:type="dxa" w:w="864"/>
          </w:tcPr>
          <w:p>
            <w:r>
              <w:t>108</w:t>
            </w:r>
          </w:p>
        </w:tc>
        <w:tc>
          <w:tcPr>
            <w:tcW w:type="dxa" w:w="864"/>
          </w:tcPr>
          <w:p>
            <w:r>
              <w:t>106</w:t>
            </w:r>
          </w:p>
        </w:tc>
        <w:tc>
          <w:tcPr>
            <w:tcW w:type="dxa" w:w="864"/>
          </w:tcPr>
          <w:p>
            <w:r>
              <w:t>10.7</w:t>
            </w:r>
          </w:p>
        </w:tc>
        <w:tc>
          <w:tcPr>
            <w:tcW w:type="dxa" w:w="864"/>
          </w:tcPr>
          <w:p>
            <w:r>
              <w:t>3.00</w:t>
            </w:r>
          </w:p>
        </w:tc>
        <w:tc>
          <w:tcPr>
            <w:tcW w:type="dxa" w:w="864"/>
          </w:tcPr>
          <w:p>
            <w:r>
              <w:t>2.99</w:t>
            </w:r>
          </w:p>
        </w:tc>
        <w:tc>
          <w:tcPr>
            <w:tcW w:type="dxa" w:w="864"/>
          </w:tcPr>
          <w:p>
            <w:r>
              <w:t>0.0060</w:t>
            </w:r>
          </w:p>
        </w:tc>
        <w:tc>
          <w:tcPr>
            <w:tcW w:type="dxa" w:w="864"/>
          </w:tcPr>
          <w:p>
            <w:r>
              <w:t>0.201</w:t>
            </w:r>
          </w:p>
        </w:tc>
        <w:tc>
          <w:tcPr>
            <w:tcW w:type="dxa" w:w="864"/>
          </w:tcPr>
          <w:p>
            <w:r>
              <w:t>0.006</w:t>
            </w:r>
          </w:p>
        </w:tc>
        <w:tc>
          <w:tcPr>
            <w:tcW w:type="dxa" w:w="864"/>
          </w:tcPr>
          <w:p>
            <w:r>
              <w:t>0.20</w:t>
            </w:r>
          </w:p>
        </w:tc>
      </w:tr>
    </w:tbl>
    <w:p>
      <w:pPr>
        <w:pStyle w:val="Heading1"/>
      </w:pPr>
      <w:r>
        <w:t>References</w:t>
      </w:r>
    </w:p>
    <w:p>
      <w:r>
        <w:t>Abhilash Bandam, Syranidou, C., Linssen, J. and Stolten, D. (2021). Geo-referenced synthetic low-voltage distribution networks: a data-driven approach. 2021 IEEE PES Innovative Smart Grid Technologies Europe (ISGT Europe), pp. 244–249. doi:10.1109/ISGTEurope52324.2021.9639916</w:t>
      </w:r>
    </w:p>
    <w:p>
      <w:r>
        <w:t>Baran, M.E. and Wu, F.F. (1989a). Network reconfiguration in distribution systems for loss reduction and load balancing. IEEE Transactions on Power Delivery 4(2): 1401–1407. doi:10.1109/61.25627</w:t>
      </w:r>
    </w:p>
    <w:p>
      <w:r>
        <w:t>Baran, M.E. and Wu, F.F. (1989b). Optimal capacitor placement on radial distribution systems. IEEE Transactions on Power Delivery 4(1): 725–734. doi:10.1109/61.19265</w:t>
      </w:r>
    </w:p>
    <w:p>
      <w:r>
        <w:t>Camargo, V., Lavorato, M. and Romero, R. (2013). Specialized genetic algorithm to solve the electrical distribution system expansion planning. 2013 IEEE Power &amp; Energy Society General Meeting, pp. 1–5. doi:10.1109/PESMG.2013.6672615</w:t>
      </w:r>
    </w:p>
    <w:p>
      <w:r>
        <w:t>Fenrick, S.A. and Getachew, L. (2012). Cost and reliability comparisons of underground and overhead power lines. Utilities Policy 20(1): 31–37. doi:10.1016/j.jup.2011.10.002</w:t>
      </w:r>
    </w:p>
    <w:p>
      <w:r>
        <w:t>Gan, L. and Low, S.H. (2014). Convex relaxations and linear approximation for optimal power flow in multiphase radial networks. 2014 Power Systems Computation Conference, pp. 1–9. doi:10.1109/PSCC.2014.7038399</w:t>
      </w:r>
    </w:p>
    <w:p>
      <w:r>
        <w:t>Haklay, M. and Weber, P. (2008). OpenStreetMap: user-generated street maps. IEEE Pervasive Computing 7(4): 12–18. doi:10.1109/MPRV.2008.80</w:t>
      </w:r>
    </w:p>
    <w:p>
      <w:r>
        <w:t>Hwang, F.K. and Richards, D.S. (1992). Steiner tree problems. Networks 22(1): 55–89. doi:10.1002/net.3230220105</w:t>
      </w:r>
    </w:p>
    <w:p>
      <w:r>
        <w:t>Kou, L., Markowsky, G. and Berman, L. (1981). A fast algorithm for Steiner trees. Acta Informatica 15(2): 141–145. doi:10.1007/BF00288961</w:t>
      </w:r>
    </w:p>
    <w:p>
      <w: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r>
        <w:t>Larsen, P.H. (2016). A method to estimate the costs and benefits of undergrounding electricity transmission and distribution lines. Energy Economics 60: 47–61. doi:10.1016/j.eneco.2016.09.011</w:t>
      </w:r>
    </w:p>
    <w:p>
      <w:r>
        <w:t>Ross, R. (2019). Reliability Analysis for Asset Management of Electric Power Grids. Wiley. doi:10.1002/9781119125204</w:t>
      </w:r>
    </w:p>
    <w:p>
      <w:r>
        <w:t>Samui, A., Singh, S., Ghose, T. and Samantaray, S.R. (2012). A direct approach to optimal feeder routing for radial distribution system. IEEE Transactions on Power Delivery 27(1): 253–260. doi:10.1109/TPWRD.2011.2167522</w:t>
      </w:r>
    </w:p>
    <w:p>
      <w:r>
        <w:t>Taheri, B., Molzahn, D.K. and Grijalva, S. (2023). Improving distribution system resilience by undergrounding lines and deploying mobile generators. Electric Power Systems Research 214: 108804. doi:10.1016/j.epsr.2022.108804</w:t>
      </w:r>
    </w:p>
    <w:p>
      <w:r>
        <w:t>Tarraq, A., Mariami, F.E., Belfqih, A. and Haidi, T. (2023). Optimal renewable distributed generation planning: an up-to-date state-of-the-art review. International Journal of Global Energy Issues 45(4/5): 315–348. doi:10.1504/IJGEI.2023.132011</w:t>
      </w:r>
    </w:p>
    <w:p>
      <w: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r>
        <w:t>Tram, H.N. and Wall, D.L. (1988). Optimal conductor selection in planning radial distribution systems. IEEE Transactions on Power Systems 3(1): 200–206. doi:10.1109/59.43199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