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Supplementary Figure S1. NPC of S2 vs the secondary rooftop-PV overlay S3 by zone (scenario-based upper bound; does not alter the primary VoF conclusion).</w:t>
      </w:r>
    </w:p>
    <w:p>
      <w:r>
        <w:drawing>
          <wp:inline xmlns:a="http://schemas.openxmlformats.org/drawingml/2006/main" xmlns:pic="http://schemas.openxmlformats.org/drawingml/2006/picture">
            <wp:extent cx="5029200" cy="332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supp_figS1_d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Benchmark note. A second public MV benchmark (Iwamoto 11-bus) failed to converge in pandapower 3.5.5 and is excluded from validation statistics; the AC agreement reported in the main text covers all 672 feasible synthesized feeders.</w:t>
      </w:r>
    </w:p>
    <w:p>
      <w:r>
        <w:t>Additional machine-readable tables (cluster-level results, engineering-assumption sensitivity, Monte-Carlo sweep, claim-evidence matrix) are provided as CSV files in the submission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