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val="0"/>
          <w:i w:val="0"/>
          <w:sz w:val="22"/>
        </w:rPr>
        <w:t>[Date]</w:t>
      </w:r>
    </w:p>
    <w:p>
      <w:pPr>
        <w:spacing w:after="0"/>
      </w:pPr>
      <w:r>
        <w:rPr>
          <w:b/>
          <w:i w:val="0"/>
          <w:sz w:val="22"/>
        </w:rPr>
        <w:t>The Editor-in-Chief</w:t>
      </w:r>
    </w:p>
    <w:p>
      <w:pPr>
        <w:spacing w:after="0"/>
      </w:pPr>
      <w:r>
        <w:rPr>
          <w:b w:val="0"/>
          <w:i/>
          <w:sz w:val="22"/>
        </w:rPr>
        <w:t>European Journal of Anaesthesiology &amp; Intensive Care</w:t>
      </w:r>
    </w:p>
    <w:p>
      <w:pPr>
        <w:spacing w:after="240"/>
      </w:pPr>
      <w:r>
        <w:rPr>
          <w:b w:val="0"/>
          <w:i w:val="0"/>
          <w:sz w:val="22"/>
        </w:rPr>
      </w:r>
    </w:p>
    <w:p>
      <w:pPr>
        <w:spacing w:after="240"/>
      </w:pPr>
      <w:r>
        <w:rPr>
          <w:b/>
          <w:sz w:val="22"/>
        </w:rPr>
        <w:t xml:space="preserve">Re: </w:t>
      </w:r>
      <w:r>
        <w:rPr>
          <w:sz w:val="22"/>
        </w:rPr>
        <w:t>Submission of original article – “Targeted environmental regulation without collateral market damage: the EU desflurane ban and secondary market vaporiser prices”</w:t>
      </w:r>
    </w:p>
    <w:p>
      <w:pPr>
        <w:spacing w:after="240"/>
      </w:pPr>
      <w:r>
        <w:rPr>
          <w:b w:val="0"/>
          <w:i w:val="0"/>
          <w:sz w:val="22"/>
        </w:rPr>
        <w:t>Dear Editor,</w:t>
      </w:r>
    </w:p>
    <w:p>
      <w:pPr>
        <w:spacing w:after="160"/>
      </w:pPr>
      <w:r>
        <w:rPr>
          <w:b w:val="0"/>
          <w:i w:val="0"/>
          <w:sz w:val="22"/>
        </w:rPr>
        <w:t>We are pleased to submit the above manuscript for consideration for publication in the European Journal of Anaesthesiology &amp; Intensive Care as an original article.</w:t>
      </w:r>
    </w:p>
    <w:p>
      <w:pPr>
        <w:spacing w:after="160"/>
      </w:pPr>
      <w:r>
        <w:rPr>
          <w:b w:val="0"/>
          <w:i w:val="0"/>
          <w:sz w:val="22"/>
        </w:rPr>
        <w:t>Environmental regulations targeting specific anaesthetic agents are increasing — the EU desflurane ban, ASA recommendations on nitrous oxide deactivation, and NHS decommissioning programmes are recent examples. A common concern is that restricting a single agent could destabilise the broader equipment market. Yet whether such targeted regulation actually produces collateral economic effects on non-regulated equipment has never been empirically examined.</w:t>
      </w:r>
    </w:p>
    <w:p>
      <w:pPr>
        <w:spacing w:after="160"/>
      </w:pPr>
      <w:r>
        <w:rPr>
          <w:b w:val="0"/>
          <w:i w:val="0"/>
          <w:sz w:val="22"/>
        </w:rPr>
        <w:t>In this study, we analysed 1,033 completed eBay sales of anaesthetic vaporisers (desflurane, sevoflurane and isoflurane) over three years, spanning the full legislative trajectory from the EC proposal through to post-ban implementation. Using complementary statistical approaches (Spearman rank correlation, Kendall τ trend test, Mann–Whitney U and between-agent effect size comparison), we demonstrate that the EU desflurane ban achieved targeted economic effects: desflurane vaporiser prices declined progressively (P&lt;0.001), while sevoflurane and isoflurane vaporiser prices remained completely stable. The between-agent effect size comparison confirmed this specificity (P=0.043), and the two non-regulated agents were indistinguishable from each other (P=0.17).</w:t>
      </w:r>
    </w:p>
    <w:p>
      <w:pPr>
        <w:spacing w:after="160"/>
      </w:pPr>
      <w:r>
        <w:rPr>
          <w:b w:val="0"/>
          <w:i w:val="0"/>
          <w:sz w:val="22"/>
        </w:rPr>
        <w:t>The central message is reassuring: the regulation operated surgically, affecting only its intended target without collateral damage to the wider anaesthetic equipment market. Additionally, the price decline began during the legislative process itself, suggesting that well-signalled regulation generates predictable and orderly market adjustments. Early compliance was associated with better cost recovery, potentially freeing capital for reinvestment in alternative equipment.</w:t>
      </w:r>
    </w:p>
    <w:p>
      <w:pPr>
        <w:spacing w:after="160"/>
      </w:pPr>
      <w:r>
        <w:rPr>
          <w:b w:val="0"/>
          <w:i w:val="0"/>
          <w:sz w:val="22"/>
        </w:rPr>
        <w:t>We believe this work is particularly well suited for EJAIC because: (1) it provides empirical evidence that ESAIC’s advocacy for the desflurane ban produced precisely the targeted outcome intended—without destabilising the wider market; (2) as further environmental restrictions are anticipated (e.g. nitrous oxide), these findings offer a reassuring precedent for the European anaesthesia community; (3) the actionable implications for equipment management during regulatory transitions are directly relevant to EJAIC’s clinical readership; and (4) the natural experiment design, with non-regulated agents as controls, provides a rigorous methodological framework applicable to future regulatory impact assessments.</w:t>
      </w:r>
    </w:p>
    <w:p>
      <w:pPr>
        <w:spacing w:after="160"/>
      </w:pPr>
      <w:r>
        <w:rPr>
          <w:b w:val="0"/>
          <w:i w:val="0"/>
          <w:sz w:val="22"/>
        </w:rPr>
        <w:t>This manuscript has not been published elsewhere and is not under consideration by another journal. All authors have read and approved the final manuscript and meet ICMJE authorship criteria. There are no conflicts of interest to declare. No ethical approval was required as the study analysed publicly available, anonymised marketplace data with no human participant involvement.</w:t>
      </w:r>
    </w:p>
    <w:p>
      <w:pPr>
        <w:spacing w:after="160"/>
      </w:pPr>
      <w:r>
        <w:rPr>
          <w:b w:val="0"/>
          <w:i w:val="0"/>
          <w:sz w:val="22"/>
        </w:rPr>
        <w:t>The study is reported in accordance with the STROBE guidelines for cross-sectional studies. The completed STROBE checklist is provided as supplementary material.</w:t>
      </w:r>
    </w:p>
    <w:p>
      <w:pPr>
        <w:spacing w:after="240"/>
      </w:pPr>
      <w:r>
        <w:rPr>
          <w:b w:val="0"/>
          <w:i w:val="0"/>
          <w:sz w:val="22"/>
        </w:rPr>
        <w:t>Thank you for considering this manuscript. We look forward to your response.</w:t>
      </w:r>
    </w:p>
    <w:p>
      <w:pPr>
        <w:spacing w:after="480"/>
      </w:pPr>
      <w:r>
        <w:rPr>
          <w:b w:val="0"/>
          <w:i w:val="0"/>
          <w:sz w:val="22"/>
        </w:rPr>
        <w:t>Yours sincerely,</w:t>
      </w:r>
    </w:p>
    <w:p>
      <w:pPr>
        <w:spacing w:after="0"/>
      </w:pPr>
      <w:r>
        <w:rPr>
          <w:b/>
          <w:i w:val="0"/>
          <w:sz w:val="22"/>
        </w:rPr>
        <w:t>[Corresponding author name]</w:t>
      </w:r>
    </w:p>
    <w:p>
      <w:pPr>
        <w:spacing w:after="0"/>
      </w:pPr>
      <w:r>
        <w:rPr>
          <w:b w:val="0"/>
          <w:i w:val="0"/>
          <w:sz w:val="22"/>
        </w:rPr>
        <w:t>[Department]</w:t>
      </w:r>
    </w:p>
    <w:p>
      <w:pPr>
        <w:spacing w:after="0"/>
      </w:pPr>
      <w:r>
        <w:rPr>
          <w:b w:val="0"/>
          <w:i w:val="0"/>
          <w:sz w:val="22"/>
        </w:rPr>
        <w:t>[Institution]</w:t>
      </w:r>
    </w:p>
    <w:p>
      <w:pPr>
        <w:spacing w:after="0"/>
      </w:pPr>
      <w:r>
        <w:rPr>
          <w:b w:val="0"/>
          <w:i w:val="0"/>
          <w:sz w:val="22"/>
        </w:rPr>
        <w:t>[Address]</w:t>
      </w:r>
    </w:p>
    <w:p>
      <w:pPr>
        <w:spacing w:after="0"/>
      </w:pPr>
      <w:r>
        <w:rPr>
          <w:b w:val="0"/>
          <w:i w:val="0"/>
          <w:sz w:val="22"/>
        </w:rPr>
        <w:t>[Email]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