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Key Points</w:t>
      </w:r>
    </w:p>
    <w:p>
      <w:pPr>
        <w:pStyle w:val="ListBullet"/>
      </w:pPr>
      <w:r>
        <w:rPr>
          <w:rFonts w:ascii="Times New Roman" w:hAnsi="Times New Roman"/>
          <w:sz w:val="22"/>
        </w:rPr>
        <w:t>The EU desflurane ban was associated with a progressive, agent-specific decline in secondary market vaporiser prices, while sevoflurane and isoflurane prices remained stable throughout the study period.</w:t>
      </w:r>
    </w:p>
    <w:p>
      <w:pPr>
        <w:pStyle w:val="ListBullet"/>
      </w:pPr>
      <w:r>
        <w:rPr>
          <w:rFonts w:ascii="Times New Roman" w:hAnsi="Times New Roman"/>
          <w:sz w:val="22"/>
        </w:rPr>
        <w:t>Sevoflurane and isoflurane vaporiser prices were unaffected by the desflurane regulation, indicating that the ban produced no collateral damage to the broader anaesthetic equipment market.</w:t>
      </w:r>
    </w:p>
    <w:p>
      <w:pPr>
        <w:pStyle w:val="ListBullet"/>
      </w:pPr>
      <w:r>
        <w:rPr>
          <w:rFonts w:ascii="Times New Roman" w:hAnsi="Times New Roman"/>
          <w:sz w:val="22"/>
        </w:rPr>
        <w:t>Between-agent comparison confirmed that the desflurane effect size was significantly larger than that of sevoflurane (P=0.043), while the two non-regulated agents were indistinguishable from each other (P=0.17).</w:t>
      </w:r>
    </w:p>
    <w:p>
      <w:pPr>
        <w:pStyle w:val="ListBullet"/>
      </w:pPr>
      <w:r>
        <w:rPr>
          <w:rFonts w:ascii="Times New Roman" w:hAnsi="Times New Roman"/>
          <w:sz w:val="22"/>
        </w:rPr>
        <w:t>The desflurane price decline began during the legislative process, well before the formal prohibition date, demonstrating that the regulation was well signalled and its economic consequences were predictable.</w:t>
      </w:r>
    </w:p>
    <w:p>
      <w:pPr>
        <w:pStyle w:val="ListBullet"/>
      </w:pPr>
      <w:r>
        <w:rPr>
          <w:rFonts w:ascii="Times New Roman" w:hAnsi="Times New Roman"/>
          <w:sz w:val="22"/>
        </w:rPr>
        <w:t>These findings provide the first empirical evidence that targeted environmental regulation of a single anaesthetic agent can achieve its objectives without destabilising the wider equipment market—a reassuring precedent as further environmental restrictions are anticipated.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