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Times New Roman" w:hAnsi="Times New Roman"/>
          <w:b w:val="0"/>
          <w:i w:val="0"/>
          <w:sz w:val="24"/>
        </w:rPr>
        <w:t>29 July 2026</w:t>
      </w:r>
    </w:p>
    <w:p>
      <w:pPr>
        <w:spacing w:after="120"/>
        <w:jc w:val="left"/>
      </w:pPr>
      <w:r>
        <w:rPr>
          <w:rFonts w:ascii="Times New Roman" w:hAnsi="Times New Roman"/>
          <w:b w:val="0"/>
          <w:i w:val="0"/>
          <w:sz w:val="24"/>
        </w:rPr>
        <w:t>Jianjun Yang, MD, Editor-in-Chief</w:t>
      </w:r>
    </w:p>
    <w:p>
      <w:pPr>
        <w:spacing w:after="120"/>
        <w:jc w:val="left"/>
      </w:pPr>
      <w:r>
        <w:rPr>
          <w:rFonts w:ascii="Times New Roman" w:hAnsi="Times New Roman"/>
          <w:b w:val="0"/>
          <w:i w:val="0"/>
          <w:sz w:val="24"/>
        </w:rPr>
        <w:t>Journal of Anesthesia and Translational Medicine</w:t>
      </w:r>
    </w:p>
    <w:p>
      <w:pPr>
        <w:spacing w:after="120"/>
        <w:jc w:val="left"/>
      </w:pPr>
      <w:r>
        <w:rPr>
          <w:rFonts w:ascii="Times New Roman" w:hAnsi="Times New Roman"/>
          <w:b w:val="0"/>
          <w:i w:val="0"/>
          <w:sz w:val="24"/>
        </w:rPr>
        <w:t>c/o Editorial Office</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Re: Manuscript JATMED-D-26-00064 - Major Revision</w:t>
      </w:r>
    </w:p>
    <w:p>
      <w:pPr>
        <w:spacing w:after="120"/>
        <w:jc w:val="left"/>
      </w:pPr>
      <w:r>
        <w:rPr>
          <w:rFonts w:ascii="Times New Roman" w:hAnsi="Times New Roman"/>
          <w:b w:val="0"/>
          <w:i w:val="0"/>
          <w:sz w:val="24"/>
        </w:rPr>
        <w:t>Targeted environmental regulation and secondary market vaporizer prices: an observational analysis of the EU desflurane phase-out</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Dear Dr. Yang,</w:t>
      </w:r>
    </w:p>
    <w:p>
      <w:pPr>
        <w:spacing w:after="120"/>
        <w:jc w:val="left"/>
      </w:pPr>
      <w:r>
        <w:rPr>
          <w:rFonts w:ascii="Times New Roman" w:hAnsi="Times New Roman"/>
          <w:b w:val="0"/>
          <w:i w:val="0"/>
          <w:sz w:val="24"/>
        </w:rPr>
        <w:t>Thank you for the opportunity to revise our manuscript. We are grateful to the Editor and the two reviewers for their constructive and detailed feedback. We have addressed the major concerns by (1) adding sensitivity and control-series analyses (bootstrap resampling, post-hoc power estimation, difference-in-differences, and comparative interrupted time-series), (2) substantially softening the causal interpretation and replacing "ban/prohibited" with accurate wording about a restriction on routine use with documented clinical exceptions, (3) expanding the clinical and environmental context (desflurane pharmacological advantages, GWP100 debate, drug-diversity and supply-chain resilience), and (4) strengthening the limitations section regarding confounders, eBay generalizability, EU/non-EU transaction uncertainty, and the small post-restriction sample. All numerical results are derived from the updated analysis scripts and are reproducible from the deposited data.</w:t>
      </w:r>
    </w:p>
    <w:p>
      <w:pPr>
        <w:pStyle w:val="Heading1"/>
      </w:pPr>
      <w:r>
        <w:rPr>
          <w:rFonts w:ascii="Times New Roman" w:hAnsi="Times New Roman"/>
        </w:rPr>
        <w:t>Reviewer 1</w:t>
      </w:r>
    </w:p>
    <w:p>
      <w:pPr>
        <w:pStyle w:val="ListBullet"/>
        <w:spacing w:after="120"/>
        <w:ind w:left="0"/>
      </w:pPr>
      <w:r>
        <w:rPr>
          <w:rFonts w:ascii="Times New Roman" w:hAnsi="Times New Roman"/>
          <w:b/>
          <w:sz w:val="24"/>
        </w:rPr>
        <w:t>1. Causal interpretation and regulatory attribution.</w:t>
      </w:r>
      <w:r>
        <w:rPr>
          <w:rFonts w:ascii="Times New Roman" w:hAnsi="Times New Roman"/>
          <w:sz w:val="24"/>
        </w:rPr>
        <w:t xml:space="preserve"> We agree that the original phrasing could imply a stronger causal claim than the observational design supports. We have revised the title to emphasize an observational analysis ("an observational analysis of the EU desflurane phase-out") rather than "without collateral market damage." Throughout the abstract, introduction, results, discussion, and conclusion, we now use "associated with" rather than causal language, explicitly state that no causal inference can be drawn, and note that the observed desflurane decline may reflect secular trends (e.g., NHS England/Scotland decommissioning pre-dating the EU restriction, TIVA adoption, low-flow/end-tidal control technologies, macroeconomic trends, and equipment-specific compositional changes).</w:t>
      </w:r>
    </w:p>
    <w:p>
      <w:pPr>
        <w:pStyle w:val="ListBullet"/>
        <w:spacing w:after="120"/>
        <w:ind w:left="0"/>
      </w:pPr>
      <w:r>
        <w:rPr>
          <w:rFonts w:ascii="Times New Roman" w:hAnsi="Times New Roman"/>
          <w:b/>
          <w:sz w:val="24"/>
        </w:rPr>
        <w:t>2. Confounders and compositional effects.</w:t>
      </w:r>
      <w:r>
        <w:rPr>
          <w:rFonts w:ascii="Times New Roman" w:hAnsi="Times New Roman"/>
          <w:sz w:val="24"/>
        </w:rPr>
        <w:t xml:space="preserve"> We have substantially expanded the Discussion/Limitations section to discuss each confounder raised: the shift toward total intravenous anesthesia (TIVA), institutional desflurane decommissioning by NHS England and NHS Scotland, the growing availability of low-flow anesthesia and end-tidal control systems, general macroeconomic trends, and the inability to control for equipment age, model year, service history, cosmetic condition, and calibration certificates. We now explicitly state that these unmeasured factors could produce compositional changes that mimic a regulatory effect.</w:t>
      </w:r>
    </w:p>
    <w:p>
      <w:pPr>
        <w:pStyle w:val="ListBullet"/>
        <w:spacing w:after="120"/>
        <w:ind w:left="0"/>
      </w:pPr>
      <w:r>
        <w:rPr>
          <w:rFonts w:ascii="Times New Roman" w:hAnsi="Times New Roman"/>
          <w:b/>
          <w:sz w:val="24"/>
        </w:rPr>
        <w:t>3. Difference-in-differences and interrupted time-series with controls.</w:t>
      </w:r>
      <w:r>
        <w:rPr>
          <w:rFonts w:ascii="Times New Roman" w:hAnsi="Times New Roman"/>
          <w:sz w:val="24"/>
        </w:rPr>
        <w:t xml:space="preserve"> To strengthen causal attribution assessment, we added two control-series analyses. A comparative interrupted time-series (CITS) model of monthly median prices (sevoflurane and isoflurane as concurrent controls, HAC robust standard errors) showed a desflurane-specific level decline at the restriction (log-price coefficient=-0.88, P&lt;0.001) and a post-restriction slope difference (coefficient=0.45, P&lt;0.001). A transaction-level difference-in-differences model, however, did not show a significant desflurane post-restriction coefficient (coefficient=0.018, P=0.946) because a significant pre-existing trend difference violated the parallel-trend assumption (P=0.001). These models are therefore presented as sensitivity, not confirmatory, analyses.</w:t>
      </w:r>
    </w:p>
    <w:p>
      <w:pPr>
        <w:pStyle w:val="ListBullet"/>
        <w:spacing w:after="120"/>
        <w:ind w:left="0"/>
      </w:pPr>
      <w:r>
        <w:rPr>
          <w:rFonts w:ascii="Times New Roman" w:hAnsi="Times New Roman"/>
          <w:b/>
          <w:sz w:val="24"/>
        </w:rPr>
        <w:t>4. eBay data generalizability.</w:t>
      </w:r>
      <w:r>
        <w:rPr>
          <w:rFonts w:ascii="Times New Roman" w:hAnsi="Times New Roman"/>
          <w:sz w:val="24"/>
        </w:rPr>
        <w:t xml:space="preserve"> We agree that eBay is only one segment of the secondary medical equipment market. We have added a clear limitation that specialized B2B platforms (e.g., DOTmed, Bimedis) and private dealer/hospital-to-hospital networks likely constitute a substantial share of high-value capital-asset transactions, and our findings may not generalize to those channels.</w:t>
      </w:r>
    </w:p>
    <w:p>
      <w:pPr>
        <w:pStyle w:val="ListBullet"/>
        <w:spacing w:after="120"/>
        <w:ind w:left="0"/>
      </w:pPr>
      <w:r>
        <w:rPr>
          <w:rFonts w:ascii="Times New Roman" w:hAnsi="Times New Roman"/>
          <w:b/>
          <w:sz w:val="24"/>
        </w:rPr>
        <w:t>5. Inability to distinguish EU and non-EU buyers/sellers.</w:t>
      </w:r>
      <w:r>
        <w:rPr>
          <w:rFonts w:ascii="Times New Roman" w:hAnsi="Times New Roman"/>
          <w:sz w:val="24"/>
        </w:rPr>
        <w:t xml:space="preserve"> This is a critical limitation and we have strengthened its discussion. We now state that eBay is a global marketplace and we could not determine buyer or seller location; if a meaningful share of transactions occurred outside the EU, the observed price decline could represent a global reassessment of desflurane’s long-term viability rather than a response confined to EU jurisdiction.</w:t>
      </w:r>
    </w:p>
    <w:p>
      <w:pPr>
        <w:pStyle w:val="ListBullet"/>
        <w:spacing w:after="120"/>
        <w:ind w:left="0"/>
      </w:pPr>
      <w:r>
        <w:rPr>
          <w:rFonts w:ascii="Times New Roman" w:hAnsi="Times New Roman"/>
          <w:b/>
          <w:sz w:val="24"/>
        </w:rPr>
        <w:t>6. Nominally significant isoflurane Spearman P=0.044.</w:t>
      </w:r>
      <w:r>
        <w:rPr>
          <w:rFonts w:ascii="Times New Roman" w:hAnsi="Times New Roman"/>
          <w:sz w:val="24"/>
        </w:rPr>
        <w:t xml:space="preserve"> We added a footnote to Table 1 explaining that, although the isoflurane Spearman correlation reached nominal significance (P=0.044), the magnitude was very small (ρ=0.081), the quarterly median trend was not significant, and a single P&lt;0.05 among several trend tests is expected under multiple testing. We therefore do not interpret it as a clinically meaningful trend.</w:t>
      </w:r>
    </w:p>
    <w:p>
      <w:pPr>
        <w:pStyle w:val="ListBullet"/>
        <w:spacing w:after="120"/>
        <w:ind w:left="0"/>
      </w:pPr>
      <w:r>
        <w:rPr>
          <w:rFonts w:ascii="Times New Roman" w:hAnsi="Times New Roman"/>
          <w:b/>
          <w:sz w:val="24"/>
        </w:rPr>
        <w:t>7. Statistical power, bootstrap sensitivity, and pre-/post comparison.</w:t>
      </w:r>
      <w:r>
        <w:rPr>
          <w:rFonts w:ascii="Times New Roman" w:hAnsi="Times New Roman"/>
          <w:sz w:val="24"/>
        </w:rPr>
        <w:t xml:space="preserve"> We now report bootstrap 95% confidence intervals and post-hoc power. For desflurane (n=141 pre, n=17 post), the bootstrap mean-difference 95% CI was US$-135 to US$-11 and the median-difference 95% CI was US$-124 to US$50. Post-hoc power under a lognormal model was low for the Mann–Whitney U test (28.4%) and moderate for Welch’s t-test (58.1%). We have re-emphasized that the primary analysis is the time-series trend test (which uses all data points); the pre-/post-ban comparison is exploratory and limited by the small post-restriction sample.</w:t>
      </w:r>
    </w:p>
    <w:p>
      <w:pPr>
        <w:pStyle w:val="Heading1"/>
      </w:pPr>
      <w:r>
        <w:rPr>
          <w:rFonts w:ascii="Times New Roman" w:hAnsi="Times New Roman"/>
        </w:rPr>
        <w:t>Reviewer 2</w:t>
      </w:r>
    </w:p>
    <w:p>
      <w:pPr>
        <w:pStyle w:val="ListBullet"/>
        <w:spacing w:after="120"/>
        <w:ind w:left="0"/>
      </w:pPr>
      <w:r>
        <w:rPr>
          <w:rFonts w:ascii="Times New Roman" w:hAnsi="Times New Roman"/>
          <w:b/>
          <w:sz w:val="24"/>
        </w:rPr>
        <w:t>1. "Prohibited" and "ban" terminology.</w:t>
      </w:r>
      <w:r>
        <w:rPr>
          <w:rFonts w:ascii="Times New Roman" w:hAnsi="Times New Roman"/>
          <w:sz w:val="24"/>
        </w:rPr>
        <w:t xml:space="preserve"> We have corrected this throughout. The manuscript now states that Regulation (EU) 2024/573 restricts desflurane for routine use while permitting documented clinical exceptions, and the title has been revised to refer to the "EU desflurane phase-out" rather than a "ban."</w:t>
      </w:r>
    </w:p>
    <w:p>
      <w:pPr>
        <w:pStyle w:val="ListBullet"/>
        <w:spacing w:after="120"/>
        <w:ind w:left="0"/>
      </w:pPr>
      <w:r>
        <w:rPr>
          <w:rFonts w:ascii="Times New Roman" w:hAnsi="Times New Roman"/>
          <w:b/>
          <w:sz w:val="24"/>
        </w:rPr>
        <w:t>2. Desflurane pharmacological advantages.</w:t>
      </w:r>
      <w:r>
        <w:rPr>
          <w:rFonts w:ascii="Times New Roman" w:hAnsi="Times New Roman"/>
          <w:sz w:val="24"/>
        </w:rPr>
        <w:t xml:space="preserve"> We added a sentence in the Introduction noting desflurane’s recognized pharmacokinetic advantages, including faster emergence and extubation than sevoflurane in selected surgical populations, and cited a 2025 systematic review and meta-analysis (Hariyanto et al., Indian J Anaesth 2025;69:65-77).</w:t>
      </w:r>
    </w:p>
    <w:p>
      <w:pPr>
        <w:pStyle w:val="ListBullet"/>
        <w:spacing w:after="120"/>
        <w:ind w:left="0"/>
      </w:pPr>
      <w:r>
        <w:rPr>
          <w:rFonts w:ascii="Times New Roman" w:hAnsi="Times New Roman"/>
          <w:b/>
          <w:sz w:val="24"/>
        </w:rPr>
        <w:t>3. GWP100 and short-lived climate pollutants.</w:t>
      </w:r>
      <w:r>
        <w:rPr>
          <w:rFonts w:ascii="Times New Roman" w:hAnsi="Times New Roman"/>
          <w:sz w:val="24"/>
        </w:rPr>
        <w:t xml:space="preserve"> We added a sentence in the Introduction explaining that the choice of GWP metric and time horizon remains debated for short-lived halogenated anesthetics such as desflurane (atmospheric lifetime ≈ 14 years), because GWP100 may not reflect instantaneous radiative forcing or steady-state atmospheric concentrations, and cited Sulbæk Andersen et al. (Lancet Planet Health 2023;7:e622-e629).</w:t>
      </w:r>
    </w:p>
    <w:p>
      <w:pPr>
        <w:pStyle w:val="ListBullet"/>
        <w:spacing w:after="120"/>
        <w:ind w:left="0"/>
      </w:pPr>
      <w:r>
        <w:rPr>
          <w:rFonts w:ascii="Times New Roman" w:hAnsi="Times New Roman"/>
          <w:b/>
          <w:sz w:val="24"/>
        </w:rPr>
        <w:t>4. Drug diversity and healthcare system resilience.</w:t>
      </w:r>
      <w:r>
        <w:rPr>
          <w:rFonts w:ascii="Times New Roman" w:hAnsi="Times New Roman"/>
          <w:sz w:val="24"/>
        </w:rPr>
        <w:t xml:space="preserve"> We added a sentence in the Discussion highlighting that restricting desflurane reduces anesthetic diversity, which has been argued to be a pillar of healthcare system resilience in the context of recurring propofol and sevoflurane supply-chain disruptions, and cited Kranke et al. (Anaesthesiologie 2026; doi:10.1007/s00101-025-01639-x).</w:t>
      </w:r>
    </w:p>
    <w:p>
      <w:pPr>
        <w:pStyle w:val="ListBullet"/>
        <w:spacing w:after="120"/>
        <w:ind w:left="0"/>
      </w:pPr>
      <w:r>
        <w:rPr>
          <w:rFonts w:ascii="Times New Roman" w:hAnsi="Times New Roman"/>
          <w:b/>
          <w:sz w:val="24"/>
        </w:rPr>
        <w:t>5. eBay buyer composition and B2B markets.</w:t>
      </w:r>
      <w:r>
        <w:rPr>
          <w:rFonts w:ascii="Times New Roman" w:hAnsi="Times New Roman"/>
          <w:sz w:val="24"/>
        </w:rPr>
        <w:t xml:space="preserve"> We expanded the Limitations/Discussion to note that eBay predominantly serves individual purchasers and smaller facilities, that large hospital-system asset divestment typically occurs on specialized B2B platforms, and that the global reach of eBay means observed price movements may reflect global investor sentiment rather than a purely EU jurisdictional response. We have therefore toned down policy-relevant conclusions and frame the findings as hypothesis-generating.</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We believe these revisions have substantially improved the manuscript’s methodological transparency, clinical balance, and interpretive caution. We would be grateful if the revised manuscript could be considered for publication in Journal of Anesthesia and Translational Medicine.</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Sincerely,</w:t>
      </w:r>
    </w:p>
    <w:p>
      <w:pPr>
        <w:spacing w:after="120"/>
        <w:jc w:val="left"/>
      </w:pPr>
      <w:r>
        <w:rPr>
          <w:rFonts w:ascii="Times New Roman" w:hAnsi="Times New Roman"/>
          <w:b w:val="0"/>
          <w:i w:val="0"/>
          <w:sz w:val="24"/>
        </w:rPr>
        <w:t>[Corresponding author name]</w:t>
      </w:r>
    </w:p>
    <w:p>
      <w:pPr>
        <w:spacing w:after="120"/>
        <w:jc w:val="left"/>
      </w:pPr>
      <w:r>
        <w:rPr>
          <w:rFonts w:ascii="Times New Roman" w:hAnsi="Times New Roman"/>
          <w:b w:val="0"/>
          <w:i w:val="0"/>
          <w:sz w:val="24"/>
        </w:rPr>
        <w:t>[Affiliation]</w:t>
      </w:r>
    </w:p>
    <w:p>
      <w:pPr>
        <w:spacing w:after="120"/>
        <w:jc w:val="left"/>
      </w:pPr>
      <w:r>
        <w:rPr>
          <w:rFonts w:ascii="Times New Roman" w:hAnsi="Times New Roman"/>
          <w:b w:val="0"/>
          <w:i w:val="0"/>
          <w:sz w:val="24"/>
        </w:rPr>
        <w:t>Email: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