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STROBE Statement—Checklist of items that should be included in reports of cross-sectional studies</w:t>
      </w:r>
    </w:p>
    <w:p>
      <w:pPr>
        <w:jc w:val="center"/>
      </w:pPr>
      <w:r>
        <w:rPr>
          <w:i/>
          <w:sz w:val="20"/>
        </w:rPr>
        <w:t>Association between the EU desflurane phase-out and secondary market vaporizer prices: an observational time-series analysis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Section/Topic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Item No.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Recommendation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Reported on page/section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Title and abstract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Indicate the study’s design with a commonly used term in the title or abstract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Title: “cross-sectional time-series analysis” (implied)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Provide in the abstract an informative and balanced summary of what was done and found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Abstract: structured abstract with BACKGROUND, METHODS, RESULTS, CONCLUSIONS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Introduction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Background/rationale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the scientific background and rationale for the investigation being reported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Introduction, paragraphs 1–4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Objectives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State specific objectives, including any prespecified hypotheses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Introduction, final paragraph: hypothesis that desflurane prices would decline while sevoflurane/isoflurane remain stable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Methods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Study design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Present key elements of study design early in the paper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“Study design and data source”: cross-sectional time-series analysis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Setting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Describe the setting, locations, and relevant dates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Methods: eBay/Terapeak, data collected March 2026, covering 28 March 2023–24 March 2026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the eligibility criteria, and the sources and methods of selection of participants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“Eligibility criteria”: inclusion/exclusion criteria detailed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Variables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Clearly define all outcomes, exposures, predictors, potential confounders, and effect modifiers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“Variables”: primary outcome (sale price), exposure (regulatory period), agent type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Data sources/measurement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For each variable of interest, give sources of data and details of methods of assessment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Methods: Terapeak product research tool; automated data retrieval with manual screening against eligibility criteria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Bias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Describe any efforts to address potential sources of bias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Methods/Discussion: single marketplace to avoid cross-listing duplicates; natural comparator groups (sevoflurane, isoflurane); causal limitations acknowledged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Study size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how the study size was arrived at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“Statistical analysis”: all available transactions within Terapeak window; no a priori sample size calculation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Quantitative variables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how quantitative variables were handled in the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Methods: prices in USD; regulatory period classified by milestones; trend analyses used continuous (days) and ordinal (phase 1–5) variables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Statistical methods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Describe all statistical methods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“Statistical analysis”: Spearman ρ (primary), Kendall τ, Mann–Whitney U (exploratory), Welch’s t-test, Cohen’s d, LOWESS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Describe any methods used to examine subgroups and interactions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Analyses performed separately for each agent type; supplementary asking-price analysis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Explain how missing data were addressed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“Eligibility criteria”: listings with missing price data excluded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(d) If applicable, describe analytical methods taking account of sampling strategy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Not applicable (complete enumeration of available sales)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(e) Describe any sensitivity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Welch’s t-test as sensitivity analysis; quarterly aggregation for trend robustness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Results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Report numbers of individuals at each stage of study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paragraph 1: total sales after exclusion criteria applied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Give reasons for non-participation at each stage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“Eligibility criteria”: exclusion criteria listed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Consider use of a flow diagram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Not applicable (marketplace data, not participant recruitment)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Descriptive data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Give characteristics of study participants and information on exposures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Table 2: n, mean, SD by agent and period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Indicate number of participants with missing data for each variable of interest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 missing data after eligibility screening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Outcome data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Report numbers of outcome events or summary measures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Tables 1–2: all summary statistics and trend results by agent type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Main results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Give unadjusted estimates and, if applicable, confounder-adjusted estimates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Spearman ρ, Kendall τ, Mann–Whitney U P values, Cohen’s d reported for each agent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Report category boundaries when continuous variables were categorized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“Variables”: regulatory period cutpoints defined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If relevant, consider translating estimates into meaningful clinical measures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percentage price decline and dollar values reported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Other analyses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Report other analyses done—e.g. subgroup, interaction, or sensitivity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supplementary asking-price analysis; quarterly trend analysis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Discussion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Key results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Summarize key results with reference to study objectives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paragraph 1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Limitations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 limitations, potential bias, imprecision, and multiplicity of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“Limitations” paragraph: observational design, single marketplace, no condition data, small post-ban n, global marketplace, no pre-proposal baseline, no causal inference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Interpretation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a cautious overall interpretation considering objectives, limitations, multiplicity of analyses, similar studies, and other relevant evidence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Discussion: comparison with literature, alternative explanations discussed, hypothesis-generating framing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Generalizability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 the generalizability (external validity) of the study results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Discussion: implications for facilities in other jurisdictions; limitations of single-platform data noted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Other information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Funding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the source of funding and the role of the funders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Funding: no external funding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