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0"/>
        </w:rPr>
        <w:t xml:space="preserve">Table 1. </w:t>
      </w:r>
      <w:r>
        <w:rPr>
          <w:rFonts w:ascii="Times New Roman" w:hAnsi="Times New Roman"/>
          <w:b w:val="0"/>
          <w:i/>
          <w:sz w:val="20"/>
        </w:rPr>
        <w:t>Time-series trend analysis of vaporizer prices by agent type. Spearman rank correlation tests monotonic association between sale date and price; Kendall τ tests association between ordered regulatory phase and price.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Agent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Spearman ρ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 value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Kendall τ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 value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Quarterly ρ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 value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Desflurane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-0.277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-0.121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0.049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-0.601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0.039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Sevoflurane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0.010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0.862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0.039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0.365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-0.092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0.777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Isoflurane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-0.086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0.044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-0.074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0.025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-0.321</w:t>
            </w:r>
          </w:p>
        </w:tc>
        <w:tc>
          <w:tcPr>
            <w:tcW w:type="dxa" w:w="133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0.285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