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August 14, 2026</w:t>
      </w:r>
    </w:p>
    <w:p/>
    <w:p>
      <w:r>
        <w:t>Editor-in-Chief</w:t>
      </w:r>
    </w:p>
    <w:p>
      <w:r>
        <w:t>Journal of Anesthesia and Translational Medicine</w:t>
      </w:r>
    </w:p>
    <w:p/>
    <w:p>
      <w:r>
        <w:t>Dear Editor,</w:t>
      </w:r>
    </w:p>
    <w:p/>
    <w:p>
      <w:r>
        <w:t>We are resubmitting our revised manuscript entitled "Association between the EU desflurane phase-out and secondary market vaporizer prices: an observational time-series analysis" (Manuscript Number JATMED-D-26-00064R1) for reconsideration as an Article in the Journal of Anesthesia and Translational Medicine.</w:t>
      </w:r>
    </w:p>
    <w:p>
      <w:r>
        <w:t>We thank the Editor and the two reviewers for their constructive feedback. In this minor revision we have (1) further softened the causal language in the title and abstract; (2) clarified that the short post-restriction window reflects the Terapeak three-year historical window ending at data extraction in March 2026; (3) explicitly interpreted the non-significant transaction-level DiD post-restriction coefficient in light of a violated parallel-trend assumption; and (4) added an acknowledgment that trend tests across three agents raise a multiple-testing concern, with isoflurane reaching nominal significance in two transaction-level tests but not in the quarterly median analysis and with small effect sizes. A detailed point-by-point response to reviewers is enclosed.</w:t>
      </w:r>
    </w:p>
    <w:p>
      <w:r>
        <w:t>The manuscript has not been published previously and is not under consideration by any other journal. All authors have approved the revised manuscript and agree with its resubmission to the Journal of Anesthesia and Translational Medicine.</w:t>
      </w:r>
    </w:p>
    <w:p>
      <w:r>
        <w:t>We confirm that this study complies with the STROBE guidelines for observational studies. The completed STROBE checklist is provided as supplementary material. No ethical approval was required, as the study analyzed publicly available market data without involving human participants.</w:t>
      </w:r>
    </w:p>
    <w:p/>
    <w:p>
      <w:r>
        <w:t>Sincerely,</w:t>
      </w:r>
    </w:p>
    <w:p/>
    <w:p>
      <w:r>
        <w:t>Onishi Tatsuki</w:t>
      </w:r>
    </w:p>
    <w:p>
      <w:r>
        <w:t>Data Science and AI Innovation Research Promotion Center, Shiga University</w:t>
      </w:r>
    </w:p>
    <w:p>
      <w:r>
        <w:t>1-1-1, Bamba, Hikone, Shiga, 522-8522, Japan</w:t>
      </w:r>
    </w:p>
    <w:p>
      <w:r>
        <w:t>E-mail: bougtoir@gmail.com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