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STROBE Statement—Checklist of items that should be included in reports of cross-sectional studies</w:t>
      </w:r>
    </w:p>
    <w:p>
      <w:pPr>
        <w:jc w:val="center"/>
      </w:pPr>
      <w:r>
        <w:rPr>
          <w:i/>
          <w:sz w:val="20"/>
        </w:rPr>
        <w:t>Targeted environmental regulation without observable collateral market damage: the EU desflurane ban and secondary market vaporizer prices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Section/Topic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Item No.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Recommendation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Reported on page/section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Title and abstract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Indicate the study’s design with a commonly used term in the title or abstract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Title: “cross-sectional time-series analysis” (implied)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Provide in the abstract an informative and balanced summary of what was done and found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Abstract: structured abstract with STUDY OBJECTIVE, DESIGN, SETTING, MEASUREMENTS, MAIN RESULTS, CONCLUSIONS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Introduction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Background/rationale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Introduction, paragraphs 1–4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Objectives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Introduction, final paragraph: hypothesis that desflurane prices would decline while sevoflurane/isoflurane remain stable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Methods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Study design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“Study design and data source”: cross-sectional time-series analysis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Setting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Describe the setting, locations, and relevant dates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Methods: eBay/Terapeak, data collected March 2026, covering 28 March 2023–24 March 2026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“Eligibility criteria”: inclusion/exclusion criteria detailed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Variables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“Variables”: primary outcome (sale price), exposure (regulatory period), agent type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Data sources/measurement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Methods: Terapeak product research tool; automated data retrieval with manual screening against eligibility criteria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Bias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Methods/Discussion: single marketplace to avoid cross-listing duplicates; natural comparator groups (sevoflurane, isoflurane); causal limitations acknowledged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Study size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“Statistical analysis”: all available transactions within Terapeak window; no a priori sample size calculation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Quantitative variables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Methods: prices in USD; regulatory period classified by milestones; trend analyses used continuous (days) and ordinal (phase 1–5) variables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Statistical methods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Describe all statistical methods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“Statistical analysis”: Spearman ρ (primary), Kendall τ, Mann–Whitney U (exploratory), Welch’s t-test, Cohen’s d, LOWESS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Describe any methods used to examine subgroups and interactions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Analyses performed separately for each agent type; supplementary asking-price analysis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Explain how missing data were addressed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“Eligibility criteria”: listings with missing price data excluded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(d) If applicable, describe analytical methods taking account of sampling strategy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Not applicable (complete enumeration of available sales)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(e) Describe any sensitivity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Welch’s t-test as sensitivity analysis; quarterly aggregation for trend robustness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Results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Report numbers of individuals at each stage of study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paragraph 1: total sales after exclusion criteria applied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Give reasons for non-participation at each stage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“Eligibility criteria”: exclusion criteria listed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Consider use of a flow diagram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Not applicable (marketplace data, not participant recruitment)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Descriptive data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Give characteristics of study participants and information on exposures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Table 2: n, mean, SD by agent and period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Indicate number of participants with missing data for each variable of interest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 missing data after eligibility screening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Outcome data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Tables 1–2: all summary statistics and trend results by agent type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Main results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Give unadjusted estimates and, if applicable, confounder-adjusted estimates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Spearman ρ, Kendall τ, Mann–Whitney U P values, Cohen’s d reported for each agent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Report category boundaries when continuous variables were categorized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“Variables”: regulatory period cutpoints defined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If relevant, consider translating estimates into meaningful clinical measures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percentage price decline and dollar values reported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Other analyses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Report other analyses done—e.g. subgroup, interaction, or sensitivity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supplementary asking-price analysis; quarterly trend analysis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Discussion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Key results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Summarize key results with reference to study objectives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paragraph 1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Limitations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 limitations, potential bias, imprecision, and multiplicity of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“Limitations” paragraph: observational design, single marketplace, no condition data, small post-ban n, global marketplace, no pre-proposal baseline, no causal inference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Interpretation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a cautious overall interpretation considering objectives, limitations, multiplicity of analyses, similar studies, and other relevant evidence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Discussion: comparison with literature, alternative explanations discussed, hypothesis-generating framing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Generalizability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 the generalizability (external validity) of the study results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Discussion: implications for facilities in other jurisdictions; limitations of single-platform data noted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Other information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Funding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the source of funding and the role of the funders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Funding: no external funding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