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June 20, 2026</w:t>
      </w:r>
    </w:p>
    <w:p/>
    <w:p>
      <w:r>
        <w:t>Editor-in-Chief</w:t>
      </w:r>
    </w:p>
    <w:p>
      <w:r>
        <w:t>Journal of Clinical Anesthesia</w:t>
      </w:r>
    </w:p>
    <w:p/>
    <w:p>
      <w:r>
        <w:t>Dear Editor,</w:t>
      </w:r>
    </w:p>
    <w:p/>
    <w:p>
      <w:r>
        <w:t>We are pleased to submit our manuscript entitled "Targeted environmental regulation without observable collateral market damage: the EU desflurane ban and secondary market vaporizer prices" for consideration as an Original Contribution in the Journal of Clinical Anesthesia.</w:t>
      </w:r>
    </w:p>
    <w:p>
      <w:r>
        <w:t>Environmental regulation of anesthetic agents is accelerating, yet the downstream economic consequences for clinical equipment markets remain largely unknown. Using three years of eBay completed sale data (March 2023 to March 2026) spanning the full EU desflurane regulatory timeline, we provide the first empirical evidence on this question. We found that desflurane vaporizer prices showed a progressive, statistically significant decline (Spearman ρ=−0.28, P&lt;0.001), while sevoflurane and isoflurane vaporizer prices remained stable throughout the study period. Between-agent effect size comparison confirmed the agent-specificity of this decline (P=0.043). These findings suggest that the EU’s targeted regulation achieved its intended market-level effects without observable destabilization of the broader anesthetic equipment market.</w:t>
      </w:r>
    </w:p>
    <w:p>
      <w:r>
        <w:t>We believe this work is particularly relevant to the readership of the Journal of Clinical Anesthesia for several reasons. First, the economic impact of environmental regulation on anesthesia equipment is a practical concern for departments worldwide as similar regulations are anticipated for other agents and delivery systems. Second, the finding that secondary market values depreciate well before formal prohibition dates has direct implications for capital asset management and transition planning. Third, the study addresses a gap in the literature: while the environmental and clinical rationale for desflurane discontinuation is well established, the downstream equipment market effects have not been empirically examined.</w:t>
      </w:r>
    </w:p>
    <w:p>
      <w:r>
        <w:t>The manuscript has not been published previously and is not under consideration by any other journal. All authors have approved the manuscript and agree with its submission to the Journal of Clinical Anesthesia.</w:t>
      </w:r>
    </w:p>
    <w:p>
      <w:r>
        <w:t>We confirm that this study complies with the STROBE guidelines for observational studies. The completed STROBE checklist is provided as supplementary material. No ethical approval was required, as the study analyzed publicly available market data without involving human participants.</w:t>
      </w:r>
    </w:p>
    <w:p/>
    <w:p>
      <w:r>
        <w:t>Sincerely,</w:t>
      </w:r>
    </w:p>
    <w:p/>
    <w:p>
      <w:r>
        <w:t>[Corresponding author name]</w:t>
      </w:r>
    </w:p>
    <w:p>
      <w:r>
        <w:t>[Department, Institution]</w:t>
      </w:r>
    </w:p>
    <w:p>
      <w:r>
        <w:t>[Address]</w:t>
      </w:r>
    </w:p>
    <w:p>
      <w: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