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August 14, 2026</w:t>
      </w:r>
    </w:p>
    <w:p/>
    <w:p>
      <w:r>
        <w:t>Editor-in-Chief</w:t>
      </w:r>
    </w:p>
    <w:p>
      <w:r>
        <w:t>Journal of Anesthesia and Translational Medicine</w:t>
      </w:r>
    </w:p>
    <w:p/>
    <w:p>
      <w:r>
        <w:t>Dear Editor,</w:t>
      </w:r>
    </w:p>
    <w:p/>
    <w:p>
      <w:r>
        <w:t>We are resubmitting our revised manuscript entitled "Targeted environmental regulation and secondary market vaporizer prices: an observational analysis of the EU desflurane phase-out" (Manuscript Number JATMED-D-26-00064) for reconsideration as an Article in the Journal of Anesthesia and Translational Medicine.</w:t>
      </w:r>
    </w:p>
    <w:p>
      <w:r>
        <w:t>We thank the Editor and the two reviewers for their constructive feedback. In this revision we have (1) added sensitivity and control-series analyses including bootstrap resampling, post-hoc power simulation, a comparative interrupted time-series model, and a transaction-level difference-in-differences analysis; (2) softened the causal interpretation throughout and replaced "ban/prohibited" with accurate wording about a restriction on routine use with documented clinical exceptions; (3) expanded the clinical and environmental context, including desflurane pharmacokinetic advantages, the debate over GWP100 for short-lived anesthetics, and the importance of anesthetic diversity for supply-chain resilience; and (4) strengthened the limitations section regarding confounders, eBay generalizability, EU/non-EU transaction uncertainty, and the small post-restriction sample. A detailed point-by-point response to reviewers is enclosed.</w:t>
      </w:r>
    </w:p>
    <w:p>
      <w:r>
        <w:t>The manuscript has not been published previously and is not under consideration by any other journal. All authors have approved the revised manuscript and agree with its resubmission to the Journal of Anesthesia and Translational Medicine.</w:t>
      </w:r>
    </w:p>
    <w:p>
      <w:r>
        <w:t>We confirm that this study complies with the STROBE guidelines for observational studies. The completed STROBE checklist is provided as supplementary material. No ethical approval was required, as the study analyzed publicly available market data without involving human participants.</w:t>
      </w:r>
    </w:p>
    <w:p/>
    <w:p>
      <w:r>
        <w:t>Sincerely,</w:t>
      </w:r>
    </w:p>
    <w:p/>
    <w:p>
      <w:r>
        <w:t>[Corresponding author name]</w:t>
      </w:r>
    </w:p>
    <w:p>
      <w:r>
        <w:t>[Department, Institution]</w:t>
      </w:r>
    </w:p>
    <w:p>
      <w:r>
        <w:t>[Address]</w:t>
      </w:r>
    </w:p>
    <w:p>
      <w:r>
        <w:t>[Email]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