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sz w:val="22"/>
        </w:rPr>
        <w:t>[Date]</w:t>
      </w:r>
    </w:p>
    <w:p>
      <w:pPr>
        <w:spacing w:after="120"/>
      </w:pPr>
      <w:r>
        <w:rPr>
          <w:b w:val="0"/>
          <w:i w:val="0"/>
          <w:sz w:val="22"/>
        </w:rPr>
      </w:r>
    </w:p>
    <w:p>
      <w:pPr>
        <w:spacing w:after="120"/>
      </w:pPr>
      <w:r>
        <w:rPr>
          <w:b w:val="0"/>
          <w:i w:val="0"/>
          <w:sz w:val="22"/>
        </w:rPr>
        <w:t>Editor-in-Chief</w:t>
        <w:br/>
        <w:t>Strength and Conditioning Journal</w:t>
        <w:br/>
        <w:t>National Strength and Conditioning Association</w:t>
      </w:r>
    </w:p>
    <w:p>
      <w:pPr>
        <w:spacing w:after="120"/>
      </w:pPr>
      <w:r>
        <w:rPr>
          <w:b w:val="0"/>
          <w:i w:val="0"/>
          <w:sz w:val="22"/>
        </w:rPr>
      </w:r>
    </w:p>
    <w:p>
      <w:pPr>
        <w:spacing w:after="120"/>
      </w:pPr>
      <w:r>
        <w:rPr>
          <w:b/>
          <w:i w:val="0"/>
          <w:sz w:val="22"/>
        </w:rPr>
        <w:t>Dear Editor,</w:t>
      </w:r>
    </w:p>
    <w:p>
      <w:pPr>
        <w:spacing w:after="120"/>
      </w:pPr>
      <w:r>
        <w:rPr>
          <w:b w:val="0"/>
          <w:i w:val="0"/>
          <w:sz w:val="22"/>
        </w:rPr>
        <w:t>We respectfully submit the enclosed manuscript entitled "Mind the Gap: A Scoping Review of Discrepancies Between WADA Therapeutic Use Exemption Regulations and Current Clinical Practice Guidelines" for consideration as a Narrative Review article in the Strength and Conditioning Journal.</w:t>
      </w:r>
    </w:p>
    <w:p>
      <w:pPr>
        <w:spacing w:after="120"/>
      </w:pPr>
      <w:r>
        <w:rPr>
          <w:b w:val="0"/>
          <w:i w:val="0"/>
          <w:sz w:val="22"/>
        </w:rPr>
        <w:t>This PRISMA-ScR–compliant scoping review systematically maps discrepancies between the World Anti-Doping Agency (WADA) Therapeutic Use Exemption (TUE) regulatory framework and current evidence-based clinical practice guidelines across seven disease areas: asthma, ADHD, type 2 diabetes, male hypogonadism, glucocorticoid-requiring conditions, cardiovascular disease, and polycystic ovary syndrome (PCOS). We identified 68 relevant sources and found clinically significant gaps in all seven areas, with the most critical discrepancies in male hypogonadism, ADHD, and emerging GLP-1 receptor agonist therapies.</w:t>
      </w:r>
    </w:p>
    <w:p>
      <w:pPr>
        <w:spacing w:after="120"/>
      </w:pPr>
      <w:r>
        <w:rPr>
          <w:b w:val="0"/>
          <w:i w:val="0"/>
          <w:sz w:val="22"/>
        </w:rPr>
        <w:t>We believe this manuscript is particularly well-suited for the SCJ readership for several reasons. First, the clinical-competition gap directly affects athletes whom strength and conditioning (S&amp;C) professionals supervise daily. S&amp;C practitioners are often the first to observe performance changes attributable to medication adjustments, suboptimal symptom control, or TUE-related treatment compromises. Second, the review provides actionable, disease-specific guidance that S&amp;C professionals can immediately apply when working with athletes on prohibited medications or navigating the TUE process. Third, the manuscript addresses an emerging need: as clinical guidelines increasingly recommend agents on the WADA Prohibited List (e.g., GLP-1 receptor agonists for type 2 diabetes), S&amp;C professionals require a comprehensive reference to anticipate and manage these discrepancies.</w:t>
      </w:r>
    </w:p>
    <w:p>
      <w:pPr>
        <w:spacing w:after="120"/>
      </w:pPr>
      <w:r>
        <w:rPr>
          <w:b w:val="0"/>
          <w:i w:val="0"/>
          <w:sz w:val="22"/>
        </w:rPr>
        <w:t>A distinctive feature of this review is the integration of the author’s perspective as both a clinician and a former competitive bodybuilder regulated under the Japan Anti-Doping Agency (JADA). This dual perspective informed the identification of a gap that is under-recognized in the academic literature: the variability in TUE access across jurisdictions and competitive tiers. As an illustrative anecdote, the author attended an official JADA anti-doping education session where it was explicitly stated that TUE submissions were limited to athletes with prior top placements at national competitions or prior anti-doping rule violations. While this may reflect a localized operational practice rather than formal JADA policy, it illustrates the broader structural concern that TUE access may not be uniformly available to all athletes subject to anti-doping regulations—a disparity that, combined with limited access to physicians knowledgeable in both anti-doping rules and evidence-based pharmacotherapy, creates significant barriers to equitable care and may narrow the base of sport participation.</w:t>
      </w:r>
    </w:p>
    <w:p>
      <w:pPr>
        <w:spacing w:after="120"/>
      </w:pPr>
      <w:r>
        <w:rPr>
          <w:b w:val="0"/>
          <w:i w:val="0"/>
          <w:sz w:val="22"/>
        </w:rPr>
        <w:t>A central argument of this review is that standard clinical treatment should be the baseline entitlement for all athletes, with restrictions applied only where a specific substance confers a clear, demonstrated performance advantage beyond therapeutic restoration. The current system inverts this logic by making prohibition the default and requiring athletes to petition for exceptions. The treatment burden this imposes—regulatory uncertainty, administrative complexity, limited access to knowledgeable physicians, and psychological distress—represents a significant and under-recognized harm to athletes that this review aims to bring to wider attention.</w:t>
      </w:r>
    </w:p>
    <w:p>
      <w:pPr>
        <w:spacing w:after="120"/>
      </w:pPr>
      <w:r>
        <w:rPr>
          <w:b w:val="0"/>
          <w:i w:val="0"/>
          <w:sz w:val="22"/>
        </w:rPr>
        <w:t>The manuscript has not been previously published and is not under consideration by any other journal. A version of the core argument was previously submitted to the British Journal of Sports Medicine as a Viewpoint (approximately 1,500 words); however, the present manuscript is a substantially different work—a comprehensive scoping review (approximately 6,700 words) with systematic methodology, disease-specific analysis, and practical recommendations not present in the earlier submission. All authors have approved the manuscript and agree with its submission to the SCJ.</w:t>
      </w:r>
    </w:p>
    <w:p>
      <w:pPr>
        <w:spacing w:after="120"/>
      </w:pPr>
      <w:r>
        <w:rPr>
          <w:b w:val="0"/>
          <w:i w:val="0"/>
          <w:sz w:val="22"/>
        </w:rPr>
        <w:t>We confirm that we have read and complied with the Instructions for Authors. The PRISMA-ScR checklist is included as a supplementary file.</w:t>
      </w:r>
    </w:p>
    <w:p>
      <w:pPr>
        <w:spacing w:after="120"/>
      </w:pPr>
      <w:r>
        <w:rPr>
          <w:b w:val="0"/>
          <w:i w:val="0"/>
          <w:sz w:val="22"/>
        </w:rPr>
      </w:r>
    </w:p>
    <w:p>
      <w:pPr>
        <w:spacing w:after="120"/>
      </w:pPr>
      <w:r>
        <w:rPr>
          <w:b w:val="0"/>
          <w:i w:val="0"/>
          <w:sz w:val="22"/>
        </w:rPr>
        <w:t>Sincerely,</w:t>
      </w:r>
    </w:p>
    <w:p>
      <w:pPr>
        <w:spacing w:after="120"/>
      </w:pPr>
      <w:r>
        <w:rPr>
          <w:b w:val="0"/>
          <w:i w:val="0"/>
          <w:sz w:val="22"/>
        </w:rPr>
        <w:t>[Author Name], MD, CSCS</w:t>
        <w:br/>
        <w:t>[Institutional Affiliation]</w:t>
        <w:br/>
        <w:t>Email: [email]</w:t>
        <w:br/>
        <w:t>Telephone: [phone]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