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prohibited substances.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polycystic ovary syndrome (PCOS). We identified 68 relevant sources including WADA documents (n=18), clinical guidelines (n=22), and peer-reviewed articles (n=28). Clinically significant gaps were found in all seven areas, with the most critical discrepancies in male hypogonadism (exclusion of functional etiologies from TUE eligibility), ADHD (prohibition of first-line stimulant medications in-competition),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Eight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(22).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(22). To guide TUE committee decisions, WADA publishes disease-specific TUE Physician Guidelines, described as "living documents" subject to periodic revision (23).</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(2, 5, 7, 12, 13).</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Vernec et al. (20) described the TUE process itself. Heuberger and Cohen (8) questioned the evidence base for performance-enhancing effects of many prohibited substances, and Overbye and Wagner (16)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may be effectively restricted to athletes who have already achieved elite-level results, excluding emerging, sub-elite, and recreational competitors from the process. This creates a structural inequity in which the right to receive evidence-based medical treatment while competing depends not on medical need but on competitive achievement. Furthermore, few athletes have access to sports medicine physicians with expertise in both anti-doping regulations and the pharmacotherapy of their specific condition; the majority are treated by general practitioners or specialists unfamiliar with the Prohibited List or the TUE application process. This limited access to knowledgeable physicians compounds the regulatory barriers, undermines equitable access to standard care, represents a significant source of stress for athletes, and may narrow the base of sport participation by discouraging competitors who cannot navigate these systems.</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(19) and followed the methodological framework outlined by Arksey and O'Malley (3) as refined by Levac et al. (10).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(14),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PRISMA-ScR flow diagram illustrating the source selection process.</w:t>
      </w:r>
    </w:p>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(24).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25).</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(7). The gap between anti-doping convenience and evidence-based asthma care places athletes at clinical risk.</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(24).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such cases, the burden of proof falls on the athlete, and the process introduces uncertainty and administrative stress that may influence treatment decisions (1, 24, 25).</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(4, 12, 15).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(4).</w:t>
      </w:r>
    </w:p>
    <w:p>
      <w:pPr>
        <w:ind w:firstLine="720"/>
      </w:pPr>
      <w:r>
        <w:rPr>
          <w:sz w:val="24"/>
        </w:rPr>
        <w:t>Under WADA regulations, all stimulant medications for ADHD are prohibited in-competition: amphetamines as non-specified stimulants (S6.A) and methylphenidate as a specified stimulant (S6.B) (24).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(26).</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(23).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(16).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Critically, TUE access for stimulant medications is not uniformly available across all competitive tiers and jurisdictions. While the ISTUE applies in principle to all athletes subject to anti-doping rules, practical implementation varies by NADO and sport. In some jurisdictions, TUE submissions may be operationally restricted to athletes who have achieved elite-level results or who have prior anti-doping rule violations, effectively excluding emerging competitors from the TUE pathway. Moreover, few athletes have access to physicians with expertise in both anti-doping regulations and ADHD pharmacotherapy, meaning that many rely on general practitioners who may be unfamiliar with TUE requirements. The practical effect is that emerging athletes diagnosed with ADHD—who may most need the structured support that sport and training provide—face compounded barriers: limited access to the TUE pathway, limited access to knowledgeable physicians,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(24, 28). Washout periods were introduced: 3 days for most oral GCs, 10 days for oral triamcinolone, 5 days for intramuscular betamethasone/dexamethasone, and 60 days for intramuscular triamcinolone acetonide (29). Additionally, the 2026 modifications note that sustained-release formulations may produce detectable GC levels beyond published washout periods (24).</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(28, 29).</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Timeline of clinical guideline updates versus WADA TUE regulatory changes (2018–2026).</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A fundamental reframing of the issue is warranted. The current system operates on the premise that prohibited substances are the default, and athletes must petition for exceptions through the TUE process to receive evidence-based treatment. We argue that the logic should be inverted: standard clinical treatment should be the baseline entitlement for all athletes, with restrictions applied only where a specific substance confers a clear, demonstrated performance advantage beyond therapeutic restoration. The existence of a TUE pathway does not, in itself, resolve the clinical-competition gap—it merely creates a bureaucratic mechanism that many athletes cannot effectively access. Few athletes have access to sports medicine physicians with expertise in both anti-doping regulations and the pharmacotherapy of their specific condition; the majority are treated by general practitioners or specialists who may be unfamiliar with WADA rules, the Prohibited List, or the TUE application process. The treatment burden imposed on athletes—navigating complex regulations, securing specialist documentation, managing anxiety about potential ADRVs, and accepting suboptimal treatment to avoid regulatory conflict—constitutes a significant and under-recognized source of psychological stress that may itself impair athletic performance and well-being (16, 20, 21).</w:t>
      </w:r>
    </w:p>
    <w:p>
      <w:pPr>
        <w:ind w:firstLine="720"/>
      </w:pPr>
      <w:r>
        <w:rPr>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In some jurisdictions, TUE access may be operationally restricted to athletes with prior elite-level placements or anti-doping violations—effectively creating a two-tier system where medical treatment rights during competition depend on competitive achievement rather than clinical need. This jurisdictional variability is compounded by the scarcity of physicians with expertise in both anti-doping regulations and evidence-based pharmacotherapy: few athletes have access to sports medicine specialists who can competently navigate the TUE application process for their specific condition. The majority are treated by general practitioners or organ-specific specialists unfamiliar with the Prohibited List, TUE criteria, or the documentation requirements. This dual barrier—restricted TUE access and limited physician expertise—means that the clinical-competition gap manifests as unequal access to standard care for athletes in different countries, sports, and competitive tiers. The treatment stress imposed on athletes—regulatory uncertainty, administrative burden, and psychological distress from navigating these systems—may itself impair athletic performance, deter sport participation, and narrow the competitive base. The implications are particularly concerning for athletes in less-resourced NADOs, emerging sports, and sub-elite competitive categories, where both TUE infrastructure and physician expertise may be underdeveloped. Addressing the clinical-competition gap therefore requires not only harmonization of TUE criteria with clinical evidence but also standardization of TUE access mechanisms across jurisdictions (21, 23).</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spacing w:before="280"/>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