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w:t>
      </w:r>
    </w:p>
    <w:p>
      <w:pPr>
        <w:jc w:val="center"/>
      </w:pPr>
      <w:r>
        <w:rPr>
          <w:i/>
          <w:sz w:val="24"/>
        </w:rPr>
        <w:t>SCJ-D-26-00070R1: Mind the Gap: A Scoping Review of Discrepancies Between WADA Therapeutic Use Exemption and Current Clinical Practice Guidelines</w:t>
      </w:r>
    </w:p>
    <w:p/>
    <w:p>
      <w:pPr>
        <w:spacing w:before="240" w:after="120"/>
      </w:pPr>
      <w:r>
        <w:rPr>
          <w:b/>
          <w:sz w:val="28"/>
        </w:rPr>
        <w:t>General Response</w:t>
      </w:r>
    </w:p>
    <w:p>
      <w:r>
        <w:rPr>
          <w:b w:val="0"/>
          <w:i w:val="0"/>
          <w:sz w:val="24"/>
        </w:rPr>
        <w:t>We thank the Editor and both reviewers for their continued careful reading of our manuscript. In this minor revision we have made only the changes needed to address the comments: the keywords have been replaced with terms that do not appear in the title, no sentence now begins with an acronym, all abbreviations are established at first use in both the abstract and the paper, a brief methods description has been added explaining how the gap severity ratings in Figure 2 were derived, and each of Reviewer #2's line-level corrections has been applied. A clean revised manuscript and a marked manuscript (deletions shown in blue strikethrough, insertions shown in red) are provided.</w:t>
      </w:r>
    </w:p>
    <w:p/>
    <w:p>
      <w:pPr>
        <w:spacing w:before="240" w:after="120"/>
      </w:pPr>
      <w:r>
        <w:rPr>
          <w:b/>
          <w:sz w:val="28"/>
        </w:rPr>
        <w:t>Editor Comments</w:t>
      </w:r>
    </w:p>
    <w:p>
      <w:pPr>
        <w:ind w:left="283"/>
      </w:pPr>
      <w:r>
        <w:rPr>
          <w:b/>
          <w:sz w:val="22"/>
        </w:rPr>
        <w:t xml:space="preserve">Comment: </w:t>
      </w:r>
      <w:r>
        <w:rPr>
          <w:i/>
          <w:sz w:val="22"/>
        </w:rPr>
        <w:t>key word change please use words not in title</w:t>
      </w:r>
    </w:p>
    <w:p>
      <w:pPr>
        <w:ind w:left="283"/>
      </w:pPr>
      <w:r>
        <w:rPr>
          <w:b/>
          <w:sz w:val="22"/>
        </w:rPr>
        <w:t xml:space="preserve">Response: </w:t>
      </w:r>
      <w:r>
        <w:rPr>
          <w:sz w:val="22"/>
        </w:rPr>
        <w:t>The keywords have been replaced with terms that do not appear in the title: stimulant medications; exercise-induced bronchoconstriction; glucocorticoids; hypogonadism; sports medicine; medication management.</w:t>
      </w:r>
    </w:p>
    <w:p/>
    <w:p>
      <w:pPr>
        <w:ind w:left="283"/>
      </w:pPr>
      <w:r>
        <w:rPr>
          <w:b/>
          <w:sz w:val="22"/>
        </w:rPr>
        <w:t xml:space="preserve">Comment: </w:t>
      </w:r>
      <w:r>
        <w:rPr>
          <w:i/>
          <w:sz w:val="22"/>
        </w:rPr>
        <w:t>DO NOT begin a sentence with an acronym.</w:t>
      </w:r>
    </w:p>
    <w:p>
      <w:pPr>
        <w:ind w:left="283"/>
      </w:pPr>
      <w:r>
        <w:rPr>
          <w:b/>
          <w:sz w:val="22"/>
        </w:rPr>
        <w:t xml:space="preserve">Response: </w:t>
      </w:r>
      <w:r>
        <w:rPr>
          <w:sz w:val="22"/>
        </w:rPr>
        <w:t>All sentences that began with an acronym now begin with the full expansion (e.g., “The World Anti-Doping Agency…”, “The Global Initiative for Asthma…”, “Glucagon-like peptide-1 receptor agonists…”, “Strength and conditioning professionals…”).</w:t>
      </w:r>
    </w:p>
    <w:p/>
    <w:p>
      <w:pPr>
        <w:ind w:left="283"/>
      </w:pPr>
      <w:r>
        <w:rPr>
          <w:b/>
          <w:sz w:val="22"/>
        </w:rPr>
        <w:t xml:space="preserve">Comment: </w:t>
      </w:r>
      <w:r>
        <w:rPr>
          <w:i/>
          <w:sz w:val="22"/>
        </w:rPr>
        <w:t>Please make sure that all abbreviations are established with first use in Both abstract (e.g. GLP) and paper itself.</w:t>
      </w:r>
    </w:p>
    <w:p>
      <w:pPr>
        <w:ind w:left="283"/>
      </w:pPr>
      <w:r>
        <w:rPr>
          <w:b/>
          <w:sz w:val="22"/>
        </w:rPr>
        <w:t xml:space="preserve">Response: </w:t>
      </w:r>
      <w:r>
        <w:rPr>
          <w:sz w:val="22"/>
        </w:rPr>
        <w:t>In the abstract, glucagon-like peptide-1 (GLP-1) is now defined at first use and the PRISMA-ScR reporting guideline is now spelled out. In the body, the following abbreviations are now established at first use: WADA, S&amp;C, EAU, attention-deficit/hyperactivity disorder (ADHD), GLP-1, GIP, FDA, EMA, PMDA, SGLT2, ACE, ARNi, WHO, PMOS (section heading), and DSM-5.</w:t>
      </w:r>
    </w:p>
    <w:p/>
    <w:p>
      <w:pPr>
        <w:spacing w:before="240" w:after="120"/>
      </w:pPr>
      <w:r>
        <w:rPr>
          <w:b/>
          <w:sz w:val="28"/>
        </w:rPr>
        <w:t>Reviewer #1</w:t>
      </w:r>
    </w:p>
    <w:p>
      <w:pPr>
        <w:ind w:left="283"/>
      </w:pPr>
      <w:r>
        <w:rPr>
          <w:b/>
          <w:sz w:val="22"/>
        </w:rPr>
        <w:t xml:space="preserve">Comment: </w:t>
      </w:r>
      <w:r>
        <w:rPr>
          <w:i/>
          <w:sz w:val="22"/>
        </w:rPr>
        <w:t>The authors have addressed most of my comments. I only have one more - please add methods about the gap sensitivity in Figure 2. How did you do this? It is not mentioned.</w:t>
      </w:r>
    </w:p>
    <w:p>
      <w:pPr>
        <w:ind w:left="283"/>
      </w:pPr>
      <w:r>
        <w:rPr>
          <w:b/>
          <w:sz w:val="22"/>
        </w:rPr>
        <w:t xml:space="preserve">Response: </w:t>
      </w:r>
      <w:r>
        <w:rPr>
          <w:sz w:val="22"/>
        </w:rPr>
        <w:t>A methods description has been added at the end of the Data Charting Process section (Methods): “For each disease area, scores were assigned for each dimension through a qualitative synthesis of the charted evidence, with disagreements resolved by discussion and consensus; the resulting matrix is presented as a heat map (Figure 2).”</w:t>
      </w:r>
    </w:p>
    <w:p/>
    <w:p>
      <w:pPr>
        <w:spacing w:before="240" w:after="120"/>
      </w:pPr>
      <w:r>
        <w:rPr>
          <w:b/>
          <w:sz w:val="28"/>
        </w:rPr>
        <w:t>Reviewer #2</w:t>
      </w:r>
    </w:p>
    <w:p>
      <w:r>
        <w:rPr>
          <w:b w:val="0"/>
          <w:i w:val="0"/>
          <w:sz w:val="22"/>
        </w:rPr>
        <w:t>We thank Reviewer #2 for confirming the improvements and for the detailed line-level corrections. Each item is addressed below.</w:t>
      </w:r>
    </w:p>
    <w:p/>
    <w:p>
      <w:pPr>
        <w:ind w:left="283"/>
      </w:pPr>
      <w:r>
        <w:rPr>
          <w:b/>
          <w:sz w:val="22"/>
        </w:rPr>
        <w:t xml:space="preserve">Comment: </w:t>
      </w:r>
      <w:r>
        <w:rPr>
          <w:i/>
          <w:sz w:val="22"/>
        </w:rPr>
        <w:t>Page 4, Line 11: Replace “Ifs” with “IFs”</w:t>
      </w:r>
    </w:p>
    <w:p>
      <w:pPr>
        <w:ind w:left="283"/>
      </w:pPr>
      <w:r>
        <w:rPr>
          <w:b/>
          <w:sz w:val="22"/>
        </w:rPr>
        <w:t xml:space="preserve">Response: </w:t>
      </w:r>
      <w:r>
        <w:rPr>
          <w:sz w:val="22"/>
        </w:rPr>
        <w:t>Corrected: “international federations (IFs)”.</w:t>
      </w:r>
    </w:p>
    <w:p/>
    <w:p>
      <w:pPr>
        <w:ind w:left="283"/>
      </w:pPr>
      <w:r>
        <w:rPr>
          <w:b/>
          <w:sz w:val="22"/>
        </w:rPr>
        <w:t xml:space="preserve">Comment: </w:t>
      </w:r>
      <w:r>
        <w:rPr>
          <w:i/>
          <w:sz w:val="22"/>
        </w:rPr>
        <w:t>Page 9, Line 33: Recommend rephrasing “older recreational athletes” as this could be offensive to competitive masters athletes who are in fact competitive and elite by age standards.</w:t>
      </w:r>
    </w:p>
    <w:p>
      <w:pPr>
        <w:ind w:left="283"/>
      </w:pPr>
      <w:r>
        <w:rPr>
          <w:b/>
          <w:sz w:val="22"/>
        </w:rPr>
        <w:t xml:space="preserve">Response: </w:t>
      </w:r>
      <w:r>
        <w:rPr>
          <w:sz w:val="22"/>
        </w:rPr>
        <w:t>Rephrased to “younger elite competitors and masters athletes alike”.</w:t>
      </w:r>
    </w:p>
    <w:p/>
    <w:p>
      <w:pPr>
        <w:ind w:left="283"/>
      </w:pPr>
      <w:r>
        <w:rPr>
          <w:b/>
          <w:sz w:val="22"/>
        </w:rPr>
        <w:t xml:space="preserve">Comment: </w:t>
      </w:r>
      <w:r>
        <w:rPr>
          <w:i/>
          <w:sz w:val="22"/>
        </w:rPr>
        <w:t>Page 11, Line 33: Delete extra space between “2022” and “designate”</w:t>
      </w:r>
    </w:p>
    <w:p>
      <w:pPr>
        <w:ind w:left="283"/>
      </w:pPr>
      <w:r>
        <w:rPr>
          <w:b/>
          <w:sz w:val="22"/>
        </w:rPr>
        <w:t xml:space="preserve">Response: </w:t>
      </w:r>
      <w:r>
        <w:rPr>
          <w:sz w:val="22"/>
        </w:rPr>
        <w:t>The extra space has been deleted.</w:t>
      </w:r>
    </w:p>
    <w:p/>
    <w:p>
      <w:pPr>
        <w:ind w:left="283"/>
      </w:pPr>
      <w:r>
        <w:rPr>
          <w:b/>
          <w:sz w:val="22"/>
        </w:rPr>
        <w:t xml:space="preserve">Comment: </w:t>
      </w:r>
      <w:r>
        <w:rPr>
          <w:i/>
          <w:sz w:val="22"/>
        </w:rPr>
        <w:t>Page 11, Line 42: Appears to be one or more references missing from empty parentheses at the end of the sentence</w:t>
      </w:r>
    </w:p>
    <w:p>
      <w:pPr>
        <w:ind w:left="283"/>
      </w:pPr>
      <w:r>
        <w:rPr>
          <w:b/>
          <w:sz w:val="22"/>
        </w:rPr>
        <w:t xml:space="preserve">Response: </w:t>
      </w:r>
      <w:r>
        <w:rPr>
          <w:sz w:val="22"/>
        </w:rPr>
        <w:t>The sentence now carries its supporting references: “…highest response rates among available treatments (22, 4).” We also audited every parenthetical citation in the manuscript to confirm that no parentheses are left empty.</w:t>
      </w:r>
    </w:p>
    <w:p/>
    <w:p>
      <w:pPr>
        <w:ind w:left="283"/>
      </w:pPr>
      <w:r>
        <w:rPr>
          <w:b/>
          <w:sz w:val="22"/>
        </w:rPr>
        <w:t xml:space="preserve">Comment: </w:t>
      </w:r>
      <w:r>
        <w:rPr>
          <w:i/>
          <w:sz w:val="22"/>
        </w:rPr>
        <w:t>Page 12, Lines 4,7: The following could be considered a mischaracterization: “…yet WADA's regulatory framework treats it as if pharmacotherapy can be safely interrupted for competitive events.” WADA makes no such suggestion - the rule is in place because the use of stimulants has the potential to be performance enhancing.</w:t>
      </w:r>
    </w:p>
    <w:p>
      <w:pPr>
        <w:ind w:left="283"/>
      </w:pPr>
      <w:r>
        <w:rPr>
          <w:b/>
          <w:sz w:val="22"/>
        </w:rPr>
        <w:t xml:space="preserve">Response: </w:t>
      </w:r>
      <w:r>
        <w:rPr>
          <w:sz w:val="22"/>
        </w:rPr>
        <w:t>Agreed; we have removed the mischaracterization. The sentence now reads: “This creates a fundamental paradox: ADHD is a continuous neurodevelopmental condition that does not remit on competition days, yet first-line stimulant pharmacotherapy is prohibited in-competition.”</w:t>
      </w:r>
    </w:p>
    <w:p/>
    <w:p>
      <w:pPr>
        <w:ind w:left="283"/>
      </w:pPr>
      <w:r>
        <w:rPr>
          <w:b/>
          <w:sz w:val="22"/>
        </w:rPr>
        <w:t xml:space="preserve">Comment: </w:t>
      </w:r>
      <w:r>
        <w:rPr>
          <w:i/>
          <w:sz w:val="22"/>
        </w:rPr>
        <w:t>Page 13, Line 9: Replace “IFs” with “IF”</w:t>
      </w:r>
    </w:p>
    <w:p>
      <w:pPr>
        <w:ind w:left="283"/>
      </w:pPr>
      <w:r>
        <w:rPr>
          <w:b/>
          <w:sz w:val="22"/>
        </w:rPr>
        <w:t xml:space="preserve">Response: </w:t>
      </w:r>
      <w:r>
        <w:rPr>
          <w:sz w:val="22"/>
        </w:rPr>
        <w:t>Corrected: “practical implementation varies by NADO and IF”.</w:t>
      </w:r>
    </w:p>
    <w:p/>
    <w:p>
      <w:pPr>
        <w:ind w:left="283"/>
      </w:pPr>
      <w:r>
        <w:rPr>
          <w:b/>
          <w:sz w:val="22"/>
        </w:rPr>
        <w:t xml:space="preserve">Comment: </w:t>
      </w:r>
      <w:r>
        <w:rPr>
          <w:i/>
          <w:sz w:val="22"/>
        </w:rPr>
        <w:t>Page 13, Line 50: After “European Medicines Agency” insert “(EMA)” since that acronym follows in the next sentence</w:t>
      </w:r>
    </w:p>
    <w:p>
      <w:pPr>
        <w:ind w:left="283"/>
      </w:pPr>
      <w:r>
        <w:rPr>
          <w:b/>
          <w:sz w:val="22"/>
        </w:rPr>
        <w:t xml:space="preserve">Response: </w:t>
      </w:r>
      <w:r>
        <w:rPr>
          <w:sz w:val="22"/>
        </w:rPr>
        <w:t>Inserted “(EMA)” after “European Medicines Agency”. “(FDA)” and “(PMDA)” were added in the same way so that all three agency abbreviations are established at first use.</w:t>
      </w:r>
    </w:p>
    <w:p/>
    <w:p>
      <w:pPr>
        <w:ind w:left="283"/>
      </w:pPr>
      <w:r>
        <w:rPr>
          <w:b/>
          <w:sz w:val="22"/>
        </w:rPr>
        <w:t xml:space="preserve">Comment: </w:t>
      </w:r>
      <w:r>
        <w:rPr>
          <w:i/>
          <w:sz w:val="22"/>
        </w:rPr>
        <w:t>Page 24, Line 20: Delete “Society” as it is a repeated word following “Society's”</w:t>
      </w:r>
    </w:p>
    <w:p>
      <w:pPr>
        <w:ind w:left="283"/>
      </w:pPr>
      <w:r>
        <w:rPr>
          <w:b/>
          <w:sz w:val="22"/>
        </w:rPr>
        <w:t xml:space="preserve">Response: </w:t>
      </w:r>
      <w:r>
        <w:rPr>
          <w:sz w:val="22"/>
        </w:rPr>
        <w:t>Corrected: “…in light of the Endocrine Society’s symptom-plus-biochemistry approach…”.</w:t>
      </w:r>
    </w:p>
    <w:p/>
    <w:p>
      <w:r>
        <w:rPr>
          <w:b w:val="0"/>
          <w:i w:val="0"/>
          <w:sz w:val="22"/>
        </w:rPr>
        <w:t>We hope the manuscript is now suitable for publication and thank the editor and reviewers for their time and constructive feedback.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