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Mind the Gap: A Scoping Review of Discrepancies Between WADA Therapeutic Use Exemption and Current Clinical Practice Guidelines</w:t>
      </w:r>
    </w:p>
    <w:p/>
    <w:p>
      <w:pPr>
        <w:jc w:val="center"/>
      </w:pPr>
      <w:r>
        <w:rPr>
          <w:sz w:val="24"/>
        </w:rPr>
        <w:t>[Author Name], MD, CSCS</w:t>
      </w:r>
    </w:p>
    <w:p/>
    <w:p>
      <w:pPr>
        <w:jc w:val="center"/>
      </w:pPr>
      <w:r>
        <w:rPr>
          <w:i/>
          <w:sz w:val="20"/>
        </w:rPr>
        <w:t>[Institutional Affiliation]</w:t>
      </w:r>
    </w:p>
    <w:p>
      <w:pPr>
        <w:jc w:val="center"/>
      </w:pPr>
      <w:r>
        <w:rPr>
          <w:i/>
          <w:sz w:val="20"/>
        </w:rPr>
        <w:t>[Department/Division]</w:t>
      </w:r>
    </w:p>
    <w:p>
      <w:pPr>
        <w:jc w:val="center"/>
      </w:pPr>
      <w:r>
        <w:rPr>
          <w:i/>
          <w:sz w:val="20"/>
        </w:rPr>
        <w:t>[City, Country]</w:t>
      </w:r>
    </w:p>
    <w:p/>
    <w:p>
      <w:r>
        <w:rPr>
          <w:b/>
          <w:sz w:val="20"/>
        </w:rPr>
        <w:t xml:space="preserve">Current Position: </w:t>
      </w:r>
      <w:r>
        <w:rPr>
          <w:sz w:val="20"/>
        </w:rPr>
        <w:t>[Author Name], MD, CSCS, is a physician and NSCA-certified strength and conditioning specialist at [Institution].</w:t>
      </w:r>
    </w:p>
    <w:p/>
    <w:p>
      <w:r>
        <w:rPr>
          <w:b/>
          <w:sz w:val="20"/>
        </w:rPr>
        <w:t xml:space="preserve">Corresponding Author: </w:t>
      </w:r>
      <w:r>
        <w:rPr>
          <w:sz w:val="20"/>
        </w:rPr>
        <w:t>[Author Name], MD, CSCS</w:t>
        <w:br/>
        <w:t>[Address]</w:t>
        <w:br/>
        <w:t>Email: [email]</w:t>
        <w:br/>
        <w:t>Telephone: [phone]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Mind the Gap: A Scoping Review of Discrepancies Between WADA Therapeutic Use Exemption and Current Clinical Practice Guidelines</w:t>
      </w:r>
    </w:p>
    <w:p/>
    <w:p>
      <w:r>
        <w:rPr>
          <w:b/>
          <w:sz w:val="20"/>
        </w:rPr>
        <w:t xml:space="preserve">Running Head: </w:t>
      </w:r>
      <w:r>
        <w:rPr>
          <w:sz w:val="20"/>
        </w:rPr>
        <w:t>WADA TUE AND CLINICAL GUIDELINE GAPS</w:t>
      </w:r>
    </w:p>
    <w:p/>
    <w:p>
      <w:r>
        <w:rPr>
          <w:rFonts w:ascii="Times New Roman" w:hAnsi="Times New Roman" w:eastAsia="Times New Roman"/>
          <w:b/>
          <w:sz w:val="24"/>
        </w:rPr>
        <w:t>Keywords: stimulant medications; exercise-induced bronchoconstriction; glucocorticoids; hypogonadism; sports medicine; medication management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