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trike w:val="0"/>
          <w:color w:val="000000"/>
          <w:sz w:val="28"/>
        </w:rPr>
        <w:t>ABSTRACT</w:t>
      </w:r>
    </w:p>
    <w:p>
      <w:pPr>
        <w:ind w:firstLine="720"/>
      </w:pPr>
      <w:r>
        <w:rPr>
          <w:strike w:val="0"/>
          <w:color w:val="000000"/>
          <w:sz w:val="24"/>
        </w:rPr>
        <w:t xml:space="preserve">The World Anti-Doping Agency (WADA) </w:t>
      </w:r>
      <w:r>
        <w:rPr>
          <w:strike w:val="0"/>
          <w:color w:val="FF0000"/>
          <w:sz w:val="24"/>
        </w:rPr>
        <w:t xml:space="preserve">and the </w:t>
      </w:r>
      <w:r>
        <w:rPr>
          <w:strike w:val="0"/>
          <w:color w:val="000000"/>
          <w:sz w:val="24"/>
        </w:rPr>
        <w:t xml:space="preserve">Therapeutic Use Exemption (TUE) system </w:t>
      </w:r>
      <w:r>
        <w:rPr>
          <w:strike/>
          <w:color w:val="0000FF"/>
          <w:sz w:val="24"/>
        </w:rPr>
        <w:t xml:space="preserve">permits </w:t>
      </w:r>
      <w:r>
        <w:rPr>
          <w:strike w:val="0"/>
          <w:color w:val="FF0000"/>
          <w:sz w:val="24"/>
        </w:rPr>
        <w:t xml:space="preserve">permit </w:t>
      </w:r>
      <w:r>
        <w:rPr>
          <w:strike w:val="0"/>
          <w:color w:val="000000"/>
          <w:sz w:val="24"/>
        </w:rPr>
        <w:t xml:space="preserve">athletes with legitimate medical conditions to use </w:t>
      </w:r>
      <w:r>
        <w:rPr>
          <w:strike w:val="0"/>
          <w:color w:val="FF0000"/>
          <w:sz w:val="24"/>
        </w:rPr>
        <w:t xml:space="preserve">otherwise </w:t>
      </w:r>
      <w:r>
        <w:rPr>
          <w:strike w:val="0"/>
          <w:color w:val="000000"/>
          <w:sz w:val="24"/>
        </w:rPr>
        <w:t xml:space="preserve">prohibited </w:t>
      </w:r>
      <w:r>
        <w:rPr>
          <w:strike/>
          <w:color w:val="0000FF"/>
          <w:sz w:val="24"/>
        </w:rPr>
        <w:t xml:space="preserve">substances. </w:t>
      </w:r>
      <w:r>
        <w:rPr>
          <w:strike w:val="0"/>
          <w:color w:val="FF0000"/>
          <w:sz w:val="24"/>
        </w:rPr>
        <w:t xml:space="preserve">substances when strict medical criteria are met. </w:t>
      </w:r>
      <w:r>
        <w:rPr>
          <w:strike w:val="0"/>
          <w:color w:val="000000"/>
          <w:sz w:val="24"/>
        </w:rPr>
        <w:t xml:space="preserve">However, discrepancies are emerging between WADA regulatory documents and current clinical practice guidelines. This </w:t>
      </w:r>
      <w:r>
        <w:rPr>
          <w:strike/>
          <w:color w:val="0000FF"/>
          <w:sz w:val="24"/>
        </w:rPr>
        <w:t xml:space="preserve">PRISMA-ScR–compliant </w:t>
      </w:r>
      <w:r>
        <w:rPr>
          <w:strike w:val="0"/>
          <w:color w:val="FF0000"/>
          <w:sz w:val="24"/>
        </w:rPr>
        <w:t xml:space="preserve">PRISMA-ScR-compliant </w:t>
      </w:r>
      <w:r>
        <w:rPr>
          <w:strike w:val="0"/>
          <w:color w:val="000000"/>
          <w:sz w:val="24"/>
        </w:rPr>
        <w:t xml:space="preserve">scoping review systematically mapped these discrepancies across seven disease areas: asthma, attention-deficit/hyperactivity disorder (ADHD), type 2 diabetes, male hypogonadism, glucocorticoid-requiring conditions, cardiovascular disease, and </w:t>
      </w:r>
      <w:r>
        <w:rPr>
          <w:strike w:val="0"/>
          <w:color w:val="FF0000"/>
          <w:sz w:val="24"/>
        </w:rPr>
        <w:t xml:space="preserve">polyendocrine metabolic ovarian syndrome (PMOS; formerly </w:t>
      </w:r>
      <w:r>
        <w:rPr>
          <w:strike w:val="0"/>
          <w:color w:val="000000"/>
          <w:sz w:val="24"/>
        </w:rPr>
        <w:t xml:space="preserve">polycystic ovary </w:t>
      </w:r>
      <w:r>
        <w:rPr>
          <w:strike/>
          <w:color w:val="0000FF"/>
          <w:sz w:val="24"/>
        </w:rPr>
        <w:t xml:space="preserve">syndrome (PCOS). </w:t>
      </w:r>
      <w:r>
        <w:rPr>
          <w:strike w:val="0"/>
          <w:color w:val="FF0000"/>
          <w:sz w:val="24"/>
        </w:rPr>
        <w:t xml:space="preserve">syndrome, PCOS). </w:t>
      </w:r>
      <w:r>
        <w:rPr>
          <w:strike w:val="0"/>
          <w:color w:val="000000"/>
          <w:sz w:val="24"/>
        </w:rPr>
        <w:t xml:space="preserve">We identified 68 relevant sources including WADA </w:t>
      </w:r>
      <w:r>
        <w:rPr>
          <w:strike w:val="0"/>
          <w:color w:val="FF0000"/>
          <w:sz w:val="24"/>
        </w:rPr>
        <w:t xml:space="preserve">regulatory </w:t>
      </w:r>
      <w:r>
        <w:rPr>
          <w:strike w:val="0"/>
          <w:color w:val="000000"/>
          <w:sz w:val="24"/>
        </w:rPr>
        <w:t xml:space="preserve">documents (n=18), clinical guidelines (n=22), and peer-reviewed articles (n=28). Clinically significant gaps were found in all seven areas, with the most critical discrepancies in male hypogonadism (exclusion of functional etiologies from TUE eligibility), ADHD </w:t>
      </w:r>
      <w:r>
        <w:rPr>
          <w:strike/>
          <w:color w:val="0000FF"/>
          <w:sz w:val="24"/>
        </w:rPr>
        <w:t xml:space="preserve">(prohibition </w:t>
      </w:r>
      <w:r>
        <w:rPr>
          <w:strike w:val="0"/>
          <w:color w:val="FF0000"/>
          <w:sz w:val="24"/>
        </w:rPr>
        <w:t xml:space="preserve">(in-competition prohibition </w:t>
      </w:r>
      <w:r>
        <w:rPr>
          <w:strike w:val="0"/>
          <w:color w:val="000000"/>
          <w:sz w:val="24"/>
        </w:rPr>
        <w:t xml:space="preserve">of first-line stimulant </w:t>
      </w:r>
      <w:r>
        <w:rPr>
          <w:strike/>
          <w:color w:val="0000FF"/>
          <w:sz w:val="24"/>
        </w:rPr>
        <w:t xml:space="preserve">medications in-competition), </w:t>
      </w:r>
      <w:r>
        <w:rPr>
          <w:strike w:val="0"/>
          <w:color w:val="FF0000"/>
          <w:sz w:val="24"/>
        </w:rPr>
        <w:t xml:space="preserve">medications), </w:t>
      </w:r>
      <w:r>
        <w:rPr>
          <w:strike w:val="0"/>
          <w:color w:val="000000"/>
          <w:sz w:val="24"/>
        </w:rPr>
        <w:t xml:space="preserve">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w:t>
      </w:r>
      <w:r>
        <w:rPr>
          <w:strike w:val="0"/>
          <w:color w:val="FF0000"/>
          <w:sz w:val="24"/>
        </w:rPr>
        <w:t xml:space="preserve">(S&amp;C) </w:t>
      </w:r>
      <w:r>
        <w:rPr>
          <w:strike w:val="0"/>
          <w:color w:val="000000"/>
          <w:sz w:val="24"/>
        </w:rPr>
        <w:t xml:space="preserve">professionals are discussed, including strategies for supporting athletes navigating the TUE process. </w:t>
      </w:r>
      <w:r>
        <w:rPr>
          <w:strike/>
          <w:color w:val="0000FF"/>
          <w:sz w:val="24"/>
        </w:rPr>
        <w:t xml:space="preserve">Eight recommendations </w:t>
      </w:r>
      <w:r>
        <w:rPr>
          <w:strike w:val="0"/>
          <w:color w:val="FF0000"/>
          <w:sz w:val="24"/>
        </w:rPr>
        <w:t xml:space="preserve">Recommendations </w:t>
      </w:r>
      <w:r>
        <w:rPr>
          <w:strike w:val="0"/>
          <w:color w:val="000000"/>
          <w:sz w:val="24"/>
        </w:rPr>
        <w:t>for harmonizing clinical and anti-doping standards are proposed.</w:t>
      </w:r>
    </w:p>
    <w:p>
      <w:pPr>
        <w:ind w:firstLine="720"/>
      </w:pPr>
      <w:r>
        <w:rPr>
          <w:strike w:val="0"/>
          <w:color w:val="000000"/>
          <w:sz w:val="24"/>
        </w:rPr>
      </w:r>
    </w:p>
    <w:p>
      <w:r>
        <w:rPr>
          <w:b/>
          <w:strike w:val="0"/>
          <w:color w:val="000000"/>
          <w:sz w:val="28"/>
        </w:rPr>
        <w:t>INTRODUCTION</w:t>
      </w:r>
    </w:p>
    <w:p>
      <w:pPr>
        <w:ind w:firstLine="720"/>
      </w:pPr>
      <w:r>
        <w:rPr>
          <w:strike w:val="0"/>
          <w:color w:val="FF0000"/>
          <w:sz w:val="24"/>
        </w:rPr>
        <w:t xml:space="preserve">A Therapeutic Use Exemption (TUE) is the mechanism by which an athlete with a documented medical condition may obtain authorization to use a substance or method on the WADA Prohibited List. </w:t>
      </w:r>
      <w:r>
        <w:rPr>
          <w:strike w:val="0"/>
          <w:color w:val="000000"/>
          <w:sz w:val="24"/>
        </w:rPr>
        <w:t xml:space="preserve">The </w:t>
      </w:r>
      <w:r>
        <w:rPr>
          <w:strike/>
          <w:color w:val="0000FF"/>
          <w:sz w:val="24"/>
        </w:rPr>
        <w:t xml:space="preserve">World Anti-Doping Agency (WADA) maintains the Prohibited List, an annually updated catalogue of substances and methods banned in sport, alongside the </w:t>
      </w:r>
      <w:r>
        <w:rPr>
          <w:strike w:val="0"/>
          <w:color w:val="000000"/>
          <w:sz w:val="24"/>
        </w:rPr>
        <w:t xml:space="preserve">International Standard for Therapeutic Use Exemptions </w:t>
      </w:r>
      <w:r>
        <w:rPr>
          <w:strike/>
          <w:color w:val="0000FF"/>
          <w:sz w:val="24"/>
        </w:rPr>
        <w:t xml:space="preserve">(ISTUE), which provides a mechanism </w:t>
      </w:r>
      <w:r>
        <w:rPr>
          <w:strike w:val="0"/>
          <w:color w:val="FF0000"/>
          <w:sz w:val="24"/>
        </w:rPr>
        <w:t xml:space="preserve">(ISTUE) governs the criteria and procedures </w:t>
      </w:r>
      <w:r>
        <w:rPr>
          <w:strike w:val="0"/>
          <w:color w:val="000000"/>
          <w:sz w:val="24"/>
        </w:rPr>
        <w:t xml:space="preserve">for </w:t>
      </w:r>
      <w:r>
        <w:rPr>
          <w:strike w:val="0"/>
          <w:color w:val="FF0000"/>
          <w:sz w:val="24"/>
        </w:rPr>
        <w:t xml:space="preserve">granting TUEs (1). WADA's stated objective is to permit </w:t>
      </w:r>
      <w:r>
        <w:rPr>
          <w:strike w:val="0"/>
          <w:color w:val="000000"/>
          <w:sz w:val="24"/>
        </w:rPr>
        <w:t xml:space="preserve">athletes </w:t>
      </w:r>
      <w:r>
        <w:rPr>
          <w:strike/>
          <w:color w:val="0000FF"/>
          <w:sz w:val="24"/>
        </w:rPr>
        <w:t xml:space="preserve">with documented </w:t>
      </w:r>
      <w:r>
        <w:rPr>
          <w:strike w:val="0"/>
          <w:color w:val="FF0000"/>
          <w:sz w:val="24"/>
        </w:rPr>
        <w:t xml:space="preserve">to receive appropriate </w:t>
      </w:r>
      <w:r>
        <w:rPr>
          <w:strike w:val="0"/>
          <w:color w:val="000000"/>
          <w:sz w:val="24"/>
        </w:rPr>
        <w:t xml:space="preserve">medical </w:t>
      </w:r>
      <w:r>
        <w:rPr>
          <w:strike/>
          <w:color w:val="0000FF"/>
          <w:sz w:val="24"/>
        </w:rPr>
        <w:t xml:space="preserve">conditions to use prohibited substances under specific criteria (22). The TUE system is predicated on four requirements: (a) the athlete would experience significant health impairment without the prohibited substance; (b) the therapeutic </w:t>
      </w:r>
      <w:r>
        <w:rPr>
          <w:strike w:val="0"/>
          <w:color w:val="FF0000"/>
          <w:sz w:val="24"/>
        </w:rPr>
        <w:t xml:space="preserve">care while competing, provided such </w:t>
      </w:r>
      <w:r>
        <w:rPr>
          <w:strike w:val="0"/>
          <w:color w:val="000000"/>
          <w:sz w:val="24"/>
        </w:rPr>
        <w:t xml:space="preserve">use would produce no additional enhancement of performance beyond </w:t>
      </w:r>
      <w:r>
        <w:rPr>
          <w:strike/>
          <w:color w:val="0000FF"/>
          <w:sz w:val="24"/>
        </w:rPr>
        <w:t xml:space="preserve">restoring </w:t>
      </w:r>
      <w:r>
        <w:rPr>
          <w:strike w:val="0"/>
          <w:color w:val="FF0000"/>
          <w:sz w:val="24"/>
        </w:rPr>
        <w:t xml:space="preserve">a return to </w:t>
      </w:r>
      <w:r>
        <w:rPr>
          <w:strike w:val="0"/>
          <w:color w:val="000000"/>
          <w:sz w:val="24"/>
        </w:rPr>
        <w:t xml:space="preserve">normal </w:t>
      </w:r>
      <w:r>
        <w:rPr>
          <w:strike/>
          <w:color w:val="0000FF"/>
          <w:sz w:val="24"/>
        </w:rPr>
        <w:t xml:space="preserve">health; (c) there is </w:t>
      </w:r>
      <w:r>
        <w:rPr>
          <w:strike w:val="0"/>
          <w:color w:val="FF0000"/>
          <w:sz w:val="24"/>
        </w:rPr>
        <w:t xml:space="preserve">health, </w:t>
      </w:r>
      <w:r>
        <w:rPr>
          <w:strike w:val="0"/>
          <w:color w:val="000000"/>
          <w:sz w:val="24"/>
        </w:rPr>
        <w:t xml:space="preserve">no reasonable permitted therapeutic </w:t>
      </w:r>
      <w:r>
        <w:rPr>
          <w:strike/>
          <w:color w:val="0000FF"/>
          <w:sz w:val="24"/>
        </w:rPr>
        <w:t xml:space="preserve">alternative; </w:t>
      </w:r>
      <w:r>
        <w:rPr>
          <w:strike w:val="0"/>
          <w:color w:val="FF0000"/>
          <w:sz w:val="24"/>
        </w:rPr>
        <w:t xml:space="preserve">alternative exists, </w:t>
      </w:r>
      <w:r>
        <w:rPr>
          <w:strike w:val="0"/>
          <w:color w:val="000000"/>
          <w:sz w:val="24"/>
        </w:rPr>
        <w:t xml:space="preserve">and </w:t>
      </w:r>
      <w:r>
        <w:rPr>
          <w:strike/>
          <w:color w:val="0000FF"/>
          <w:sz w:val="24"/>
        </w:rPr>
        <w:t xml:space="preserve">(d) </w:t>
      </w:r>
      <w:r>
        <w:rPr>
          <w:strike w:val="0"/>
          <w:color w:val="000000"/>
          <w:sz w:val="24"/>
        </w:rPr>
        <w:t xml:space="preserve">the necessity is not a consequence of prior prohibited substance use </w:t>
      </w:r>
      <w:r>
        <w:rPr>
          <w:strike/>
          <w:color w:val="0000FF"/>
          <w:sz w:val="24"/>
        </w:rPr>
        <w:t>(22). To guide TUE committee decisions, WADA publishes disease-specific TUE Physician Guidelines, described as "living documents" subject to periodic revision (23).</w:t>
      </w:r>
      <w:r>
        <w:rPr>
          <w:strike w:val="0"/>
          <w:color w:val="FF0000"/>
          <w:sz w:val="24"/>
        </w:rPr>
        <w:t>(1, 2).</w:t>
      </w:r>
    </w:p>
    <w:p>
      <w:pPr>
        <w:ind w:firstLine="720"/>
      </w:pPr>
      <w:r>
        <w:rPr>
          <w:strike w:val="0"/>
          <w:color w:val="FF0000"/>
          <w:sz w:val="24"/>
        </w:rPr>
        <w:t xml:space="preserve">WADA maintains the Prohibited List, an annually updated catalogue of substances and methods banned in sport, and publishes disease-specific TUE Physician Guidelines, described as living documents subject to periodic revision (3, 4). </w:t>
      </w:r>
      <w:r>
        <w:rPr>
          <w:strike w:val="0"/>
          <w:color w:val="000000"/>
          <w:sz w:val="24"/>
        </w:rPr>
        <w:t xml:space="preserve">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w:t>
      </w:r>
      <w:r>
        <w:rPr>
          <w:strike/>
          <w:color w:val="0000FF"/>
          <w:sz w:val="24"/>
        </w:rPr>
        <w:t xml:space="preserve">recommendations, sometimes fundamentally altering first-line treatment approaches (2, 5, </w:t>
      </w:r>
      <w:r>
        <w:rPr>
          <w:strike w:val="0"/>
          <w:color w:val="FF0000"/>
          <w:sz w:val="24"/>
        </w:rPr>
        <w:t xml:space="preserve">recommendations (5, 6, </w:t>
      </w:r>
      <w:r>
        <w:rPr>
          <w:strike w:val="0"/>
          <w:color w:val="000000"/>
          <w:sz w:val="24"/>
        </w:rPr>
        <w:t xml:space="preserve">7, </w:t>
      </w:r>
      <w:r>
        <w:rPr>
          <w:strike/>
          <w:color w:val="0000FF"/>
          <w:sz w:val="24"/>
        </w:rPr>
        <w:t>12, 13).</w:t>
      </w:r>
      <w:r>
        <w:rPr>
          <w:strike w:val="0"/>
          <w:color w:val="FF0000"/>
          <w:sz w:val="24"/>
        </w:rPr>
        <w:t>8, 9).</w:t>
      </w:r>
    </w:p>
    <w:p>
      <w:pPr>
        <w:ind w:firstLine="720"/>
      </w:pPr>
      <w:r>
        <w:rPr>
          <w:strike w:val="0"/>
          <w:color w:val="000000"/>
          <w:sz w:val="24"/>
        </w:rPr>
        <w:t xml:space="preserve">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w:t>
      </w:r>
      <w:r>
        <w:rPr>
          <w:strike/>
          <w:color w:val="0000FF"/>
          <w:sz w:val="24"/>
        </w:rPr>
        <w:t xml:space="preserve">"clinical-competition gap" </w:t>
      </w:r>
      <w:r>
        <w:rPr>
          <w:strike w:val="0"/>
          <w:color w:val="FF0000"/>
          <w:sz w:val="24"/>
        </w:rPr>
        <w:t xml:space="preserve">clinical-competition gap </w:t>
      </w:r>
      <w:r>
        <w:rPr>
          <w:strike w:val="0"/>
          <w:color w:val="000000"/>
          <w:sz w:val="24"/>
        </w:rPr>
        <w:t xml:space="preserve">has significant implications for athlete health, competitive fairness, and the professionals who support athletes, including </w:t>
      </w:r>
      <w:r>
        <w:rPr>
          <w:strike/>
          <w:color w:val="0000FF"/>
          <w:sz w:val="24"/>
        </w:rPr>
        <w:t xml:space="preserve">strength and conditioning (S&amp;C) </w:t>
      </w:r>
      <w:r>
        <w:rPr>
          <w:strike w:val="0"/>
          <w:color w:val="FF0000"/>
          <w:sz w:val="24"/>
        </w:rPr>
        <w:t xml:space="preserve">S&amp;C </w:t>
      </w:r>
      <w:r>
        <w:rPr>
          <w:strike w:val="0"/>
          <w:color w:val="000000"/>
          <w:sz w:val="24"/>
        </w:rPr>
        <w:t>practitioners.</w:t>
      </w:r>
    </w:p>
    <w:p>
      <w:pPr>
        <w:ind w:firstLine="720"/>
      </w:pPr>
      <w:r>
        <w:rPr>
          <w:strike w:val="0"/>
          <w:color w:val="000000"/>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trike w:val="0"/>
          <w:color w:val="000000"/>
          <w:sz w:val="24"/>
        </w:rPr>
        <w:t xml:space="preserve">Previous studies have examined individual aspects of this problem. Allen et al. </w:t>
      </w:r>
      <w:r>
        <w:rPr>
          <w:strike/>
          <w:color w:val="0000FF"/>
          <w:sz w:val="24"/>
        </w:rPr>
        <w:t xml:space="preserve">(1) </w:t>
      </w:r>
      <w:r>
        <w:rPr>
          <w:strike w:val="0"/>
          <w:color w:val="FF0000"/>
          <w:sz w:val="24"/>
        </w:rPr>
        <w:t xml:space="preserve">(10) </w:t>
      </w:r>
      <w:r>
        <w:rPr>
          <w:strike w:val="0"/>
          <w:color w:val="000000"/>
          <w:sz w:val="24"/>
        </w:rPr>
        <w:t xml:space="preserve">reviewed anti-doping policy implications for asthmatic athletes, while </w:t>
      </w:r>
      <w:r>
        <w:rPr>
          <w:strike/>
          <w:color w:val="0000FF"/>
          <w:sz w:val="24"/>
        </w:rPr>
        <w:t xml:space="preserve">Vernec et al. (20) </w:t>
      </w:r>
      <w:r>
        <w:rPr>
          <w:strike w:val="0"/>
          <w:color w:val="FF0000"/>
          <w:sz w:val="24"/>
        </w:rPr>
        <w:t xml:space="preserve">Gerrard and Pipe (11) </w:t>
      </w:r>
      <w:r>
        <w:rPr>
          <w:strike w:val="0"/>
          <w:color w:val="000000"/>
          <w:sz w:val="24"/>
        </w:rPr>
        <w:t xml:space="preserve">described the TUE process itself. Heuberger and Cohen </w:t>
      </w:r>
      <w:r>
        <w:rPr>
          <w:strike/>
          <w:color w:val="0000FF"/>
          <w:sz w:val="24"/>
        </w:rPr>
        <w:t xml:space="preserve">(8) </w:t>
      </w:r>
      <w:r>
        <w:rPr>
          <w:strike w:val="0"/>
          <w:color w:val="FF0000"/>
          <w:sz w:val="24"/>
        </w:rPr>
        <w:t xml:space="preserve">(12) </w:t>
      </w:r>
      <w:r>
        <w:rPr>
          <w:strike w:val="0"/>
          <w:color w:val="000000"/>
          <w:sz w:val="24"/>
        </w:rPr>
        <w:t xml:space="preserve">questioned the evidence base for performance-enhancing effects of many prohibited substances, and Overbye and Wagner </w:t>
      </w:r>
      <w:r>
        <w:rPr>
          <w:strike/>
          <w:color w:val="0000FF"/>
          <w:sz w:val="24"/>
        </w:rPr>
        <w:t xml:space="preserve">(16) </w:t>
      </w:r>
      <w:r>
        <w:rPr>
          <w:strike w:val="0"/>
          <w:color w:val="FF0000"/>
          <w:sz w:val="24"/>
        </w:rPr>
        <w:t xml:space="preserve">(13) </w:t>
      </w:r>
      <w:r>
        <w:rPr>
          <w:strike w:val="0"/>
          <w:color w:val="000000"/>
          <w:sz w:val="24"/>
        </w:rPr>
        <w:t xml:space="preserve">documented athlete experiences with the anti-doping system. However, these studies focused on single disease areas or policy dimensions. A comprehensive, cross-disease comparison that maps the full landscape of clinical-competition gaps has not been </w:t>
      </w:r>
      <w:r>
        <w:rPr>
          <w:strike/>
          <w:color w:val="0000FF"/>
          <w:sz w:val="24"/>
        </w:rPr>
        <w:t>attempted. Such a mapping is essential for identifying systemic patterns that transcend individual conditions and for developing coherent policy recommendations.</w:t>
      </w:r>
      <w:r>
        <w:rPr>
          <w:strike w:val="0"/>
          <w:color w:val="FF0000"/>
          <w:sz w:val="24"/>
        </w:rPr>
        <w:t>attempted.</w:t>
      </w:r>
    </w:p>
    <w:p>
      <w:pPr>
        <w:ind w:firstLine="720"/>
      </w:pPr>
      <w:r>
        <w:rPr>
          <w:strike w:val="0"/>
          <w:color w:val="000000"/>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trike/>
          <w:color w:val="0000FF"/>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may be effectively restricted to athletes who have already achieved elite-level results, excluding emerging, sub-elite, and recreational competitors from the process. This creates a structural inequity in which the right to receive evidence-based medical treatment while competing depends not on medical need but on competitive achievement. Furthermore, few athletes have access to sports medicine physicians with expertise in both anti-doping regulations and the pharmacotherapy of their specific condition; the majority are treated by general practitioners or specialists unfamiliar with the Prohibited List or the TUE application process. This limited access to knowledgeable physicians compounds the regulatory barriers, undermines equitable access to standard care, represents a significant source of stress for athletes, and may narrow the base of sport participation by discouraging competitors who cannot navigate these systems.</w:t>
      </w:r>
    </w:p>
    <w:p>
      <w:pPr>
        <w:ind w:firstLine="720"/>
      </w:pPr>
      <w:r>
        <w:rPr>
          <w:strike/>
          <w:color w:val="0000FF"/>
          <w:sz w:val="24"/>
        </w:rPr>
      </w:r>
    </w:p>
    <w:p>
      <w:pPr>
        <w:ind w:firstLine="720"/>
      </w:pPr>
      <w:r>
        <w:rPr>
          <w:strike w:val="0"/>
          <w:color w:val="FF0000"/>
          <w:sz w:val="24"/>
        </w:rPr>
        <w:t>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(1, 13, 14). Systematic data on application eligibility by competitive tier are limited, but the documented variation in TUE approval rates across sports and Olympic Games suggests that access is not uniform (14).</w:t>
      </w:r>
    </w:p>
    <w:p>
      <w:r>
        <w:rPr>
          <w:b/>
          <w:strike w:val="0"/>
          <w:color w:val="000000"/>
          <w:sz w:val="28"/>
        </w:rPr>
        <w:t>METHODS</w:t>
      </w:r>
    </w:p>
    <w:p>
      <w:r>
        <w:rPr>
          <w:b/>
          <w:strike w:val="0"/>
          <w:color w:val="000000"/>
          <w:sz w:val="24"/>
        </w:rPr>
        <w:t>Protocol and Registration</w:t>
      </w:r>
    </w:p>
    <w:p>
      <w:pPr>
        <w:ind w:firstLine="720"/>
      </w:pPr>
      <w:r>
        <w:rPr>
          <w:strike w:val="0"/>
          <w:color w:val="000000"/>
          <w:sz w:val="24"/>
        </w:rPr>
        <w:t xml:space="preserve">This scoping review was conducted in accordance with the PRISMA-ScR (Preferred Reporting Items for Systematic Reviews and Meta-Analyses extension for Scoping Reviews) guidelines </w:t>
      </w:r>
      <w:r>
        <w:rPr>
          <w:strike/>
          <w:color w:val="0000FF"/>
          <w:sz w:val="24"/>
        </w:rPr>
        <w:t xml:space="preserve">(19) </w:t>
      </w:r>
      <w:r>
        <w:rPr>
          <w:strike w:val="0"/>
          <w:color w:val="FF0000"/>
          <w:sz w:val="24"/>
        </w:rPr>
        <w:t xml:space="preserve">(15) </w:t>
      </w:r>
      <w:r>
        <w:rPr>
          <w:strike w:val="0"/>
          <w:color w:val="000000"/>
          <w:sz w:val="24"/>
        </w:rPr>
        <w:t xml:space="preserve">and followed the methodological framework outlined by Arksey and O'Malley </w:t>
      </w:r>
      <w:r>
        <w:rPr>
          <w:strike/>
          <w:color w:val="0000FF"/>
          <w:sz w:val="24"/>
        </w:rPr>
        <w:t xml:space="preserve">(3) </w:t>
      </w:r>
      <w:r>
        <w:rPr>
          <w:strike w:val="0"/>
          <w:color w:val="FF0000"/>
          <w:sz w:val="24"/>
        </w:rPr>
        <w:t xml:space="preserve">(16) </w:t>
      </w:r>
      <w:r>
        <w:rPr>
          <w:strike w:val="0"/>
          <w:color w:val="000000"/>
          <w:sz w:val="24"/>
        </w:rPr>
        <w:t xml:space="preserve">as refined by Levac et al. </w:t>
      </w:r>
      <w:r>
        <w:rPr>
          <w:strike/>
          <w:color w:val="0000FF"/>
          <w:sz w:val="24"/>
        </w:rPr>
        <w:t xml:space="preserve">(10). </w:t>
      </w:r>
      <w:r>
        <w:rPr>
          <w:strike w:val="0"/>
          <w:color w:val="FF0000"/>
          <w:sz w:val="24"/>
        </w:rPr>
        <w:t xml:space="preserve">(17). </w:t>
      </w:r>
      <w:r>
        <w:rPr>
          <w:strike w:val="0"/>
          <w:color w:val="000000"/>
          <w:sz w:val="24"/>
        </w:rPr>
        <w:t xml:space="preserve">The review protocol was developed a priori but was not registered in a systematic review </w:t>
      </w:r>
      <w:r>
        <w:rPr>
          <w:strike/>
          <w:color w:val="0000FF"/>
          <w:sz w:val="24"/>
        </w:rPr>
        <w:t>database.</w:t>
      </w:r>
      <w:r>
        <w:rPr>
          <w:strike w:val="0"/>
          <w:color w:val="FF0000"/>
          <w:sz w:val="24"/>
        </w:rPr>
        <w:t>database. A completed PRISMA-ScR checklist is provided as a supplementary file.</w:t>
      </w:r>
    </w:p>
    <w:p>
      <w:r>
        <w:rPr>
          <w:b/>
          <w:strike w:val="0"/>
          <w:color w:val="000000"/>
          <w:sz w:val="24"/>
        </w:rPr>
        <w:t>Eligibility Criteria</w:t>
      </w:r>
    </w:p>
    <w:p>
      <w:pPr>
        <w:ind w:firstLine="720"/>
      </w:pPr>
      <w:r>
        <w:rPr>
          <w:strike w:val="0"/>
          <w:color w:val="000000"/>
          <w:sz w:val="24"/>
        </w:rPr>
        <w:t xml:space="preserve">Sources were eligible for inclusion if they: (a) were WADA regulatory documents, including the Prohibited List, ISTUE, TUE Physician Guidelines, or Monitoring Program documents published between 2018 and 2026; (b) were clinical practice guidelines from recognized international </w:t>
      </w:r>
      <w:r>
        <w:rPr>
          <w:strike w:val="0"/>
          <w:color w:val="FF0000"/>
          <w:sz w:val="24"/>
        </w:rPr>
        <w:t xml:space="preserve">or national </w:t>
      </w:r>
      <w:r>
        <w:rPr>
          <w:strike w:val="0"/>
          <w:color w:val="000000"/>
          <w:sz w:val="24"/>
        </w:rPr>
        <w:t xml:space="preserve">medical </w:t>
      </w:r>
      <w:r>
        <w:rPr>
          <w:strike/>
          <w:color w:val="0000FF"/>
          <w:sz w:val="24"/>
        </w:rPr>
        <w:t xml:space="preserve">organizations </w:t>
      </w:r>
      <w:r>
        <w:rPr>
          <w:strike w:val="0"/>
          <w:color w:val="FF0000"/>
          <w:sz w:val="24"/>
        </w:rPr>
        <w:t xml:space="preserve">organizations, </w:t>
      </w:r>
      <w:r>
        <w:rPr>
          <w:strike w:val="0"/>
          <w:color w:val="000000"/>
          <w:sz w:val="24"/>
        </w:rPr>
        <w:t>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r>
        <w:rPr>
          <w:b/>
          <w:strike w:val="0"/>
          <w:color w:val="000000"/>
          <w:sz w:val="24"/>
        </w:rPr>
        <w:t>Information Sources and Search Strategy</w:t>
      </w:r>
    </w:p>
    <w:p>
      <w:pPr>
        <w:ind w:firstLine="720"/>
      </w:pPr>
      <w:r>
        <w:rPr>
          <w:strike w:val="0"/>
          <w:color w:val="000000"/>
          <w:sz w:val="24"/>
        </w:rPr>
        <w:t xml:space="preserve">A comprehensive search was conducted across </w:t>
      </w:r>
      <w:r>
        <w:rPr>
          <w:strike/>
          <w:color w:val="0000FF"/>
          <w:sz w:val="24"/>
        </w:rPr>
        <w:t xml:space="preserve">PubMed/MEDLINE, Embase, SPORTDiscus, </w:t>
      </w:r>
      <w:r>
        <w:rPr>
          <w:strike w:val="0"/>
          <w:color w:val="FF0000"/>
          <w:sz w:val="24"/>
        </w:rPr>
        <w:t xml:space="preserve">PubMed/MEDLINE (n=312), Embase (n=198), SPORTDiscus (n=121), </w:t>
      </w:r>
      <w:r>
        <w:rPr>
          <w:strike w:val="0"/>
          <w:color w:val="000000"/>
          <w:sz w:val="24"/>
        </w:rPr>
        <w:t xml:space="preserve">the Cochrane </w:t>
      </w:r>
      <w:r>
        <w:rPr>
          <w:strike/>
          <w:color w:val="0000FF"/>
          <w:sz w:val="24"/>
        </w:rPr>
        <w:t xml:space="preserve">Library, </w:t>
      </w:r>
      <w:r>
        <w:rPr>
          <w:strike w:val="0"/>
          <w:color w:val="FF0000"/>
          <w:sz w:val="24"/>
        </w:rPr>
        <w:t xml:space="preserve">Library (n=84), </w:t>
      </w:r>
      <w:r>
        <w:rPr>
          <w:strike w:val="0"/>
          <w:color w:val="000000"/>
          <w:sz w:val="24"/>
        </w:rPr>
        <w:t xml:space="preserve">and Web of Science </w:t>
      </w:r>
      <w:r>
        <w:rPr>
          <w:strike w:val="0"/>
          <w:color w:val="FF0000"/>
          <w:sz w:val="24"/>
        </w:rPr>
        <w:t xml:space="preserve">(n=132) </w:t>
      </w:r>
      <w:r>
        <w:rPr>
          <w:strike w:val="0"/>
          <w:color w:val="000000"/>
          <w:sz w:val="24"/>
        </w:rPr>
        <w:t xml:space="preserve">from January 2018 to March 2026. </w:t>
      </w:r>
      <w:r>
        <w:rPr>
          <w:strike w:val="0"/>
          <w:color w:val="FF0000"/>
          <w:sz w:val="24"/>
        </w:rPr>
        <w:t xml:space="preserve">The combined database search yielded 847 records. </w:t>
      </w:r>
      <w:r>
        <w:rPr>
          <w:strike w:val="0"/>
          <w:color w:val="000000"/>
          <w:sz w:val="24"/>
        </w:rPr>
        <w:t xml:space="preserve">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w:t>
      </w:r>
      <w:r>
        <w:rPr>
          <w:strike w:val="0"/>
          <w:color w:val="FF0000"/>
          <w:sz w:val="24"/>
        </w:rPr>
        <w:t xml:space="preserve">"PMOS," </w:t>
      </w:r>
      <w:r>
        <w:rPr>
          <w:strike w:val="0"/>
          <w:color w:val="000000"/>
          <w:sz w:val="24"/>
        </w:rPr>
        <w:t xml:space="preserve">"PCOS"). Grey literature searches included the WADA website (wada-ama.org), clinical guideline repositories (NICE Evidence Search, Guidelines International Network), </w:t>
      </w:r>
      <w:r>
        <w:rPr>
          <w:strike/>
          <w:color w:val="0000FF"/>
          <w:sz w:val="24"/>
        </w:rPr>
        <w:t xml:space="preserve">CAS (Court </w:t>
      </w:r>
      <w:r>
        <w:rPr>
          <w:strike w:val="0"/>
          <w:color w:val="FF0000"/>
          <w:sz w:val="24"/>
        </w:rPr>
        <w:t xml:space="preserve">Court </w:t>
      </w:r>
      <w:r>
        <w:rPr>
          <w:strike w:val="0"/>
          <w:color w:val="000000"/>
          <w:sz w:val="24"/>
        </w:rPr>
        <w:t xml:space="preserve">of Arbitration for </w:t>
      </w:r>
      <w:r>
        <w:rPr>
          <w:strike/>
          <w:color w:val="0000FF"/>
          <w:sz w:val="24"/>
        </w:rPr>
        <w:t xml:space="preserve">Sport) </w:t>
      </w:r>
      <w:r>
        <w:rPr>
          <w:strike w:val="0"/>
          <w:color w:val="FF0000"/>
          <w:sz w:val="24"/>
        </w:rPr>
        <w:t xml:space="preserve">Sport (CAS) </w:t>
      </w:r>
      <w:r>
        <w:rPr>
          <w:strike w:val="0"/>
          <w:color w:val="000000"/>
          <w:sz w:val="24"/>
        </w:rPr>
        <w:t>databases, and reference lists of included articles.</w:t>
      </w:r>
    </w:p>
    <w:p>
      <w:r>
        <w:rPr>
          <w:b/>
          <w:strike w:val="0"/>
          <w:color w:val="000000"/>
          <w:sz w:val="24"/>
        </w:rPr>
        <w:t>Selection of Sources of Evidence</w:t>
      </w:r>
    </w:p>
    <w:p>
      <w:pPr>
        <w:ind w:firstLine="720"/>
      </w:pPr>
      <w:r>
        <w:rPr>
          <w:strike w:val="0"/>
          <w:color w:val="000000"/>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ind w:firstLine="720"/>
      </w:pPr>
      <w:r>
        <w:rPr>
          <w:strike w:val="0"/>
          <w:color w:val="FF0000"/>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r>
        <w:rPr>
          <w:b/>
          <w:strike w:val="0"/>
          <w:color w:val="000000"/>
          <w:sz w:val="24"/>
        </w:rPr>
        <w:t>Data Charting Process</w:t>
      </w:r>
    </w:p>
    <w:p>
      <w:pPr>
        <w:ind w:firstLine="720"/>
      </w:pPr>
      <w:r>
        <w:rPr>
          <w:strike w:val="0"/>
          <w:color w:val="000000"/>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r>
        <w:rPr>
          <w:b/>
          <w:strike w:val="0"/>
          <w:color w:val="000000"/>
          <w:sz w:val="24"/>
        </w:rPr>
        <w:t>Critical Appraisal of Individual Sources</w:t>
      </w:r>
    </w:p>
    <w:p>
      <w:pPr>
        <w:ind w:firstLine="720"/>
      </w:pPr>
      <w:r>
        <w:rPr>
          <w:strike w:val="0"/>
          <w:color w:val="000000"/>
          <w:sz w:val="24"/>
        </w:rPr>
        <w:t xml:space="preserve">Consistent with scoping review methodology </w:t>
      </w:r>
      <w:r>
        <w:rPr>
          <w:strike/>
          <w:color w:val="0000FF"/>
          <w:sz w:val="24"/>
        </w:rPr>
        <w:t xml:space="preserve">(14), </w:t>
      </w:r>
      <w:r>
        <w:rPr>
          <w:strike w:val="0"/>
          <w:color w:val="FF0000"/>
          <w:sz w:val="24"/>
        </w:rPr>
        <w:t xml:space="preserve">(18), </w:t>
      </w:r>
      <w:r>
        <w:rPr>
          <w:strike w:val="0"/>
          <w:color w:val="000000"/>
          <w:sz w:val="24"/>
        </w:rPr>
        <w:t>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r>
        <w:rPr>
          <w:b/>
          <w:strike w:val="0"/>
          <w:color w:val="000000"/>
          <w:sz w:val="24"/>
        </w:rPr>
        <w:t>Synthesis of Results</w:t>
      </w:r>
    </w:p>
    <w:p>
      <w:pPr>
        <w:ind w:firstLine="720"/>
      </w:pPr>
      <w:r>
        <w:rPr>
          <w:strike/>
          <w:color w:val="0000FF"/>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2) was developed iteratively as patterns emerged across disease areas, identifying common structural drivers that transcended individual conditions.</w:t>
      </w:r>
    </w:p>
    <w:p>
      <w:pPr>
        <w:ind w:firstLine="720"/>
      </w:pPr>
      <w:r>
        <w:rPr>
          <w:strike/>
          <w:color w:val="0000FF"/>
          <w:sz w:val="24"/>
        </w:rPr>
      </w:r>
    </w:p>
    <w:p>
      <w:pPr>
        <w:ind w:firstLine="720"/>
      </w:pPr>
      <w:r>
        <w:rPr>
          <w:strike/>
          <w:color w:val="0000FF"/>
          <w:sz w:val="24"/>
        </w:rPr>
      </w:r>
    </w:p>
    <w:p>
      <w:pPr>
        <w:ind w:firstLine="720"/>
      </w:pPr>
      <w:r>
        <w:rPr>
          <w:strike w:val="0"/>
          <w:color w:val="FF0000"/>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r>
        <w:rPr>
          <w:b/>
          <w:strike w:val="0"/>
          <w:color w:val="000000"/>
          <w:sz w:val="28"/>
        </w:rPr>
        <w:t>RESULTS</w:t>
      </w:r>
    </w:p>
    <w:p>
      <w:r>
        <w:rPr>
          <w:b/>
          <w:strike/>
          <w:color w:val="0000FF"/>
          <w:sz w:val="24"/>
        </w:rPr>
        <w:t>Source Selection</w:t>
      </w:r>
      <w:r>
        <w:rPr>
          <w:b/>
          <w:strike w:val="0"/>
          <w:color w:val="FF0000"/>
          <w:sz w:val="24"/>
        </w:rPr>
        <w:t>Population and Epidemiological Context</w:t>
      </w:r>
    </w:p>
    <w:p>
      <w:pPr>
        <w:ind w:firstLine="720"/>
      </w:pPr>
      <w:r>
        <w:rPr>
          <w:strike w:val="0"/>
          <w:color w:val="FF0000"/>
          <w:sz w:val="24"/>
        </w:rPr>
        <w:t xml:space="preserve">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(19). Systematic reviews report that lower airway dysfunction occurs in approximately 20–25% of athletes (20), while the prevalence of ADHD among elite athletes has been estimated at 7–8% (21). </w:t>
      </w:r>
      <w:r>
        <w:rPr>
          <w:strike w:val="0"/>
          <w:color w:val="000000"/>
          <w:sz w:val="24"/>
        </w:rPr>
        <w:t xml:space="preserve">The </w:t>
      </w:r>
      <w:r>
        <w:rPr>
          <w:strike/>
          <w:color w:val="0000FF"/>
          <w:sz w:val="24"/>
        </w:rPr>
        <w:t xml:space="preserve">search identified 847 records </w:t>
      </w:r>
      <w:r>
        <w:rPr>
          <w:strike w:val="0"/>
          <w:color w:val="FF0000"/>
          <w:sz w:val="24"/>
        </w:rPr>
        <w:t xml:space="preserve">masters athlete population is also expanding: the 2024 World Masters Athletics Championships registered 8,029 athletes </w:t>
      </w:r>
      <w:r>
        <w:rPr>
          <w:strike w:val="0"/>
          <w:color w:val="000000"/>
          <w:sz w:val="24"/>
        </w:rPr>
        <w:t xml:space="preserve">from </w:t>
      </w:r>
      <w:r>
        <w:rPr>
          <w:strike/>
          <w:color w:val="0000FF"/>
          <w:sz w:val="24"/>
        </w:rPr>
        <w:t xml:space="preserve">database searching </w:t>
      </w:r>
      <w:r>
        <w:rPr>
          <w:strike w:val="0"/>
          <w:color w:val="FF0000"/>
          <w:sz w:val="24"/>
        </w:rPr>
        <w:t xml:space="preserve">112 countries (22), </w:t>
      </w:r>
      <w:r>
        <w:rPr>
          <w:strike w:val="0"/>
          <w:color w:val="000000"/>
          <w:sz w:val="24"/>
        </w:rPr>
        <w:t xml:space="preserve">and </w:t>
      </w:r>
      <w:r>
        <w:rPr>
          <w:strike/>
          <w:color w:val="0000FF"/>
          <w:sz w:val="24"/>
        </w:rPr>
        <w:t xml:space="preserve">156 additional records from grey literature </w:t>
      </w:r>
      <w:r>
        <w:rPr>
          <w:strike w:val="0"/>
          <w:color w:val="FF0000"/>
          <w:sz w:val="24"/>
        </w:rPr>
        <w:t xml:space="preserve">the 2027 World Masters Games had already received more than 24,000 registrations more than a year before the event (23). These figures underscore that TUE policy decisions affect a large, heterogeneous population that includes younger elite competitors </w:t>
      </w:r>
      <w:r>
        <w:rPr>
          <w:strike w:val="0"/>
          <w:color w:val="000000"/>
          <w:sz w:val="24"/>
        </w:rPr>
        <w:t xml:space="preserve">and </w:t>
      </w:r>
      <w:r>
        <w:rPr>
          <w:strike/>
          <w:color w:val="0000FF"/>
          <w:sz w:val="24"/>
        </w:rPr>
        <w:t>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r>
        <w:rPr>
          <w:strike w:val="0"/>
          <w:color w:val="FF0000"/>
          <w:sz w:val="24"/>
        </w:rPr>
        <w:t>older recreational athletes alike.</w:t>
      </w:r>
    </w:p>
    <w:p>
      <w:r>
        <w:rPr>
          <w:b/>
          <w:strike w:val="0"/>
          <w:color w:val="000000"/>
          <w:sz w:val="24"/>
        </w:rPr>
        <w:t>Overview of Clinical-Competition Gaps</w:t>
      </w:r>
    </w:p>
    <w:p>
      <w:pPr>
        <w:ind w:firstLine="720"/>
      </w:pPr>
      <w:r>
        <w:rPr>
          <w:strike w:val="0"/>
          <w:color w:val="000000"/>
          <w:sz w:val="24"/>
        </w:rPr>
        <w:t xml:space="preserve">Clinically significant gaps between WADA regulations and current clinical practice guidelines were identified across all seven disease areas examined. The gap severity varied by disease area and assessment dimension, as summarized in the risk matrix (Figure </w:t>
      </w:r>
      <w:r>
        <w:rPr>
          <w:strike/>
          <w:color w:val="0000FF"/>
          <w:sz w:val="24"/>
        </w:rPr>
        <w:t xml:space="preserve">3). </w:t>
      </w:r>
      <w:r>
        <w:rPr>
          <w:strike w:val="0"/>
          <w:color w:val="FF0000"/>
          <w:sz w:val="24"/>
        </w:rPr>
        <w:t xml:space="preserve">2). </w:t>
      </w:r>
      <w:r>
        <w:rPr>
          <w:strike w:val="0"/>
          <w:color w:val="000000"/>
          <w:sz w:val="24"/>
        </w:rPr>
        <w:t>The most critical overall gaps were identified in male hypogonadism and ADHD, while emerging gaps related to GLP-1 receptor agonists represent the most rapidly evolving area of concern.</w:t>
      </w:r>
    </w:p>
    <w:p>
      <w:r>
        <w:rPr>
          <w:b/>
          <w:strike w:val="0"/>
          <w:color w:val="000000"/>
          <w:sz w:val="24"/>
        </w:rPr>
        <w:t>Asthma and Beta-2 Agonists</w:t>
      </w:r>
    </w:p>
    <w:p>
      <w:pPr>
        <w:ind w:firstLine="720"/>
      </w:pPr>
      <w:r>
        <w:rPr>
          <w:strike w:val="0"/>
          <w:color w:val="000000"/>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trike w:val="0"/>
          <w:color w:val="000000"/>
          <w:sz w:val="24"/>
        </w:rPr>
        <w:t xml:space="preserve">WADA permits inhaled formoterol without a TUE provided the total delivered dose does not exceed 54 μg per 24 hours (with a subsidiary limit of 36 μg per 12 hours), and a urinary threshold of 40 ng/mL applies </w:t>
      </w:r>
      <w:r>
        <w:rPr>
          <w:strike/>
          <w:color w:val="0000FF"/>
          <w:sz w:val="24"/>
        </w:rPr>
        <w:t xml:space="preserve">(24). </w:t>
      </w:r>
      <w:r>
        <w:rPr>
          <w:strike w:val="0"/>
          <w:color w:val="FF0000"/>
          <w:sz w:val="24"/>
        </w:rPr>
        <w:t xml:space="preserve">(3). </w:t>
      </w:r>
      <w:r>
        <w:rPr>
          <w:strike w:val="0"/>
          <w:color w:val="000000"/>
          <w:sz w:val="24"/>
        </w:rPr>
        <w:t xml:space="preserve">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w:t>
      </w:r>
      <w:r>
        <w:rPr>
          <w:strike/>
          <w:color w:val="0000FF"/>
          <w:sz w:val="24"/>
        </w:rPr>
        <w:t>(1, 25).</w:t>
      </w:r>
      <w:r>
        <w:rPr>
          <w:strike w:val="0"/>
          <w:color w:val="FF0000"/>
          <w:sz w:val="24"/>
        </w:rPr>
        <w:t>(4, 10).</w:t>
      </w:r>
    </w:p>
    <w:p>
      <w:pPr>
        <w:ind w:firstLine="720"/>
      </w:pPr>
      <w:r>
        <w:rPr>
          <w:strike/>
          <w:color w:val="0000FF"/>
          <w:sz w:val="24"/>
        </w:rPr>
        <w:t xml:space="preserve">An additional concern </w:t>
      </w:r>
      <w:r>
        <w:rPr>
          <w:strike w:val="0"/>
          <w:color w:val="FF0000"/>
          <w:sz w:val="24"/>
        </w:rPr>
        <w:t xml:space="preserve">WADA's threshold policy for beta-2 agonists reflects meta-analytic evidence that systemic use of these agents can increase lean body mass and reduce fat mass, whereas inhaled routes at permitted doses are considered unlikely to produce these effects (24). This performance-enhancement rationale </w:t>
      </w:r>
      <w:r>
        <w:rPr>
          <w:strike w:val="0"/>
          <w:color w:val="000000"/>
          <w:sz w:val="24"/>
        </w:rPr>
        <w:t xml:space="preserve">is </w:t>
      </w:r>
      <w:r>
        <w:rPr>
          <w:strike/>
          <w:color w:val="0000FF"/>
          <w:sz w:val="24"/>
        </w:rPr>
        <w:t xml:space="preserve">that WADA's permissive approach to inhaled salbutamol (albuterol) without TUE </w:t>
      </w:r>
      <w:r>
        <w:rPr>
          <w:strike w:val="0"/>
          <w:color w:val="FF0000"/>
          <w:sz w:val="24"/>
        </w:rPr>
        <w:t xml:space="preserve">independent of the clinical guideline rationale, which prioritizes symptom control and exacerbation prevention. The misalignment is not a contradiction of clinical asthma care, but it </w:t>
      </w:r>
      <w:r>
        <w:rPr>
          <w:strike w:val="0"/>
          <w:color w:val="000000"/>
          <w:sz w:val="24"/>
        </w:rPr>
        <w:t xml:space="preserve">creates an unintended incentive for athletes to rely on SABA monotherapy—a practice GINA 2025 explicitly recommends against at any severity step </w:t>
      </w:r>
      <w:r>
        <w:rPr>
          <w:strike/>
          <w:color w:val="0000FF"/>
          <w:sz w:val="24"/>
        </w:rPr>
        <w:t xml:space="preserve">due to increased </w:t>
      </w:r>
      <w:r>
        <w:rPr>
          <w:strike w:val="0"/>
          <w:color w:val="FF0000"/>
          <w:sz w:val="24"/>
        </w:rPr>
        <w:t xml:space="preserve">because it increases the </w:t>
      </w:r>
      <w:r>
        <w:rPr>
          <w:strike w:val="0"/>
          <w:color w:val="000000"/>
          <w:sz w:val="24"/>
        </w:rPr>
        <w:t xml:space="preserve">risk of severe exacerbations and asthma-related death </w:t>
      </w:r>
      <w:r>
        <w:rPr>
          <w:strike/>
          <w:color w:val="0000FF"/>
          <w:sz w:val="24"/>
        </w:rPr>
        <w:t>(7). The gap between anti-doping convenience and evidence-based asthma care places athletes at clinical risk.</w:t>
      </w:r>
      <w:r>
        <w:rPr>
          <w:strike w:val="0"/>
          <w:color w:val="FF0000"/>
          <w:sz w:val="24"/>
        </w:rPr>
        <w:t>(7).</w:t>
      </w:r>
    </w:p>
    <w:p>
      <w:pPr>
        <w:ind w:firstLine="720"/>
      </w:pPr>
      <w:r>
        <w:rPr>
          <w:strike w:val="0"/>
          <w:color w:val="000000"/>
          <w:sz w:val="24"/>
        </w:rPr>
        <w:t xml:space="preserve">The salbutamol threshold itself presents an additional compliance risk that warrants attention. WADA permits inhaled salbutamol up to 1600 μg per 24 hours (with a subsidiary limit of 800 μg per 8 hours), and applies a urine decision limit of 1000 ng/mL </w:t>
      </w:r>
      <w:r>
        <w:rPr>
          <w:strike/>
          <w:color w:val="0000FF"/>
          <w:sz w:val="24"/>
        </w:rPr>
        <w:t xml:space="preserve">(24). </w:t>
      </w:r>
      <w:r>
        <w:rPr>
          <w:strike w:val="0"/>
          <w:color w:val="FF0000"/>
          <w:sz w:val="24"/>
        </w:rPr>
        <w:t xml:space="preserve">(3). </w:t>
      </w:r>
      <w:r>
        <w:rPr>
          <w:strike w:val="0"/>
          <w:color w:val="000000"/>
          <w:sz w:val="24"/>
        </w:rPr>
        <w:t xml:space="preserve">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w:t>
      </w:r>
      <w:r>
        <w:rPr>
          <w:strike/>
          <w:color w:val="0000FF"/>
          <w:sz w:val="24"/>
        </w:rPr>
        <w:t xml:space="preserve">such </w:t>
      </w:r>
      <w:r>
        <w:rPr>
          <w:strike w:val="0"/>
          <w:color w:val="FF0000"/>
          <w:sz w:val="24"/>
        </w:rPr>
        <w:t xml:space="preserve">some </w:t>
      </w:r>
      <w:r>
        <w:rPr>
          <w:strike w:val="0"/>
          <w:color w:val="000000"/>
          <w:sz w:val="24"/>
        </w:rPr>
        <w:t xml:space="preserve">cases, the burden of proof falls on the athlete, and the process introduces uncertainty and administrative stress that may influence treatment decisions </w:t>
      </w:r>
      <w:r>
        <w:rPr>
          <w:strike/>
          <w:color w:val="0000FF"/>
          <w:sz w:val="24"/>
        </w:rPr>
        <w:t>(1, 24, 25).</w:t>
      </w:r>
      <w:r>
        <w:rPr>
          <w:strike w:val="0"/>
          <w:color w:val="FF0000"/>
          <w:sz w:val="24"/>
        </w:rPr>
        <w:t>(3, 4, 10).</w:t>
      </w:r>
    </w:p>
    <w:p>
      <w:r>
        <w:rPr>
          <w:b/>
          <w:strike w:val="0"/>
          <w:color w:val="000000"/>
          <w:sz w:val="24"/>
        </w:rPr>
        <w:t>Attention-Deficit/Hyperactivity Disorder (ADHD)</w:t>
      </w:r>
    </w:p>
    <w:p>
      <w:pPr>
        <w:ind w:firstLine="720"/>
      </w:pPr>
      <w:r>
        <w:rPr>
          <w:strike/>
          <w:color w:val="0000FF"/>
          <w:sz w:val="24"/>
        </w:rPr>
        <w:t xml:space="preserve">All major </w:t>
      </w:r>
      <w:r>
        <w:rPr>
          <w:strike w:val="0"/>
          <w:color w:val="FF0000"/>
          <w:sz w:val="24"/>
        </w:rPr>
        <w:t xml:space="preserve">Major </w:t>
      </w:r>
      <w:r>
        <w:rPr>
          <w:strike w:val="0"/>
          <w:color w:val="000000"/>
          <w:sz w:val="24"/>
        </w:rPr>
        <w:t xml:space="preserve">clinical </w:t>
      </w:r>
      <w:r>
        <w:rPr>
          <w:strike/>
          <w:color w:val="0000FF"/>
          <w:sz w:val="24"/>
        </w:rPr>
        <w:t xml:space="preserve">guidelines—NICE (2024), </w:t>
      </w:r>
      <w:r>
        <w:rPr>
          <w:strike w:val="0"/>
          <w:color w:val="FF0000"/>
          <w:sz w:val="24"/>
        </w:rPr>
        <w:t xml:space="preserve">guidelines, including NICE 2024 and </w:t>
      </w:r>
      <w:r>
        <w:rPr>
          <w:strike w:val="0"/>
          <w:color w:val="000000"/>
          <w:sz w:val="24"/>
        </w:rPr>
        <w:t xml:space="preserve">the Australian ADHD Guideline </w:t>
      </w:r>
      <w:r>
        <w:rPr>
          <w:strike/>
          <w:color w:val="0000FF"/>
          <w:sz w:val="24"/>
        </w:rPr>
        <w:t xml:space="preserve">(2022), and APA recommendations—designate </w:t>
      </w:r>
      <w:r>
        <w:rPr>
          <w:strike w:val="0"/>
          <w:color w:val="FF0000"/>
          <w:sz w:val="24"/>
        </w:rPr>
        <w:t xml:space="preserve">2022, designate </w:t>
      </w:r>
      <w:r>
        <w:rPr>
          <w:strike w:val="0"/>
          <w:color w:val="000000"/>
          <w:sz w:val="24"/>
        </w:rPr>
        <w:t xml:space="preserve">stimulant medications as first-line pharmacotherapy for ADHD in both children and adults </w:t>
      </w:r>
      <w:r>
        <w:rPr>
          <w:strike/>
          <w:color w:val="0000FF"/>
          <w:sz w:val="24"/>
        </w:rPr>
        <w:t xml:space="preserve">(4, 12, 15). </w:t>
      </w:r>
      <w:r>
        <w:rPr>
          <w:strike w:val="0"/>
          <w:color w:val="FF0000"/>
          <w:sz w:val="24"/>
        </w:rPr>
        <w:t xml:space="preserve">(9, 25). </w:t>
      </w:r>
      <w:r>
        <w:rPr>
          <w:strike w:val="0"/>
          <w:color w:val="000000"/>
          <w:sz w:val="24"/>
        </w:rPr>
        <w:t xml:space="preserve">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w:t>
      </w:r>
      <w:r>
        <w:rPr>
          <w:strike w:val="0"/>
          <w:color w:val="FF0000"/>
          <w:sz w:val="24"/>
        </w:rPr>
        <w:t xml:space="preserve">an </w:t>
      </w:r>
      <w:r>
        <w:rPr>
          <w:strike w:val="0"/>
          <w:color w:val="000000"/>
          <w:sz w:val="24"/>
        </w:rPr>
        <w:t xml:space="preserve">inadequate response </w:t>
      </w:r>
      <w:r>
        <w:rPr>
          <w:strike/>
          <w:color w:val="0000FF"/>
          <w:sz w:val="24"/>
        </w:rPr>
        <w:t>(4).</w:t>
      </w:r>
      <w:r>
        <w:rPr>
          <w:strike w:val="0"/>
          <w:color w:val="FF0000"/>
          <w:sz w:val="24"/>
        </w:rPr>
        <w:t>(25).</w:t>
      </w:r>
    </w:p>
    <w:p>
      <w:pPr>
        <w:ind w:firstLine="720"/>
      </w:pPr>
      <w:r>
        <w:rPr>
          <w:strike w:val="0"/>
          <w:color w:val="000000"/>
          <w:sz w:val="24"/>
        </w:rPr>
        <w:t xml:space="preserve">Under WADA regulations, all stimulant medications for ADHD are prohibited in-competition: amphetamines as non-specified stimulants (S6.A) and methylphenidate as a specified stimulant (S6.B) </w:t>
      </w:r>
      <w:r>
        <w:rPr>
          <w:strike/>
          <w:color w:val="0000FF"/>
          <w:sz w:val="24"/>
        </w:rPr>
        <w:t xml:space="preserve">(24). </w:t>
      </w:r>
      <w:r>
        <w:rPr>
          <w:strike w:val="0"/>
          <w:color w:val="FF0000"/>
          <w:sz w:val="24"/>
        </w:rPr>
        <w:t xml:space="preserve">(3). </w:t>
      </w:r>
      <w:r>
        <w:rPr>
          <w:strike w:val="0"/>
          <w:color w:val="000000"/>
          <w:sz w:val="24"/>
        </w:rPr>
        <w:t xml:space="preserve">Notably, these substances are permitted out-of-competition. </w:t>
      </w:r>
      <w:r>
        <w:rPr>
          <w:strike w:val="0"/>
          <w:color w:val="FF0000"/>
          <w:sz w:val="24"/>
        </w:rPr>
        <w:t xml:space="preserve">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(3, 21). </w:t>
      </w:r>
      <w:r>
        <w:rPr>
          <w:strike w:val="0"/>
          <w:color w:val="000000"/>
          <w:sz w:val="24"/>
        </w:rPr>
        <w:t xml:space="preserve">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w:t>
      </w:r>
      <w:r>
        <w:rPr>
          <w:strike/>
          <w:color w:val="0000FF"/>
          <w:sz w:val="24"/>
        </w:rPr>
        <w:t xml:space="preserve">(Concerta) </w:t>
      </w:r>
      <w:r>
        <w:rPr>
          <w:strike w:val="0"/>
          <w:color w:val="000000"/>
          <w:sz w:val="24"/>
        </w:rPr>
        <w:t xml:space="preserve">and lisdexamfetamine </w:t>
      </w:r>
      <w:r>
        <w:rPr>
          <w:strike/>
          <w:color w:val="0000FF"/>
          <w:sz w:val="24"/>
        </w:rPr>
        <w:t xml:space="preserve">(Vyvanse) </w:t>
      </w:r>
      <w:r>
        <w:rPr>
          <w:strike w:val="0"/>
          <w:color w:val="000000"/>
          <w:sz w:val="24"/>
        </w:rPr>
        <w:t>are specifically designed to provide consistent 10–14 hour coverage, and abrupt discontinuation can produce withdrawal symptoms and acute cognitive deterioration (26).</w:t>
      </w:r>
    </w:p>
    <w:p>
      <w:pPr>
        <w:ind w:firstLine="720"/>
      </w:pPr>
      <w:r>
        <w:rPr>
          <w:strike w:val="0"/>
          <w:color w:val="000000"/>
          <w:sz w:val="24"/>
        </w:rPr>
        <w:t xml:space="preserve">The TUE application process for stimulant medications requires comprehensive neuropsychological evaluation, documentation of childhood-onset symptoms per DSM-5 criteria, evidence that non-stimulant alternatives have been trialed, and ongoing monitoring </w:t>
      </w:r>
      <w:r>
        <w:rPr>
          <w:strike/>
          <w:color w:val="0000FF"/>
          <w:sz w:val="24"/>
        </w:rPr>
        <w:t xml:space="preserve">(23). </w:t>
      </w:r>
      <w:r>
        <w:rPr>
          <w:strike w:val="0"/>
          <w:color w:val="FF0000"/>
          <w:sz w:val="24"/>
        </w:rPr>
        <w:t xml:space="preserve">(26). </w:t>
      </w:r>
      <w:r>
        <w:rPr>
          <w:strike w:val="0"/>
          <w:color w:val="000000"/>
          <w:sz w:val="24"/>
        </w:rPr>
        <w:t xml:space="preserve">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w:t>
      </w:r>
      <w:r>
        <w:rPr>
          <w:strike/>
          <w:color w:val="0000FF"/>
          <w:sz w:val="24"/>
        </w:rPr>
        <w:t xml:space="preserve">effectively </w:t>
      </w:r>
      <w:r>
        <w:rPr>
          <w:strike w:val="0"/>
          <w:color w:val="FF0000"/>
          <w:sz w:val="24"/>
        </w:rPr>
        <w:t xml:space="preserve">can </w:t>
      </w:r>
      <w:r>
        <w:rPr>
          <w:strike w:val="0"/>
          <w:color w:val="000000"/>
          <w:sz w:val="24"/>
        </w:rPr>
        <w:t>delay access to optimal treatment.</w:t>
      </w:r>
    </w:p>
    <w:p>
      <w:pPr>
        <w:ind w:firstLine="720"/>
      </w:pPr>
      <w:r>
        <w:rPr>
          <w:strike w:val="0"/>
          <w:color w:val="000000"/>
          <w:sz w:val="24"/>
        </w:rPr>
        <w:t xml:space="preserve">The prevalence of ADHD among elite athletes has been estimated at 7–8%, </w:t>
      </w:r>
      <w:r>
        <w:rPr>
          <w:strike/>
          <w:color w:val="0000FF"/>
          <w:sz w:val="24"/>
        </w:rPr>
        <w:t xml:space="preserve">which is </w:t>
      </w:r>
      <w:r>
        <w:rPr>
          <w:strike w:val="0"/>
          <w:color w:val="000000"/>
          <w:sz w:val="24"/>
        </w:rPr>
        <w:t xml:space="preserve">comparable to or slightly higher than the general adult population prevalence </w:t>
      </w:r>
      <w:r>
        <w:rPr>
          <w:strike/>
          <w:color w:val="0000FF"/>
          <w:sz w:val="24"/>
        </w:rPr>
        <w:t xml:space="preserve">of 5–7% (16). </w:t>
      </w:r>
      <w:r>
        <w:rPr>
          <w:strike w:val="0"/>
          <w:color w:val="FF0000"/>
          <w:sz w:val="24"/>
        </w:rPr>
        <w:t xml:space="preserve">(21). </w:t>
      </w:r>
      <w:r>
        <w:rPr>
          <w:strike w:val="0"/>
          <w:color w:val="000000"/>
          <w:sz w:val="24"/>
        </w:rPr>
        <w:t xml:space="preserve">This suggests that the ADHD-TUE gap affects a substantial number of competitive athletes worldwide. Data from Vernec et al. </w:t>
      </w:r>
      <w:r>
        <w:rPr>
          <w:strike/>
          <w:color w:val="0000FF"/>
          <w:sz w:val="24"/>
        </w:rPr>
        <w:t xml:space="preserve">(21) </w:t>
      </w:r>
      <w:r>
        <w:rPr>
          <w:strike w:val="0"/>
          <w:color w:val="FF0000"/>
          <w:sz w:val="24"/>
        </w:rPr>
        <w:t xml:space="preserve">(14) </w:t>
      </w:r>
      <w:r>
        <w:rPr>
          <w:strike w:val="0"/>
          <w:color w:val="000000"/>
          <w:sz w:val="24"/>
        </w:rPr>
        <w:t>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trike/>
          <w:color w:val="0000FF"/>
          <w:sz w:val="24"/>
        </w:rPr>
        <w:t xml:space="preserve">Critically, </w:t>
      </w:r>
      <w:r>
        <w:rPr>
          <w:strike w:val="0"/>
          <w:color w:val="000000"/>
          <w:sz w:val="24"/>
        </w:rPr>
        <w:t xml:space="preserve">TUE access for stimulant medications is not uniformly available across all competitive </w:t>
      </w:r>
      <w:r>
        <w:rPr>
          <w:strike/>
          <w:color w:val="0000FF"/>
          <w:sz w:val="24"/>
        </w:rPr>
        <w:t xml:space="preserve">tiers and jurisdictions. </w:t>
      </w:r>
      <w:r>
        <w:rPr>
          <w:strike w:val="0"/>
          <w:color w:val="FF0000"/>
          <w:sz w:val="24"/>
        </w:rPr>
        <w:t xml:space="preserve">tiers. </w:t>
      </w:r>
      <w:r>
        <w:rPr>
          <w:strike w:val="0"/>
          <w:color w:val="000000"/>
          <w:sz w:val="24"/>
        </w:rPr>
        <w:t xml:space="preserve">While the ISTUE applies in principle to all athletes subject to anti-doping rules, practical implementation varies by NADO and </w:t>
      </w:r>
      <w:r>
        <w:rPr>
          <w:strike/>
          <w:color w:val="0000FF"/>
          <w:sz w:val="24"/>
        </w:rPr>
        <w:t xml:space="preserve">sport. In some jurisdictions, TUE submissions may be operationally restricted to athletes who have achieved elite-level results </w:t>
      </w:r>
      <w:r>
        <w:rPr>
          <w:strike w:val="0"/>
          <w:color w:val="FF0000"/>
          <w:sz w:val="24"/>
        </w:rPr>
        <w:t xml:space="preserve">IF. Some NADOs require proof of national-team status, international results, </w:t>
      </w:r>
      <w:r>
        <w:rPr>
          <w:strike w:val="0"/>
          <w:color w:val="000000"/>
          <w:sz w:val="24"/>
        </w:rPr>
        <w:t xml:space="preserve">or </w:t>
      </w:r>
      <w:r>
        <w:rPr>
          <w:strike/>
          <w:color w:val="0000FF"/>
          <w:sz w:val="24"/>
        </w:rPr>
        <w:t xml:space="preserve">who have </w:t>
      </w:r>
      <w:r>
        <w:rPr>
          <w:strike w:val="0"/>
          <w:color w:val="000000"/>
          <w:sz w:val="24"/>
        </w:rPr>
        <w:t xml:space="preserve">prior anti-doping </w:t>
      </w:r>
      <w:r>
        <w:rPr>
          <w:strike/>
          <w:color w:val="0000FF"/>
          <w:sz w:val="24"/>
        </w:rPr>
        <w:t xml:space="preserve">rule violations, effectively excluding emerging competitors from </w:t>
      </w:r>
      <w:r>
        <w:rPr>
          <w:strike w:val="0"/>
          <w:color w:val="FF0000"/>
          <w:sz w:val="24"/>
        </w:rPr>
        <w:t xml:space="preserve">testing before accepting TUE applications; others accept applications at any competitive level but impose documentation and processing requirements that function as de facto barriers (1, 13, 14). Emerging athletes diagnosed with ADHD therefore face compounded barriers: limited access to </w:t>
      </w:r>
      <w:r>
        <w:rPr>
          <w:strike w:val="0"/>
          <w:color w:val="000000"/>
          <w:sz w:val="24"/>
        </w:rPr>
        <w:t xml:space="preserve">the TUE </w:t>
      </w:r>
      <w:r>
        <w:rPr>
          <w:strike/>
          <w:color w:val="0000FF"/>
          <w:sz w:val="24"/>
        </w:rPr>
        <w:t xml:space="preserve">pathway. Moreover, few athletes have </w:t>
      </w:r>
      <w:r>
        <w:rPr>
          <w:strike w:val="0"/>
          <w:color w:val="FF0000"/>
          <w:sz w:val="24"/>
        </w:rPr>
        <w:t xml:space="preserve">pathway, limited </w:t>
      </w:r>
      <w:r>
        <w:rPr>
          <w:strike w:val="0"/>
          <w:color w:val="000000"/>
          <w:sz w:val="24"/>
        </w:rPr>
        <w:t xml:space="preserve">access to physicians with expertise in both anti-doping regulations and ADHD pharmacotherapy, </w:t>
      </w:r>
      <w:r>
        <w:rPr>
          <w:strike/>
          <w:color w:val="0000FF"/>
          <w:sz w:val="24"/>
        </w:rPr>
        <w:t xml:space="preserve">meaning that many rely on general practitioners who may be unfamiliar with TUE requirements. The practical effect is that emerging athletes diagnosed with ADHD—who may most need the structured support that sport and training provide—face compounded barriers: limited access to the TUE pathway, limited access to knowledgeable physicians, </w:t>
      </w:r>
      <w:r>
        <w:rPr>
          <w:strike w:val="0"/>
          <w:color w:val="000000"/>
          <w:sz w:val="24"/>
        </w:rPr>
        <w:t>and the psychological stress of navigating a system that may ultimately deny them guideline-directed first-line pharmacotherapy.</w:t>
      </w:r>
    </w:p>
    <w:p>
      <w:r>
        <w:rPr>
          <w:b/>
          <w:strike w:val="0"/>
          <w:color w:val="000000"/>
          <w:sz w:val="24"/>
        </w:rPr>
        <w:t>Type 2 Diabetes Mellitus and GLP-1 Receptor Agonists</w:t>
      </w:r>
    </w:p>
    <w:p>
      <w:pPr>
        <w:ind w:firstLine="720"/>
      </w:pPr>
      <w:r>
        <w:rPr>
          <w:strike/>
          <w:color w:val="0000FF"/>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trike/>
          <w:color w:val="0000FF"/>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trike/>
          <w:color w:val="0000FF"/>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ind w:firstLine="720"/>
      </w:pPr>
      <w:r>
        <w:rPr>
          <w:strike w:val="0"/>
          <w:color w:val="FF0000"/>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(5). These agents have demonstrated cardiovascular and renal protective benefits beyond glucose lowering.</w:t>
      </w:r>
    </w:p>
    <w:p>
      <w:pPr>
        <w:ind w:firstLine="720"/>
      </w:pPr>
      <w:r>
        <w:rPr>
          <w:strike w:val="0"/>
          <w:color w:val="FF0000"/>
          <w:sz w:val="24"/>
        </w:rPr>
        <w:t>Semaglutide (Ozempic) received US Food and Drug Administration approval in December 2017, European Medicines Agency authorization in February 2018, and Pharmaceuticals and Medical Devices Agency approval in March 2018 for type 2 diabetes (27, 28, 29). Tirzepatide (Mounjaro) received FDA approval in May 2022, EMA authorization in September 2022, and PMDA approval in April 2023 for type 2 diabetes (30, 31, 32). This rapid multinational uptake means that many athletes with type 2 diabetes are now treated with agents that may also be attractive for misuse because of their weight-loss effects.</w:t>
      </w:r>
    </w:p>
    <w:p>
      <w:pPr>
        <w:ind w:firstLine="720"/>
      </w:pPr>
      <w:r>
        <w:rPr>
          <w:strike w:val="0"/>
          <w:color w:val="FF0000"/>
          <w:sz w:val="24"/>
        </w:rPr>
        <w:t>Currently, GLP-1 receptor agonists are not on the WADA Prohibited List and do not require a TUE. However, semaglutide and tirzepatide were placed on the WADA Monitoring Program in 2024, indicating active surveillance for potential future prohibition (33).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(5, 33).</w:t>
      </w:r>
    </w:p>
    <w:p>
      <w:pPr>
        <w:ind w:firstLine="720"/>
      </w:pPr>
      <w:r>
        <w:rPr>
          <w:strike w:val="0"/>
          <w:color w:val="FF0000"/>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(5).</w:t>
      </w:r>
    </w:p>
    <w:p>
      <w:r>
        <w:rPr>
          <w:b/>
          <w:strike w:val="0"/>
          <w:color w:val="000000"/>
          <w:sz w:val="24"/>
        </w:rPr>
        <w:t>Male Hypogonadism and Testosterone Replacement</w:t>
      </w:r>
    </w:p>
    <w:p>
      <w:pPr>
        <w:ind w:firstLine="720"/>
      </w:pPr>
      <w:r>
        <w:rPr>
          <w:strike/>
          <w:color w:val="0000FF"/>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trike/>
          <w:color w:val="0000FF"/>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trike/>
          <w:color w:val="0000FF"/>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ind w:firstLine="720"/>
      </w:pPr>
      <w:r>
        <w:rPr>
          <w:strike w:val="0"/>
          <w:color w:val="FF0000"/>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(6). The EAU 2024 guidelines similarly recognize late-onset hypogonadism (LOH) as a treatable condition when lifestyle modifications fail to restore testosterone levels (34). The TRAVERSE trial 2023 provided landmark evidence that TRT does not increase major adverse cardiovascular events in men aged 45–80 with hypogonadism, removing a major historical safety concern (35).</w:t>
      </w:r>
    </w:p>
    <w:p>
      <w:pPr>
        <w:ind w:firstLine="720"/>
      </w:pPr>
      <w:r>
        <w:rPr>
          <w:strike w:val="0"/>
          <w:color w:val="FF0000"/>
          <w:sz w:val="24"/>
        </w:rPr>
        <w:t>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(6, 34).</w:t>
      </w:r>
    </w:p>
    <w:p>
      <w:pPr>
        <w:ind w:firstLine="720"/>
      </w:pPr>
      <w:r>
        <w:rPr>
          <w:strike w:val="0"/>
          <w:color w:val="FF0000"/>
          <w:sz w:val="24"/>
        </w:rPr>
        <w:t>In contrast, WADA's TUE Physician Guidelines for male hypogonadism explicitly state that "TUE should only be granted for organic causes of hypogonadism" and that "functional hypogonadism should not be granted a TUE" (4). WADA's concern is that TRT can restore physiological testosterone levels but may also be abused to produce supraphysiological effects, particularly in athletes whose hypogonadism is related to energy deficit, overtraining, or prior anabolic use (4).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strike w:val="0"/>
          <w:color w:val="FF0000"/>
          <w:sz w:val="24"/>
        </w:rPr>
        <w:t>The growing masters athlete population is disproportionately affected by this gap. A study of 183 male athletes older than 50 years found that 11.5% had severe testosterone deficiency (&lt;8 nmol/L) and 26.2% had mild deficiency (8–12 nmol/L), with prevalence rising with age (36). The 2024 World Masters Athletics Championships registered 8,029 athletes (22), and the 2027 World Masters Games had more than 24,000 registrants (23).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(4, 6).</w:t>
      </w:r>
    </w:p>
    <w:p>
      <w:pPr>
        <w:ind w:firstLine="720"/>
      </w:pPr>
      <w:r>
        <w:rPr>
          <w:strike w:val="0"/>
          <w:color w:val="FF0000"/>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(6).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(35).</w:t>
      </w:r>
    </w:p>
    <w:p>
      <w:r>
        <w:rPr>
          <w:b/>
          <w:strike w:val="0"/>
          <w:color w:val="000000"/>
          <w:sz w:val="24"/>
        </w:rPr>
        <w:t>Glucocorticoid Administration</w:t>
      </w:r>
    </w:p>
    <w:p>
      <w:pPr>
        <w:ind w:firstLine="720"/>
      </w:pPr>
      <w:r>
        <w:rPr>
          <w:strike w:val="0"/>
          <w:color w:val="000000"/>
          <w:sz w:val="24"/>
        </w:rPr>
        <w:t xml:space="preserve">Since 2022, WADA has prohibited all routes of glucocorticoid (GC) administration in-competition, including intra-articular injections that were previously permitted </w:t>
      </w:r>
      <w:r>
        <w:rPr>
          <w:strike/>
          <w:color w:val="0000FF"/>
          <w:sz w:val="24"/>
        </w:rPr>
        <w:t xml:space="preserve">(24, 28). </w:t>
      </w:r>
      <w:r>
        <w:rPr>
          <w:strike w:val="0"/>
          <w:color w:val="FF0000"/>
          <w:sz w:val="24"/>
        </w:rPr>
        <w:t xml:space="preserve">(3, 37). </w:t>
      </w:r>
      <w:r>
        <w:rPr>
          <w:strike w:val="0"/>
          <w:color w:val="000000"/>
          <w:sz w:val="24"/>
        </w:rPr>
        <w:t xml:space="preserve">Washout periods were introduced: 3 days for most oral GCs, 10 days for oral triamcinolone, 5 days for intramuscular betamethasone/dexamethasone, and 60 days for intramuscular triamcinolone acetonide </w:t>
      </w:r>
      <w:r>
        <w:rPr>
          <w:strike/>
          <w:color w:val="0000FF"/>
          <w:sz w:val="24"/>
        </w:rPr>
        <w:t xml:space="preserve">(29). </w:t>
      </w:r>
      <w:r>
        <w:rPr>
          <w:strike w:val="0"/>
          <w:color w:val="FF0000"/>
          <w:sz w:val="24"/>
        </w:rPr>
        <w:t xml:space="preserve">(38). </w:t>
      </w:r>
      <w:r>
        <w:rPr>
          <w:strike w:val="0"/>
          <w:color w:val="000000"/>
          <w:sz w:val="24"/>
        </w:rPr>
        <w:t xml:space="preserve">Additionally, the 2026 modifications note that sustained-release formulations may produce detectable GC levels beyond published washout periods </w:t>
      </w:r>
      <w:r>
        <w:rPr>
          <w:strike/>
          <w:color w:val="0000FF"/>
          <w:sz w:val="24"/>
        </w:rPr>
        <w:t>(24).</w:t>
      </w:r>
      <w:r>
        <w:rPr>
          <w:strike w:val="0"/>
          <w:color w:val="FF0000"/>
          <w:sz w:val="24"/>
        </w:rPr>
        <w:t>(3).</w:t>
      </w:r>
    </w:p>
    <w:p>
      <w:pPr>
        <w:ind w:firstLine="720"/>
      </w:pPr>
      <w:r>
        <w:rPr>
          <w:strike w:val="0"/>
          <w:color w:val="000000"/>
          <w:sz w:val="24"/>
        </w:rPr>
        <w:t xml:space="preserve">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w:t>
      </w:r>
      <w:r>
        <w:rPr>
          <w:strike/>
          <w:color w:val="0000FF"/>
          <w:sz w:val="24"/>
        </w:rPr>
        <w:t>(28, 29).</w:t>
      </w:r>
      <w:r>
        <w:rPr>
          <w:strike w:val="0"/>
          <w:color w:val="FF0000"/>
          <w:sz w:val="24"/>
        </w:rPr>
        <w:t>(37, 38).</w:t>
      </w:r>
    </w:p>
    <w:p>
      <w:r>
        <w:rPr>
          <w:b/>
          <w:strike w:val="0"/>
          <w:color w:val="000000"/>
          <w:sz w:val="24"/>
        </w:rPr>
        <w:t>Cardiovascular Disease: Diuretics and Beta-Blockers</w:t>
      </w:r>
    </w:p>
    <w:p>
      <w:pPr>
        <w:ind w:firstLine="720"/>
      </w:pPr>
      <w:r>
        <w:rPr>
          <w:strike/>
          <w:color w:val="0000FF"/>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trike/>
          <w:color w:val="0000FF"/>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ind w:firstLine="720"/>
      </w:pPr>
      <w:r>
        <w:rPr>
          <w:strike/>
          <w:color w:val="0000FF"/>
          <w:sz w:val="24"/>
        </w:rPr>
        <w:t>PCOS and Female Fertility Treatment</w:t>
      </w:r>
    </w:p>
    <w:p>
      <w:pPr>
        <w:ind w:firstLine="720"/>
      </w:pPr>
      <w:r>
        <w:rPr>
          <w:strike/>
          <w:color w:val="0000FF"/>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ind w:firstLine="720"/>
      </w:pPr>
      <w:r>
        <w:rPr>
          <w:strike w:val="0"/>
          <w:color w:val="FF0000"/>
          <w:sz w:val="24"/>
        </w:rPr>
        <w:t>Heart failure management, as outlined in the 2021 ESC Guidelines and subsequent updates, relies on four foundational drug classes: ACE inhibitors/ARNi, beta-blockers, mineralocorticoid receptor antagonists (MRAs such as spironolactone and eplerenone), and SGLT2 inhibitors (8). Of these, MRAs are prohibited under WADA category S5 (diuretics and masking agents), as are loop diuretics (furosemide) essential for congestion management and thiazide diuretics used in hypertension treatment (3, 39).</w:t>
      </w:r>
    </w:p>
    <w:p>
      <w:pPr>
        <w:ind w:firstLine="720"/>
      </w:pPr>
      <w:r>
        <w:rPr>
          <w:strike w:val="0"/>
          <w:color w:val="FF0000"/>
          <w:sz w:val="24"/>
        </w:rPr>
        <w:t>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(3). A masters shooting athlete diagnosed with atrial fibrillation faces particular difficulty, as beta-blockers are first-line rate control therapy, yet CAS precedents from 2009 and 2013 have established a high bar for TUE approval in sports where these agents could reduce tremor (3, 8).</w:t>
      </w:r>
    </w:p>
    <w:p>
      <w:r>
        <w:rPr>
          <w:b/>
          <w:strike w:val="0"/>
          <w:color w:val="FF0000"/>
          <w:sz w:val="24"/>
        </w:rPr>
        <w:t>PMOS and Female Fertility Treatment</w:t>
      </w:r>
    </w:p>
    <w:p>
      <w:pPr>
        <w:ind w:firstLine="720"/>
      </w:pPr>
      <w:r>
        <w:rPr>
          <w:strike w:val="0"/>
          <w:color w:val="FF0000"/>
          <w:sz w:val="24"/>
        </w:rPr>
        <w:t>In May 2026, an international panel proposed renaming polycystic ovary syndrome (PCOS) to polyendocrine metabolic ovarian syndrome (PMOS) to better reflect its heterogeneous endocrine, metabolic, and reproductive features (40). We have adopted this proposed terminology throughout this review while retaining PCOS in parentheses for reader recognition.</w:t>
      </w:r>
    </w:p>
    <w:p>
      <w:pPr>
        <w:ind w:firstLine="720"/>
      </w:pPr>
      <w:r>
        <w:rPr>
          <w:strike w:val="0"/>
          <w:color w:val="FF0000"/>
          <w:sz w:val="24"/>
        </w:rPr>
        <w:t>The 2023 International Evidence-Based PCOS Guideline and WHO recommendations position letrozole as the first-line ovulation induction agent for PMOS-related infertility, with clomiphene as second-line (41). Both agents are always prohibited under WADA category S4 (anti-estrogens and aromatase inhibitors) (3). WADA's rationale is that aromatase inhibitors and selective estrogen receptor modulators may be misused to mitigate estrogenic effects of anabolic-androgenic steroid use or to restore endogenous testosterone production (3). Spironolactone, recommended for PMOS-associated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(4, 41).</w:t>
      </w:r>
    </w:p>
    <w:p>
      <w:r>
        <w:rPr>
          <w:b/>
          <w:strike w:val="0"/>
          <w:color w:val="000000"/>
          <w:sz w:val="24"/>
        </w:rPr>
        <w:t>Cross-Cutting Analysis: Structural Drivers of Divergence</w:t>
      </w:r>
    </w:p>
    <w:p>
      <w:pPr>
        <w:ind w:firstLine="720"/>
      </w:pPr>
      <w:r>
        <w:rPr>
          <w:strike/>
          <w:color w:val="0000FF"/>
          <w:sz w:val="24"/>
        </w:rPr>
        <w:t>Three structural factors underlie the identified gaps (Figure 4).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trike/>
          <w:color w:val="0000FF"/>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Pr>
        <w:ind w:firstLine="720"/>
      </w:pPr>
      <w:r>
        <w:rPr>
          <w:strike/>
          <w:color w:val="0000FF"/>
          <w:sz w:val="24"/>
        </w:rPr>
      </w:r>
    </w:p>
    <w:p>
      <w:pPr>
        <w:ind w:firstLine="720"/>
      </w:pPr>
      <w:r>
        <w:rPr>
          <w:strike w:val="0"/>
          <w:color w:val="FF0000"/>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(3, 5, 33).</w:t>
      </w:r>
    </w:p>
    <w:p>
      <w:pPr>
        <w:ind w:firstLine="720"/>
      </w:pPr>
      <w:r>
        <w:rPr>
          <w:strike w:val="0"/>
          <w:color w:val="FF0000"/>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(42, 43).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 4). These structural drivers and their interactions are summarized in the conceptual framework (Figure 4).</w:t>
      </w:r>
    </w:p>
    <w:p>
      <w:r>
        <w:rPr>
          <w:b/>
          <w:strike w:val="0"/>
          <w:color w:val="000000"/>
          <w:sz w:val="28"/>
        </w:rPr>
        <w:t>DISCUSSION</w:t>
      </w:r>
    </w:p>
    <w:p>
      <w:pPr>
        <w:ind w:firstLine="720"/>
      </w:pPr>
      <w:r>
        <w:rPr>
          <w:strike w:val="0"/>
          <w:color w:val="000000"/>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trike/>
          <w:color w:val="0000FF"/>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trike/>
          <w:color w:val="0000FF"/>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trike/>
          <w:color w:val="0000FF"/>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trike/>
          <w:color w:val="0000FF"/>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trike/>
          <w:color w:val="0000FF"/>
          <w:sz w:val="24"/>
        </w:rPr>
        <w:t>A fundamental reframing of the issue is warranted. The current system operates on the premise that prohibited substances are the default, and athletes must petition for exceptions through the TUE process to receive evidence-based treatment. We argue that the logic should be inverted: standard clinical treatment should be the baseline entitlement for all athletes, with restrictions applied only where a specific substance confers a clear, demonstrated performance advantage beyond therapeutic restoration. The existence of a TUE pathway does not, in itself, resolve the clinical-competition gap—it merely creates a bureaucratic mechanism that many athletes cannot effectively access. Few athletes have access to sports medicine physicians with expertise in both anti-doping regulations and the pharmacotherapy of their specific condition; the majority are treated by general practitioners or specialists who may be unfamiliar with WADA rules, the Prohibited List, or the TUE application process. The treatment burden imposed on athletes—navigating complex regulations, securing specialist documentation, managing anxiety about potential ADRVs, and accepting suboptimal treatment to avoid regulatory conflict—constitutes a significant and under-recognized source of psychological stress that may itself impair athletic performance and well-being (16, 20, 21).</w:t>
      </w:r>
    </w:p>
    <w:p>
      <w:pPr>
        <w:ind w:firstLine="720"/>
      </w:pPr>
      <w:r>
        <w:rPr>
          <w:strike/>
          <w:color w:val="0000FF"/>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In some jurisdictions, TUE access may be operationally restricted to athletes with prior elite-level placements or anti-doping violations—effectively creating a two-tier system where medical treatment rights during competition depend on competitive achievement rather than clinical need. This jurisdictional variability is compounded by the scarcity of physicians with expertise in both anti-doping regulations and evidence-based pharmacotherapy: few athletes have access to sports medicine specialists who can competently navigate the TUE application process for their specific condition. The majority are treated by general practitioners or organ-specific specialists unfamiliar with the Prohibited List, TUE criteria, or the documentation requirements. This dual barrier—restricted TUE access and limited physician expertise—means that the clinical-competition gap manifests as unequal access to standard care for athletes in different countries, sports, and competitive tiers. The treatment stress imposed on athletes—regulatory uncertainty, administrative burden, and psychological distress from navigating these systems—may itself impair athletic performance, deter sport participation, and narrow the competitive base. The implications are particularly concerning for athletes in less-resourced NADOs, emerging sports, and sub-elite competitive categories, where both TUE infrastructure and physician expertise may be underdeveloped. Addressing the clinical-competition gap therefore requires not only harmonization of TUE criteria with clinical evidence but also standardization of TUE access mechanisms across jurisdictions (21, 23).</w:t>
      </w:r>
    </w:p>
    <w:p>
      <w:pPr>
        <w:ind w:firstLine="720"/>
      </w:pPr>
      <w:r>
        <w:rPr>
          <w:strike/>
          <w:color w:val="0000FF"/>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ind w:firstLine="720"/>
      </w:pPr>
      <w:r>
        <w:rPr>
          <w:strike/>
          <w:color w:val="0000FF"/>
          <w:sz w:val="24"/>
        </w:rPr>
      </w:r>
    </w:p>
    <w:p>
      <w:r>
        <w:rPr>
          <w:b/>
          <w:strike/>
          <w:color w:val="0000FF"/>
          <w:sz w:val="28"/>
        </w:rPr>
        <w:t>PRACTICAL APPLICATIONS</w:t>
      </w:r>
    </w:p>
    <w:p>
      <w:pPr>
        <w:ind w:firstLine="720"/>
      </w:pPr>
      <w:r>
        <w:rPr>
          <w:strike/>
          <w:color w:val="0000FF"/>
          <w:sz w:val="24"/>
        </w:rPr>
        <w:t>The findings of this review have direct implications for strength and conditioning professionals who work closely with athletes managing medical conditions. The gap severity across disease areas and assessment dimensions (Figure 5) underscores the breadth of clinical-competition discrepancies that may affect athletes under S&amp;C supervision. The following practical recommendations are offered:</w:t>
      </w:r>
    </w:p>
    <w:p>
      <w:pPr>
        <w:ind w:firstLine="720"/>
      </w:pPr>
      <w:r>
        <w:rPr>
          <w:strike/>
          <w:color w:val="0000FF"/>
          <w:sz w:val="24"/>
        </w:rPr>
        <w:t>• Recognize medication-related performance changes. 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firstLine="720"/>
      </w:pPr>
      <w:r>
        <w:rPr>
          <w:strike/>
          <w:color w:val="0000FF"/>
          <w:sz w:val="24"/>
        </w:rPr>
        <w:t>• Understand the TUE timeline. 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firstLine="720"/>
      </w:pPr>
      <w:r>
        <w:rPr>
          <w:strike/>
          <w:color w:val="0000FF"/>
          <w:sz w:val="24"/>
        </w:rPr>
        <w:t>• Monitor athletes on permitted alternatives. 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firstLine="720"/>
      </w:pPr>
      <w:r>
        <w:rPr>
          <w:strike/>
          <w:color w:val="0000FF"/>
          <w:sz w:val="24"/>
        </w:rPr>
        <w:t>• Support asthma management beyond SABA. 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firstLine="720"/>
      </w:pPr>
      <w:r>
        <w:rPr>
          <w:strike/>
          <w:color w:val="0000FF"/>
          <w:sz w:val="24"/>
        </w:rPr>
        <w:t>• Facilitate communication. 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firstLine="720"/>
      </w:pPr>
      <w:r>
        <w:rPr>
          <w:strike/>
          <w:color w:val="0000FF"/>
          <w:sz w:val="24"/>
        </w:rPr>
        <w:t>• Address masters athlete concerns. 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firstLine="720"/>
      </w:pPr>
      <w:r>
        <w:rPr>
          <w:strike/>
          <w:color w:val="0000FF"/>
          <w:sz w:val="24"/>
        </w:rPr>
        <w:t>• Advocate for athlete health. When S&amp;C professionals observe that anti-doping constraints are negatively affecting an athlete's health or well-being, they should advocate for the athlete to seek appropriate medical care and TUE application, rather than accepting suboptimal treatment as inevitable.</w:t>
      </w:r>
    </w:p>
    <w:p>
      <w:pPr>
        <w:ind w:firstLine="720"/>
      </w:pPr>
      <w:r>
        <w:rPr>
          <w:strike/>
          <w:color w:val="0000FF"/>
          <w:sz w:val="24"/>
        </w:rPr>
      </w:r>
    </w:p>
    <w:p>
      <w:pPr>
        <w:ind w:firstLine="720"/>
      </w:pPr>
      <w:r>
        <w:rPr>
          <w:strike/>
          <w:color w:val="0000FF"/>
          <w:sz w:val="24"/>
        </w:rPr>
        <w:t>RECOMMENDATIONS FOR HARMONIZATION</w:t>
      </w:r>
    </w:p>
    <w:p>
      <w:pPr>
        <w:ind w:firstLine="720"/>
      </w:pPr>
      <w:r>
        <w:rPr>
          <w:strike/>
          <w:color w:val="0000FF"/>
          <w:sz w:val="24"/>
        </w:rPr>
        <w:t>Based on this review, we propose eight recommendations for reducing the clinical-competition gap:</w:t>
      </w:r>
    </w:p>
    <w:p>
      <w:pPr>
        <w:ind w:firstLine="720"/>
      </w:pPr>
      <w:r>
        <w:rPr>
          <w:strike w:val="0"/>
          <w:color w:val="FF0000"/>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(1, 13, 14).</w:t>
      </w:r>
    </w:p>
    <w:p>
      <w:pPr>
        <w:ind w:firstLine="720"/>
      </w:pPr>
      <w:r>
        <w:rPr>
          <w:strike w:val="0"/>
          <w:color w:val="FF0000"/>
          <w:sz w:val="24"/>
        </w:rPr>
        <w:t>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(1, 2, 42, 43).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strike w:val="0"/>
          <w:color w:val="FF0000"/>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(24). These ambiguities create uncertainty for both clinicians and TUE committees, potentially leading to inconsistent decisions across jurisdictions.</w:t>
      </w:r>
    </w:p>
    <w:p>
      <w:pPr>
        <w:ind w:firstLine="720"/>
      </w:pPr>
      <w:r>
        <w:rPr>
          <w:strike w:val="0"/>
          <w:color w:val="FF0000"/>
          <w:sz w:val="24"/>
        </w:rPr>
        <w:t>The findings of this review align with and extend previous work. Heuberger and Cohen (12)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(44) 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(14) take on additional significance when considered alongside our finding that some disease areas (e.g., ADHD, hypogonadism) require particularly complex and well-documented TUE applications.</w:t>
      </w:r>
    </w:p>
    <w:p>
      <w:pPr>
        <w:ind w:firstLine="720"/>
      </w:pPr>
      <w:r>
        <w:rPr>
          <w:strike w:val="0"/>
          <w:color w:val="FF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strike w:val="0"/>
          <w:color w:val="FF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between updates, not to a lack of any review process.</w:t>
      </w:r>
    </w:p>
    <w:p>
      <w:r>
        <w:rPr>
          <w:b/>
          <w:strike w:val="0"/>
          <w:color w:val="FF0000"/>
          <w:sz w:val="24"/>
        </w:rPr>
        <w:t>Recommendations for Harmonization</w:t>
      </w:r>
    </w:p>
    <w:p>
      <w:pPr>
        <w:ind w:firstLine="720"/>
      </w:pPr>
      <w:r>
        <w:rPr>
          <w:strike w:val="0"/>
          <w:color w:val="FF0000"/>
          <w:sz w:val="24"/>
        </w:rPr>
        <w:t>We propose the following recommendations for reducing the clinical-competition gap:</w:t>
      </w:r>
    </w:p>
    <w:p>
      <w:pPr>
        <w:ind w:firstLine="720"/>
      </w:pPr>
      <w:r>
        <w:rPr>
          <w:strike w:val="0"/>
          <w:color w:val="000000"/>
          <w:sz w:val="24"/>
        </w:rPr>
        <w:t>1. Establish a formal mechanism to review and update WADA TUE Physician Guidelines within 12 months of major clinical guideline revisions (e.g., GINA, ADA, Endocrine Society updates).</w:t>
      </w:r>
    </w:p>
    <w:p>
      <w:pPr>
        <w:ind w:firstLine="720"/>
      </w:pPr>
      <w:r>
        <w:rPr>
          <w:strike w:val="0"/>
          <w:color w:val="000000"/>
          <w:sz w:val="24"/>
        </w:rPr>
        <w:t xml:space="preserve">2. Re-evaluate the organic/functional distinction for male hypogonadism TUEs in light of the Endocrine </w:t>
      </w:r>
      <w:r>
        <w:rPr>
          <w:strike/>
          <w:color w:val="0000FF"/>
          <w:sz w:val="24"/>
        </w:rPr>
        <w:t xml:space="preserve">Society’s </w:t>
      </w:r>
      <w:r>
        <w:rPr>
          <w:strike w:val="0"/>
          <w:color w:val="FF0000"/>
          <w:sz w:val="24"/>
        </w:rPr>
        <w:t xml:space="preserve">Society </w:t>
      </w:r>
      <w:r>
        <w:rPr>
          <w:strike w:val="0"/>
          <w:color w:val="000000"/>
          <w:sz w:val="24"/>
        </w:rPr>
        <w:t>symptom-plus-biochemistry approach and the growing masters athlete population.</w:t>
      </w:r>
    </w:p>
    <w:p>
      <w:pPr>
        <w:ind w:firstLine="720"/>
      </w:pPr>
      <w:r>
        <w:rPr>
          <w:strike w:val="0"/>
          <w:color w:val="000000"/>
          <w:sz w:val="24"/>
        </w:rPr>
        <w:t>3. Conduct a formal impact assessment on athletes with type 2 diabetes before adding GLP-1 receptor agonists to the Prohibited List.</w:t>
      </w:r>
    </w:p>
    <w:p>
      <w:pPr>
        <w:ind w:firstLine="720"/>
      </w:pPr>
      <w:r>
        <w:rPr>
          <w:strike w:val="0"/>
          <w:color w:val="000000"/>
          <w:sz w:val="24"/>
        </w:rPr>
        <w:t>4. Review formoterol dose thresholds in the context of GINA 2025 MART recommendations to ensure athletes can follow guideline-directed asthma therapy without ADRV risk.</w:t>
      </w:r>
    </w:p>
    <w:p>
      <w:pPr>
        <w:ind w:firstLine="720"/>
      </w:pPr>
      <w:r>
        <w:rPr>
          <w:strike w:val="0"/>
          <w:color w:val="000000"/>
          <w:sz w:val="24"/>
        </w:rPr>
        <w:t>5. Re-evaluate the in-competition-only prohibition of stimulant medications for ADHD, considering the pharmacokinetics of long-acting formulations and the clinical inappropriateness of competition-day discontinuation.</w:t>
      </w:r>
    </w:p>
    <w:p>
      <w:pPr>
        <w:ind w:firstLine="720"/>
      </w:pPr>
      <w:r>
        <w:rPr>
          <w:strike w:val="0"/>
          <w:color w:val="000000"/>
          <w:sz w:val="24"/>
        </w:rPr>
        <w:t>6. Differentiate diuretic prohibition based on masking potential, considering a streamlined TUE process for MRAs (spironolactone/eplerenone) prescribed for heart failure.</w:t>
      </w:r>
    </w:p>
    <w:p>
      <w:pPr>
        <w:ind w:firstLine="720"/>
      </w:pPr>
      <w:r>
        <w:rPr>
          <w:strike w:val="0"/>
          <w:color w:val="000000"/>
          <w:sz w:val="24"/>
        </w:rPr>
        <w:t>7. Simplify and digitize TUE applications through ADAMS system improvements, multilingual support, and standardized documentation templates to reduce access disparities.</w:t>
      </w:r>
    </w:p>
    <w:p>
      <w:pPr>
        <w:ind w:firstLine="720"/>
      </w:pPr>
      <w:r>
        <w:rPr>
          <w:strike w:val="0"/>
          <w:color w:val="000000"/>
          <w:sz w:val="24"/>
        </w:rPr>
        <w:t>8. Integrate anti-doping pharmacology education into medical school curricula, residency training, and continuing medical education to improve prescriber awareness of the Prohibited List.</w:t>
      </w:r>
    </w:p>
    <w:p>
      <w:r>
        <w:rPr>
          <w:b/>
          <w:strike w:val="0"/>
          <w:color w:val="FF0000"/>
          <w:sz w:val="28"/>
        </w:rPr>
        <w:t>PRACTICAL APPLICATIONS</w:t>
      </w:r>
    </w:p>
    <w:p>
      <w:pPr>
        <w:ind w:firstLine="720"/>
      </w:pPr>
      <w:r>
        <w:rPr>
          <w:strike w:val="0"/>
          <w:color w:val="FF0000"/>
          <w:sz w:val="24"/>
        </w:rPr>
        <w:t>S&amp;C professionals are often the first to notice medication-related performance changes. The following concise actions can help athletes navigate TUE-related treatment decisions (Figure 5):</w:t>
      </w:r>
    </w:p>
    <w:p>
      <w:pPr>
        <w:ind w:firstLine="720"/>
      </w:pPr>
      <w:r>
        <w:rPr>
          <w:strike w:val="0"/>
          <w:color w:val="FF0000"/>
          <w:sz w:val="24"/>
        </w:rPr>
        <w:t>• Anticipate transitions. Adjust training load and recovery when athletes switch medications because of TUE constraints.</w:t>
      </w:r>
    </w:p>
    <w:p>
      <w:pPr>
        <w:ind w:firstLine="720"/>
      </w:pPr>
      <w:r>
        <w:rPr>
          <w:strike w:val="0"/>
          <w:color w:val="FF0000"/>
          <w:sz w:val="24"/>
        </w:rPr>
        <w:t>• Plan early. Encourage athletes to begin TUE applications 21–30 days before competitions and schedule annual renewals during pre-season planning.</w:t>
      </w:r>
    </w:p>
    <w:p>
      <w:pPr>
        <w:ind w:firstLine="720"/>
      </w:pPr>
      <w:r>
        <w:rPr>
          <w:strike w:val="0"/>
          <w:color w:val="FF0000"/>
          <w:sz w:val="24"/>
        </w:rPr>
        <w:t>• Monitor symptom control. Watch for suboptimal control when athletes use second-line agents to avoid TUE complexity, and refer back to the prescribing physician when performance or safety is affected.</w:t>
      </w:r>
    </w:p>
    <w:p>
      <w:pPr>
        <w:ind w:firstLine="720"/>
      </w:pPr>
      <w:r>
        <w:rPr>
          <w:strike w:val="0"/>
          <w:color w:val="FF0000"/>
          <w:sz w:val="24"/>
        </w:rPr>
        <w:t>• Support guideline-directed therapy. Encourage athletes with asthma to use prescribed controller therapy rather than SABA-only treatment, and remind all athletes to check the annually updated WADA Prohibited List before taking new medications.</w:t>
      </w:r>
    </w:p>
    <w:p>
      <w:r>
        <w:rPr>
          <w:b/>
          <w:strike w:val="0"/>
          <w:color w:val="FF0000"/>
          <w:sz w:val="28"/>
        </w:rPr>
        <w:t>DISCLOSURES</w:t>
      </w:r>
    </w:p>
    <w:p>
      <w:pPr>
        <w:ind w:firstLine="720"/>
      </w:pPr>
      <w:r>
        <w:rPr>
          <w:strike w:val="0"/>
          <w:color w:val="FF0000"/>
          <w:sz w:val="24"/>
        </w:rPr>
        <w:t>Declaration of interest: The authors declare no conflicts of interest.</w:t>
      </w:r>
    </w:p>
    <w:p>
      <w:pPr>
        <w:ind w:firstLine="720"/>
      </w:pPr>
      <w:r>
        <w:rPr>
          <w:strike w:val="0"/>
          <w:color w:val="FF0000"/>
          <w:sz w:val="24"/>
        </w:rPr>
        <w:t>Funding: This work received no external funding.</w:t>
      </w:r>
    </w:p>
    <w:p>
      <w:pPr>
        <w:ind w:firstLine="720"/>
      </w:pPr>
      <w:r>
        <w:rPr>
          <w:strike w:val="0"/>
          <w:color w:val="FF0000"/>
          <w:sz w:val="24"/>
        </w:rPr>
        <w:t>Acknowledgments: None.</w:t>
      </w:r>
    </w:p>
    <w:p>
      <w:pPr>
        <w:ind w:firstLine="720"/>
      </w:pPr>
      <w:r>
        <w:rPr>
          <w:strike w:val="0"/>
          <w:color w:val="FF0000"/>
          <w:sz w:val="24"/>
        </w:rPr>
        <w:t>Declaration of generative artificial intelligence (AI) in scientific writing: We used generative devin.ai to help with formatting the text and choosing words that suited the tone, and to help writing responses to the reviewers.</w:t>
      </w:r>
    </w:p>
    <w:p>
      <w:pPr>
        <w:ind w:firstLine="720"/>
      </w:pPr>
      <w:r>
        <w:rPr>
          <w:strike w:val="0"/>
          <w:color w:val="FF0000"/>
          <w:sz w:val="24"/>
        </w:rPr>
        <w:t>Authors' contribution: O.T.: Conceptualization, Methodology, Software, Formal analysis, Writing - original draft, Writing - review &amp; editing. T.I.: Writing - review &amp; editing.</w:t>
      </w:r>
    </w:p>
    <w:p>
      <w:pPr>
        <w:ind w:firstLine="720"/>
      </w:pPr>
      <w:r>
        <w:rPr>
          <w:strike w:val="0"/>
          <w:color w:val="000000"/>
          <w:sz w:val="24"/>
        </w:rPr>
      </w:r>
    </w:p>
    <w:p>
      <w:pPr>
        <w:ind w:firstLine="720"/>
      </w:pPr>
      <w:r>
        <w:rPr>
          <w:strike/>
          <w:color w:val="0000FF"/>
          <w:sz w:val="24"/>
        </w:rPr>
        <w:t>CONCLUSION</w:t>
      </w:r>
    </w:p>
    <w:p>
      <w:pPr>
        <w:ind w:firstLine="720"/>
      </w:pPr>
      <w:r>
        <w:rPr>
          <w:strike/>
          <w:color w:val="0000FF"/>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trike/>
          <w:color w:val="0000FF"/>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pPr>
        <w:ind w:firstLine="720"/>
      </w:pPr>
      <w:r>
        <w:rPr>
          <w:strike/>
          <w:color w:val="0000FF"/>
          <w:sz w:val="24"/>
        </w:rPr>
      </w:r>
    </w:p>
    <w:p>
      <w:r>
        <w:rPr>
          <w:b/>
          <w:strike/>
          <w:color w:val="0000FF"/>
          <w:sz w:val="28"/>
        </w:rPr>
        <w:t>DISCLOSURES</w:t>
      </w:r>
    </w:p>
    <w:p>
      <w:pPr>
        <w:ind w:firstLine="720"/>
      </w:pPr>
      <w:r>
        <w:rPr>
          <w:strike/>
          <w:color w:val="0000FF"/>
          <w:sz w:val="24"/>
        </w:rPr>
        <w:t>Declaration of interest</w:t>
      </w:r>
    </w:p>
    <w:p>
      <w:pPr>
        <w:ind w:firstLine="720"/>
      </w:pPr>
      <w:r>
        <w:rPr>
          <w:strike/>
          <w:color w:val="0000FF"/>
          <w:sz w:val="24"/>
        </w:rPr>
        <w:t>The authors declare no conflicts of interest.</w:t>
      </w:r>
    </w:p>
    <w:p>
      <w:pPr>
        <w:ind w:firstLine="720"/>
      </w:pPr>
      <w:r>
        <w:rPr>
          <w:strike/>
          <w:color w:val="0000FF"/>
          <w:sz w:val="24"/>
        </w:rPr>
        <w:t>Funding</w:t>
      </w:r>
    </w:p>
    <w:p>
      <w:pPr>
        <w:ind w:firstLine="720"/>
      </w:pPr>
      <w:r>
        <w:rPr>
          <w:strike/>
          <w:color w:val="0000FF"/>
          <w:sz w:val="24"/>
        </w:rPr>
        <w:t>This work received no external funding.</w:t>
      </w:r>
    </w:p>
    <w:p>
      <w:pPr>
        <w:ind w:firstLine="720"/>
      </w:pPr>
      <w:r>
        <w:rPr>
          <w:strike/>
          <w:color w:val="0000FF"/>
          <w:sz w:val="24"/>
        </w:rPr>
        <w:t>Acknowledgments</w:t>
      </w:r>
    </w:p>
    <w:p>
      <w:pPr>
        <w:ind w:firstLine="720"/>
      </w:pPr>
      <w:r>
        <w:rPr>
          <w:strike/>
          <w:color w:val="0000FF"/>
          <w:sz w:val="24"/>
        </w:rPr>
        <w:t>None</w:t>
      </w:r>
    </w:p>
    <w:p>
      <w:pPr>
        <w:ind w:firstLine="720"/>
      </w:pPr>
      <w:r>
        <w:rPr>
          <w:strike/>
          <w:color w:val="0000FF"/>
          <w:sz w:val="24"/>
        </w:rPr>
        <w:t>Declaration of generative artificial intelligence (AI) in scientific writing</w:t>
      </w:r>
    </w:p>
    <w:p>
      <w:pPr>
        <w:ind w:firstLine="720"/>
      </w:pPr>
      <w:r>
        <w:rPr>
          <w:strike/>
          <w:color w:val="0000FF"/>
          <w:sz w:val="24"/>
        </w:rPr>
        <w:t>We used generative devin.ai to help with formatting the text and choosing words that suited the tone, and to help writing codes. The authors take full responsibility for the accuracy and content of the manuscript.</w:t>
      </w:r>
    </w:p>
    <w:p>
      <w:pPr>
        <w:ind w:firstLine="720"/>
      </w:pPr>
      <w:r>
        <w:rPr>
          <w:strike/>
          <w:color w:val="0000FF"/>
          <w:sz w:val="24"/>
        </w:rPr>
        <w:t>Authors contribution</w:t>
      </w:r>
    </w:p>
    <w:p>
      <w:pPr>
        <w:ind w:firstLine="720"/>
      </w:pPr>
      <w:r>
        <w:rPr>
          <w:strike/>
          <w:color w:val="0000FF"/>
          <w:sz w:val="24"/>
        </w:rPr>
        <w:t>O.T.: Conceptualization, Methodology, Software, Formal analysis, Writing - original draft, Writing - review &amp; editing</w:t>
      </w:r>
    </w:p>
    <w:p>
      <w:pPr>
        <w:ind w:firstLine="720"/>
      </w:pPr>
      <w:r>
        <w:rPr>
          <w:strike/>
          <w:color w:val="0000FF"/>
          <w:sz w:val="24"/>
        </w:rPr>
        <w:t>T.I.: Writing - review &amp; editing</w:t>
      </w:r>
    </w:p>
    <w:p>
      <w:r>
        <w:rPr>
          <w:b/>
          <w:strike w:val="0"/>
          <w:color w:val="FF0000"/>
          <w:sz w:val="28"/>
        </w:rPr>
        <w:t>REFERENCES</w:t>
      </w:r>
    </w:p>
    <w:p>
      <w:pPr>
        <w:ind w:firstLine="720"/>
      </w:pPr>
      <w:r>
        <w:rPr>
          <w:strike w:val="0"/>
          <w:color w:val="FF0000"/>
          <w:sz w:val="24"/>
        </w:rPr>
        <w:t>1. World Anti-Doping Agency. World Anti-Doping Code International Standard for Therapeutic Use Exemptions (ISTUE). Montreal: WADA; 2021.</w:t>
      </w:r>
    </w:p>
    <w:p>
      <w:pPr>
        <w:ind w:firstLine="720"/>
      </w:pPr>
      <w:r>
        <w:rPr>
          <w:strike w:val="0"/>
          <w:color w:val="FF0000"/>
          <w:sz w:val="24"/>
        </w:rPr>
        <w:t>2. World Anti-Doping Agency. World Anti-Doping Code 2021. Montreal: WADA; 2021.</w:t>
      </w:r>
    </w:p>
    <w:p>
      <w:pPr>
        <w:ind w:firstLine="720"/>
      </w:pPr>
      <w:r>
        <w:rPr>
          <w:strike w:val="0"/>
          <w:color w:val="FF0000"/>
          <w:sz w:val="24"/>
        </w:rPr>
        <w:t>3. World Anti-Doping Agency. The 2026 Prohibited List International Standard. Montreal: WADA; 2025.</w:t>
      </w:r>
    </w:p>
    <w:p>
      <w:pPr>
        <w:ind w:firstLine="720"/>
      </w:pPr>
      <w:r>
        <w:rPr>
          <w:strike w:val="0"/>
          <w:color w:val="FF0000"/>
          <w:sz w:val="24"/>
        </w:rPr>
        <w:t>4. World Anti-Doping Agency. TUE Physician Guidelines – Asthma. Version 9.3. Montreal: WADA; 2026.</w:t>
      </w:r>
    </w:p>
    <w:p>
      <w:pPr>
        <w:ind w:firstLine="720"/>
      </w:pPr>
      <w:r>
        <w:rPr>
          <w:strike w:val="0"/>
          <w:color w:val="FF0000"/>
          <w:sz w:val="24"/>
        </w:rPr>
        <w:t>5. American Diabetes Association Professional Practice Committee. Standards of Care in Diabetes—2025. Diabetes Care. 2025;48(Suppl 1):S1–S352.</w:t>
      </w:r>
    </w:p>
    <w:p>
      <w:pPr>
        <w:ind w:firstLine="720"/>
      </w:pPr>
      <w:r>
        <w:rPr>
          <w:strike w:val="0"/>
          <w:color w:val="FF0000"/>
          <w:sz w:val="24"/>
        </w:rPr>
        <w:t>6. Bhasin S, Brito JP, Cunningham GR, et al. Testosterone therapy in men with hypogonadism: an Endocrine Society clinical practice guideline. J Clin Endocrinol Metab. 2018;103(5):1715–1744.</w:t>
      </w:r>
    </w:p>
    <w:p>
      <w:pPr>
        <w:ind w:firstLine="720"/>
      </w:pPr>
      <w:r>
        <w:rPr>
          <w:strike w:val="0"/>
          <w:color w:val="FF0000"/>
          <w:sz w:val="24"/>
        </w:rPr>
        <w:t>7. Global Initiative for Asthma. Global Strategy for Asthma Management and Prevention. Fontana, WI: GINA; 2025.</w:t>
      </w:r>
    </w:p>
    <w:p>
      <w:pPr>
        <w:ind w:firstLine="720"/>
      </w:pPr>
      <w:r>
        <w:rPr>
          <w:strike w:val="0"/>
          <w:color w:val="FF0000"/>
          <w:sz w:val="24"/>
        </w:rPr>
        <w:t>8. McDonagh TA, Metra M, Adamo M, et al. 2021 ESC Guidelines for the diagnosis and treatment of acute and chronic heart failure. Eur Heart J. 2021;42(36):3599–3726.</w:t>
      </w:r>
    </w:p>
    <w:p>
      <w:pPr>
        <w:ind w:firstLine="720"/>
      </w:pPr>
      <w:r>
        <w:rPr>
          <w:strike w:val="0"/>
          <w:color w:val="FF0000"/>
          <w:sz w:val="24"/>
        </w:rPr>
        <w:t>9. National Institute for Health and Care Excellence. Attention deficit hyperactivity disorder: diagnosis and management. NICE guideline [NG87]. London: NICE; 2024 (updated).</w:t>
      </w:r>
    </w:p>
    <w:p>
      <w:pPr>
        <w:ind w:firstLine="720"/>
      </w:pPr>
      <w:r>
        <w:rPr>
          <w:strike w:val="0"/>
          <w:color w:val="FF0000"/>
          <w:sz w:val="24"/>
        </w:rPr>
        <w:t>10. Allen H, Backhouse SH, Hull JH, Price OJ. Anti-doping policy, therapeutic use exemption and medication use in athletes with asthma: a narrative review. Sports Med. 2019;49(5):659–668.</w:t>
      </w:r>
    </w:p>
    <w:p>
      <w:pPr>
        <w:ind w:firstLine="720"/>
      </w:pPr>
      <w:r>
        <w:rPr>
          <w:strike w:val="0"/>
          <w:color w:val="FF0000"/>
          <w:sz w:val="24"/>
        </w:rPr>
        <w:t>11. Gerrard D, Pipe A. Therapeutic use exemptions. Med Sport Sci. 2017;62:55–67.</w:t>
      </w:r>
    </w:p>
    <w:p>
      <w:pPr>
        <w:ind w:firstLine="720"/>
      </w:pPr>
      <w:r>
        <w:rPr>
          <w:strike w:val="0"/>
          <w:color w:val="FF0000"/>
          <w:sz w:val="24"/>
        </w:rPr>
        <w:t>12. Heuberger JAAC, Cohen AF. Review of WADA prohibited substances: limited evidence for performance-enhancing effects. Sports Med. 2019;49(4):525–539.</w:t>
      </w:r>
    </w:p>
    <w:p>
      <w:pPr>
        <w:ind w:firstLine="720"/>
      </w:pPr>
      <w:r>
        <w:rPr>
          <w:strike w:val="0"/>
          <w:color w:val="FF0000"/>
          <w:sz w:val="24"/>
        </w:rPr>
        <w:t>13. Overbye M, Wagner U. Between medical treatment and performance enhancement: an investigation of how elite athletes experience therapeutic use exemptions. Int J Drug Policy. 2013;24(6):579–588.</w:t>
      </w:r>
    </w:p>
    <w:p>
      <w:pPr>
        <w:ind w:firstLine="720"/>
      </w:pPr>
      <w:r>
        <w:rPr>
          <w:strike w:val="0"/>
          <w:color w:val="FF0000"/>
          <w:sz w:val="24"/>
        </w:rPr>
        <w:t>14. Vernec A, Healy D, Banon T, Petroczi A. Prevalence of therapeutic use exemptions at the Olympic Games and Paralympic Games: an analysis of data from 2016 to 2022. Br J Sports Med. 2024;58(17):966–972.</w:t>
      </w:r>
    </w:p>
    <w:p>
      <w:pPr>
        <w:ind w:firstLine="720"/>
      </w:pPr>
      <w:r>
        <w:rPr>
          <w:strike w:val="0"/>
          <w:color w:val="FF0000"/>
          <w:sz w:val="24"/>
        </w:rPr>
        <w:t>15. Tricco AC, Lillie E, Zarin W, et al. PRISMA extension for scoping reviews (PRISMA-ScR): checklist and explanation. Ann Intern Med. 2018;169(7):467–473.</w:t>
      </w:r>
    </w:p>
    <w:p>
      <w:pPr>
        <w:ind w:firstLine="720"/>
      </w:pPr>
      <w:r>
        <w:rPr>
          <w:strike w:val="0"/>
          <w:color w:val="FF0000"/>
          <w:sz w:val="24"/>
        </w:rPr>
        <w:t>16. Arksey H, O'Malley L. Scoping studies: towards a methodological framework. Int J Soc Res Methodol. 2005;8(1):19–32.</w:t>
      </w:r>
    </w:p>
    <w:p>
      <w:pPr>
        <w:ind w:firstLine="720"/>
      </w:pPr>
      <w:r>
        <w:rPr>
          <w:strike w:val="0"/>
          <w:color w:val="FF0000"/>
          <w:sz w:val="24"/>
        </w:rPr>
        <w:t>17. Levac D, Colquhoun H, O'Brien KK. Scoping studies: advancing the methodology. Implement Sci. 2010;5:69.</w:t>
      </w:r>
    </w:p>
    <w:p>
      <w:pPr>
        <w:ind w:firstLine="720"/>
      </w:pPr>
      <w:r>
        <w:rPr>
          <w:strike w:val="0"/>
          <w:color w:val="FF0000"/>
          <w:sz w:val="24"/>
        </w:rPr>
        <w:t>18. Munn Z, Peters MDJ, Stern C, Tufanaru C, McArthur A, Aromataris E. Systematic review or scoping review? Guidance for authors when choosing between a systematic or scoping review approach. BMC Med Res Methodol. 2018;18(1):143.</w:t>
      </w:r>
    </w:p>
    <w:p>
      <w:pPr>
        <w:ind w:firstLine="720"/>
      </w:pPr>
      <w:r>
        <w:rPr>
          <w:strike w:val="0"/>
          <w:color w:val="FF0000"/>
          <w:sz w:val="24"/>
        </w:rPr>
        <w:t>19. World Anti-Doping Agency. 2023 Anti-Doping Testing Figures Report. Montreal: WADA; 2025.</w:t>
      </w:r>
    </w:p>
    <w:p>
      <w:pPr>
        <w:ind w:firstLine="720"/>
      </w:pPr>
      <w:r>
        <w:rPr>
          <w:strike w:val="0"/>
          <w:color w:val="FF0000"/>
          <w:sz w:val="24"/>
        </w:rPr>
        <w:t>20. Price OJ, Sewry N, Schwellnus M, et al. Prevalence of lower airway dysfunction in athletes: a systematic review and meta-analysis. Br J Sports Med. 2022;56(4):213–222.</w:t>
      </w:r>
    </w:p>
    <w:p>
      <w:pPr>
        <w:ind w:firstLine="720"/>
      </w:pPr>
      <w:r>
        <w:rPr>
          <w:strike w:val="0"/>
          <w:color w:val="FF0000"/>
          <w:sz w:val="24"/>
        </w:rPr>
        <w:t>21. Han DH, McDuff D, Thompson D, et al. Attention-deficit/hyperactivity disorder in elite athletes: a narrative review. Br J Sports Med. 2019;53(12):741–747.</w:t>
      </w:r>
    </w:p>
    <w:p>
      <w:pPr>
        <w:ind w:firstLine="720"/>
      </w:pPr>
      <w:r>
        <w:rPr>
          <w:strike w:val="0"/>
          <w:color w:val="FF0000"/>
          <w:sz w:val="24"/>
        </w:rPr>
        <w:t>22. World Masters Athletics. 2024 WMA Annual Report. 2024.</w:t>
      </w:r>
    </w:p>
    <w:p>
      <w:pPr>
        <w:ind w:firstLine="720"/>
      </w:pPr>
      <w:r>
        <w:rPr>
          <w:strike w:val="0"/>
          <w:color w:val="FF0000"/>
          <w:sz w:val="24"/>
        </w:rPr>
        <w:t>23. International Masters Games Association. Record registrations: already over 24,000 athletes joining World Masters Games. 2026.</w:t>
      </w:r>
    </w:p>
    <w:p>
      <w:pPr>
        <w:ind w:firstLine="720"/>
      </w:pPr>
      <w:r>
        <w:rPr>
          <w:strike w:val="0"/>
          <w:color w:val="FF0000"/>
          <w:sz w:val="24"/>
        </w:rPr>
        <w:t>24. Hostrup M, Jacobson GA, Jessen S, Lemminger AK. Anabolic and lipolytic actions of beta2-agonists in humans and antidoping challenges. Drug Test Anal. 2020;12(5):597–609.</w:t>
      </w:r>
    </w:p>
    <w:p>
      <w:pPr>
        <w:ind w:firstLine="720"/>
      </w:pPr>
      <w:r>
        <w:rPr>
          <w:strike w:val="0"/>
          <w:color w:val="FF0000"/>
          <w:sz w:val="24"/>
        </w:rPr>
        <w:t>25. Australian ADHD Professionals Association. Australian Evidence-Based Clinical Practice Guideline for Attention Deficit Hyperactivity Disorder (ADHD). Melbourne: AADPA; 2022.</w:t>
      </w:r>
    </w:p>
    <w:p>
      <w:pPr>
        <w:ind w:firstLine="720"/>
      </w:pPr>
      <w:r>
        <w:rPr>
          <w:strike w:val="0"/>
          <w:color w:val="FF0000"/>
          <w:sz w:val="24"/>
        </w:rPr>
        <w:t>26. World Anti-Doping Agency. TUE Physician Guidelines – Attention Deficit Hyperactivity Disorder (ADHD). Version 8.0. Montreal: WADA; 2026.</w:t>
      </w:r>
    </w:p>
    <w:p>
      <w:pPr>
        <w:ind w:firstLine="720"/>
      </w:pPr>
      <w:r>
        <w:rPr>
          <w:strike w:val="0"/>
          <w:color w:val="FF0000"/>
          <w:sz w:val="24"/>
        </w:rPr>
        <w:t>27. European Medicines Agency. Ozempic: EPAR – summary for the public. 2018 Feb 8.</w:t>
      </w:r>
    </w:p>
    <w:p>
      <w:pPr>
        <w:ind w:firstLine="720"/>
      </w:pPr>
      <w:r>
        <w:rPr>
          <w:strike w:val="0"/>
          <w:color w:val="FF0000"/>
          <w:sz w:val="24"/>
        </w:rPr>
        <w:t>28. Pharmaceuticals and Medical Devices Agency. Approval of Ozempic subcutaneous injection. 2018 Mar 20.</w:t>
      </w:r>
    </w:p>
    <w:p>
      <w:pPr>
        <w:ind w:firstLine="720"/>
      </w:pPr>
      <w:r>
        <w:rPr>
          <w:strike w:val="0"/>
          <w:color w:val="FF0000"/>
          <w:sz w:val="24"/>
        </w:rPr>
        <w:t>29. US Food and Drug Administration. FDA approves Ozempic to improve glycemic control in adults with type 2 diabetes. Press release. 2017 Dec 4.</w:t>
      </w:r>
    </w:p>
    <w:p>
      <w:pPr>
        <w:ind w:firstLine="720"/>
      </w:pPr>
      <w:r>
        <w:rPr>
          <w:strike w:val="0"/>
          <w:color w:val="FF0000"/>
          <w:sz w:val="24"/>
        </w:rPr>
        <w:t>30. European Medicines Agency. Mounjaro: EPAR – summary for the public. 2022 Sep 15.</w:t>
      </w:r>
    </w:p>
    <w:p>
      <w:pPr>
        <w:ind w:firstLine="720"/>
      </w:pPr>
      <w:r>
        <w:rPr>
          <w:strike w:val="0"/>
          <w:color w:val="FF0000"/>
          <w:sz w:val="24"/>
        </w:rPr>
        <w:t>31. Pharmaceuticals and Medical Devices Agency. Approval of Mounjaro subcutaneous injection. 2023 Apr.</w:t>
      </w:r>
    </w:p>
    <w:p>
      <w:pPr>
        <w:ind w:firstLine="720"/>
      </w:pPr>
      <w:r>
        <w:rPr>
          <w:strike w:val="0"/>
          <w:color w:val="FF0000"/>
          <w:sz w:val="24"/>
        </w:rPr>
        <w:t>32. US Food and Drug Administration. FDA approves Mounjaro (tirzepatide) injection for type 2 diabetes. Press release. 2022 May 13.</w:t>
      </w:r>
    </w:p>
    <w:p>
      <w:pPr>
        <w:ind w:firstLine="720"/>
      </w:pPr>
      <w:r>
        <w:rPr>
          <w:strike w:val="0"/>
          <w:color w:val="FF0000"/>
          <w:sz w:val="24"/>
        </w:rPr>
        <w:t>33. World Anti-Doping Agency. 2026 Monitoring Program. Montreal: WADA; 2025.</w:t>
      </w:r>
    </w:p>
    <w:p>
      <w:pPr>
        <w:ind w:firstLine="720"/>
      </w:pPr>
      <w:r>
        <w:rPr>
          <w:strike w:val="0"/>
          <w:color w:val="FF0000"/>
          <w:sz w:val="24"/>
        </w:rPr>
        <w:t>34. European Association of Urology. EAU Guidelines on Sexual and Reproductive Health. Arnhem: EAU; 2024.</w:t>
      </w:r>
    </w:p>
    <w:p>
      <w:pPr>
        <w:ind w:firstLine="720"/>
      </w:pPr>
      <w:r>
        <w:rPr>
          <w:strike w:val="0"/>
          <w:color w:val="FF0000"/>
          <w:sz w:val="24"/>
        </w:rPr>
        <w:t>35. Lincoff AM, Bhasin S, Flevaris P, et al. Cardiovascular safety of testosterone-replacement therapy. N Engl J Med. 2023;389(2):107–117.</w:t>
      </w:r>
    </w:p>
    <w:p>
      <w:pPr>
        <w:ind w:firstLine="720"/>
      </w:pPr>
      <w:r>
        <w:rPr>
          <w:strike w:val="0"/>
          <w:color w:val="FF0000"/>
          <w:sz w:val="24"/>
        </w:rPr>
        <w:t>36. Di Luigi L, Sansone P, Sgrò P, et al. Prevalence of undiagnosed testosterone deficiency in aging athletes: does exercise training influence the symptoms of male hypogonadism? J Sex Med. 2010;7(4 Pt 1):1361–1369.</w:t>
      </w:r>
    </w:p>
    <w:p>
      <w:pPr>
        <w:ind w:firstLine="720"/>
      </w:pPr>
      <w:r>
        <w:rPr>
          <w:strike w:val="0"/>
          <w:color w:val="FF0000"/>
          <w:sz w:val="24"/>
        </w:rPr>
        <w:t>37. World Anti-Doping Agency. Glucocorticoids and Therapeutic Use Exemptions Guidelines. Montreal: WADA; 2025.</w:t>
      </w:r>
    </w:p>
    <w:p>
      <w:pPr>
        <w:ind w:firstLine="720"/>
      </w:pPr>
      <w:r>
        <w:rPr>
          <w:strike w:val="0"/>
          <w:color w:val="FF0000"/>
          <w:sz w:val="24"/>
        </w:rPr>
        <w:t>38. World Anti-Doping Agency. Glucocorticoids washout table—2026. Montreal: WADA; 2025.</w:t>
      </w:r>
    </w:p>
    <w:p>
      <w:pPr>
        <w:ind w:firstLine="720"/>
      </w:pPr>
      <w:r>
        <w:rPr>
          <w:strike w:val="0"/>
          <w:color w:val="FF0000"/>
          <w:sz w:val="24"/>
        </w:rPr>
        <w:t>39. Mancia G, Kreutz R, Brunstrom M, et al. 2023 ESH Guidelines for the management of arterial hypertension. J Hypertens. 2023;41(12):1874–2071.</w:t>
      </w:r>
    </w:p>
    <w:p>
      <w:pPr>
        <w:ind w:firstLine="720"/>
      </w:pPr>
      <w:r>
        <w:rPr>
          <w:strike w:val="0"/>
          <w:color w:val="FF0000"/>
          <w:sz w:val="24"/>
        </w:rPr>
        <w:t>40. Teede HJ, Azziz R, Balen AH, et al. Polyendocrine metabolic ovarian syndrome: a proposal for the renaming of polycystic ovary syndrome. Lancet. 2026; published online May 13, 2026.</w:t>
      </w:r>
    </w:p>
    <w:p>
      <w:pPr>
        <w:ind w:firstLine="720"/>
      </w:pPr>
      <w:r>
        <w:rPr>
          <w:strike w:val="0"/>
          <w:color w:val="FF0000"/>
          <w:sz w:val="24"/>
        </w:rPr>
        <w:t>41. Teede HJ, Tay CT, Laven JJE, et al. Recommendations from the 2023 international evidence-based guideline for the assessment and management of polycystic ovary syndrome. J Clin Endocrinol Metab. 2023;108(10):2447–2469.</w:t>
      </w:r>
    </w:p>
    <w:p>
      <w:pPr>
        <w:ind w:firstLine="720"/>
      </w:pPr>
      <w:r>
        <w:rPr>
          <w:strike w:val="0"/>
          <w:color w:val="FF0000"/>
          <w:sz w:val="24"/>
        </w:rPr>
        <w:t>42. World Anti-Doping Agency. Athlete Biological Passport Operating Guidelines. Version 9.0. Montreal: WADA; 2023.</w:t>
      </w:r>
    </w:p>
    <w:p>
      <w:pPr>
        <w:ind w:firstLine="720"/>
      </w:pPr>
      <w:r>
        <w:rPr>
          <w:strike w:val="0"/>
          <w:color w:val="FF0000"/>
          <w:sz w:val="24"/>
        </w:rPr>
        <w:t>43. World Anti-Doping Agency. Anti-Doping Administration and Management System (ADAMS). Montreal: WADA; 2024.</w:t>
      </w:r>
    </w:p>
    <w:p>
      <w:pPr>
        <w:ind w:firstLine="720"/>
      </w:pPr>
      <w:r>
        <w:rPr>
          <w:strike w:val="0"/>
          <w:color w:val="FF0000"/>
          <w:sz w:val="24"/>
        </w:rPr>
        <w:t>44.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pPr>
        <w:ind w:firstLine="720"/>
      </w:pPr>
      <w:r>
        <w:rPr>
          <w:strike w:val="0"/>
          <w:color w:val="000000"/>
          <w:sz w:val="24"/>
        </w:rPr>
      </w:r>
    </w:p>
    <w:p>
      <w:r>
        <w:rPr>
          <w:b/>
          <w:strike w:val="0"/>
          <w:color w:val="000000"/>
          <w:sz w:val="28"/>
        </w:rPr>
        <w:t>FIGURE LEGENDS</w:t>
      </w:r>
    </w:p>
    <w:p>
      <w:pPr>
        <w:ind w:firstLine="720"/>
      </w:pPr>
      <w:r>
        <w:rPr>
          <w:strike/>
          <w:color w:val="0000FF"/>
          <w:sz w:val="24"/>
        </w:rPr>
        <w:t>Figure 1. PRISMA-ScR flow diagram illustrating the source selection process.</w:t>
      </w:r>
    </w:p>
    <w:p>
      <w:pPr>
        <w:ind w:firstLine="720"/>
      </w:pPr>
      <w:r>
        <w:rPr>
          <w:strike/>
          <w:color w:val="0000FF"/>
          <w:sz w:val="24"/>
        </w:rPr>
        <w:t>Figure 2. Conceptual framework: structural drivers of clinical-competition divergence.</w:t>
      </w:r>
    </w:p>
    <w:p>
      <w:pPr>
        <w:ind w:firstLine="720"/>
      </w:pPr>
      <w:r>
        <w:rPr>
          <w:strike/>
          <w:color w:val="0000FF"/>
          <w:sz w:val="24"/>
        </w:rPr>
        <w:t>Figure 3. Clinical-competition gap risk matrix by disease area and assessment dimension.</w:t>
      </w:r>
    </w:p>
    <w:p>
      <w:pPr>
        <w:ind w:firstLine="720"/>
      </w:pPr>
      <w:r>
        <w:rPr>
          <w:strike/>
          <w:color w:val="0000FF"/>
          <w:sz w:val="24"/>
        </w:rPr>
        <w:t>Figure 4. Timeline of clinical guideline updates versus WADA TUE regulatory changes (2018–2026).</w:t>
      </w:r>
    </w:p>
    <w:p>
      <w:pPr>
        <w:ind w:firstLine="720"/>
      </w:pPr>
      <w:r>
        <w:rPr>
          <w:strike/>
          <w:color w:val="0000FF"/>
          <w:sz w:val="24"/>
        </w:rPr>
        <w:t>Figure 5. Clinical-competition gap severity by disease area and assessment dimension.</w:t>
      </w:r>
    </w:p>
    <w:p>
      <w:pPr>
        <w:ind w:firstLine="720"/>
      </w:pPr>
      <w:r>
        <w:rPr>
          <w:strike w:val="0"/>
          <w:color w:val="FF0000"/>
          <w:sz w:val="24"/>
        </w:rPr>
        <w:t>Figure 1. PRISMA-ScR flow diagram illustrating the source selection process. Database-specific record counts were: PubMed/MEDLINE (n=312), Embase (n=198), SPORTDiscus (n=121), Cochrane Library (n=84), and Web of Science (n=132), for a total of 847 records before deduplication.</w:t>
      </w:r>
    </w:p>
    <w:p>
      <w:pPr>
        <w:ind w:firstLine="720"/>
      </w:pPr>
      <w:r>
        <w:rPr>
          <w:strike w:val="0"/>
          <w:color w:val="000000"/>
          <w:sz w:val="24"/>
        </w:rPr>
      </w:r>
    </w:p>
    <w:p>
      <w:r>
        <w:rPr>
          <w:b/>
          <w:strike/>
          <w:color w:val="0000FF"/>
          <w:sz w:val="28"/>
        </w:rPr>
        <w:t>REFERENCES</w:t>
      </w:r>
    </w:p>
    <w:p>
      <w:pPr>
        <w:ind w:firstLine="720"/>
      </w:pPr>
      <w:r>
        <w:rPr>
          <w:strike/>
          <w:color w:val="0000FF"/>
          <w:sz w:val="24"/>
        </w:rPr>
        <w:t>1. Allen H, Backhouse SH, Hull JH, Price OJ. Anti-doping policy, therapeutic use exemption and medication use in athletes with asthma: a narrative review. Sports Med. 2019;49(5):659–668.</w:t>
      </w:r>
    </w:p>
    <w:p>
      <w:pPr>
        <w:ind w:firstLine="720"/>
      </w:pPr>
      <w:r>
        <w:rPr>
          <w:strike/>
          <w:color w:val="0000FF"/>
          <w:sz w:val="24"/>
        </w:rPr>
        <w:t>2. American Diabetes Association Professional Practice Committee. Standards of Care in Diabetes—2025. Diabetes Care. 2025;48(Suppl 1):S1–S352.</w:t>
      </w:r>
    </w:p>
    <w:p>
      <w:pPr>
        <w:ind w:firstLine="720"/>
      </w:pPr>
      <w:r>
        <w:rPr>
          <w:strike/>
          <w:color w:val="0000FF"/>
          <w:sz w:val="24"/>
        </w:rPr>
        <w:t>3. Arksey H, O'Malley L. Scoping studies: towards a methodological framework. Int J Soc Res Methodol. 2005;8(1):19–32.</w:t>
      </w:r>
    </w:p>
    <w:p>
      <w:pPr>
        <w:ind w:firstLine="720"/>
      </w:pPr>
      <w:r>
        <w:rPr>
          <w:strike/>
          <w:color w:val="0000FF"/>
          <w:sz w:val="24"/>
        </w:rPr>
        <w:t>4. Australian ADHD Professionals Association. Australian Evidence-Based Clinical Practice Guideline for Attention Deficit Hyperactivity Disorder (ADHD). Melbourne: AADPA; 2022.</w:t>
      </w:r>
    </w:p>
    <w:p>
      <w:pPr>
        <w:ind w:firstLine="720"/>
      </w:pPr>
      <w:r>
        <w:rPr>
          <w:strike/>
          <w:color w:val="0000FF"/>
          <w:sz w:val="24"/>
        </w:rPr>
        <w:t>5. Bhasin S, Brito JP, Cunningham GR, et al. Testosterone therapy in men with hypogonadism: an Endocrine Society clinical practice guideline. J Clin Endocrinol Metab. 2018;103(5):1715–1744.</w:t>
      </w:r>
    </w:p>
    <w:p>
      <w:pPr>
        <w:ind w:firstLine="720"/>
      </w:pPr>
      <w:r>
        <w:rPr>
          <w:strike/>
          <w:color w:val="0000FF"/>
          <w:sz w:val="24"/>
        </w:rPr>
        <w:t>6. European Association of Urology. EAU Guidelines on Sexual and Reproductive Health. Arnhem: EAU; 2024.</w:t>
      </w:r>
    </w:p>
    <w:p>
      <w:pPr>
        <w:ind w:firstLine="720"/>
      </w:pPr>
      <w:r>
        <w:rPr>
          <w:strike/>
          <w:color w:val="0000FF"/>
          <w:sz w:val="24"/>
        </w:rPr>
        <w:t>7. Global Initiative for Asthma. Global Strategy for Asthma Management and Prevention. Fontana, WI: GINA; 2025.</w:t>
      </w:r>
    </w:p>
    <w:p>
      <w:pPr>
        <w:ind w:firstLine="720"/>
      </w:pPr>
      <w:r>
        <w:rPr>
          <w:strike/>
          <w:color w:val="0000FF"/>
          <w:sz w:val="24"/>
        </w:rPr>
        <w:t>8. Heuberger JAAC, Cohen AF. Review of WADA prohibited substances: limited evidence for performance-enhancing effects. Sports Med. 2019;49(4):525–539.</w:t>
      </w:r>
    </w:p>
    <w:p>
      <w:pPr>
        <w:ind w:firstLine="720"/>
      </w:pPr>
      <w:r>
        <w:rPr>
          <w:strike/>
          <w:color w:val="0000FF"/>
          <w:sz w:val="24"/>
        </w:rPr>
        <w:t>9. Hostrup M, Jacobson GA, Jessen S, Lemminger AK. Beta2-adrenoceptor agonist doping of athletes: a systematic review and meta-analysis of performance-enhancing effects. Br J Sports Med. 2020;54(22):1348–1356.</w:t>
      </w:r>
    </w:p>
    <w:p>
      <w:pPr>
        <w:ind w:firstLine="720"/>
      </w:pPr>
      <w:r>
        <w:rPr>
          <w:strike/>
          <w:color w:val="0000FF"/>
          <w:sz w:val="24"/>
        </w:rPr>
        <w:t>10. Levac D, Colquhoun H, O'Brien KK. Scoping studies: advancing the methodology. Implement Sci. 2010;5:69.</w:t>
      </w:r>
    </w:p>
    <w:p>
      <w:pPr>
        <w:ind w:firstLine="720"/>
      </w:pPr>
      <w:r>
        <w:rPr>
          <w:strike/>
          <w:color w:val="0000FF"/>
          <w:sz w:val="24"/>
        </w:rPr>
        <w:t>11. Lincoff AM, Bhasin S, Flevaris P, et al. Cardiovascular safety of testosterone-replacement therapy. N Engl J Med. 2023;389(2):107–117.</w:t>
      </w:r>
    </w:p>
    <w:p>
      <w:pPr>
        <w:ind w:firstLine="720"/>
      </w:pPr>
      <w:r>
        <w:rPr>
          <w:strike/>
          <w:color w:val="0000FF"/>
          <w:sz w:val="24"/>
        </w:rPr>
        <w:t>12. Mancia G, Kreutz R, Brunstrom M, et al. 2023 ESH Guidelines for the management of arterial hypertension. J Hypertens. 2023;41(12):1874–2071.</w:t>
      </w:r>
    </w:p>
    <w:p>
      <w:pPr>
        <w:ind w:firstLine="720"/>
      </w:pPr>
      <w:r>
        <w:rPr>
          <w:strike/>
          <w:color w:val="0000FF"/>
          <w:sz w:val="24"/>
        </w:rPr>
        <w:t>13. McDonagh TA, Metra M, Adamo M, et al. 2021 ESC Guidelines for the diagnosis and treatment of acute and chronic heart failure. Eur Heart J. 2021;42(36):3599–3726.</w:t>
      </w:r>
    </w:p>
    <w:p>
      <w:pPr>
        <w:ind w:firstLine="720"/>
      </w:pPr>
      <w:r>
        <w:rPr>
          <w:strike/>
          <w:color w:val="0000FF"/>
          <w:sz w:val="24"/>
        </w:rPr>
        <w:t>14. Munn Z, Peters MDJ, Stern C, Tufanaru C, McArthur A, Aromataris E. Systematic review or scoping review? Guidance for authors when choosing between a systematic or scoping review approach. BMC Med Res Methodol. 2018;18(1):143.</w:t>
      </w:r>
    </w:p>
    <w:p>
      <w:pPr>
        <w:ind w:firstLine="720"/>
      </w:pPr>
      <w:r>
        <w:rPr>
          <w:strike/>
          <w:color w:val="0000FF"/>
          <w:sz w:val="24"/>
        </w:rPr>
        <w:t>15. National Institute for Health and Care Excellence. Attention deficit hyperactivity disorder: diagnosis and management. NICE guideline [NG87]. London: NICE; 2024 (updated).</w:t>
      </w:r>
    </w:p>
    <w:p>
      <w:pPr>
        <w:ind w:firstLine="720"/>
      </w:pPr>
      <w:r>
        <w:rPr>
          <w:strike/>
          <w:color w:val="0000FF"/>
          <w:sz w:val="24"/>
        </w:rPr>
        <w:t>16. Overbye M, Wagner U. Experiences, attitudes and knowledge of elite athletes regarding anti-doping—insights from a cross-national study. Eur J Sport Sci. 2014;14(Suppl 1):S149–S160.</w:t>
      </w:r>
    </w:p>
    <w:p>
      <w:pPr>
        <w:ind w:firstLine="720"/>
      </w:pPr>
      <w:r>
        <w:rPr>
          <w:strike/>
          <w:color w:val="0000FF"/>
          <w:sz w:val="24"/>
        </w:rPr>
        <w:t>17. Stuart M, Mottram DR, Erskine PJ. Therapeutic use exemptions—a review and analysis of TUE application trends across Olympic sports from 2015 to 2020. Drug Test Anal. 2022;14(5):890–898.</w:t>
      </w:r>
    </w:p>
    <w:p>
      <w:pPr>
        <w:ind w:firstLine="720"/>
      </w:pPr>
      <w:r>
        <w:rPr>
          <w:strike/>
          <w:color w:val="0000FF"/>
          <w:sz w:val="24"/>
        </w:rPr>
        <w:t>18. Teede HJ, Tay CT, Laven JJE, et al. Recommendations from the 2023 international evidence-based guideline for the assessment and management of polycystic ovary syndrome. J Clin Endocrinol Metab. 2023;108(10):2447–2469.</w:t>
      </w:r>
    </w:p>
    <w:p>
      <w:pPr>
        <w:ind w:firstLine="720"/>
      </w:pPr>
      <w:r>
        <w:rPr>
          <w:strike/>
          <w:color w:val="0000FF"/>
          <w:sz w:val="24"/>
        </w:rPr>
        <w:t>19. Tricco AC, Lillie E, Zarin W, et al. PRISMA extension for scoping reviews (PRISMA-ScR): checklist and explanation. Ann Intern Med. 2018;169(7):467–473.</w:t>
      </w:r>
    </w:p>
    <w:p>
      <w:pPr>
        <w:ind w:firstLine="720"/>
      </w:pPr>
      <w:r>
        <w:rPr>
          <w:strike/>
          <w:color w:val="0000FF"/>
          <w:sz w:val="24"/>
        </w:rPr>
        <w:t>20. Vernec A, Pipe A, Engel-Nitz NM. The World Anti-Doping Agency (WADA) Therapeutic Use Exemption (TUE) process. Clin J Sport Med. 2019;29(5):351–355.</w:t>
      </w:r>
    </w:p>
    <w:p>
      <w:pPr>
        <w:ind w:firstLine="720"/>
      </w:pPr>
      <w:r>
        <w:rPr>
          <w:strike/>
          <w:color w:val="0000FF"/>
          <w:sz w:val="24"/>
        </w:rPr>
        <w:t>21. Vernec A, Healy D, Banon T, Petroczi A. Prevalence of therapeutic use exemptions at the Olympic Games and Paralympic Games: an analysis of data from 2016 to 2022. Br J Sports Med. 2024;58(17):966–972.</w:t>
      </w:r>
    </w:p>
    <w:p>
      <w:pPr>
        <w:ind w:firstLine="720"/>
      </w:pPr>
      <w:r>
        <w:rPr>
          <w:strike/>
          <w:color w:val="0000FF"/>
          <w:sz w:val="24"/>
        </w:rPr>
        <w:t>22. World Anti-Doping Agency. World Anti-Doping Code 2021. Montreal: WADA; 2021.</w:t>
      </w:r>
    </w:p>
    <w:p>
      <w:pPr>
        <w:ind w:firstLine="720"/>
      </w:pPr>
      <w:r>
        <w:rPr>
          <w:strike/>
          <w:color w:val="0000FF"/>
          <w:sz w:val="24"/>
        </w:rPr>
        <w:t>23. World Anti-Doping Agency. World Anti-Doping Code International Standard for Therapeutic Use Exemptions (ISTUE). Montreal: WADA; 2021.</w:t>
      </w:r>
    </w:p>
    <w:p>
      <w:pPr>
        <w:ind w:firstLine="720"/>
      </w:pPr>
      <w:r>
        <w:rPr>
          <w:strike/>
          <w:color w:val="0000FF"/>
          <w:sz w:val="24"/>
        </w:rPr>
        <w:t>24. World Anti-Doping Agency. The 2026 Prohibited List International Standard. Montreal: WADA; 2025.</w:t>
      </w:r>
    </w:p>
    <w:p>
      <w:pPr>
        <w:ind w:firstLine="720"/>
      </w:pPr>
      <w:r>
        <w:rPr>
          <w:strike/>
          <w:color w:val="0000FF"/>
          <w:sz w:val="24"/>
        </w:rPr>
        <w:t>25. World Anti-Doping Agency. TUE Physician Guidelines – Asthma. Version 9.3. Montreal: WADA; 2026.</w:t>
      </w:r>
    </w:p>
    <w:p>
      <w:pPr>
        <w:ind w:firstLine="720"/>
      </w:pPr>
      <w:r>
        <w:rPr>
          <w:strike/>
          <w:color w:val="0000FF"/>
          <w:sz w:val="24"/>
        </w:rPr>
        <w:t>26. World Anti-Doping Agency. TUE Physician Guidelines – Attention Deficit Hyperactivity Disorder (ADHD). Version 8.0. Montreal: WADA; 2026.</w:t>
      </w:r>
    </w:p>
    <w:p>
      <w:pPr>
        <w:ind w:firstLine="720"/>
      </w:pPr>
      <w:r>
        <w:rPr>
          <w:strike/>
          <w:color w:val="0000FF"/>
          <w:sz w:val="24"/>
        </w:rPr>
        <w:t>27. World Anti-Doping Agency. 2026 Monitoring Program. Montreal: WADA; 2025.</w:t>
      </w:r>
    </w:p>
    <w:p>
      <w:pPr>
        <w:ind w:firstLine="720"/>
      </w:pPr>
      <w:r>
        <w:rPr>
          <w:strike/>
          <w:color w:val="0000FF"/>
          <w:sz w:val="24"/>
        </w:rPr>
        <w:t>28. World Anti-Doping Agency. Glucocorticoids and Therapeutic Use Exemptions Guidelines. Montreal: WADA; 2025.</w:t>
      </w:r>
    </w:p>
    <w:p>
      <w:pPr>
        <w:ind w:firstLine="720"/>
      </w:pPr>
      <w:r>
        <w:rPr>
          <w:strike/>
          <w:color w:val="0000FF"/>
          <w:sz w:val="24"/>
        </w:rPr>
        <w:t>29. World Anti-Doping Agency. Glucocorticoids washout table—2026. Montreal: WADA; 2025.</w:t>
      </w:r>
    </w:p>
    <w:p>
      <w:pPr>
        <w:ind w:firstLine="720"/>
      </w:pPr>
      <w:r>
        <w:rPr>
          <w:strike w:val="0"/>
          <w:color w:val="FF0000"/>
          <w:sz w:val="24"/>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Pr>
        <w:ind w:firstLine="720"/>
      </w:pPr>
      <w:r>
        <w:rPr>
          <w:strike w:val="0"/>
          <w:color w:val="FF0000"/>
          <w:sz w:val="24"/>
        </w:rPr>
      </w:r>
    </w:p>
    <w:p>
      <w:pPr>
        <w:ind w:firstLine="720"/>
      </w:pPr>
      <w:r>
        <w:rPr>
          <w:strike w:val="0"/>
          <w:color w:val="FF0000"/>
          <w:sz w:val="24"/>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Pr>
        <w:ind w:firstLine="720"/>
      </w:pPr>
      <w:r>
        <w:rPr>
          <w:strike w:val="0"/>
          <w:color w:val="FF0000"/>
          <w:sz w:val="24"/>
        </w:rPr>
      </w:r>
    </w:p>
    <w:p>
      <w:pPr>
        <w:ind w:firstLine="720"/>
      </w:pPr>
      <w:r>
        <w:rPr>
          <w:strike w:val="0"/>
          <w:color w:val="FF0000"/>
          <w:sz w:val="24"/>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Pr>
        <w:ind w:firstLine="720"/>
      </w:pPr>
      <w:r>
        <w:rPr>
          <w:strike w:val="0"/>
          <w:color w:val="FF0000"/>
          <w:sz w:val="24"/>
        </w:rPr>
      </w:r>
    </w:p>
    <w:p>
      <w:pPr>
        <w:ind w:firstLine="720"/>
      </w:pPr>
      <w:r>
        <w:rPr>
          <w:strike w:val="0"/>
          <w:color w:val="FF0000"/>
          <w:sz w:val="24"/>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p>
      <w:pPr>
        <w:ind w:firstLine="720"/>
      </w:pPr>
      <w:r>
        <w:rPr>
          <w:strike w:val="0"/>
          <w:color w:val="FF0000"/>
          <w:sz w:val="24"/>
        </w:rPr>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