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Mind the Gap: A Scoping Review of Discrepancies Between WADA Therapeutic Use Exemption Regulations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sz w:val="28"/>
        </w:rPr>
        <w:t>Mind the Gap: A Scoping Review of Discrepancies Between WADA Therapeutic Use Exemption Regulations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sz w:val="24"/>
        </w:rPr>
        <w:t>The World Anti-Doping Agency (WADA) Therapeutic Use Exemption (TUE) system permits athletes with legitimate medical conditions to use prohibited substances.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polycystic ovary syndrome (PCOS). We identified 68 relevant sources including WADA documents (n=18), clinical guidelines (n=22), and peer-reviewed articles (n=28). Clinically significant gaps were found in all seven areas, with the most critical discrepancies in male hypogonadism (exclusion of functional etiologies from TUE eligibility), ADHD (prohibition of first-line stimulant medications in-competition),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professionals are discussed, including strategies for supporting athletes navigating the TUE process. Eight recommendations for harmonizing clinical and anti-doping standards are proposed.</w:t>
      </w:r>
    </w:p>
    <w:p>
      <w:r>
        <w:br w:type="page"/>
      </w:r>
    </w:p>
    <w:p>
      <w:pPr>
        <w:spacing w:before="240" w:after="120"/>
      </w:pPr>
      <w:r>
        <w:rPr>
          <w:b/>
          <w:sz w:val="28"/>
        </w:rPr>
        <w:t>INTRODUCTION</w:t>
      </w:r>
    </w:p>
    <w:p>
      <w:pPr>
        <w:ind w:firstLine="720"/>
      </w:pPr>
      <w:r>
        <w:rPr>
          <w:sz w:val="24"/>
        </w:rPr>
        <w:t>The World Anti-Doping Agency (WADA) maintains the Prohibited List, an annually updated catalogue of substances and methods banned in sport, alongside the International Standard for Therapeutic Use Exemptions (ISTUE), which provides a mechanism for athletes with documented medical conditions to use prohibited substances under specific criteria (22). The TUE system is predicated on four requirements: (a) the athlete would experience significant health impairment without the prohibited substance; (b) the therapeutic use would produce no additional enhancement of performance beyond restoring normal health; (c) there is no reasonable permitted therapeutic alternative; and (d) the necessity is not a consequence of prior prohibited substance use (22). To guide TUE committee decisions, WADA publishes disease-specific TUE Physician Guidelines, described as "living documents" subject to periodic revision (23).</w:t>
      </w:r>
    </w:p>
    <w:p>
      <w:pPr>
        <w:ind w:firstLine="720"/>
      </w:pPr>
      <w:r>
        <w:rPr>
          <w:sz w:val="24"/>
        </w:rPr>
        <w:t>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sometimes fundamentally altering first-line treatment approaches (2, 5, 7, 12, 13).</w:t>
      </w:r>
    </w:p>
    <w:p>
      <w:pPr>
        <w:ind w:firstLine="720"/>
      </w:pPr>
      <w:r>
        <w:rPr>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strength and conditioning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z w:val="24"/>
        </w:rPr>
        <w:t>Previous studies have examined individual aspects of this problem. Allen et al. (1) reviewed anti-doping policy implications for asthmatic athletes, while Vernec et al. (20) described the TUE process itself. Heuberger and Cohen (8) questioned the evidence base for performance-enhancing effects of many prohibited substances, and Overbye and Wagner (16) documented athlete experiences with the anti-doping system. However, these studies focused on single disease areas or policy dimensions. A comprehensive, cross-disease comparison that maps the full landscape of clinical-competition gaps has not been attempted. Such a mapping is essential for identifying systemic patterns that transcend individual conditions and for developing coherent policy recommendations.</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sz w:val="24"/>
        </w:rPr>
        <w:t>A further dimension of this gap—under-recognized in the literature—is the variability in TUE access across jurisdictions, sports, and competitive tiers. While the ISTUE establishes universal criteria, the practical implementation of TUE systems by National Anti-Doping Organizations (NADOs) and International Federations varies considerably. In some jurisdictions, TUE applications may be effectively restricted to athletes who have already achieved elite-level results, excluding emerging, sub-elite, and recreational competitors from the process. This creates a structural inequity in which the right to receive evidence-based medical treatment while competing depends not on medical need but on competitive achievement. Furthermore, few athletes have access to sports medicine physicians with expertise in both anti-doping regulations and the pharmacotherapy of their specific condition; the majority are treated by general practitioners or specialists unfamiliar with the Prohibited List or the TUE application process. This limited access to knowledgeable physicians compounds the regulatory barriers, undermines equitable access to standard care, represents a significant source of stress for athletes, and may narrow the base of sport participation by discouraging competitors who cannot navigate these systems.</w:t>
      </w:r>
    </w:p>
    <w:p>
      <w:pPr>
        <w:spacing w:before="240" w:after="120"/>
      </w:pPr>
      <w:r>
        <w:rPr>
          <w:b/>
          <w:sz w:val="28"/>
        </w:rPr>
        <w:t>METHODS</w:t>
      </w:r>
    </w:p>
    <w:p>
      <w:pPr>
        <w:spacing w:before="240" w:after="120"/>
      </w:pPr>
      <w:r>
        <w:rPr>
          <w:b/>
          <w:sz w:val="24"/>
        </w:rPr>
        <w:t>Protocol and Registration</w:t>
      </w:r>
    </w:p>
    <w:p>
      <w:pPr>
        <w:ind w:firstLine="720"/>
      </w:pPr>
      <w:r>
        <w:rPr>
          <w:sz w:val="24"/>
        </w:rPr>
        <w:t>This scoping review was conducted in accordance with the PRISMA-ScR (Preferred Reporting Items for Systematic Reviews and Meta-Analyses extension for Scoping Reviews) guidelines (19) and followed the methodological framework outlined by Arksey and O'Malley (3) as refined by Levac et al. (10). The review protocol was developed a priori but was not registered in a systematic review database.</w:t>
      </w:r>
    </w:p>
    <w:p>
      <w:pPr>
        <w:spacing w:before="240" w:after="120"/>
      </w:pPr>
      <w:r>
        <w:rPr>
          <w:b/>
          <w:sz w:val="24"/>
        </w:rPr>
        <w:t>Eligibility Criteria</w:t>
      </w:r>
    </w:p>
    <w:p>
      <w:pPr>
        <w:ind w:firstLine="720"/>
      </w:pPr>
      <w:r>
        <w:rPr>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sz w:val="24"/>
        </w:rPr>
        <w:t>A comprehensive search was conducted across PubMed/MEDLINE, Embase, SPORTDiscus, the Cochrane Library, and Web of Science from January 2018 to March 2026.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"PCOS"). Grey literature searches included the WADA website (wada-ama.org), clinical guideline repositories (NICE Evidence Search, Guidelines International Network), CAS (Court of Arbitration for Sport)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PRISMA-ScR flow diagram illustrating the source selection process.</w:t>
      </w:r>
    </w:p>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sz w:val="24"/>
        </w:rPr>
        <w:t>Consistent with scoping review methodology (14),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2) was developed iteratively as patterns emerged across disease areas, identifying common structural drivers that transcended individual conditions.</w:t>
      </w:r>
    </w:p>
    <w:p/>
    <w:p>
      <w:pPr>
        <w:jc w:val="center"/>
      </w:pPr>
      <w:r>
        <w:drawing>
          <wp:inline xmlns:a="http://schemas.openxmlformats.org/drawingml/2006/main" xmlns:pic="http://schemas.openxmlformats.org/drawingml/2006/picture">
            <wp:extent cx="5486400" cy="4372495"/>
            <wp:docPr id="2" name="Picture 2"/>
            <wp:cNvGraphicFramePr>
              <a:graphicFrameLocks noChangeAspect="1"/>
            </wp:cNvGraphicFramePr>
            <a:graphic>
              <a:graphicData uri="http://schemas.openxmlformats.org/drawingml/2006/picture">
                <pic:pic>
                  <pic:nvPicPr>
                    <pic:cNvPr id="0" name="fig4_conceptual_framework.png"/>
                    <pic:cNvPicPr/>
                  </pic:nvPicPr>
                  <pic:blipFill>
                    <a:blip r:embed="rId10"/>
                    <a:stretch>
                      <a:fillRect/>
                    </a:stretch>
                  </pic:blipFill>
                  <pic:spPr>
                    <a:xfrm>
                      <a:off x="0" y="0"/>
                      <a:ext cx="5486400" cy="4372495"/>
                    </a:xfrm>
                    <a:prstGeom prst="rect"/>
                  </pic:spPr>
                </pic:pic>
              </a:graphicData>
            </a:graphic>
          </wp:inline>
        </w:drawing>
      </w:r>
    </w:p>
    <w:p>
      <w:pPr>
        <w:spacing w:before="280"/>
        <w:jc w:val="center"/>
      </w:pPr>
      <w:r>
        <w:rPr>
          <w:i/>
          <w:sz w:val="20"/>
        </w:rPr>
        <w:t>Figure 2. Conceptual framework: structural drivers of clinical-competition divergence.</w:t>
      </w:r>
    </w:p>
    <w:p/>
    <w:p>
      <w:pPr>
        <w:spacing w:before="240" w:after="120"/>
      </w:pPr>
      <w:r>
        <w:rPr>
          <w:b/>
          <w:sz w:val="28"/>
        </w:rPr>
        <w:t>RESULTS</w:t>
      </w:r>
    </w:p>
    <w:p>
      <w:pPr>
        <w:spacing w:before="240" w:after="120"/>
      </w:pPr>
      <w:r>
        <w:rPr>
          <w:b/>
          <w:sz w:val="24"/>
        </w:rPr>
        <w:t>Source Selection</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3). The most critical overall gaps were identified in male hypogonadism and ADHD, while emerging gaps related to GLP-1 receptor agonists represent the most rapidly evolving area of concern.</w:t>
      </w:r>
    </w:p>
    <w:p/>
    <w:p>
      <w:pPr>
        <w:jc w:val="center"/>
      </w:pPr>
      <w:r>
        <w:drawing>
          <wp:inline xmlns:a="http://schemas.openxmlformats.org/drawingml/2006/main" xmlns:pic="http://schemas.openxmlformats.org/drawingml/2006/picture">
            <wp:extent cx="5486400" cy="3174154"/>
            <wp:docPr id="3" name="Picture 3"/>
            <wp:cNvGraphicFramePr>
              <a:graphicFrameLocks noChangeAspect="1"/>
            </wp:cNvGraphicFramePr>
            <a:graphic>
              <a:graphicData uri="http://schemas.openxmlformats.org/drawingml/2006/picture">
                <pic:pic>
                  <pic:nvPicPr>
                    <pic:cNvPr id="0" name="fig2_gap_heatmap.png"/>
                    <pic:cNvPicPr/>
                  </pic:nvPicPr>
                  <pic:blipFill>
                    <a:blip r:embed="rId11"/>
                    <a:stretch>
                      <a:fillRect/>
                    </a:stretch>
                  </pic:blipFill>
                  <pic:spPr>
                    <a:xfrm>
                      <a:off x="0" y="0"/>
                      <a:ext cx="5486400" cy="3174154"/>
                    </a:xfrm>
                    <a:prstGeom prst="rect"/>
                  </pic:spPr>
                </pic:pic>
              </a:graphicData>
            </a:graphic>
          </wp:inline>
        </w:drawing>
      </w:r>
    </w:p>
    <w:p>
      <w:pPr>
        <w:spacing w:before="280"/>
        <w:jc w:val="center"/>
      </w:pPr>
      <w:r>
        <w:rPr>
          <w:i/>
          <w:sz w:val="20"/>
        </w:rPr>
        <w:t>Figure 3. Clinical-competition gap risk matrix by disease area and assessment dimension.</w:t>
      </w:r>
    </w:p>
    <w:p/>
    <w:p>
      <w:pPr>
        <w:spacing w:before="240" w:after="120"/>
      </w:pPr>
      <w:r>
        <w:rPr>
          <w:b/>
          <w:sz w:val="24"/>
        </w:rPr>
        <w:t>Asthma and Beta-2 Agonists</w:t>
      </w:r>
    </w:p>
    <w:p>
      <w:pPr>
        <w:ind w:firstLine="720"/>
      </w:pPr>
      <w:r>
        <w:rPr>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(7). Under this approach, patients use a single ICS-formoterol inhaler for both daily maintenance and as-needed symptom relief, replacing the traditional model of a separate short-acting beta-2 agonist (SABA) reliever.</w:t>
      </w:r>
    </w:p>
    <w:p>
      <w:pPr>
        <w:ind w:firstLine="720"/>
      </w:pPr>
      <w:r>
        <w:rPr>
          <w:sz w:val="24"/>
        </w:rPr>
        <w:t>WADA permits inhaled formoterol without a TUE provided the total delivered dose does not exceed 54 μg per 24 hours (with a subsidiary limit of 36 μg per 12 hours), and a urinary threshold of 40 ng/mL applies (24).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(1, 25).</w:t>
      </w:r>
    </w:p>
    <w:p>
      <w:pPr>
        <w:ind w:firstLine="720"/>
      </w:pPr>
      <w:r>
        <w:rPr>
          <w:sz w:val="24"/>
        </w:rPr>
        <w:t>An additional concern is that WADA's permissive approach to inhaled salbutamol (albuterol) without TUE creates an unintended incentive for athletes to rely on SABA monotherapy—a practice GINA 2025 explicitly recommends against at any severity step due to increased risk of severe exacerbations and asthma-related death (7). The gap between anti-doping convenience and evidence-based asthma care places athletes at clinical risk.</w:t>
      </w:r>
    </w:p>
    <w:p>
      <w:pPr>
        <w:ind w:firstLine="720"/>
      </w:pPr>
      <w:r>
        <w:rPr>
          <w:sz w:val="24"/>
        </w:rPr>
        <w:t>The salbutamol threshold itself presents an additional compliance risk that warrants attention. WADA permits inhaled salbutamol up to 1600 μg per 24 hours (with a subsidiary limit of 800 μg per 8 hours), and applies a urine decision limit of 1000 ng/mL (24).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such cases, the burden of proof falls on the athlete, and the process introduces uncertainty and administrative stress that may influence treatment decisions (1, 24, 25).</w:t>
      </w:r>
    </w:p>
    <w:p>
      <w:pPr>
        <w:spacing w:before="240" w:after="120"/>
      </w:pPr>
      <w:r>
        <w:rPr>
          <w:b/>
          <w:sz w:val="24"/>
        </w:rPr>
        <w:t>Attention-Deficit/Hyperactivity Disorder (ADHD)</w:t>
      </w:r>
    </w:p>
    <w:p>
      <w:pPr>
        <w:ind w:firstLine="720"/>
      </w:pPr>
      <w:r>
        <w:rPr>
          <w:sz w:val="24"/>
        </w:rPr>
        <w:t>All major clinical guidelines—NICE (2024), the Australian ADHD Guideline (2022), and APA recommendations—designate stimulant medications as first-line pharmacotherapy for ADHD in both children and adults (4, 12, 15).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inadequate response (4).</w:t>
      </w:r>
    </w:p>
    <w:p>
      <w:pPr>
        <w:ind w:firstLine="720"/>
      </w:pPr>
      <w:r>
        <w:rPr>
          <w:sz w:val="24"/>
        </w:rPr>
        <w:t>Under WADA regulations, all stimulant medications for ADHD are prohibited in-competition: amphetamines as non-specified stimulants (S6.A) and methylphenidate as a specified stimulant (S6.B) (24). Notably, these substances are permitted out-of-competition.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(Concerta) and lisdexamfetamine (Vyvanse) are specifically designed to provide consistent 10–14 hour coverage, and abrupt discontinuation can produce withdrawal symptoms and acute cognitive deterioration (26).</w:t>
      </w:r>
    </w:p>
    <w:p>
      <w:pPr>
        <w:ind w:firstLine="720"/>
      </w:pPr>
      <w:r>
        <w:rPr>
          <w:sz w:val="24"/>
        </w:rPr>
        <w:t>The TUE application process for stimulant medications requires comprehensive neuropsychological evaluation, documentation of childhood-onset symptoms per DSM-5 criteria, evidence that non-stimulant alternatives have been trialed, and ongoing monitoring (23).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effectively delay access to optimal treatment.</w:t>
      </w:r>
    </w:p>
    <w:p>
      <w:pPr>
        <w:ind w:firstLine="720"/>
      </w:pPr>
      <w:r>
        <w:rPr>
          <w:sz w:val="24"/>
        </w:rPr>
        <w:t>The prevalence of ADHD among elite athletes has been estimated at 7–8%, which is comparable to or slightly higher than the general adult population prevalence of 5–7% (16). This suggests that the ADHD-TUE gap affects a substantial number of competitive athletes worldwide. Data from Vernec et al. (21)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sz w:val="24"/>
        </w:rPr>
        <w:t>Critically, TUE access for stimulant medications is not uniformly available across all competitive tiers and jurisdictions. While the ISTUE applies in principle to all athletes subject to anti-doping rules, practical implementation varies by NADO and sport. In some jurisdictions, TUE submissions may be operationally restricted to athletes who have achieved elite-level results or who have prior anti-doping rule violations, effectively excluding emerging competitors from the TUE pathway. Moreover, few athletes have access to physicians with expertise in both anti-doping regulations and ADHD pharmacotherapy, meaning that many rely on general practitioners who may be unfamiliar with TUE requirements. The practical effect is that emerging athletes diagnosed with ADHD—who may most need the structured support that sport and training provide—face compounded barriers: limited access to the TUE pathway, limited access to knowledgeable physicians, and the psychological stress of navigating a system that may ultimately deny them guideline-directed first-line pharmacotherapy.</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sz w:val="24"/>
        </w:rPr>
        <w:t>Currently, GLP-1 receptor agonists are not on the WADA Prohibited List and do not require a TUE. However, semaglutide and tirzepatide were placed on the WADA Monitoring Program in 2024, indicating active surveillance for potential future prohibition (27). The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27).</w:t>
      </w:r>
    </w:p>
    <w:p>
      <w:pPr>
        <w:ind w:firstLine="720"/>
      </w:pPr>
      <w:r>
        <w:rPr>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(e.g., rugby, American football, powerlifting) amplifies the potential impact of any future prohibition of these agents (2).</w:t>
      </w:r>
    </w:p>
    <w:p>
      <w:pPr>
        <w:spacing w:before="240" w:after="120"/>
      </w:pPr>
      <w:r>
        <w:rPr>
          <w:b/>
          <w:sz w:val="24"/>
        </w:rPr>
        <w:t>Male Hypogonadism and Testosterone Replacement</w:t>
      </w:r>
    </w:p>
    <w:p>
      <w:pPr>
        <w:ind w:firstLine="720"/>
      </w:pPr>
      <w:r>
        <w:rPr>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(6). The TRAVERSE trial (2023) provided landmark evidence that TRT does not increase major adverse cardiovascular events in men aged 45–80 with hypogonadism, removing a major historical safety concern (11).</w:t>
      </w:r>
    </w:p>
    <w:p>
      <w:pPr>
        <w:ind w:firstLine="720"/>
      </w:pPr>
      <w:r>
        <w:rPr>
          <w:sz w:val="24"/>
        </w:rPr>
        <w:t>In contrast, WADA's TUE Physician Guidelines for male hypogonadism explicitly state that "TUE should only be granted for organic causes of hypogonadism" and that "functional hypogonadism should not be granted a TUE" (23). This distinction excludes: age-related testosterone decline (LOH), obesity-associated hypogonadism, opioid-induced hypogonadism, and hypothalamic dysfunction from overtraining—all conditions for which clinical guidelines may recommend TRT after conservative measures fail. The growing masters athlete population (age &gt;40), estimated at millions worldwide competing in organized events, is disproportionately affected by this gap.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23).</w:t>
      </w:r>
    </w:p>
    <w:p>
      <w:pPr>
        <w:ind w:firstLine="720"/>
      </w:pPr>
      <w:r>
        <w:rPr>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(11).</w:t>
      </w:r>
    </w:p>
    <w:p>
      <w:pPr>
        <w:spacing w:before="240" w:after="120"/>
      </w:pPr>
      <w:r>
        <w:rPr>
          <w:b/>
          <w:sz w:val="24"/>
        </w:rPr>
        <w:t>Glucocorticoid Administration</w:t>
      </w:r>
    </w:p>
    <w:p>
      <w:pPr>
        <w:ind w:firstLine="720"/>
      </w:pPr>
      <w:r>
        <w:rPr>
          <w:sz w:val="24"/>
        </w:rPr>
        <w:t>Since 2022, WADA has prohibited all routes of glucocorticoid (GC) administration in-competition, including intra-articular injections that were previously permitted (24, 28). Washout periods were introduced: 3 days for most oral GCs, 10 days for oral triamcinolone, 5 days for intramuscular betamethasone/dexamethasone, and 60 days for intramuscular triamcinolone acetonide (29). Additionally, the 2026 modifications note that sustained-release formulations may produce detectable GC levels beyond published washout periods (24).</w:t>
      </w:r>
    </w:p>
    <w:p>
      <w:pPr>
        <w:ind w:firstLine="720"/>
      </w:pPr>
      <w:r>
        <w:rPr>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(28, 29).</w:t>
      </w:r>
    </w:p>
    <w:p>
      <w:pPr>
        <w:spacing w:before="240" w:after="120"/>
      </w:pPr>
      <w:r>
        <w:rPr>
          <w:b/>
          <w:sz w:val="24"/>
        </w:rPr>
        <w:t>Cardiovascular Disease: Diuretics and Beta-Blockers</w:t>
      </w:r>
    </w:p>
    <w:p>
      <w:pPr>
        <w:ind w:firstLine="720"/>
      </w:pPr>
      <w:r>
        <w:rPr>
          <w:sz w:val="24"/>
        </w:rPr>
        <w:t>Heart failure management, as outlined in the 2021 ESC Guidelines and subsequent updates, relies on four foundational drug classes ("Fantastic Four"): ACE inhibitors/ARNi, beta-blockers, mineralocorticoid receptor antagonists (MRAs such as spironolactone and eplerenone), and SGLT2 inhibitors (12, 13). Of these, MRAs are prohibited under WADA category S5 (diuretics and masking agents), as are loop diuretics (furosemide) essential for congestion management and thiazide diuretics used in hypertension treatment (24).</w:t>
      </w:r>
    </w:p>
    <w:p>
      <w:pPr>
        <w:ind w:firstLine="720"/>
      </w:pPr>
      <w:r>
        <w:rPr>
          <w:sz w:val="24"/>
        </w:rPr>
        <w:t>The blanket prohibition of all diuretics—based on their potential as masking agents—does not differentiate between agents used for weight manipulation or masking and those prescribed for life-threatening conditions such as heart failure. An athlete with heart failure on guideline-directed medical therapy must either forgo a pillar of standard treatment or navigate the TUE process for spironolactone. Beta-blockers, while not universally prohibited, are banned in-competition in precision sports (shooting, archery, golf, billiards, automotive sports). A masters shooting athlete diagnosed with atrial fibrillation faces particular difficulty, as beta-blockers are first-line rate control therapy, yet CAS precedent (2009, 2013) has established a high bar for TUE approval in sports where these agents could reduce tremor (13, 24).</w:t>
      </w:r>
    </w:p>
    <w:p>
      <w:pPr>
        <w:spacing w:before="240" w:after="120"/>
      </w:pPr>
      <w:r>
        <w:rPr>
          <w:b/>
          <w:sz w:val="24"/>
        </w:rPr>
        <w:t>PCOS and Female Fertility Treatment</w:t>
      </w:r>
    </w:p>
    <w:p>
      <w:pPr>
        <w:ind w:firstLine="720"/>
      </w:pPr>
      <w:r>
        <w:rPr>
          <w:sz w:val="24"/>
        </w:rPr>
        <w:t>The 2023 International Evidence-Based PCOS Guideline and WHO recommendations position letrozole as the first-line ovulation induction agent for PCOS-related infertility, with clomiphene as second-line (18). Both agents are always prohibited under WADA category S4 (anti-estrogens and aromatase inhibitors) (24). 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(18, 23).</w:t>
      </w:r>
    </w:p>
    <w:p>
      <w:pPr>
        <w:spacing w:before="240" w:after="120"/>
      </w:pPr>
      <w:r>
        <w:rPr>
          <w:b/>
          <w:sz w:val="24"/>
        </w:rPr>
        <w:t>Cross-Cutting Analysis: Structural Drivers of Divergence</w:t>
      </w:r>
    </w:p>
    <w:p>
      <w:pPr>
        <w:ind w:firstLine="720"/>
      </w:pPr>
      <w:r>
        <w:rPr>
          <w:sz w:val="24"/>
        </w:rPr>
        <w:t>Three structural factors underlie the identified gaps (Figure 4).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(Table 1).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(23, 24, 27).</w:t>
      </w:r>
    </w:p>
    <w:p>
      <w:pPr>
        <w:ind w:firstLine="720"/>
      </w:pPr>
      <w:r>
        <w:rPr>
          <w:sz w:val="24"/>
        </w:rPr>
        <w:t>The temporal mismatch is particularly well illustrated by comparing update frequencies. GINA has published annual updates every year since 2014, with major revisions in 2019 (abolishing Step 1 SABA-only treatment) and 2025 (establishing the two-track system). The ADA Standards of Care is updated annually with a comprehensive revision cycle. In contrast, some WADA TUE Physician Guidelines have remained unchanged for 3–4 years despite significant clinical developments in the corresponding disease area. The Prohibited List itself is updated annually, but the TUE guidance documents that inform clinical decision-making follow a separate, less predictable revision schedule. This creates a window during which newly recommended first-line therapies may conflict with TUE guidance that has not yet incorporated the new evidence (23, 24).</w:t>
      </w:r>
    </w:p>
    <w:p/>
    <w:p>
      <w:pPr>
        <w:jc w:val="center"/>
      </w:pPr>
      <w:r>
        <w:drawing>
          <wp:inline xmlns:a="http://schemas.openxmlformats.org/drawingml/2006/main" xmlns:pic="http://schemas.openxmlformats.org/drawingml/2006/picture">
            <wp:extent cx="5486400" cy="2333570"/>
            <wp:docPr id="4" name="Picture 4"/>
            <wp:cNvGraphicFramePr>
              <a:graphicFrameLocks noChangeAspect="1"/>
            </wp:cNvGraphicFramePr>
            <a:graphic>
              <a:graphicData uri="http://schemas.openxmlformats.org/drawingml/2006/picture">
                <pic:pic>
                  <pic:nvPicPr>
                    <pic:cNvPr id="0" name="fig3_timeline.png"/>
                    <pic:cNvPicPr/>
                  </pic:nvPicPr>
                  <pic:blipFill>
                    <a:blip r:embed="rId12"/>
                    <a:stretch>
                      <a:fillRect/>
                    </a:stretch>
                  </pic:blipFill>
                  <pic:spPr>
                    <a:xfrm>
                      <a:off x="0" y="0"/>
                      <a:ext cx="5486400" cy="2333570"/>
                    </a:xfrm>
                    <a:prstGeom prst="rect"/>
                  </pic:spPr>
                </pic:pic>
              </a:graphicData>
            </a:graphic>
          </wp:inline>
        </w:drawing>
      </w:r>
    </w:p>
    <w:p>
      <w:pPr>
        <w:spacing w:before="280"/>
        <w:jc w:val="center"/>
      </w:pPr>
      <w:r>
        <w:rPr>
          <w:i/>
          <w:sz w:val="20"/>
        </w:rPr>
        <w:t>Figure 4. Timeline of clinical guideline updates versus WADA TUE regulatory changes (2018–2026).</w:t>
      </w:r>
    </w:p>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PCOS where stigma compounds procedural barriers. Geographic disparities in TUE access further exacerbate these issues, as athletes in resource-limited settings face greater difficulty obtaining specialist evaluations and documentation required for TUE applications (21, 23).</w:t>
      </w:r>
    </w:p>
    <w:p>
      <w:pPr>
        <w:ind w:firstLine="720"/>
      </w:pPr>
      <w:r>
        <w:rPr>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(9). These ambiguities create uncertainty for both clinicians and TUE committees, potentially leading to inconsistent decisions across jurisdictions.</w:t>
      </w:r>
    </w:p>
    <w:p>
      <w:pPr>
        <w:ind w:firstLine="720"/>
      </w:pPr>
      <w:r>
        <w:rPr>
          <w:sz w:val="24"/>
        </w:rPr>
        <w:t>The findings of this review align with and extend previous work in the field. Heuberger and Cohen (8)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(17)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(21) take on additional significance when considered alongside our finding that some disease areas (e.g., ADHD, hypogonadism) require particularly complex and well-documented TUE applications.</w:t>
      </w:r>
    </w:p>
    <w:p>
      <w:pPr>
        <w:ind w:firstLine="720"/>
      </w:pPr>
      <w:r>
        <w:rPr>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This tension is particularly acute for physician-athletes (such as the author of this review), who experience the dual perspective of clinician and competitor. S&amp;C professionals, while not prescribers, share in this ethical responsibility through their role in monitoring athlete well-being and advocating for appropriate medical care.</w:t>
      </w:r>
    </w:p>
    <w:p>
      <w:pPr>
        <w:ind w:firstLine="720"/>
      </w:pPr>
      <w:r>
        <w:rPr>
          <w:sz w:val="24"/>
        </w:rPr>
        <w:t>A fundamental reframing of the issue is warranted. The current system operates on the premise that prohibited substances are the default, and athletes must petition for exceptions through the TUE process to receive evidence-based treatment. We argue that the logic should be inverted: standard clinical treatment should be the baseline entitlement for all athletes, with restrictions applied only where a specific substance confers a clear, demonstrated performance advantage beyond therapeutic restoration. The existence of a TUE pathway does not, in itself, resolve the clinical-competition gap—it merely creates a bureaucratic mechanism that many athletes cannot effectively access. Few athletes have access to sports medicine physicians with expertise in both anti-doping regulations and the pharmacotherapy of their specific condition; the majority are treated by general practitioners or specialists who may be unfamiliar with WADA rules, the Prohibited List, or the TUE application process. The treatment burden imposed on athletes—navigating complex regulations, securing specialist documentation, managing anxiety about potential ADRVs, and accepting suboptimal treatment to avoid regulatory conflict—constitutes a significant and under-recognized source of psychological stress that may itself impair athletic performance and well-being (16, 20, 21).</w:t>
      </w:r>
    </w:p>
    <w:p>
      <w:pPr>
        <w:ind w:firstLine="720"/>
      </w:pPr>
      <w:r>
        <w:rPr>
          <w:sz w:val="24"/>
        </w:rPr>
        <w:t>The variability in TUE access across jurisdictions adds an equity dimension to the clinical-competition gap that has received insufficient attention. While WADA's International Standard establishes universal TUE criteria, implementation by NADOs and International Federations is not uniform. In some jurisdictions, TUE access may be operationally restricted to athletes with prior elite-level placements or anti-doping violations—effectively creating a two-tier system where medical treatment rights during competition depend on competitive achievement rather than clinical need. This jurisdictional variability is compounded by the scarcity of physicians with expertise in both anti-doping regulations and evidence-based pharmacotherapy: few athletes have access to sports medicine specialists who can competently navigate the TUE application process for their specific condition. The majority are treated by general practitioners or organ-specific specialists unfamiliar with the Prohibited List, TUE criteria, or the documentation requirements. This dual barrier—restricted TUE access and limited physician expertise—means that the clinical-competition gap manifests as unequal access to standard care for athletes in different countries, sports, and competitive tiers. The treatment stress imposed on athletes—regulatory uncertainty, administrative burden, and psychological distress from navigating these systems—may itself impair athletic performance, deter sport participation, and narrow the competitive base. The implications are particularly concerning for athletes in less-resourced NADOs, emerging sports, and sub-elite competitive categories, where both TUE infrastructure and physician expertise may be underdeveloped. Addressing the clinical-competition gap therefore requires not only harmonization of TUE criteria with clinical evidence but also standardization of TUE access mechanisms across jurisdictions (21, 23).</w:t>
      </w:r>
    </w:p>
    <w:p>
      <w:pPr>
        <w:ind w:firstLine="720"/>
      </w:pPr>
      <w:r>
        <w:rPr>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 Finally, the jurisdictional TUE access observations are drawn in part from the author's direct experience in a single NADO and sport context; systematic study of TUE implementation variability across NADOs and sports is warranted.</w:t>
      </w:r>
    </w:p>
    <w:p>
      <w:pPr>
        <w:spacing w:before="240" w:after="120"/>
      </w:pPr>
      <w:r>
        <w:rPr>
          <w:b/>
          <w:sz w:val="28"/>
        </w:rPr>
        <w:t>PRACTICAL APPLICATIONS</w:t>
      </w:r>
    </w:p>
    <w:p>
      <w:pPr>
        <w:ind w:firstLine="720"/>
      </w:pPr>
      <w:r>
        <w:rPr>
          <w:sz w:val="24"/>
        </w:rPr>
        <w:t>The findings of this review have direct implications for strength and conditioning professionals who work closely with athletes managing medical conditions. The gap severity across disease areas and assessment dimensions (Figure 5) underscores the breadth of clinical-competition discrepancies that may affect athletes under S&amp;C supervision. The following practical recommendations are offered:</w:t>
      </w:r>
    </w:p>
    <w:p>
      <w:pPr>
        <w:ind w:left="720" w:hanging="357"/>
      </w:pPr>
      <w:r>
        <w:rPr>
          <w:sz w:val="24"/>
        </w:rPr>
        <w:t xml:space="preserve">• </w:t>
      </w:r>
      <w:r>
        <w:rPr>
          <w:b/>
          <w:sz w:val="24"/>
        </w:rPr>
        <w:t xml:space="preserve">Recognize medication-related performance changes. </w:t>
      </w:r>
      <w:r>
        <w:rPr>
          <w:sz w:val="24"/>
        </w:rPr>
        <w:t>S&amp;C professionals should be aware that athletes transitioning between medications due to TUE constraints may experience performance fluctuations. An athlete switching from a stimulant to a non-stimulant ADHD medication may show decreased focus during training. An athlete discontinuing testosterone replacement may experience fatigue, decreased recovery capacity, and mood changes. Adjusting training load and expectations during medication transitions is essential.</w:t>
      </w:r>
    </w:p>
    <w:p>
      <w:pPr>
        <w:ind w:left="720" w:hanging="357"/>
      </w:pPr>
      <w:r>
        <w:rPr>
          <w:sz w:val="24"/>
        </w:rPr>
        <w:t xml:space="preserve">• </w:t>
      </w:r>
      <w:r>
        <w:rPr>
          <w:b/>
          <w:sz w:val="24"/>
        </w:rPr>
        <w:t xml:space="preserve">Understand the TUE timeline. </w:t>
      </w:r>
      <w:r>
        <w:rPr>
          <w:sz w:val="24"/>
        </w:rPr>
        <w:t>TUE applications can take 21–30 days for processing. S&amp;C professionals should encourage athletes to initiate the TUE process well before competitive seasons. For athletes with chronic conditions (asthma, ADHD, diabetes), annual TUE renewal should be incorporated into pre-season planning alongside periodization.</w:t>
      </w:r>
    </w:p>
    <w:p>
      <w:pPr>
        <w:ind w:left="720" w:hanging="357"/>
      </w:pPr>
      <w:r>
        <w:rPr>
          <w:sz w:val="24"/>
        </w:rPr>
        <w:t xml:space="preserve">• </w:t>
      </w:r>
      <w:r>
        <w:rPr>
          <w:b/>
          <w:sz w:val="24"/>
        </w:rPr>
        <w:t xml:space="preserve">Monitor athletes on permitted alternatives. </w:t>
      </w:r>
      <w:r>
        <w:rPr>
          <w:sz w:val="24"/>
        </w:rPr>
        <w:t>When athletes use second-line medications to avoid TUE requirements (e.g., atomoxetine instead of methylphenidate for ADHD, non-diuretic antihypertensives instead of thiazides), S&amp;C professionals should monitor for suboptimal symptom control that may affect training quality and safety. Unexplained changes in an athlete's focus, energy, respiratory function, or cardiovascular symptoms warrant referral back to the prescribing physician.</w:t>
      </w:r>
    </w:p>
    <w:p>
      <w:pPr>
        <w:ind w:left="720" w:hanging="357"/>
      </w:pPr>
      <w:r>
        <w:rPr>
          <w:sz w:val="24"/>
        </w:rPr>
        <w:t xml:space="preserve">• </w:t>
      </w:r>
      <w:r>
        <w:rPr>
          <w:b/>
          <w:sz w:val="24"/>
        </w:rPr>
        <w:t xml:space="preserve">Support asthma management beyond SABA. </w:t>
      </w:r>
      <w:r>
        <w:rPr>
          <w:sz w:val="24"/>
        </w:rPr>
        <w:t>S&amp;C professionals should understand that modern asthma guidelines (GINA 2025) recommend against SABA-only treatment. Athletes with asthma should be encouraged to follow their physician's prescribed controller regimen (typically ICS-formoterol MART), even though SABA alone is more "convenient" from an anti-doping perspective. Proper inhaler technique and pre-exercise medication timing should be part of the training environment.</w:t>
      </w:r>
    </w:p>
    <w:p>
      <w:pPr>
        <w:ind w:left="720" w:hanging="357"/>
      </w:pPr>
      <w:r>
        <w:rPr>
          <w:sz w:val="24"/>
        </w:rPr>
        <w:t xml:space="preserve">• </w:t>
      </w:r>
      <w:r>
        <w:rPr>
          <w:b/>
          <w:sz w:val="24"/>
        </w:rPr>
        <w:t xml:space="preserve">Facilitate communication. </w:t>
      </w:r>
      <w:r>
        <w:rPr>
          <w:sz w:val="24"/>
        </w:rPr>
        <w:t>S&amp;C professionals are uniquely positioned to bridge the gap between athletes, physicians, and anti-doping authorities. Maintaining awareness of the WADA Prohibited List (updated annually each January, with a summary of changes available on wada-ama.org) and encouraging athletes to use WADA's medication check tools can prevent inadvertent violations.</w:t>
      </w:r>
    </w:p>
    <w:p>
      <w:pPr>
        <w:ind w:left="720" w:hanging="357"/>
      </w:pPr>
      <w:r>
        <w:rPr>
          <w:sz w:val="24"/>
        </w:rPr>
        <w:t xml:space="preserve">• </w:t>
      </w:r>
      <w:r>
        <w:rPr>
          <w:b/>
          <w:sz w:val="24"/>
        </w:rPr>
        <w:t xml:space="preserve">Address masters athlete concerns. </w:t>
      </w:r>
      <w:r>
        <w:rPr>
          <w:sz w:val="24"/>
        </w:rPr>
        <w:t>The growing masters athlete population faces particular challenges with age-related conditions (hypogonadism, cardiovascular disease, type 2 diabetes). S&amp;C professionals working with masters athletes should proactively discuss medication status and TUE requirements as part of health screening and program design.</w:t>
      </w:r>
    </w:p>
    <w:p>
      <w:pPr>
        <w:ind w:left="720" w:hanging="357"/>
      </w:pPr>
      <w:r>
        <w:rPr>
          <w:sz w:val="24"/>
        </w:rPr>
        <w:t xml:space="preserve">• </w:t>
      </w:r>
      <w:r>
        <w:rPr>
          <w:b/>
          <w:sz w:val="24"/>
        </w:rPr>
        <w:t xml:space="preserve">Advocate for athlete health. </w:t>
      </w:r>
      <w:r>
        <w:rPr>
          <w:sz w:val="24"/>
        </w:rPr>
        <w:t>When S&amp;C professionals observe that anti-doping constraints are negatively affecting an athlete's health or well-being, they should advocate for the athlete to seek appropriate medical care and TUE application, rather than accepting suboptimal treatment as inevitable.</w:t>
      </w:r>
    </w:p>
    <w:p/>
    <w:p>
      <w:pPr>
        <w:jc w:val="center"/>
      </w:pPr>
      <w:r>
        <w:drawing>
          <wp:inline xmlns:a="http://schemas.openxmlformats.org/drawingml/2006/main" xmlns:pic="http://schemas.openxmlformats.org/drawingml/2006/picture">
            <wp:extent cx="5486400" cy="2952925"/>
            <wp:docPr id="5" name="Picture 5"/>
            <wp:cNvGraphicFramePr>
              <a:graphicFrameLocks noChangeAspect="1"/>
            </wp:cNvGraphicFramePr>
            <a:graphic>
              <a:graphicData uri="http://schemas.openxmlformats.org/drawingml/2006/picture">
                <pic:pic>
                  <pic:nvPicPr>
                    <pic:cNvPr id="0" name="fig5_severity_bar.png"/>
                    <pic:cNvPicPr/>
                  </pic:nvPicPr>
                  <pic:blipFill>
                    <a:blip r:embed="rId13"/>
                    <a:stretch>
                      <a:fillRect/>
                    </a:stretch>
                  </pic:blipFill>
                  <pic:spPr>
                    <a:xfrm>
                      <a:off x="0" y="0"/>
                      <a:ext cx="5486400" cy="2952925"/>
                    </a:xfrm>
                    <a:prstGeom prst="rect"/>
                  </pic:spPr>
                </pic:pic>
              </a:graphicData>
            </a:graphic>
          </wp:inline>
        </w:drawing>
      </w:r>
    </w:p>
    <w:p>
      <w:pPr>
        <w:spacing w:before="280"/>
        <w:jc w:val="center"/>
      </w:pPr>
      <w:r>
        <w:rPr>
          <w:i/>
          <w:sz w:val="20"/>
        </w:rPr>
        <w:t>Figure 5. Clinical-competition gap severity by disease area and assessment dimension.</w:t>
      </w:r>
    </w:p>
    <w:p/>
    <w:p>
      <w:pPr>
        <w:spacing w:before="240" w:after="120"/>
      </w:pPr>
      <w:r>
        <w:rPr>
          <w:b/>
          <w:sz w:val="28"/>
        </w:rPr>
        <w:t>RECOMMENDATIONS FOR HARMONIZATION</w:t>
      </w:r>
    </w:p>
    <w:p>
      <w:pPr>
        <w:ind w:firstLine="720"/>
      </w:pPr>
      <w:r>
        <w:rPr>
          <w:sz w:val="24"/>
        </w:rPr>
        <w:t>Based on this review, we propose eight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sz w:val="24"/>
        </w:rPr>
        <w:t xml:space="preserve">2. </w:t>
      </w:r>
      <w:r>
        <w:rPr>
          <w:sz w:val="24"/>
        </w:rPr>
        <w:t>Re-evaluate the organic/functional distinction for male hypogonadism TUEs in light of the Endocrine Society’s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CONCLUSION</w:t>
      </w:r>
    </w:p>
    <w:p>
      <w:pPr>
        <w:ind w:firstLine="720"/>
      </w:pPr>
      <w:r>
        <w:rPr>
          <w:sz w:val="24"/>
        </w:rPr>
        <w:t>This scoping review identified systematic discrepancies between WADA TUE regulations and current clinical practice guidelines across seven major disease areas. These gaps arise from structural mismatches in update timing, diagnostic and treatment criteria, and the pace of pharmaceutical innovation. The consequences fall disproportionately on athletes, who may receive suboptimal care, face burdensome administrative processes, or risk inadvertent anti-doping violations when following evidence-based treatment recommendations.</w:t>
      </w:r>
    </w:p>
    <w:p>
      <w:pPr>
        <w:ind w:firstLine="720"/>
      </w:pPr>
      <w:r>
        <w:rPr>
          <w:sz w:val="24"/>
        </w:rPr>
        <w:t>The TUE system remains essential for balancing athlete health with sporting integrity. However, its effectiveness depends on alignment with current medical evidence. The recommendations proposed in this review offer a practical roadmap for harmonization that preserves anti-doping principles while ensuring athletes have access to the standard of medical care available to the general population. S&amp;C professionals, as daily points of contact with athletes, play a critical role in recognizing, navigating, and advocating for solutions to the clinical-competition gap.</w:t>
      </w:r>
    </w:p>
    <w:p>
      <w:r>
        <w:br w:type="page"/>
      </w:r>
    </w:p>
    <w:p>
      <w:pPr>
        <w:spacing w:before="240" w:after="120"/>
      </w:pPr>
      <w:r>
        <w:rPr>
          <w:b/>
          <w:sz w:val="28"/>
        </w:rPr>
        <w:t>REFERENCES</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