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FF0000"/>
          <w:sz w:val="28"/>
        </w:rPr>
        <w:t>MARKED REVISION FILE</w:t>
      </w:r>
    </w:p>
    <w:p>
      <w:pPr>
        <w:jc w:val="center"/>
      </w:pPr>
      <w:r>
        <w:rPr>
          <w:i/>
          <w:color w:val="FF0000"/>
          <w:sz w:val="22"/>
        </w:rPr>
        <w:t>New and substantially modified text is shown in red. Minor wording, citation renumbering, and reference list changes are not individually marked.</w:t>
      </w:r>
    </w:p>
    <w:p>
      <w:r>
        <w:br w:type="page"/>
      </w:r>
    </w:p>
    <w:p>
      <w:pPr>
        <w:jc w:val="center"/>
      </w:pPr>
      <w:r>
        <w:rPr>
          <w:b/>
          <w:color w:val="FF0000"/>
          <w:sz w:val="28"/>
        </w:rPr>
        <w:t>Mind the Gap: A Scoping Review of Discrepancies Between WADA Therapeutic Use Exemptions and Current Clinical Practice Guidelines</w:t>
      </w:r>
    </w:p>
    <w:p/>
    <w:p>
      <w:pPr>
        <w:jc w:val="center"/>
      </w:pPr>
      <w:r>
        <w:rPr>
          <w:sz w:val="24"/>
        </w:rPr>
        <w:t>[Author Name], MD, CSCS</w:t>
      </w:r>
    </w:p>
    <w:p/>
    <w:p>
      <w:pPr>
        <w:jc w:val="center"/>
      </w:pPr>
      <w:r>
        <w:rPr>
          <w:i/>
          <w:sz w:val="20"/>
        </w:rPr>
        <w:t>[Institutional Affiliation]</w:t>
      </w:r>
    </w:p>
    <w:p>
      <w:pPr>
        <w:jc w:val="center"/>
      </w:pPr>
      <w:r>
        <w:rPr>
          <w:i/>
          <w:sz w:val="20"/>
        </w:rPr>
        <w:t>[Department/Division]</w:t>
      </w:r>
    </w:p>
    <w:p>
      <w:pPr>
        <w:jc w:val="center"/>
      </w:pPr>
      <w:r>
        <w:rPr>
          <w:i/>
          <w:sz w:val="20"/>
        </w:rPr>
        <w:t>[City, Country]</w:t>
      </w:r>
    </w:p>
    <w:p/>
    <w:p>
      <w:r>
        <w:rPr>
          <w:b/>
          <w:sz w:val="20"/>
        </w:rPr>
        <w:t xml:space="preserve">Current Position: </w:t>
      </w:r>
      <w:r>
        <w:rPr>
          <w:sz w:val="20"/>
        </w:rPr>
        <w:t>[Author Name], MD, CSCS, is a physician and NSCA-certified strength and conditioning specialist at [Institution].</w:t>
      </w:r>
    </w:p>
    <w:p/>
    <w:p>
      <w:r>
        <w:rPr>
          <w:b/>
          <w:sz w:val="20"/>
        </w:rPr>
        <w:t xml:space="preserve">Corresponding Author: </w:t>
      </w:r>
      <w:r>
        <w:rPr>
          <w:sz w:val="20"/>
        </w:rPr>
        <w:t>[Author Name], MD, CSCS</w:t>
        <w:br/>
        <w:t>[Address]</w:t>
        <w:br/>
        <w:t>Email: [email]</w:t>
        <w:br/>
        <w:t>Telephone: [phone]</w:t>
      </w:r>
    </w:p>
    <w:p>
      <w:r>
        <w:br w:type="page"/>
      </w:r>
    </w:p>
    <w:p>
      <w:pPr>
        <w:jc w:val="center"/>
      </w:pPr>
      <w:r>
        <w:rPr>
          <w:b/>
          <w:color w:val="FF0000"/>
          <w:sz w:val="28"/>
        </w:rPr>
        <w:t>Mind the Gap: A Scoping Review of Discrepancies Between WADA Therapeutic Use Exemptions and Current Clinical Practice Guidelines</w:t>
      </w:r>
    </w:p>
    <w:p/>
    <w:p>
      <w:r>
        <w:rPr>
          <w:b/>
          <w:sz w:val="20"/>
        </w:rPr>
        <w:t xml:space="preserve">Running Head: </w:t>
      </w:r>
      <w:r>
        <w:rPr>
          <w:sz w:val="20"/>
        </w:rPr>
        <w:t>WADA TUE AND CLINICAL GUIDELINE GAPS</w:t>
      </w:r>
    </w:p>
    <w:p/>
    <w:p>
      <w:r>
        <w:rPr>
          <w:b/>
          <w:sz w:val="20"/>
        </w:rPr>
        <w:t xml:space="preserve">Keywords: </w:t>
      </w:r>
      <w:r>
        <w:rPr>
          <w:sz w:val="20"/>
        </w:rPr>
        <w:t>therapeutic use exemption; anti-doping; clinical practice guidelines; scoping review; prohibited list; athlete health</w:t>
      </w:r>
    </w:p>
    <w:p>
      <w:r>
        <w:br w:type="page"/>
      </w:r>
    </w:p>
    <w:p>
      <w:pPr>
        <w:spacing w:before="240" w:after="120"/>
      </w:pPr>
      <w:r>
        <w:rPr>
          <w:b/>
          <w:sz w:val="28"/>
        </w:rPr>
        <w:t>ABSTRACT</w:t>
      </w:r>
    </w:p>
    <w:p>
      <w:r>
        <w:rPr>
          <w:color w:val="FF0000"/>
          <w:sz w:val="24"/>
        </w:rPr>
        <w:t>The World Anti-Doping Agency (WADA) and the Therapeutic Use Exemption (TUE) system permit athletes with legitimate medical conditions to use otherwise prohibited substances when strict medical criteria are met.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polyendocrine metabolic ovarian syndrome (PMOS; formerly polycystic ovary syndrome, PCOS). We identified 68 relevant sources including WADA regulatory documents (n=18), clinical guidelines (n=22), and peer-reviewed articles (n=28). Clinically significant gaps were found in all seven areas, with the most critical discrepancies in male hypogonadism (exclusion of functional etiologies from TUE eligibility), ADHD (in-competition prohibition of first-line stimulant medications),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(S&amp;C) professionals are discussed, including strategies for supporting athletes navigating the TUE process. Recommendations for harmonizing clinical and anti-doping standards are proposed.</w:t>
      </w:r>
    </w:p>
    <w:p>
      <w:r>
        <w:br w:type="page"/>
      </w:r>
    </w:p>
    <w:p>
      <w:pPr>
        <w:spacing w:before="240" w:after="120"/>
      </w:pPr>
      <w:r>
        <w:rPr>
          <w:b/>
          <w:sz w:val="28"/>
        </w:rPr>
        <w:t>INTRODUCTION</w:t>
      </w:r>
    </w:p>
    <w:p>
      <w:pPr>
        <w:ind w:firstLine="720"/>
      </w:pPr>
      <w:r>
        <w:rPr>
          <w:color w:val="FF0000"/>
          <w:sz w:val="24"/>
        </w:rPr>
        <w:t>A Therapeutic Use Exemption (TUE) is the mechanism by which an athlete with a documented medical condition may obtain authorization to use a substance or method on the WADA Prohibited List. The International Standard for Therapeutic Use Exemptions (ISTUE) governs the criteria and procedures for granting TUEs (34). WADA's stated objective is to permit athletes to receive appropriate medical care while competing, provided such use would produce no additional enhancement of performance beyond a return to normal health, no reasonable permitted therapeutic alternative exists, and the necessity is not a consequence of prior prohibited substance use (33, 34).</w:t>
      </w:r>
    </w:p>
    <w:p>
      <w:pPr>
        <w:ind w:firstLine="720"/>
      </w:pPr>
      <w:r>
        <w:rPr>
          <w:color w:val="FF0000"/>
          <w:sz w:val="24"/>
        </w:rPr>
        <w:t>WADA maintains the Prohibited List, an annually updated catalogue of substances and methods banned in sport, and publishes disease-specific TUE Physician Guidelines, described as living documents subject to periodic revision (35, 36). 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(2, 5, 10, 18, 20).</w:t>
      </w:r>
    </w:p>
    <w:p>
      <w:pPr>
        <w:ind w:firstLine="720"/>
      </w:pPr>
      <w:r>
        <w:rPr>
          <w:color w:val="FF0000"/>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S&amp;C practitioners.</w:t>
      </w:r>
    </w:p>
    <w:p>
      <w:pPr>
        <w:ind w:firstLine="720"/>
      </w:pPr>
      <w:r>
        <w:rPr>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color w:val="FF0000"/>
          <w:sz w:val="24"/>
        </w:rPr>
        <w:t>Previous studies have examined individual aspects of this problem. Allen et al. (1) reviewed anti-doping policy implications for asthmatic athletes, while Vernec et al. (31) described the TUE process itself. Heuberger and Cohen (12) questioned the evidence base for performance-enhancing effects of many prohibited substances, and Overbye and Wagner (21) documented athlete experiences with the anti-doping system. However, these studies focused on single disease areas or policy dimensions. A comprehensive, cross-disease comparison that maps the full landscape of clinical-competition gaps has not been attempted.</w:t>
      </w:r>
    </w:p>
    <w:p>
      <w:pPr>
        <w:ind w:firstLine="720"/>
      </w:pPr>
      <w:r>
        <w:rPr>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color w:val="FF0000"/>
          <w:sz w:val="24"/>
        </w:rPr>
        <w:t>A further dimension of this gap is the variability in TUE access across jurisdictions, sports, and competitive tiers. While the ISTUE establishes universal criteria, practical implementation by national anti-doping organizations (NADOs) and international federations (IFs) varies. Athlete surveys and TUE guidance documents indicate that some NADOs require proof of national-team status, international results, or prior anti-doping testing before accepting TUE applications, creating de facto barriers for emerging, sub-elite, and recreational athletes (21, 32, 34). Systematic data on application eligibility by competitive tier are limited, but the documented variation in TUE approval rates across sports and Olympic Games suggests that access is not uniform (32).</w:t>
      </w:r>
    </w:p>
    <w:p>
      <w:pPr>
        <w:spacing w:before="240" w:after="120"/>
      </w:pPr>
      <w:r>
        <w:rPr>
          <w:b/>
          <w:sz w:val="28"/>
        </w:rPr>
        <w:t>METHODS</w:t>
      </w:r>
    </w:p>
    <w:p>
      <w:pPr>
        <w:spacing w:before="240" w:after="120"/>
      </w:pPr>
      <w:r>
        <w:rPr>
          <w:b/>
          <w:sz w:val="24"/>
        </w:rPr>
        <w:t>Protocol and Registration</w:t>
      </w:r>
    </w:p>
    <w:p>
      <w:pPr>
        <w:ind w:firstLine="720"/>
      </w:pPr>
      <w:r>
        <w:rPr>
          <w:color w:val="FF0000"/>
          <w:sz w:val="24"/>
        </w:rPr>
        <w:t>This scoping review was conducted in accordance with the PRISMA-ScR (Preferred Reporting Items for Systematic Reviews and Meta-Analyses extension for Scoping Reviews) guidelines (28) and followed the methodological framework outlined by Arksey and O'Malley (3) as refined by Levac et al. (15). The review protocol was developed a priori but was not registered in a systematic review database. A completed PRISMA-ScR checklist is provided as a supplementary file.</w:t>
      </w:r>
    </w:p>
    <w:p>
      <w:pPr>
        <w:spacing w:before="240" w:after="120"/>
      </w:pPr>
      <w:r>
        <w:rPr>
          <w:b/>
          <w:sz w:val="24"/>
        </w:rPr>
        <w:t>Eligibility Criteria</w:t>
      </w:r>
    </w:p>
    <w:p>
      <w:pPr>
        <w:ind w:firstLine="720"/>
      </w:pPr>
      <w:r>
        <w:rPr>
          <w:color w:val="FF0000"/>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or 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b/>
          <w:sz w:val="24"/>
        </w:rPr>
        <w:t>Information Sources and Search Strategy</w:t>
      </w:r>
    </w:p>
    <w:p>
      <w:pPr>
        <w:ind w:firstLine="720"/>
      </w:pPr>
      <w:r>
        <w:rPr>
          <w:color w:val="FF0000"/>
          <w:sz w:val="24"/>
        </w:rPr>
        <w:t>A comprehensive search was conducted across PubMed/MEDLINE (n=312), Embase (n=198), SPORTDiscus (n=121), the Cochrane Library (n=84), and Web of Science (n=132) from January 2018 to March 2026. The combined database search yielded 847 records.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"PMOS," "PCOS"). Grey literature searches included the WADA website (wada-ama.org), clinical guideline repositories (NICE Evidence Search, Guidelines International Network), Court of Arbitration for Sport (CAS) databases, and reference lists of included articles.</w:t>
      </w:r>
    </w:p>
    <w:p>
      <w:pPr>
        <w:spacing w:before="240" w:after="120"/>
      </w:pPr>
      <w:r>
        <w:rPr>
          <w:b/>
          <w:sz w:val="24"/>
        </w:rPr>
        <w:t>Selection of Sources of Evidence</w:t>
      </w:r>
    </w:p>
    <w:p>
      <w:pPr>
        <w:ind w:firstLine="720"/>
      </w:pPr>
      <w:r>
        <w:rPr>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Pr>
        <w:ind w:firstLine="720"/>
      </w:pPr>
      <w:r>
        <w:rPr>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Pr>
        <w:spacing w:before="240" w:after="120"/>
      </w:pPr>
      <w:r>
        <w:rPr>
          <w:b/>
          <w:sz w:val="24"/>
        </w:rPr>
        <w:t>Data Charting Process</w:t>
      </w:r>
    </w:p>
    <w:p>
      <w:pPr>
        <w:ind w:firstLine="720"/>
      </w:pPr>
      <w:r>
        <w:rPr>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b/>
          <w:sz w:val="24"/>
        </w:rPr>
        <w:t>Critical Appraisal of Individual Sources</w:t>
      </w:r>
    </w:p>
    <w:p>
      <w:pPr>
        <w:ind w:firstLine="720"/>
      </w:pPr>
      <w:r>
        <w:rPr>
          <w:color w:val="FF0000"/>
          <w:sz w:val="24"/>
        </w:rPr>
        <w:t>Consistent with scoping review methodology (19), 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b/>
          <w:sz w:val="24"/>
        </w:rPr>
        <w:t>Synthesis of Results</w:t>
      </w:r>
    </w:p>
    <w:p>
      <w:pPr>
        <w:ind w:firstLine="720"/>
      </w:pPr>
      <w:r>
        <w:rPr>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(Figure 4) was developed iteratively as patterns emerged across disease areas, identifying common structural drivers that transcended individual conditions.</w:t>
      </w:r>
    </w:p>
    <w:p>
      <w:pPr>
        <w:spacing w:before="240" w:after="120"/>
      </w:pPr>
      <w:r>
        <w:rPr>
          <w:b/>
          <w:sz w:val="28"/>
        </w:rPr>
        <w:t>RESULTS</w:t>
      </w:r>
    </w:p>
    <w:p>
      <w:pPr>
        <w:spacing w:before="240" w:after="120"/>
      </w:pPr>
      <w:r>
        <w:rPr>
          <w:b/>
          <w:color w:val="FF0000"/>
          <w:sz w:val="24"/>
        </w:rPr>
        <w:t>Population and Epidemiological Context</w:t>
      </w:r>
    </w:p>
    <w:p>
      <w:pPr>
        <w:ind w:firstLine="720"/>
      </w:pPr>
      <w:r>
        <w:rPr>
          <w:color w:val="FF0000"/>
          <w:sz w:val="24"/>
        </w:rPr>
        <w:t>To contextualize the review findings, it is important to consider the size and diversity of the athlete population affected by anti-doping regulations. In 2023, WADA-coordinated anti-doping programs reported 288,865 samples across 94 sports and disciplines, reflecting the breadth of testing (41). Systematic reviews report that lower airway dysfunction occurs in approximately 20–25% of athletes (24), while the prevalence of ADHD among elite athletes has been estimated at 7–8% (11). The masters athlete population is also expanding: the 2024 World Masters Athletics Championships registered 8,029 athletes from 112 countries (44), and the 2027 World Masters Games had already received more than 24,000 registrations more than a year before the event (14). These figures underscore that TUE policy decisions affect a large, heterogeneous population that includes younger elite competitors and older recreational athletes alike.</w:t>
      </w:r>
    </w:p>
    <w:p>
      <w:pPr>
        <w:spacing w:before="240" w:after="120"/>
      </w:pPr>
      <w:r>
        <w:rPr>
          <w:b/>
          <w:sz w:val="24"/>
        </w:rPr>
        <w:t>Overview of Clinical-Competition Gaps</w:t>
      </w:r>
    </w:p>
    <w:p>
      <w:pPr>
        <w:ind w:firstLine="720"/>
      </w:pPr>
      <w:r>
        <w:rPr>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pPr>
        <w:spacing w:before="240" w:after="120"/>
      </w:pPr>
      <w:r>
        <w:rPr>
          <w:b/>
          <w:sz w:val="24"/>
        </w:rPr>
        <w:t>Asthma and Beta-2 Agonists</w:t>
      </w:r>
    </w:p>
    <w:p>
      <w:pPr>
        <w:ind w:firstLine="720"/>
      </w:pPr>
      <w:r>
        <w:rPr>
          <w:color w:val="FF0000"/>
          <w:sz w:val="24"/>
        </w:rPr>
        <w:t>The Global Initiative for Asthma (GINA) 2025 report established a paradigm shift in asthma management, designating ICS-formoterol (inhaled corticosteroid combined with formoterol) maintenance and reliever therapy (MART) as the preferred treatment track (Track 1) across all severity steps (10). Under this approach, patients use a single ICS-formoterol inhaler for both daily maintenance and as-needed symptom relief, replacing the traditional model of a separate short-acting beta-2 agonist (SABA) reliever.</w:t>
      </w:r>
    </w:p>
    <w:p>
      <w:pPr>
        <w:ind w:firstLine="720"/>
      </w:pPr>
      <w:r>
        <w:rPr>
          <w:color w:val="FF0000"/>
          <w:sz w:val="24"/>
        </w:rPr>
        <w:t>WADA permits inhaled formoterol without a TUE provided the total delivered dose does not exceed 54 μg per 24 hours (with a subsidiary limit of 36 μg per 12 hours), and a urinary threshold of 40 ng/mL applies (35). 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(1, 36).</w:t>
      </w:r>
    </w:p>
    <w:p>
      <w:pPr>
        <w:ind w:firstLine="720"/>
      </w:pPr>
      <w:r>
        <w:rPr>
          <w:color w:val="FF0000"/>
          <w:sz w:val="24"/>
        </w:rPr>
        <w:t>WADA's threshold policy for beta-2 agonists reflects meta-analytic evidence that systemic use of these agents can increase lean body mass and reduce fat mass, whereas inhaled routes at permitted doses are considered unlikely to produce these effects (13). This performance-enhancement rationale is independent of the clinical guideline rationale, which prioritizes symptom control and exacerbation prevention. The misalignment is not a contradiction of clinical asthma care, but it creates an unintended incentive for athletes to rely on SABA monotherapy—a practice GINA 2025 explicitly recommends against at any severity step because it increases the risk of severe exacerbations and asthma-related death (10).</w:t>
      </w:r>
    </w:p>
    <w:p>
      <w:pPr>
        <w:ind w:firstLine="720"/>
      </w:pPr>
      <w:r>
        <w:rPr>
          <w:color w:val="FF0000"/>
          <w:sz w:val="24"/>
        </w:rPr>
        <w:t>The salbutamol threshold itself presents an additional compliance risk that warrants attention. WADA permits inhaled salbutamol up to 1600 μg per 24 hours (with a subsidiary limit of 800 μg per 8 hours), and applies a urine decision limit of 1000 ng/mL (35). 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some cases, the burden of proof falls on the athlete, and the process introduces uncertainty and administrative stress that may influence treatment decisions (1, 35, 36).</w:t>
      </w:r>
    </w:p>
    <w:p>
      <w:pPr>
        <w:spacing w:before="240" w:after="120"/>
      </w:pPr>
      <w:r>
        <w:rPr>
          <w:b/>
          <w:sz w:val="24"/>
        </w:rPr>
        <w:t>Attention-Deficit/Hyperactivity Disorder (ADHD)</w:t>
      </w:r>
    </w:p>
    <w:p>
      <w:pPr>
        <w:ind w:firstLine="720"/>
      </w:pPr>
      <w:r>
        <w:rPr>
          <w:color w:val="FF0000"/>
          <w:sz w:val="24"/>
        </w:rPr>
        <w:t>Major clinical guidelines, including NICE 2024 and the Australian ADHD Guideline 2022, designate stimulant medications as first-line pharmacotherapy for ADHD in both children and adults (4, 20). 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an inadequate response (4).</w:t>
      </w:r>
    </w:p>
    <w:p>
      <w:pPr>
        <w:ind w:firstLine="720"/>
      </w:pPr>
      <w:r>
        <w:rPr>
          <w:color w:val="FF0000"/>
          <w:sz w:val="24"/>
        </w:rPr>
        <w:t>Under WADA regulations, all stimulant medications for ADHD are prohibited in-competition: amphetamines as non-specified stimulants (S6.A) and methylphenidate as a specified stimulant (S6.B) (35). Notably, these substances are permitted out-of-competition. WADA's rationale for the in-competition ban is that stimulants may acutely improve alertness, vigilance, and concentration, which could confer a competitive advantage; out-of-competition use is permitted because treatment continuity is clinically necessary and detection windows are shorter outside events (11, 35). 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and lisdexamfetamine are specifically designed to provide consistent 10–14 hour coverage, and abrupt discontinuation can produce withdrawal symptoms and acute cognitive deterioration (37).</w:t>
      </w:r>
    </w:p>
    <w:p>
      <w:pPr>
        <w:ind w:firstLine="720"/>
      </w:pPr>
      <w:r>
        <w:rPr>
          <w:color w:val="FF0000"/>
          <w:sz w:val="24"/>
        </w:rPr>
        <w:t>The TUE application process for stimulant medications requires comprehensive neuropsychological evaluation, documentation of childhood-onset symptoms per DSM-5 criteria, evidence that non-stimulant alternatives have been trialed, and ongoing monitoring (37). 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can delay access to optimal treatment.</w:t>
      </w:r>
    </w:p>
    <w:p>
      <w:pPr>
        <w:ind w:firstLine="720"/>
      </w:pPr>
      <w:r>
        <w:rPr>
          <w:color w:val="FF0000"/>
          <w:sz w:val="24"/>
        </w:rPr>
        <w:t>The prevalence of ADHD among elite athletes has been estimated at 7–8%, comparable to or slightly higher than the general adult population prevalence (11). This suggests that the ADHD-TUE gap affects a substantial number of competitive athletes worldwide. Data from Vernec et al. (32) 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color w:val="FF0000"/>
          <w:sz w:val="24"/>
        </w:rPr>
        <w:t>TUE access for stimulant medications is not uniformly available across all competitive tiers. While the ISTUE applies in principle to all athletes subject to anti-doping rules, practical implementation varies by NADO and IF. Some NADOs require proof of national-team status, international results, or prior anti-doping testing before accepting TUE applications; others accept applications at any competitive level but impose documentation and processing requirements that function as de facto barriers (21, 32, 34). Emerging athletes diagnosed with ADHD therefore face compounded barriers: limited access to the TUE pathway, limited access to physicians with expertise in both anti-doping regulations and ADHD pharmacotherapy, and the psychological stress of navigating a system that may ultimately deny them guideline-directed first-line pharmacotherapy.</w:t>
      </w:r>
    </w:p>
    <w:p>
      <w:pPr>
        <w:spacing w:before="240" w:after="120"/>
      </w:pPr>
      <w:r>
        <w:rPr>
          <w:b/>
          <w:sz w:val="24"/>
        </w:rPr>
        <w:t>Type 2 Diabetes Mellitus and GLP-1 Receptor Agonists</w:t>
      </w:r>
    </w:p>
    <w:p>
      <w:pPr>
        <w:ind w:firstLine="720"/>
      </w:pPr>
      <w:r>
        <w:rPr>
          <w:sz w:val="24"/>
        </w:rPr>
        <w:t>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(2). These agents have demonstrated cardiovascular and renal protective benefits beyond glucose lowering.</w:t>
      </w:r>
    </w:p>
    <w:p>
      <w:pPr>
        <w:ind w:firstLine="720"/>
      </w:pPr>
      <w:r>
        <w:rPr>
          <w:color w:val="FF0000"/>
          <w:sz w:val="24"/>
        </w:rPr>
        <w:t>Semaglutide (Ozempic) received US Food and Drug Administration approval in December 2017, European Medicines Agency authorization in February 2018, and Pharmaceuticals and Medical Devices Agency approval in March 2018 for type 2 diabetes (8, 22, 29). Tirzepatide (Mounjaro) received FDA approval in May 2022, EMA authorization in September 2022, and PMDA approval in April 2023 for type 2 diabetes (9, 23, 30). This rapid multinational uptake means that many athletes with type 2 diabetes are now treated with agents that may also be attractive for misuse because of their weight-loss effects.</w:t>
      </w:r>
    </w:p>
    <w:p>
      <w:pPr>
        <w:ind w:firstLine="720"/>
      </w:pPr>
      <w:r>
        <w:rPr>
          <w:color w:val="FF0000"/>
          <w:sz w:val="24"/>
        </w:rPr>
        <w:t>Currently, GLP-1 receptor agonists are not on the WADA Prohibited List and do not require a TUE. However, semaglutide and tirzepatide were placed on the WADA Monitoring Program in 2024, indicating active surveillance for potential future prohibition (38). WADA's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(2, 38).</w:t>
      </w:r>
    </w:p>
    <w:p>
      <w:pPr>
        <w:ind w:firstLine="720"/>
      </w:pPr>
      <w:r>
        <w:rPr>
          <w:color w:val="FF0000"/>
          <w:sz w:val="24"/>
        </w:rPr>
        <w:t>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amplifies the potential impact of any future prohibition of these agents (2).</w:t>
      </w:r>
    </w:p>
    <w:p>
      <w:pPr>
        <w:spacing w:before="240" w:after="120"/>
      </w:pPr>
      <w:r>
        <w:rPr>
          <w:b/>
          <w:sz w:val="24"/>
        </w:rPr>
        <w:t>Male Hypogonadism and Testosterone Replacement</w:t>
      </w:r>
    </w:p>
    <w:p>
      <w:pPr>
        <w:ind w:firstLine="720"/>
      </w:pPr>
      <w:r>
        <w:rPr>
          <w:color w:val="FF0000"/>
          <w:sz w:val="24"/>
        </w:rPr>
        <w:t>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(5). The EAU 2024 guidelines similarly recognize late-onset hypogonadism (LOH) as a treatable condition when lifestyle modifications fail to restore testosterone levels (7). The TRAVERSE trial 2023 provided landmark evidence that TRT does not increase major adverse cardiovascular events in men aged 45–80 with hypogonadism, removing a major historical safety concern (16).</w:t>
      </w:r>
    </w:p>
    <w:p>
      <w:pPr>
        <w:ind w:firstLine="720"/>
      </w:pPr>
      <w:r>
        <w:rPr>
          <w:color w:val="FF0000"/>
          <w:sz w:val="24"/>
        </w:rPr>
        <w:t>Organic hypogonadism refers to conditions with identifiable pathology of the hypothalamic-pituitary-gonadal axis, such as Klinefelter syndrome, pituitary tumor, testicular injury, chemotherapy, or severe congenital disorders. Functional hypogonadism refers to testosterone deficiency without a discrete structural lesion, including age-related (late-onset) decline, obesity-associated suppression, opioid-induced suppression, and hypothalamic dysfunction from chronic energy deficit or overtraining. Clinical guidelines generally do not require a biopsy-proven structural diagnosis to initiate TRT; instead, they rely on consistent biochemical values plus symptoms after reversible causes are addressed (5, 7).</w:t>
      </w:r>
    </w:p>
    <w:p>
      <w:pPr>
        <w:ind w:firstLine="720"/>
      </w:pPr>
      <w:r>
        <w:rPr>
          <w:color w:val="FF0000"/>
          <w:sz w:val="24"/>
        </w:rPr>
        <w:t>In contrast, WADA's TUE Physician Guidelines for male hypogonadism explicitly state that "TUE should only be granted for organic causes of hypogonadism" and that "functional hypogonadism should not be granted a TUE" (36). WADA's concern is that TRT can restore physiological testosterone levels but may also be abused to produce supraphysiological effects, particularly in athletes whose hypogonadism is related to energy deficit, overtraining, or prior anabolic use (36). The organic-only rule therefore seeks to prevent misuse, but it excludes: age-related testosterone decline (LOH), obesity-associated hypogonadism, opioid-induced hypogonadism, and hypothalamic dysfunction from overtraining—all conditions for which clinical guidelines may recommend TRT after conservative measures fail.</w:t>
      </w:r>
    </w:p>
    <w:p>
      <w:pPr>
        <w:ind w:firstLine="720"/>
      </w:pPr>
      <w:r>
        <w:rPr>
          <w:color w:val="FF0000"/>
          <w:sz w:val="24"/>
        </w:rPr>
        <w:t>The growing masters athlete population is disproportionately affected by this gap. A study of 183 male athletes older than 50 years found that 11.5% had severe testosterone deficiency (&lt;8 nmol/L) and 26.2% had mild deficiency (8–12 nmol/L), with prevalence rising with age (6). The 2024 World Masters Athletics Championships registered 8,029 athletes (44), and the 2027 World Masters Games had more than 24,000 registrants (14). These data indicate that a large and growing population of older competitive athletes may meet clinical criteria for TRT while failing WADA's organic-only TUE criterion.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(5, 36).</w:t>
      </w:r>
    </w:p>
    <w:p>
      <w:pPr>
        <w:ind w:firstLine="720"/>
      </w:pPr>
      <w:r>
        <w:rPr>
          <w:color w:val="FF0000"/>
          <w:sz w:val="24"/>
        </w:rPr>
        <w:t>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(5).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(16).</w:t>
      </w:r>
    </w:p>
    <w:p>
      <w:pPr>
        <w:spacing w:before="240" w:after="120"/>
      </w:pPr>
      <w:r>
        <w:rPr>
          <w:b/>
          <w:sz w:val="24"/>
        </w:rPr>
        <w:t>Glucocorticoid Administration</w:t>
      </w:r>
    </w:p>
    <w:p>
      <w:pPr>
        <w:ind w:firstLine="720"/>
      </w:pPr>
      <w:r>
        <w:rPr>
          <w:color w:val="FF0000"/>
          <w:sz w:val="24"/>
        </w:rPr>
        <w:t>Since 2022, WADA has prohibited all routes of glucocorticoid (GC) administration in-competition, including intra-articular injections that were previously permitted (35, 39). Washout periods were introduced: 3 days for most oral GCs, 10 days for oral triamcinolone, 5 days for intramuscular betamethasone/dexamethasone, and 60 days for intramuscular triamcinolone acetonide (40). Additionally, the 2026 modifications note that sustained-release formulations may produce detectable GC levels beyond published washout periods (35).</w:t>
      </w:r>
    </w:p>
    <w:p>
      <w:pPr>
        <w:ind w:firstLine="720"/>
      </w:pPr>
      <w:r>
        <w:rPr>
          <w:color w:val="FF0000"/>
          <w:sz w:val="24"/>
        </w:rPr>
        <w:t>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(39, 40).</w:t>
      </w:r>
    </w:p>
    <w:p>
      <w:pPr>
        <w:spacing w:before="240" w:after="120"/>
      </w:pPr>
      <w:r>
        <w:rPr>
          <w:b/>
          <w:sz w:val="24"/>
        </w:rPr>
        <w:t>Cardiovascular Disease: Diuretics and Beta-Blockers</w:t>
      </w:r>
    </w:p>
    <w:p>
      <w:pPr>
        <w:ind w:firstLine="720"/>
      </w:pPr>
      <w:r>
        <w:rPr>
          <w:color w:val="FF0000"/>
          <w:sz w:val="24"/>
        </w:rPr>
        <w:t>Heart failure management, as outlined in the 2021 ESC Guidelines and subsequent updates, relies on four foundational drug classes: ACE inhibitors/ARNi, beta-blockers, mineralocorticoid receptor antagonists (MRAs such as spironolactone and eplerenone), and SGLT2 inhibitors (18). Of these, MRAs are prohibited under WADA category S5 (diuretics and masking agents), as are loop diuretics (furosemide) essential for congestion management and thiazide diuretics used in hypertension treatment (17, 35).</w:t>
      </w:r>
    </w:p>
    <w:p>
      <w:pPr>
        <w:ind w:firstLine="720"/>
      </w:pPr>
      <w:r>
        <w:rPr>
          <w:color w:val="FF0000"/>
          <w:sz w:val="24"/>
        </w:rPr>
        <w:t>The blanket prohibition of all diuretics is based on their potential as masking agents. Advanced heart failure generally precludes elite competitive sport, but athletes with earlier-stage or stable heart failure, as well as masters and recreational competitors, may be prescribed MRAs. In such cases, the athlete must either forgo a pillar of standard therapy or navigate the TUE process for spironolactone. Beta-blockers, while not universally prohibited, are banned in-competition in precision sports (shooting, archery, golf, billiards, automotive sports). WADA's rationale for prohibiting beta-blockers in these sports is that they reduce tremor and may steady the hand, effects that could directly improve competitive performance (35). A masters shooting athlete diagnosed with atrial fibrillation faces particular difficulty, as beta-blockers are first-line rate control therapy, yet CAS precedents from 2009 and 2013 have established a high bar for TUE approval in sports where these agents could reduce tremor (18, 35).</w:t>
      </w:r>
    </w:p>
    <w:p>
      <w:pPr>
        <w:spacing w:before="240" w:after="120"/>
      </w:pPr>
      <w:r>
        <w:rPr>
          <w:b/>
          <w:color w:val="FF0000"/>
          <w:sz w:val="24"/>
        </w:rPr>
        <w:t>PMOS and Female Fertility Treatment</w:t>
      </w:r>
    </w:p>
    <w:p>
      <w:pPr>
        <w:ind w:firstLine="720"/>
      </w:pPr>
      <w:r>
        <w:rPr>
          <w:color w:val="FF0000"/>
          <w:sz w:val="24"/>
        </w:rPr>
        <w:t>In May 2026, an international panel proposed renaming polycystic ovary syndrome (PCOS) to polyendocrine metabolic ovarian syndrome (PMOS) to better reflect its heterogeneous endocrine, metabolic, and reproductive features (27). We have adopted this proposed terminology throughout this review while retaining PCOS in parentheses for reader recognition.</w:t>
      </w:r>
    </w:p>
    <w:p>
      <w:pPr>
        <w:ind w:firstLine="720"/>
      </w:pPr>
      <w:r>
        <w:rPr>
          <w:color w:val="FF0000"/>
          <w:sz w:val="24"/>
        </w:rPr>
        <w:t>The 2023 International Evidence-Based PCOS Guideline and WHO recommendations position letrozole as the first-line ovulation induction agent for PMOS-related infertility, with clomiphene as second-line (26). Both agents are always prohibited under WADA category S4 (anti-estrogens and aromatase inhibitors) (35). WADA's rationale is that aromatase inhibitors and selective estrogen receptor modulators may be misused to mitigate estrogenic effects of anabolic-androgenic steroid use or to restore endogenous testosterone production (35). Spironolactone, recommended for PMOS-associated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(26, 36).</w:t>
      </w:r>
    </w:p>
    <w:p>
      <w:pPr>
        <w:spacing w:before="240" w:after="120"/>
      </w:pPr>
      <w:r>
        <w:rPr>
          <w:b/>
          <w:sz w:val="24"/>
        </w:rPr>
        <w:t>Cross-Cutting Analysis: Structural Drivers of Divergence</w:t>
      </w:r>
    </w:p>
    <w:p>
      <w:pPr>
        <w:ind w:firstLine="720"/>
      </w:pPr>
      <w:r>
        <w:rPr>
          <w:color w:val="FF0000"/>
          <w:sz w:val="24"/>
        </w:rPr>
        <w:t>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(2, 35, 38).</w:t>
      </w:r>
    </w:p>
    <w:p>
      <w:pPr>
        <w:ind w:firstLine="720"/>
      </w:pPr>
      <w:r>
        <w:rPr>
          <w:color w:val="FF0000"/>
          <w:sz w:val="24"/>
        </w:rPr>
        <w:t>WADA has developed tools to address the misuse of prohibited substances while preserving athlete health, including the Athlete Biological Passport (ABP) for longitudinal monitoring of hematological and steroidal variables and the Anti-Doping Administration and Management System (ADAMS) for TUE submission and sample administration (42, 43). These systems are not anti-athlete; they are designed to protect clean sport. However, accessibility and digital literacy vary across NADOs, and ABP reference ranges may flag physiological restoration achieved through TRT as suspicious, reinforcing the tension between clinical treatment and anti-doping enforcement. The temporal mismatch is particularly well illustrated by comparing update frequencies. GINA has published annual updates every year since 2014, with major revisions in 2019 and 2025. The ADA Standards of Care is updated annually. In contrast, some WADA TUE Physician Guidelines have remained unchanged for 3–4 years despite significant clinical developments in the corresponding disease area. This creates a window during which newly recommended first-line therapies may conflict with TUE guidance that has not yet incorporated the new evidence (35, 36).</w:t>
      </w:r>
    </w:p>
    <w:p>
      <w:pPr>
        <w:spacing w:before="240" w:after="120"/>
      </w:pPr>
      <w:r>
        <w:rPr>
          <w:b/>
          <w:sz w:val="28"/>
        </w:rPr>
        <w:t>DISCUSSION</w:t>
      </w:r>
    </w:p>
    <w:p>
      <w:pPr>
        <w:ind w:firstLine="720"/>
      </w:pPr>
      <w:r>
        <w:rPr>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color w:val="FF0000"/>
          <w:sz w:val="24"/>
        </w:rPr>
        <w:t>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PMOS where stigma compounds procedural barriers. Geographic disparities in TUE access further exacerbate these issues, as athletes in resource-limited settings face greater difficulty obtaining specialist evaluations and documentation required for TUE applications (21, 32, 34).</w:t>
      </w:r>
    </w:p>
    <w:p>
      <w:pPr>
        <w:ind w:firstLine="720"/>
      </w:pPr>
      <w:r>
        <w:rPr>
          <w:color w:val="FF0000"/>
          <w:sz w:val="24"/>
        </w:rPr>
        <w:t>It is important to acknowledge WADA's perspective. WADA's mandate is to protect clean sport by preventing performance enhancement and maintaining a level playing field. Tools such as the Prohibited List, ISTUE, ABP, and ADAMS are designed to apply uniform standards across hundreds of sports and thousands of competitions worldwide (33, 34, 42, 43). Thresholds for inhaled beta-2 agonists and the organic-only rule for testosterone TUEs reflect legitimate concerns about misuse. The challenge is that these protective rules are not always well aligned with the pace of clinical evidence or with the diversity of athlete populations, particularly masters and recreational competitors.</w:t>
      </w:r>
    </w:p>
    <w:p>
      <w:pPr>
        <w:ind w:firstLine="720"/>
      </w:pPr>
      <w:r>
        <w:rPr>
          <w:color w:val="FF0000"/>
          <w:sz w:val="24"/>
        </w:rPr>
        <w:t>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and WADA's thresholds are set at doses considered unlikely to confer an unfair advantage (13). These ambiguities create uncertainty for both clinicians and TUE committees, potentially leading to inconsistent decisions across jurisdictions.</w:t>
      </w:r>
    </w:p>
    <w:p>
      <w:pPr>
        <w:ind w:firstLine="720"/>
      </w:pPr>
      <w:r>
        <w:rPr>
          <w:color w:val="FF0000"/>
          <w:sz w:val="24"/>
        </w:rPr>
        <w:t>The findings of this review align with and extend previous work. Heuberger and Cohen (12)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Stuart et al. (25) documented increasing TUE application volumes, which our disease-specific analysis helps to contextualize—the growing burden reflects both increased awareness and the expanding scope of conditions affected by clinical-competition gaps. The geographic disparities in TUE access reported by Vernec et al. (32) take on additional significance when considered alongside our finding that some disease areas (e.g., ADHD, hypogonadism) require particularly complex and well-documented TUE applications.</w:t>
      </w:r>
    </w:p>
    <w:p>
      <w:pPr>
        <w:ind w:firstLine="720"/>
      </w:pPr>
      <w:r>
        <w:rPr>
          <w:color w:val="FF0000"/>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S&amp;C professionals, while not prescribers, share in this ethical responsibility through their role in monitoring athlete well-being and advocating for appropriate medical care. Addressing the clinical-competition gap therefore requires not only harmonization of TUE criteria with clinical evidence but also standardization of TUE access mechanisms across jurisdictions.</w:t>
      </w:r>
    </w:p>
    <w:p>
      <w:pPr>
        <w:ind w:firstLine="720"/>
      </w:pPr>
      <w:r>
        <w:rPr>
          <w:color w:val="FF0000"/>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between updates, not to a lack of any review process.</w:t>
      </w:r>
    </w:p>
    <w:p>
      <w:pPr>
        <w:spacing w:before="240" w:after="120"/>
      </w:pPr>
      <w:r>
        <w:rPr>
          <w:b/>
          <w:color w:val="FF0000"/>
          <w:sz w:val="24"/>
        </w:rPr>
        <w:t>Recommendations for Harmonization</w:t>
      </w:r>
    </w:p>
    <w:p>
      <w:pPr>
        <w:ind w:firstLine="720"/>
      </w:pPr>
      <w:r>
        <w:rPr>
          <w:color w:val="FF0000"/>
          <w:sz w:val="24"/>
        </w:rPr>
        <w:t>We propose the following recommendations for reducing the clinical-competition gap:</w:t>
      </w:r>
    </w:p>
    <w:p>
      <w:pPr>
        <w:ind w:left="720" w:hanging="357"/>
      </w:pPr>
      <w:r>
        <w:rPr>
          <w:b/>
          <w:sz w:val="24"/>
        </w:rPr>
        <w:t xml:space="preserve">1. </w:t>
      </w:r>
      <w:r>
        <w:rPr>
          <w:sz w:val="24"/>
        </w:rPr>
        <w:t>Establish a formal mechanism to review and update WADA TUE Physician Guidelines within 12 months of major clinical guideline revisions (e.g., GINA, ADA, Endocrine Society updates).</w:t>
      </w:r>
    </w:p>
    <w:p>
      <w:pPr>
        <w:ind w:left="720" w:hanging="357"/>
      </w:pPr>
      <w:r>
        <w:rPr>
          <w:b/>
          <w:color w:val="FF0000"/>
          <w:sz w:val="24"/>
        </w:rPr>
        <w:t xml:space="preserve">2. </w:t>
      </w:r>
      <w:r>
        <w:rPr>
          <w:color w:val="FF0000"/>
          <w:sz w:val="24"/>
        </w:rPr>
        <w:t>Re-evaluate the organic/functional distinction for male hypogonadism TUEs in light of the Endocrine Society symptom-plus-biochemistry approach and the growing masters athlete population.</w:t>
      </w:r>
    </w:p>
    <w:p>
      <w:pPr>
        <w:ind w:left="720" w:hanging="357"/>
      </w:pPr>
      <w:r>
        <w:rPr>
          <w:b/>
          <w:sz w:val="24"/>
        </w:rPr>
        <w:t xml:space="preserve">3. </w:t>
      </w:r>
      <w:r>
        <w:rPr>
          <w:sz w:val="24"/>
        </w:rPr>
        <w:t>Conduct a formal impact assessment on athletes with type 2 diabetes before adding GLP-1 receptor agonists to the Prohibited List.</w:t>
      </w:r>
    </w:p>
    <w:p>
      <w:pPr>
        <w:ind w:left="720" w:hanging="357"/>
      </w:pPr>
      <w:r>
        <w:rPr>
          <w:b/>
          <w:sz w:val="24"/>
        </w:rPr>
        <w:t xml:space="preserve">4. </w:t>
      </w:r>
      <w:r>
        <w:rPr>
          <w:sz w:val="24"/>
        </w:rPr>
        <w:t>Review formoterol dose thresholds in the context of GINA 2025 MART recommendations to ensure athletes can follow guideline-directed asthma therapy without ADRV risk.</w:t>
      </w:r>
    </w:p>
    <w:p>
      <w:pPr>
        <w:ind w:left="720" w:hanging="357"/>
      </w:pPr>
      <w:r>
        <w:rPr>
          <w:b/>
          <w:sz w:val="24"/>
        </w:rPr>
        <w:t xml:space="preserve">5. </w:t>
      </w:r>
      <w:r>
        <w:rPr>
          <w:sz w:val="24"/>
        </w:rPr>
        <w:t>Re-evaluate the in-competition-only prohibition of stimulant medications for ADHD, considering the pharmacokinetics of long-acting formulations and the clinical inappropriateness of competition-day discontinuation.</w:t>
      </w:r>
    </w:p>
    <w:p>
      <w:pPr>
        <w:ind w:left="720" w:hanging="357"/>
      </w:pPr>
      <w:r>
        <w:rPr>
          <w:b/>
          <w:sz w:val="24"/>
        </w:rPr>
        <w:t xml:space="preserve">6. </w:t>
      </w:r>
      <w:r>
        <w:rPr>
          <w:sz w:val="24"/>
        </w:rPr>
        <w:t>Differentiate diuretic prohibition based on masking potential, considering a streamlined TUE process for MRAs (spironolactone/eplerenone) prescribed for heart failure.</w:t>
      </w:r>
    </w:p>
    <w:p>
      <w:pPr>
        <w:ind w:left="720" w:hanging="357"/>
      </w:pPr>
      <w:r>
        <w:rPr>
          <w:b/>
          <w:sz w:val="24"/>
        </w:rPr>
        <w:t xml:space="preserve">7. </w:t>
      </w:r>
      <w:r>
        <w:rPr>
          <w:sz w:val="24"/>
        </w:rPr>
        <w:t>Simplify and digitize TUE applications through ADAMS system improvements, multilingual support, and standardized documentation templates to reduce access disparities.</w:t>
      </w:r>
    </w:p>
    <w:p>
      <w:pPr>
        <w:ind w:left="720" w:hanging="357"/>
      </w:pPr>
      <w:r>
        <w:rPr>
          <w:b/>
          <w:sz w:val="24"/>
        </w:rPr>
        <w:t xml:space="preserve">8. </w:t>
      </w:r>
      <w:r>
        <w:rPr>
          <w:sz w:val="24"/>
        </w:rPr>
        <w:t>Integrate anti-doping pharmacology education into medical school curricula, residency training, and continuing medical education to improve prescriber awareness of the Prohibited List.</w:t>
      </w:r>
    </w:p>
    <w:p>
      <w:pPr>
        <w:spacing w:before="240" w:after="120"/>
      </w:pPr>
      <w:r>
        <w:rPr>
          <w:b/>
          <w:sz w:val="28"/>
        </w:rPr>
        <w:t>PRACTICAL APPLICATIONS</w:t>
      </w:r>
    </w:p>
    <w:p>
      <w:pPr>
        <w:ind w:firstLine="720"/>
      </w:pPr>
      <w:r>
        <w:rPr>
          <w:color w:val="FF0000"/>
          <w:sz w:val="24"/>
        </w:rPr>
        <w:t>S&amp;C professionals are often the first to notice medication-related performance changes. The following concise actions can help athletes navigate TUE-related treatment decisions (Figure 5):</w:t>
      </w:r>
    </w:p>
    <w:p>
      <w:pPr>
        <w:ind w:left="720" w:hanging="357"/>
      </w:pPr>
      <w:r>
        <w:rPr>
          <w:color w:val="FF0000"/>
          <w:sz w:val="24"/>
        </w:rPr>
        <w:t xml:space="preserve">• </w:t>
      </w:r>
      <w:r>
        <w:rPr>
          <w:b/>
          <w:color w:val="FF0000"/>
          <w:sz w:val="24"/>
        </w:rPr>
        <w:t xml:space="preserve">Anticipate transitions. </w:t>
      </w:r>
      <w:r>
        <w:rPr>
          <w:color w:val="FF0000"/>
          <w:sz w:val="24"/>
        </w:rPr>
        <w:t>Adjust training load and recovery when athletes switch medications because of TUE constraints.</w:t>
      </w:r>
    </w:p>
    <w:p>
      <w:pPr>
        <w:ind w:left="720" w:hanging="357"/>
      </w:pPr>
      <w:r>
        <w:rPr>
          <w:color w:val="FF0000"/>
          <w:sz w:val="24"/>
        </w:rPr>
        <w:t xml:space="preserve">• </w:t>
      </w:r>
      <w:r>
        <w:rPr>
          <w:b/>
          <w:color w:val="FF0000"/>
          <w:sz w:val="24"/>
        </w:rPr>
        <w:t xml:space="preserve">Plan early. </w:t>
      </w:r>
      <w:r>
        <w:rPr>
          <w:color w:val="FF0000"/>
          <w:sz w:val="24"/>
        </w:rPr>
        <w:t>Encourage athletes to begin TUE applications 21–30 days before competitions and schedule annual renewals during pre-season planning.</w:t>
      </w:r>
    </w:p>
    <w:p>
      <w:pPr>
        <w:ind w:left="720" w:hanging="357"/>
      </w:pPr>
      <w:r>
        <w:rPr>
          <w:color w:val="FF0000"/>
          <w:sz w:val="24"/>
        </w:rPr>
        <w:t xml:space="preserve">• </w:t>
      </w:r>
      <w:r>
        <w:rPr>
          <w:b/>
          <w:color w:val="FF0000"/>
          <w:sz w:val="24"/>
        </w:rPr>
        <w:t xml:space="preserve">Monitor symptom control. </w:t>
      </w:r>
      <w:r>
        <w:rPr>
          <w:color w:val="FF0000"/>
          <w:sz w:val="24"/>
        </w:rPr>
        <w:t>Watch for suboptimal control when athletes use second-line agents to avoid TUE complexity, and refer back to the prescribing physician when performance or safety is affected.</w:t>
      </w:r>
    </w:p>
    <w:p>
      <w:pPr>
        <w:ind w:left="720" w:hanging="357"/>
      </w:pPr>
      <w:r>
        <w:rPr>
          <w:color w:val="FF0000"/>
          <w:sz w:val="24"/>
        </w:rPr>
        <w:t xml:space="preserve">• </w:t>
      </w:r>
      <w:r>
        <w:rPr>
          <w:b/>
          <w:color w:val="FF0000"/>
          <w:sz w:val="24"/>
        </w:rPr>
        <w:t xml:space="preserve">Support guideline-directed therapy. </w:t>
      </w:r>
      <w:r>
        <w:rPr>
          <w:color w:val="FF0000"/>
          <w:sz w:val="24"/>
        </w:rPr>
        <w:t>Encourage athletes with asthma to use prescribed controller therapy rather than SABA-only treatment, and remind all athletes to check the annually updated WADA Prohibited List before taking new medications.</w:t>
      </w:r>
    </w:p>
    <w:p>
      <w:r>
        <w:br w:type="page"/>
      </w:r>
    </w:p>
    <w:p>
      <w:pPr>
        <w:spacing w:before="240" w:after="120"/>
      </w:pPr>
      <w:r>
        <w:rPr>
          <w:b/>
          <w:sz w:val="28"/>
        </w:rPr>
        <w:t>REFERENCES</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color w:val="FF0000"/>
          <w:sz w:val="20"/>
        </w:rPr>
        <w:t>6. Di Luigi L, Sansone P, Sgrò P, et al. Prevalence of undiagnosed testosterone deficiency in aging athletes: does exercise training influence the symptoms of male hypogonadism? J Sex Med. 2010;7(4 Pt 1):1361–1369.</w:t>
      </w:r>
    </w:p>
    <w:p>
      <w:pPr>
        <w:spacing w:after="40" w:line="480" w:lineRule="auto"/>
        <w:ind w:left="720" w:hanging="720"/>
      </w:pPr>
      <w:r>
        <w:rPr>
          <w:color w:val="FF0000"/>
          <w:sz w:val="20"/>
        </w:rPr>
        <w:t>7. European Association of Urology. EAU Guidelines on Sexual and Reproductive Health. Arnhem: EAU; 2024.</w:t>
      </w:r>
    </w:p>
    <w:p>
      <w:pPr>
        <w:spacing w:after="40" w:line="480" w:lineRule="auto"/>
        <w:ind w:left="720" w:hanging="720"/>
      </w:pPr>
      <w:r>
        <w:rPr>
          <w:color w:val="FF0000"/>
          <w:sz w:val="20"/>
        </w:rPr>
        <w:t>8. European Medicines Agency. Ozempic: EPAR – summary for the public. 2018 Feb 8.</w:t>
      </w:r>
    </w:p>
    <w:p>
      <w:pPr>
        <w:spacing w:after="40" w:line="480" w:lineRule="auto"/>
        <w:ind w:left="720" w:hanging="720"/>
      </w:pPr>
      <w:r>
        <w:rPr>
          <w:color w:val="FF0000"/>
          <w:sz w:val="20"/>
        </w:rPr>
        <w:t>9. European Medicines Agency. Mounjaro: EPAR – summary for the public. 2022 Sep 15.</w:t>
      </w:r>
    </w:p>
    <w:p>
      <w:pPr>
        <w:spacing w:after="40" w:line="480" w:lineRule="auto"/>
        <w:ind w:left="720" w:hanging="720"/>
      </w:pPr>
      <w:r>
        <w:rPr>
          <w:color w:val="FF0000"/>
          <w:sz w:val="20"/>
        </w:rPr>
        <w:t>10. Global Initiative for Asthma. Global Strategy for Asthma Management and Prevention. Fontana, WI: GINA; 2025.</w:t>
      </w:r>
    </w:p>
    <w:p>
      <w:pPr>
        <w:spacing w:after="40" w:line="480" w:lineRule="auto"/>
        <w:ind w:left="720" w:hanging="720"/>
      </w:pPr>
      <w:r>
        <w:rPr>
          <w:color w:val="FF0000"/>
          <w:sz w:val="20"/>
        </w:rPr>
        <w:t>11. Han DH, McDuff D, Thompson D, et al. Attention-deficit/hyperactivity disorder in elite athletes: a narrative review. Br J Sports Med. 2019;53(12):741–747.</w:t>
      </w:r>
    </w:p>
    <w:p>
      <w:pPr>
        <w:spacing w:after="40" w:line="480" w:lineRule="auto"/>
        <w:ind w:left="720" w:hanging="720"/>
      </w:pPr>
      <w:r>
        <w:rPr>
          <w:color w:val="FF0000"/>
          <w:sz w:val="20"/>
        </w:rPr>
        <w:t>12. Heuberger JAAC, Cohen AF. Review of WADA prohibited substances: limited evidence for performance-enhancing effects. Sports Med. 2019;49(4):525–539.</w:t>
      </w:r>
    </w:p>
    <w:p>
      <w:pPr>
        <w:spacing w:after="40" w:line="480" w:lineRule="auto"/>
        <w:ind w:left="720" w:hanging="720"/>
      </w:pPr>
      <w:r>
        <w:rPr>
          <w:color w:val="FF0000"/>
          <w:sz w:val="20"/>
        </w:rPr>
        <w:t>13.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color w:val="FF0000"/>
          <w:sz w:val="20"/>
        </w:rPr>
        <w:t>14. International Masters Games Association. Record registrations: already over 24,000 athletes joining World Masters Games. 2026.</w:t>
      </w:r>
    </w:p>
    <w:p>
      <w:pPr>
        <w:spacing w:after="40" w:line="480" w:lineRule="auto"/>
        <w:ind w:left="720" w:hanging="720"/>
      </w:pPr>
      <w:r>
        <w:rPr>
          <w:color w:val="FF0000"/>
          <w:sz w:val="20"/>
        </w:rPr>
        <w:t>15. Levac D, Colquhoun H, O'Brien KK. Scoping studies: advancing the methodology. Implement Sci. 2010;5:69.</w:t>
      </w:r>
    </w:p>
    <w:p>
      <w:pPr>
        <w:spacing w:after="40" w:line="480" w:lineRule="auto"/>
        <w:ind w:left="720" w:hanging="720"/>
      </w:pPr>
      <w:r>
        <w:rPr>
          <w:color w:val="FF0000"/>
          <w:sz w:val="20"/>
        </w:rPr>
        <w:t>16. Lincoff AM, Bhasin S, Flevaris P, et al. Cardiovascular safety of testosterone-replacement therapy. N Engl J Med. 2023;389(2):107–117.</w:t>
      </w:r>
    </w:p>
    <w:p>
      <w:pPr>
        <w:spacing w:after="40" w:line="480" w:lineRule="auto"/>
        <w:ind w:left="720" w:hanging="720"/>
      </w:pPr>
      <w:r>
        <w:rPr>
          <w:color w:val="FF0000"/>
          <w:sz w:val="20"/>
        </w:rPr>
        <w:t>17. Mancia G, Kreutz R, Brunstrom M, et al. 2023 ESH Guidelines for the management of arterial hypertension. J Hypertens. 2023;41(12):1874–2071.</w:t>
      </w:r>
    </w:p>
    <w:p>
      <w:pPr>
        <w:spacing w:after="40" w:line="480" w:lineRule="auto"/>
        <w:ind w:left="720" w:hanging="720"/>
      </w:pPr>
      <w:r>
        <w:rPr>
          <w:color w:val="FF0000"/>
          <w:sz w:val="20"/>
        </w:rPr>
        <w:t>18. McDonagh TA, Metra M, Adamo M, et al. 2021 ESC Guidelines for the diagnosis and treatment of acute and chronic heart failure. Eur Heart J. 2021;42(36):3599–3726.</w:t>
      </w:r>
    </w:p>
    <w:p>
      <w:pPr>
        <w:spacing w:after="40" w:line="480" w:lineRule="auto"/>
        <w:ind w:left="720" w:hanging="720"/>
      </w:pPr>
      <w:r>
        <w:rPr>
          <w:color w:val="FF0000"/>
          <w:sz w:val="20"/>
        </w:rPr>
        <w:t>19.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color w:val="FF0000"/>
          <w:sz w:val="20"/>
        </w:rPr>
        <w:t>20. National Institute for Health and Care Excellence. Attention deficit hyperactivity disorder: diagnosis and management. NICE guideline [NG87]. London: NICE; 2024 (updated).</w:t>
      </w:r>
    </w:p>
    <w:p>
      <w:pPr>
        <w:spacing w:after="40" w:line="480" w:lineRule="auto"/>
        <w:ind w:left="720" w:hanging="720"/>
      </w:pPr>
      <w:r>
        <w:rPr>
          <w:color w:val="FF0000"/>
          <w:sz w:val="20"/>
        </w:rPr>
        <w:t>21. Overbye M, Wagner U. Experiences, attitudes and knowledge of elite athletes regarding anti-doping—insights from a cross-national study. Eur J Sport Sci. 2014;14(Suppl 1):S149–S160.</w:t>
      </w:r>
    </w:p>
    <w:p>
      <w:pPr>
        <w:spacing w:after="40" w:line="480" w:lineRule="auto"/>
        <w:ind w:left="720" w:hanging="720"/>
      </w:pPr>
      <w:r>
        <w:rPr>
          <w:color w:val="FF0000"/>
          <w:sz w:val="20"/>
        </w:rPr>
        <w:t>22. Pharmaceuticals and Medical Devices Agency. Approval of Ozempic subcutaneous injection. 2018 Mar 20.</w:t>
      </w:r>
    </w:p>
    <w:p>
      <w:pPr>
        <w:spacing w:after="40" w:line="480" w:lineRule="auto"/>
        <w:ind w:left="720" w:hanging="720"/>
      </w:pPr>
      <w:r>
        <w:rPr>
          <w:color w:val="FF0000"/>
          <w:sz w:val="20"/>
        </w:rPr>
        <w:t>23. Pharmaceuticals and Medical Devices Agency. Approval of Mounjaro subcutaneous injection. 2023 Apr.</w:t>
      </w:r>
    </w:p>
    <w:p>
      <w:pPr>
        <w:spacing w:after="40" w:line="480" w:lineRule="auto"/>
        <w:ind w:left="720" w:hanging="720"/>
      </w:pPr>
      <w:r>
        <w:rPr>
          <w:color w:val="FF0000"/>
          <w:sz w:val="20"/>
        </w:rPr>
        <w:t>24. Price OJ, Sewry N, Schwellnus M, et al. Prevalence of lower airway dysfunction in athletes: a systematic review and meta-analysis. Br J Sports Med. 2022;56(4):213–222.</w:t>
      </w:r>
    </w:p>
    <w:p>
      <w:pPr>
        <w:spacing w:after="40" w:line="480" w:lineRule="auto"/>
        <w:ind w:left="720" w:hanging="720"/>
      </w:pPr>
      <w:r>
        <w:rPr>
          <w:color w:val="FF0000"/>
          <w:sz w:val="20"/>
        </w:rPr>
        <w:t>25. Stuart M, Mottram DR, Erskine PJ. Therapeutic use exemptions—a review and analysis of TUE application trends across Olympic sports from 2015 to 2020. Drug Test Anal. 2022;14(5):890–898.</w:t>
      </w:r>
    </w:p>
    <w:p>
      <w:pPr>
        <w:spacing w:after="40" w:line="480" w:lineRule="auto"/>
        <w:ind w:left="720" w:hanging="720"/>
      </w:pPr>
      <w:r>
        <w:rPr>
          <w:color w:val="FF0000"/>
          <w:sz w:val="20"/>
        </w:rPr>
        <w:t>26.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color w:val="FF0000"/>
          <w:sz w:val="20"/>
        </w:rPr>
        <w:t>27. Teede HJ, Azziz R, Balen AH, et al. Polyendocrine metabolic ovarian syndrome: a proposal for the renaming of polycystic ovary syndrome. Lancet. 2026; published online May 13, 2026.</w:t>
      </w:r>
    </w:p>
    <w:p>
      <w:pPr>
        <w:spacing w:after="40" w:line="480" w:lineRule="auto"/>
        <w:ind w:left="720" w:hanging="720"/>
      </w:pPr>
      <w:r>
        <w:rPr>
          <w:color w:val="FF0000"/>
          <w:sz w:val="20"/>
        </w:rPr>
        <w:t>28. Tricco AC, Lillie E, Zarin W, et al. PRISMA extension for scoping reviews (PRISMA-ScR): checklist and explanation. Ann Intern Med. 2018;169(7):467–473.</w:t>
      </w:r>
    </w:p>
    <w:p>
      <w:pPr>
        <w:spacing w:after="40" w:line="480" w:lineRule="auto"/>
        <w:ind w:left="720" w:hanging="720"/>
      </w:pPr>
      <w:r>
        <w:rPr>
          <w:color w:val="FF0000"/>
          <w:sz w:val="20"/>
        </w:rPr>
        <w:t>29. US Food and Drug Administration. FDA approves Ozempic to improve glycemic control in adults with type 2 diabetes. Press release. 2017 Dec 4.</w:t>
      </w:r>
    </w:p>
    <w:p>
      <w:pPr>
        <w:spacing w:after="40" w:line="480" w:lineRule="auto"/>
        <w:ind w:left="720" w:hanging="720"/>
      </w:pPr>
      <w:r>
        <w:rPr>
          <w:color w:val="FF0000"/>
          <w:sz w:val="20"/>
        </w:rPr>
        <w:t>30. US Food and Drug Administration. FDA approves Mounjaro (tirzepatide) injection for type 2 diabetes. Press release. 2022 May 13.</w:t>
      </w:r>
    </w:p>
    <w:p>
      <w:pPr>
        <w:spacing w:after="40" w:line="480" w:lineRule="auto"/>
        <w:ind w:left="720" w:hanging="720"/>
      </w:pPr>
      <w:r>
        <w:rPr>
          <w:color w:val="FF0000"/>
          <w:sz w:val="20"/>
        </w:rPr>
        <w:t>31. Vernec A, Pipe A, Engel-Nitz NM. The World Anti-Doping Agency (WADA) Therapeutic Use Exemption (TUE) process. Clin J Sport Med. 2019;29(5):351–355.</w:t>
      </w:r>
    </w:p>
    <w:p>
      <w:pPr>
        <w:spacing w:after="40" w:line="480" w:lineRule="auto"/>
        <w:ind w:left="720" w:hanging="720"/>
      </w:pPr>
      <w:r>
        <w:rPr>
          <w:color w:val="FF0000"/>
          <w:sz w:val="20"/>
        </w:rPr>
        <w:t>32.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color w:val="FF0000"/>
          <w:sz w:val="20"/>
        </w:rPr>
        <w:t>33. World Anti-Doping Agency. World Anti-Doping Code 2021. Montreal: WADA; 2021.</w:t>
      </w:r>
    </w:p>
    <w:p>
      <w:pPr>
        <w:spacing w:after="40" w:line="480" w:lineRule="auto"/>
        <w:ind w:left="720" w:hanging="720"/>
      </w:pPr>
      <w:r>
        <w:rPr>
          <w:color w:val="FF0000"/>
          <w:sz w:val="20"/>
        </w:rPr>
        <w:t>34. World Anti-Doping Agency. World Anti-Doping Code International Standard for Therapeutic Use Exemptions (ISTUE). Montreal: WADA; 2021.</w:t>
      </w:r>
    </w:p>
    <w:p>
      <w:pPr>
        <w:spacing w:after="40" w:line="480" w:lineRule="auto"/>
        <w:ind w:left="720" w:hanging="720"/>
      </w:pPr>
      <w:r>
        <w:rPr>
          <w:color w:val="FF0000"/>
          <w:sz w:val="20"/>
        </w:rPr>
        <w:t>35. World Anti-Doping Agency. The 2026 Prohibited List International Standard. Montreal: WADA; 2025.</w:t>
      </w:r>
    </w:p>
    <w:p>
      <w:pPr>
        <w:spacing w:after="40" w:line="480" w:lineRule="auto"/>
        <w:ind w:left="720" w:hanging="720"/>
      </w:pPr>
      <w:r>
        <w:rPr>
          <w:color w:val="FF0000"/>
          <w:sz w:val="20"/>
        </w:rPr>
        <w:t>36. World Anti-Doping Agency. TUE Physician Guidelines – Asthma. Version 9.3. Montreal: WADA; 2026.</w:t>
      </w:r>
    </w:p>
    <w:p>
      <w:pPr>
        <w:spacing w:after="40" w:line="480" w:lineRule="auto"/>
        <w:ind w:left="720" w:hanging="720"/>
      </w:pPr>
      <w:r>
        <w:rPr>
          <w:color w:val="FF0000"/>
          <w:sz w:val="20"/>
        </w:rPr>
        <w:t>37. World Anti-Doping Agency. TUE Physician Guidelines – Attention Deficit Hyperactivity Disorder (ADHD). Version 8.0. Montreal: WADA; 2026.</w:t>
      </w:r>
    </w:p>
    <w:p>
      <w:pPr>
        <w:spacing w:after="40" w:line="480" w:lineRule="auto"/>
        <w:ind w:left="720" w:hanging="720"/>
      </w:pPr>
      <w:r>
        <w:rPr>
          <w:color w:val="FF0000"/>
          <w:sz w:val="20"/>
        </w:rPr>
        <w:t>38. World Anti-Doping Agency. 2026 Monitoring Program. Montreal: WADA; 2025.</w:t>
      </w:r>
    </w:p>
    <w:p>
      <w:pPr>
        <w:spacing w:after="40" w:line="480" w:lineRule="auto"/>
        <w:ind w:left="720" w:hanging="720"/>
      </w:pPr>
      <w:r>
        <w:rPr>
          <w:color w:val="FF0000"/>
          <w:sz w:val="20"/>
        </w:rPr>
        <w:t>39. World Anti-Doping Agency. Glucocorticoids and Therapeutic Use Exemptions Guidelines. Montreal: WADA; 2025.</w:t>
      </w:r>
    </w:p>
    <w:p>
      <w:pPr>
        <w:spacing w:after="40" w:line="480" w:lineRule="auto"/>
        <w:ind w:left="720" w:hanging="720"/>
      </w:pPr>
      <w:r>
        <w:rPr>
          <w:color w:val="FF0000"/>
          <w:sz w:val="20"/>
        </w:rPr>
        <w:t>40. World Anti-Doping Agency. Glucocorticoids washout table—2026. Montreal: WADA; 2025.</w:t>
      </w:r>
    </w:p>
    <w:p>
      <w:pPr>
        <w:spacing w:after="40" w:line="480" w:lineRule="auto"/>
        <w:ind w:left="720" w:hanging="720"/>
      </w:pPr>
      <w:r>
        <w:rPr>
          <w:color w:val="FF0000"/>
          <w:sz w:val="20"/>
        </w:rPr>
        <w:t>41. World Anti-Doping Agency. 2023 Anti-Doping Testing Figures Report. Montreal: WADA; 2025.</w:t>
      </w:r>
    </w:p>
    <w:p>
      <w:pPr>
        <w:spacing w:after="40" w:line="480" w:lineRule="auto"/>
        <w:ind w:left="720" w:hanging="720"/>
      </w:pPr>
      <w:r>
        <w:rPr>
          <w:color w:val="FF0000"/>
          <w:sz w:val="20"/>
        </w:rPr>
        <w:t>42. World Anti-Doping Agency. Athlete Biological Passport Operating Guidelines. Version 9.0. Montreal: WADA; 2023.</w:t>
      </w:r>
    </w:p>
    <w:p>
      <w:pPr>
        <w:spacing w:after="40" w:line="480" w:lineRule="auto"/>
        <w:ind w:left="720" w:hanging="720"/>
      </w:pPr>
      <w:r>
        <w:rPr>
          <w:color w:val="FF0000"/>
          <w:sz w:val="20"/>
        </w:rPr>
        <w:t>43. World Anti-Doping Agency. Anti-Doping Administration and Management System (ADAMS). Montreal: WADA; 2024.</w:t>
      </w:r>
    </w:p>
    <w:p>
      <w:pPr>
        <w:spacing w:after="40" w:line="480" w:lineRule="auto"/>
        <w:ind w:left="720" w:hanging="720"/>
      </w:pPr>
      <w:r>
        <w:rPr>
          <w:color w:val="FF0000"/>
          <w:sz w:val="20"/>
        </w:rPr>
        <w:t>44. World Masters Athletics. 2024 WMA Annual Report. 2024.</w:t>
      </w:r>
    </w:p>
    <w:p>
      <w:r>
        <w:br w:type="page"/>
      </w:r>
    </w:p>
    <w:p>
      <w:pPr>
        <w:spacing w:before="240" w:after="120"/>
      </w:pPr>
      <w:r>
        <w:rPr>
          <w:b/>
          <w:color w:val="FF0000"/>
          <w:sz w:val="28"/>
        </w:rPr>
        <w:t>FIGURE LEGENDS</w:t>
      </w:r>
    </w:p>
    <w:p>
      <w:pPr>
        <w:spacing w:before="280" w:line="360" w:lineRule="auto"/>
        <w:jc w:val="center"/>
      </w:pPr>
      <w:r>
        <w:rPr>
          <w:i/>
          <w:color w:val="FF0000"/>
          <w:sz w:val="20"/>
        </w:rPr>
        <w:t>Figure 1. PRISMA-ScR flow diagram illustrating the source selection process. Database-specific record counts were: PubMed/MEDLINE (n=312), Embase (n=198), SPORTDiscus (n=121), Cochrane Library (n=84), and Web of Science (n=132), for a total of 847 records before deduplication.</w:t>
      </w:r>
    </w:p>
    <w:p/>
    <w:p>
      <w:pPr>
        <w:spacing w:before="280" w:line="360" w:lineRule="auto"/>
        <w:jc w:val="center"/>
      </w:pPr>
      <w:r>
        <w:rPr>
          <w:i/>
          <w:color w:val="FF0000"/>
          <w:sz w:val="20"/>
        </w:rPr>
        <w:t>Figure 2. Clinical-competition gap risk matrix by disease area and assessment dimension. Severity ratings reflect five dimensions: first-line treatment prohibition, TUE process complexity, guideline update lag, athlete impact, and availability of permitted alternatives.</w:t>
      </w:r>
    </w:p>
    <w:p/>
    <w:p>
      <w:pPr>
        <w:spacing w:before="280" w:line="360" w:lineRule="auto"/>
        <w:jc w:val="center"/>
      </w:pPr>
      <w:r>
        <w:rPr>
          <w:i/>
          <w:color w:val="FF0000"/>
          <w:sz w:val="20"/>
        </w:rPr>
        <w:t>Figure 3. Timeline of clinical guideline updates and WADA TUE regulatory changes (2018–2026). The timeline illustrates that clinical practice guidelines are updated on annual or near-annual cycles, whereas WADA TUE Physician Guidelines and Prohibited List changes may lag by 1–3 years in some disease areas.</w:t>
      </w:r>
    </w:p>
    <w:p/>
    <w:p>
      <w:pPr>
        <w:spacing w:before="280" w:line="360" w:lineRule="auto"/>
        <w:jc w:val="center"/>
      </w:pPr>
      <w:r>
        <w:rPr>
          <w:i/>
          <w:color w:val="FF0000"/>
          <w:sz w:val="20"/>
        </w:rPr>
        <w:t>Figure 4. Conceptual framework: structural drivers of the clinical-competition gap. The framework illustrates how evidence-based clinical practice guidelines and WADA anti-doping regulations generate divergent recommendations, producing a clinical-competition gap that affects athlete care. Example: an athlete with adult-diagnosed ADHD and a documented history of symptom control on long-acting methylphenidate would receive first-line therapy under clinical guidelines but must discontinue the medication in-competition unless a TUE is granted, risking cognitive withdrawal during competition.</w:t>
      </w:r>
    </w:p>
    <w:p/>
    <w:p>
      <w:pPr>
        <w:spacing w:before="280" w:line="360" w:lineRule="auto"/>
        <w:jc w:val="center"/>
      </w:pPr>
      <w:r>
        <w:rPr>
          <w:i/>
          <w:color w:val="FF0000"/>
          <w:sz w:val="20"/>
        </w:rPr>
        <w:t>Figure 5. Clinical-competition gap severity by disease area and assessment dimension. Higher scores indicate greater discrepancy between clinical guideline recommendations and WADA TUE regulations. PMOS=polyendocrine metabolic ovarian syndrome; GLP-1 RA=glucagon-like peptide-1 receptor agonist.</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