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20"/>
      </w:pPr>
      <w:r>
        <w:rPr>
          <w:rFonts w:ascii="Times New Roman" w:hAnsi="Times New Roman" w:eastAsia="Times New Roman"/>
          <w:b w:val="0"/>
          <w:i w:val="0"/>
          <w:strike w:val="0"/>
          <w:color w:val="000000"/>
          <w:sz w:val="24"/>
        </w:rPr>
        <w:t>Mind the Gap: A Scoping Review of Discrepancies Between WADA Therapeutic Use Exemption and Current Clinical Practice Guidelines</w:t>
      </w:r>
    </w:p>
    <w:p>
      <w:pPr>
        <w:ind w:firstLine="720"/>
      </w:pPr>
      <w:r>
        <w:rPr>
          <w:rFonts w:ascii="Times New Roman" w:hAnsi="Times New Roman" w:eastAsia="Times New Roman"/>
          <w:b w:val="0"/>
          <w:i w:val="0"/>
          <w:strike w:val="0"/>
          <w:color w:val="000000"/>
          <w:sz w:val="24"/>
        </w:rPr>
        <w:t>Running Head: WADA TUE AND CLINICAL GUIDELINE GAPS</w:t>
      </w:r>
    </w:p>
    <w:p>
      <w:pPr>
        <w:ind w:firstLine="720"/>
      </w:pPr>
      <w:r>
        <w:rPr>
          <w:rFonts w:ascii="Times New Roman" w:hAnsi="Times New Roman" w:eastAsia="Times New Roman"/>
          <w:b w:val="0"/>
          <w:i w:val="0"/>
          <w:strike w:val="0"/>
          <w:color w:val="000000"/>
          <w:sz w:val="24"/>
        </w:rPr>
        <w:t>Keywords: therapeutic use exemption; anti-doping; clinical practice guidelines; scoping review; prohibited list; athlete health</w:t>
      </w:r>
    </w:p>
    <w:p>
      <w:pPr>
        <w:spacing w:before="240" w:after="120"/>
      </w:pPr>
      <w:r>
        <w:rPr>
          <w:rFonts w:ascii="Times New Roman" w:hAnsi="Times New Roman" w:eastAsia="Times New Roman"/>
          <w:b/>
          <w:i w:val="0"/>
          <w:strike w:val="0"/>
          <w:color w:val="000000"/>
          <w:sz w:val="28"/>
        </w:rPr>
        <w:t>ABSTRACT</w:t>
      </w:r>
    </w:p>
    <w:p>
      <w:pPr>
        <w:ind w:firstLine="720"/>
      </w:pPr>
      <w:r>
        <w:rPr>
          <w:rFonts w:ascii="Times New Roman" w:hAnsi="Times New Roman" w:eastAsia="Times New Roman"/>
          <w:b w:val="0"/>
          <w:i w:val="0"/>
          <w:strike w:val="0"/>
          <w:color w:val="000000"/>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pPr>
        <w:spacing w:before="240" w:after="120"/>
      </w:pPr>
      <w:r>
        <w:rPr>
          <w:rFonts w:ascii="Times New Roman" w:hAnsi="Times New Roman" w:eastAsia="Times New Roman"/>
          <w:b/>
          <w:i w:val="0"/>
          <w:strike w:val="0"/>
          <w:color w:val="000000"/>
          <w:sz w:val="28"/>
        </w:rPr>
        <w:t>INTRODUCTION</w:t>
      </w:r>
    </w:p>
    <w:p>
      <w:pPr>
        <w:ind w:firstLine="720"/>
      </w:pPr>
      <w:r>
        <w:rPr>
          <w:rFonts w:ascii="Times New Roman" w:hAnsi="Times New Roman" w:eastAsia="Times New Roman"/>
          <w:b w:val="0"/>
          <w:i w:val="0"/>
          <w:strike w:val="0"/>
          <w:color w:val="000000"/>
          <w:sz w:val="24"/>
        </w:rPr>
        <w:t xml:space="preserve">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WADA maintains the Prohibited List, an annually updated catalogue of substances and methods banned in sport, and publishes disease-specific TUE Physician Guidelines, described as living documents subject to periodic revision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rFonts w:ascii="Times New Roman" w:hAnsi="Times New Roman" w:eastAsia="Times New Roman"/>
          <w:b w:val="0"/>
          <w:i w:val="0"/>
          <w:strike w:val="0"/>
          <w:color w:val="000000"/>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rFonts w:ascii="Times New Roman" w:hAnsi="Times New Roman" w:eastAsia="Times New Roman"/>
          <w:b w:val="0"/>
          <w:i w:val="0"/>
          <w:strike w:val="0"/>
          <w:color w:val="000000"/>
          <w:sz w:val="24"/>
        </w:rPr>
        <w:t xml:space="preserve">Previous studies have examined individual aspects of this problem. Allen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reviewed anti-doping policy implications for asthmatic athletes, while Gerrard and Pipe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described the TUE process itself. Heuberger and Cohen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questioned the evidence base for performance-enhancing effects of many prohibited substances, and Overbye and Wagner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rFonts w:ascii="Times New Roman" w:hAnsi="Times New Roman" w:eastAsia="Times New Roman"/>
          <w:b w:val="0"/>
          <w:i w:val="0"/>
          <w:strike w:val="0"/>
          <w:color w:val="000000"/>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rFonts w:ascii="Times New Roman" w:hAnsi="Times New Roman" w:eastAsia="Times New Roman"/>
          <w:b w:val="0"/>
          <w:i w:val="0"/>
          <w:strike w:val="0"/>
          <w:color w:val="000000"/>
          <w:sz w:val="24"/>
        </w:rPr>
        <w:t xml:space="preserve">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Systematic data on application eligibility by competitive tier are limited, but the documented variation in TUE approval rates across sports and Olympic Games suggests that access is not uniform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p>
    <w:p>
      <w:pPr>
        <w:spacing w:before="240" w:after="120"/>
      </w:pPr>
      <w:r>
        <w:rPr>
          <w:rFonts w:ascii="Times New Roman" w:hAnsi="Times New Roman" w:eastAsia="Times New Roman"/>
          <w:b/>
          <w:i w:val="0"/>
          <w:strike w:val="0"/>
          <w:color w:val="000000"/>
          <w:sz w:val="28"/>
        </w:rPr>
        <w:t>METHODS</w:t>
      </w:r>
    </w:p>
    <w:p>
      <w:pPr>
        <w:spacing w:before="240" w:after="120"/>
      </w:pPr>
      <w:r>
        <w:rPr>
          <w:rFonts w:ascii="Times New Roman" w:hAnsi="Times New Roman" w:eastAsia="Times New Roman"/>
          <w:b/>
          <w:i w:val="0"/>
          <w:strike w:val="0"/>
          <w:color w:val="000000"/>
          <w:sz w:val="24"/>
        </w:rPr>
        <w:t>Protocol and Registration</w:t>
      </w:r>
    </w:p>
    <w:p>
      <w:pPr>
        <w:ind w:firstLine="720"/>
      </w:pPr>
      <w:r>
        <w:rPr>
          <w:rFonts w:ascii="Times New Roman" w:hAnsi="Times New Roman" w:eastAsia="Times New Roman"/>
          <w:b w:val="0"/>
          <w:i w:val="0"/>
          <w:strike w:val="0"/>
          <w:color w:val="000000"/>
          <w:sz w:val="24"/>
        </w:rPr>
        <w:t xml:space="preserve">This scoping review was conducted in accordance with the PRISMA-ScR (Preferred Reporting Items for Systematic Reviews and Meta-Analyses extension for Scoping Reviews) guidelines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followed the methodological framework outlined by Arksey and O'Malley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as refined by Levac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 review protocol was developed a priori but was not registered in a systematic review database. A completed PRISMA-ScR checklist is provided as a supplementary file.</w:t>
      </w:r>
    </w:p>
    <w:p>
      <w:pPr>
        <w:spacing w:before="240" w:after="120"/>
      </w:pPr>
      <w:r>
        <w:rPr>
          <w:rFonts w:ascii="Times New Roman" w:hAnsi="Times New Roman" w:eastAsia="Times New Roman"/>
          <w:b/>
          <w:i w:val="0"/>
          <w:strike w:val="0"/>
          <w:color w:val="000000"/>
          <w:sz w:val="24"/>
        </w:rPr>
        <w:t>Eligibility Criteria</w:t>
      </w:r>
    </w:p>
    <w:p>
      <w:pPr>
        <w:ind w:firstLine="720"/>
      </w:pPr>
      <w:r>
        <w:rPr>
          <w:rFonts w:ascii="Times New Roman" w:hAnsi="Times New Roman" w:eastAsia="Times New Roman"/>
          <w:b w:val="0"/>
          <w:i w:val="0"/>
          <w:strike w:val="0"/>
          <w:color w:val="000000"/>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rFonts w:ascii="Times New Roman" w:hAnsi="Times New Roman" w:eastAsia="Times New Roman"/>
          <w:b/>
          <w:i w:val="0"/>
          <w:strike w:val="0"/>
          <w:color w:val="000000"/>
          <w:sz w:val="24"/>
        </w:rPr>
        <w:t>Information Sources and Search Strategy</w:t>
      </w:r>
    </w:p>
    <w:p>
      <w:pPr>
        <w:ind w:firstLine="720"/>
      </w:pPr>
      <w:r>
        <w:rPr>
          <w:rFonts w:ascii="Times New Roman" w:hAnsi="Times New Roman" w:eastAsia="Times New Roman"/>
          <w:b w:val="0"/>
          <w:i w:val="0"/>
          <w:strike w:val="0"/>
          <w:color w:val="000000"/>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rFonts w:ascii="Times New Roman" w:hAnsi="Times New Roman" w:eastAsia="Times New Roman"/>
          <w:b/>
          <w:i w:val="0"/>
          <w:strike w:val="0"/>
          <w:color w:val="000000"/>
          <w:sz w:val="24"/>
        </w:rPr>
        <w:t>Selection of Sources of Evidence</w:t>
      </w:r>
    </w:p>
    <w:p>
      <w:pPr>
        <w:ind w:firstLine="720"/>
      </w:pPr>
      <w:r>
        <w:rPr>
          <w:rFonts w:ascii="Times New Roman" w:hAnsi="Times New Roman" w:eastAsia="Times New Roman"/>
          <w:b w:val="0"/>
          <w:i w:val="0"/>
          <w:strike w:val="0"/>
          <w:color w:val="000000"/>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r>
        <w:rPr>
          <w:rFonts w:ascii="Times New Roman" w:hAnsi="Times New Roman" w:eastAsia="Times New Roman"/>
          <w:b w:val="0"/>
          <w:i w:val="0"/>
          <w:strike w:val="0"/>
          <w:color w:val="FF0000"/>
          <w:sz w:val="24"/>
        </w:rPr>
        <w:t>[Insert Figure 1 here]</w:t>
      </w:r>
    </w:p>
    <w:p>
      <w:pPr>
        <w:ind w:firstLine="720"/>
      </w:pPr>
      <w:r>
        <w:rPr>
          <w:rFonts w:ascii="Times New Roman" w:hAnsi="Times New Roman" w:eastAsia="Times New Roman"/>
          <w:b w:val="0"/>
          <w:i w:val="0"/>
          <w:strike w:val="0"/>
          <w:color w:val="000000"/>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rFonts w:ascii="Times New Roman" w:hAnsi="Times New Roman" w:eastAsia="Times New Roman"/>
          <w:b/>
          <w:i w:val="0"/>
          <w:strike w:val="0"/>
          <w:color w:val="000000"/>
          <w:sz w:val="24"/>
        </w:rPr>
        <w:t>Data Charting Process</w:t>
      </w:r>
    </w:p>
    <w:p>
      <w:pPr>
        <w:ind w:firstLine="720"/>
      </w:pPr>
      <w:r>
        <w:rPr>
          <w:rFonts w:ascii="Times New Roman" w:hAnsi="Times New Roman" w:eastAsia="Times New Roman"/>
          <w:b w:val="0"/>
          <w:i w:val="0"/>
          <w:strike w:val="0"/>
          <w:color w:val="000000"/>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rFonts w:ascii="Times New Roman" w:hAnsi="Times New Roman" w:eastAsia="Times New Roman"/>
          <w:b/>
          <w:i w:val="0"/>
          <w:strike w:val="0"/>
          <w:color w:val="000000"/>
          <w:sz w:val="24"/>
        </w:rPr>
        <w:t>Critical Appraisal of Individual Sources</w:t>
      </w:r>
    </w:p>
    <w:p>
      <w:pPr>
        <w:ind w:firstLine="720"/>
      </w:pPr>
      <w:r>
        <w:rPr>
          <w:rFonts w:ascii="Times New Roman" w:hAnsi="Times New Roman" w:eastAsia="Times New Roman"/>
          <w:b w:val="0"/>
          <w:i w:val="0"/>
          <w:strike w:val="0"/>
          <w:color w:val="000000"/>
          <w:sz w:val="24"/>
        </w:rPr>
        <w:t xml:space="preserve">Consistent with scoping review methodology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rFonts w:ascii="Times New Roman" w:hAnsi="Times New Roman" w:eastAsia="Times New Roman"/>
          <w:b/>
          <w:i w:val="0"/>
          <w:strike w:val="0"/>
          <w:color w:val="000000"/>
          <w:sz w:val="24"/>
        </w:rPr>
        <w:t>Synthesis of Results</w:t>
      </w:r>
    </w:p>
    <w:p>
      <w:pPr>
        <w:ind w:firstLine="720"/>
      </w:pPr>
      <w:r>
        <w:rPr>
          <w:rFonts w:ascii="Times New Roman" w:hAnsi="Times New Roman" w:eastAsia="Times New Roman"/>
          <w:b w:val="0"/>
          <w:i w:val="0"/>
          <w:strike w:val="0"/>
          <w:color w:val="000000"/>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pPr>
        <w:spacing w:before="240" w:after="120"/>
      </w:pPr>
      <w:r>
        <w:rPr>
          <w:rFonts w:ascii="Times New Roman" w:hAnsi="Times New Roman" w:eastAsia="Times New Roman"/>
          <w:b/>
          <w:i w:val="0"/>
          <w:strike w:val="0"/>
          <w:color w:val="000000"/>
          <w:sz w:val="28"/>
        </w:rPr>
        <w:t>RESULTS</w:t>
      </w:r>
    </w:p>
    <w:p>
      <w:pPr>
        <w:spacing w:before="240" w:after="120"/>
      </w:pPr>
      <w:r>
        <w:rPr>
          <w:rFonts w:ascii="Times New Roman" w:hAnsi="Times New Roman" w:eastAsia="Times New Roman"/>
          <w:b/>
          <w:i w:val="0"/>
          <w:strike w:val="0"/>
          <w:color w:val="000000"/>
          <w:sz w:val="24"/>
        </w:rPr>
        <w:t>Population and Epidemiological Context</w:t>
      </w:r>
    </w:p>
    <w:p>
      <w:pPr>
        <w:ind w:firstLine="720"/>
      </w:pPr>
      <w:r>
        <w:rPr>
          <w:rFonts w:ascii="Times New Roman" w:hAnsi="Times New Roman" w:eastAsia="Times New Roman"/>
          <w:b w:val="0"/>
          <w:i w:val="0"/>
          <w:strike w:val="0"/>
          <w:color w:val="000000"/>
          <w:sz w:val="24"/>
        </w:rPr>
        <w:t xml:space="preserve">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Systematic reviews report that lower airway dysfunction occurs in approximately 20–25% of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while the prevalence of ADHD among elite athletes has been estimated at 7–8%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masters athlete population is also expanding: the 2024 World Masters Athletics Championships registered 8,029 athletes from 112 countries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the 2027 World Masters Games had already received more than 24,000 registrations more than a year before the event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figures underscore that TUE policy decisions affect a large, heterogeneous population that includes younger elite competitors and older recreational athletes alike.</w:t>
      </w:r>
    </w:p>
    <w:p>
      <w:pPr>
        <w:spacing w:before="240" w:after="120"/>
      </w:pPr>
      <w:r>
        <w:rPr>
          <w:rFonts w:ascii="Times New Roman" w:hAnsi="Times New Roman" w:eastAsia="Times New Roman"/>
          <w:b/>
          <w:i w:val="0"/>
          <w:strike w:val="0"/>
          <w:color w:val="000000"/>
          <w:sz w:val="24"/>
        </w:rPr>
        <w:t>Overview of Clinical-Competition Gaps</w:t>
      </w:r>
    </w:p>
    <w:p>
      <w:pPr>
        <w:ind w:firstLine="720"/>
      </w:pPr>
      <w:r>
        <w:rPr>
          <w:rFonts w:ascii="Times New Roman" w:hAnsi="Times New Roman" w:eastAsia="Times New Roman"/>
          <w:b w:val="0"/>
          <w:i w:val="0"/>
          <w:strike w:val="0"/>
          <w:color w:val="000000"/>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r>
        <w:rPr>
          <w:rFonts w:ascii="Times New Roman" w:hAnsi="Times New Roman" w:eastAsia="Times New Roman"/>
          <w:b w:val="0"/>
          <w:i w:val="0"/>
          <w:strike w:val="0"/>
          <w:color w:val="FF0000"/>
          <w:sz w:val="24"/>
        </w:rPr>
        <w:t>[Insert Figure 2 here]</w:t>
      </w:r>
    </w:p>
    <w:p>
      <w:pPr>
        <w:spacing w:before="240" w:after="120"/>
      </w:pPr>
      <w:r>
        <w:rPr>
          <w:rFonts w:ascii="Times New Roman" w:hAnsi="Times New Roman" w:eastAsia="Times New Roman"/>
          <w:b/>
          <w:i w:val="0"/>
          <w:strike w:val="0"/>
          <w:color w:val="000000"/>
          <w:sz w:val="24"/>
        </w:rPr>
        <w:t>Asthma and Beta-2 Agonists</w:t>
      </w:r>
    </w:p>
    <w:p>
      <w:pPr>
        <w:ind w:firstLine="720"/>
      </w:pPr>
      <w:r>
        <w:rPr>
          <w:rFonts w:ascii="Times New Roman" w:hAnsi="Times New Roman" w:eastAsia="Times New Roman"/>
          <w:b w:val="0"/>
          <w:i w:val="0"/>
          <w:strike w:val="0"/>
          <w:color w:val="000000"/>
          <w:sz w:val="24"/>
        </w:rPr>
        <w:t xml:space="preserve">The Global Initiative for Asthma (GINA) 2025 report established a paradigm shift in asthma management, designating ICS-formoterol (inhaled corticosteroid combined with formoterol) maintenance and reliever therapy (MART) as the preferred treatment track (Track 1) across all severity steps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Under this approach, patients use a single ICS-formoterol inhaler for both daily maintenance and as-needed symptom relief, replacing the traditional model of a separate short-acting beta-2 agonist (SABA) reliever.</w:t>
      </w:r>
    </w:p>
    <w:p>
      <w:pPr>
        <w:ind w:firstLine="720"/>
      </w:pPr>
      <w:r>
        <w:rPr>
          <w:rFonts w:ascii="Times New Roman" w:hAnsi="Times New Roman" w:eastAsia="Times New Roman"/>
          <w:b w:val="0"/>
          <w:i w:val="0"/>
          <w:strike w:val="0"/>
          <w:color w:val="000000"/>
          <w:sz w:val="24"/>
        </w:rPr>
        <w:t xml:space="preserve">WADA permits inhaled formoterol without a TUE provided the total delivered dose does not exceed 54 μg per 24 hours (with a subsidiary limit of 36 μg per 12 hours), and a urinary threshold of 40 ng/mL applies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WADA's threshold policy for beta-2 agonists reflects meta-analytic evidence that systemic use of these agents can increase lean body mass and reduce fat mass, whereas inhaled routes at permitted doses are considered unlikely to produce these effects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salbutamol threshold itself presents an additional compliance risk that warrants attention. WADA permits inhaled salbutamol up to 1600 μg per 24 hours (with a subsidiary limit of 800 μg per 8 hours), and applies a urine decision limit of 1000 ng/mL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Attention-Deficit/Hyperactivity Disorder (ADHD)</w:t>
      </w:r>
    </w:p>
    <w:p>
      <w:pPr>
        <w:ind w:firstLine="720"/>
      </w:pPr>
      <w:r>
        <w:rPr>
          <w:rFonts w:ascii="Times New Roman" w:hAnsi="Times New Roman" w:eastAsia="Times New Roman"/>
          <w:b w:val="0"/>
          <w:i w:val="0"/>
          <w:strike w:val="0"/>
          <w:color w:val="000000"/>
          <w:sz w:val="24"/>
        </w:rPr>
        <w:t xml:space="preserve">Major clinical guidelines, including NICE (2024) and the Australian ADHD Guideline 2022  designate stimulant medications as first-line pharmacotherapy for ADHD in both children and adults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Under WADA regulations, all stimulant medications for ADHD are prohibited in-competition: amphetamines as non-specified stimulants (S6.A) and methylphenidate as a specified stimulant (S6.B)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TUE application process for stimulant medications requires comprehensive neuropsychological evaluation, documentation of childhood-onset symptoms per DSM-5 criteria, evidence that non-stimulant alternatives have been trialed, and ongoing monitoring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rFonts w:ascii="Times New Roman" w:hAnsi="Times New Roman" w:eastAsia="Times New Roman"/>
          <w:b w:val="0"/>
          <w:i w:val="0"/>
          <w:strike w:val="0"/>
          <w:color w:val="000000"/>
          <w:sz w:val="24"/>
        </w:rPr>
        <w:t xml:space="preserve">The prevalence of ADHD among elite athletes has been estimated at 7–8%, comparable to or slightly higher than the general adult population prevalence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suggests that the ADHD-TUE gap affects a substantial number of competitive athletes worldwide. Data from Vernec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rFonts w:ascii="Times New Roman" w:hAnsi="Times New Roman" w:eastAsia="Times New Roman"/>
          <w:b w:val="0"/>
          <w:i w:val="0"/>
          <w:strike w:val="0"/>
          <w:color w:val="000000"/>
          <w:sz w:val="24"/>
        </w:rPr>
        <w:t xml:space="preserve">TUE access for stimulant medications is not uniformly available across all competitive tiers. While the ISTUE applies in principle to all athletes subject to anti-doping rules, practical implementation varies by NADO and IFs. Some NADOs require proof of national-team status, international results, or prior anti-doping testing before accepting TUE applications; others accept applications at any competitive level but impose documentation and processing requirements that function as de facto barriers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rFonts w:ascii="Times New Roman" w:hAnsi="Times New Roman" w:eastAsia="Times New Roman"/>
          <w:b/>
          <w:i w:val="0"/>
          <w:strike w:val="0"/>
          <w:color w:val="000000"/>
          <w:sz w:val="24"/>
        </w:rPr>
        <w:t>Type 2 Diabetes Mellitus and GLP-1 Receptor Agonists</w:t>
      </w:r>
    </w:p>
    <w:p>
      <w:pPr>
        <w:ind w:firstLine="720"/>
      </w:pPr>
      <w:r>
        <w:rPr>
          <w:rFonts w:ascii="Times New Roman" w:hAnsi="Times New Roman" w:eastAsia="Times New Roman"/>
          <w:b w:val="0"/>
          <w:i w:val="0"/>
          <w:strike w:val="0"/>
          <w:color w:val="000000"/>
          <w:sz w:val="24"/>
        </w:rPr>
        <w:t xml:space="preserve">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agents have demonstrated cardiovascular and renal protective benefits beyond glucose lowering.</w:t>
      </w:r>
    </w:p>
    <w:p>
      <w:pPr>
        <w:ind w:firstLine="720"/>
      </w:pPr>
      <w:r>
        <w:rPr>
          <w:rFonts w:ascii="Times New Roman" w:hAnsi="Times New Roman" w:eastAsia="Times New Roman"/>
          <w:b w:val="0"/>
          <w:i w:val="0"/>
          <w:strike w:val="0"/>
          <w:color w:val="000000"/>
          <w:sz w:val="24"/>
        </w:rPr>
        <w:t xml:space="preserve">Semaglutide (Ozempic) received US Food and Drug Administration approval in December 2017, European Medicines Agency authorization in February 2018, and Pharmaceuticals and Medical Devices Agency approval in March 2018 for type 2 diabetes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27</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28</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Tirzepatide (Mounjaro) received FDA approval in May 2022, EMA authorization in September 2022, and PMDA approval in April 2023 for type 2 diabetes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30</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8</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24</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This rapid multinational uptake means that many athletes with type 2 diabetes are now treated with agents that may also be attractive for misuse because of their weight-loss effects.</w:t>
      </w:r>
    </w:p>
    <w:p>
      <w:pPr>
        <w:ind w:firstLine="720"/>
      </w:pPr>
      <w:r>
        <w:rPr>
          <w:rFonts w:ascii="Times New Roman" w:hAnsi="Times New Roman" w:eastAsia="Times New Roman"/>
          <w:b w:val="0"/>
          <w:i w:val="0"/>
          <w:strike w:val="0"/>
          <w:color w:val="000000"/>
          <w:sz w:val="24"/>
        </w:rPr>
        <w:t xml:space="preserve">Currently, GLP-1 receptor agonists are not on the WADA Prohibited List and do not require a TUE. However, semaglutide and tirzepatide were placed on the WADA Monitoring Program in 2024, indicating active surveillance for potential future prohibition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Male Hypogonadism and Testosterone Replacement</w:t>
      </w:r>
    </w:p>
    <w:p>
      <w:pPr>
        <w:ind w:firstLine="720"/>
      </w:pPr>
      <w:r>
        <w:rPr>
          <w:rFonts w:ascii="Times New Roman" w:hAnsi="Times New Roman" w:eastAsia="Times New Roman"/>
          <w:b w:val="0"/>
          <w:i w:val="0"/>
          <w:strike w:val="0"/>
          <w:color w:val="000000"/>
          <w:sz w:val="24"/>
        </w:rPr>
        <w:t xml:space="preserve">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EAU 2024 guidelines similarly recognize late-onset hypogonadism (LOH) as a treatable condition when lifestyle modifications fail to restore testosterone levels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TRAVERSE trial 2023 provided landmark evidence that TRT does not increase major adverse cardiovascular events in men aged 45–80 with hypogonadism, removing a major historical safety concern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In contrast, WADA's TUE Physician Guidelines for male hypogonadism explicitly state that "TUE should only be granted for organic causes of hypogonadism" and that "functional hypogonadism should not be granted a TUE"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concern is that TRT can restore physiological testosterone levels but may also be abused to produce supraphysiological effects, particularly in athletes whose hypogonadism is related to energy deficit, overtraining, or prior anabolic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rFonts w:ascii="Times New Roman" w:hAnsi="Times New Roman" w:eastAsia="Times New Roman"/>
          <w:b w:val="0"/>
          <w:i w:val="0"/>
          <w:strike w:val="0"/>
          <w:color w:val="000000"/>
          <w:sz w:val="24"/>
        </w:rPr>
        <w:t xml:space="preserve">The growing masters athlete population is disproportionately affected by this gap. A study of 183 male athletes older than 50 years found that 11.5% had severe testosterone deficiency (&lt;8 nmol/L) and 26.2% had mild deficiency (8–12 nmol/L), with prevalence rising with age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2024 World Masters Athletics Championships registered 8,029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the 2027 World Masters Games had more than 24,000 registrants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Glucocorticoid Administration</w:t>
      </w:r>
    </w:p>
    <w:p>
      <w:pPr>
        <w:ind w:firstLine="720"/>
      </w:pPr>
      <w:r>
        <w:rPr>
          <w:rFonts w:ascii="Times New Roman" w:hAnsi="Times New Roman" w:eastAsia="Times New Roman"/>
          <w:b w:val="0"/>
          <w:i w:val="0"/>
          <w:strike w:val="0"/>
          <w:color w:val="000000"/>
          <w:sz w:val="24"/>
        </w:rPr>
        <w:t xml:space="preserve">Since 2022, WADA has prohibited all routes of glucocorticoid (GC) administration in-competition, including intra-articular injections that were previously permitted </w:t>
      </w:r>
      <w:r>
        <w:rPr>
          <w:rFonts w:ascii="Times New Roman" w:hAnsi="Times New Roman" w:eastAsia="Times New Roman"/>
          <w:b w:val="0"/>
          <w:i w:val="0"/>
          <w:strike/>
          <w:color w:val="0000FF"/>
          <w:sz w:val="24"/>
        </w:rPr>
        <w:t xml:space="preserve">(3, </w:t>
      </w:r>
      <w:r>
        <w:rPr>
          <w:rFonts w:ascii="Times New Roman" w:hAnsi="Times New Roman" w:eastAsia="Times New Roman"/>
          <w:b w:val="0"/>
          <w:i w:val="0"/>
          <w:strike w:val="0"/>
          <w:color w:val="FF0000"/>
          <w:sz w:val="24"/>
        </w:rPr>
        <w:t xml:space="preserve">(39, </w:t>
      </w:r>
      <w:r>
        <w:rPr>
          <w:rFonts w:ascii="Times New Roman" w:hAnsi="Times New Roman" w:eastAsia="Times New Roman"/>
          <w:b w:val="0"/>
          <w:i w:val="0"/>
          <w:strike w:val="0"/>
          <w:color w:val="000000"/>
          <w:sz w:val="24"/>
        </w:rPr>
        <w:t xml:space="preserve">37). Washout periods were introduced: 3 days for most oral GCs, 10 days for oral triamcinolone, 5 days for intramuscular betamethasone/dexamethasone, and 60 days for intramuscular triamcinolone acetonide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Additionally, the 2026 modifications note that sustained-release formulations may produce detectable GC levels beyond published washout periods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37</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i w:val="0"/>
          <w:strike w:val="0"/>
          <w:color w:val="000000"/>
          <w:sz w:val="24"/>
        </w:rPr>
        <w:t>Cardiovascular Disease: Diuretics and Beta-Blockers</w:t>
      </w:r>
    </w:p>
    <w:p>
      <w:pPr>
        <w:ind w:firstLine="720"/>
      </w:pPr>
      <w:r>
        <w:rPr>
          <w:rFonts w:ascii="Times New Roman" w:hAnsi="Times New Roman" w:eastAsia="Times New Roman"/>
          <w:b w:val="0"/>
          <w:i w:val="0"/>
          <w:strike w:val="0"/>
          <w:color w:val="000000"/>
          <w:sz w:val="24"/>
        </w:rPr>
        <w:t xml:space="preserve">Heart failure management, as outlined in the 2021 ESC Guidelines and subsequent updates, relies on four foundational drug classes: ACE inhibitors/ARNi, beta-blockers, mineralocorticoid receptor antagonists (MRAs such as spironolactone and eplerenone), and SGLT2 inhibitors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Of these, MRAs are prohibited under WADA category S5 (diuretics and masking agents), as are loop diuretics (furosemide) essential for congestion management and thiazide diuretics used in hypertension treatment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 masters shooting athlete diagnosed with atrial fibrillation faces particular difficulty, as beta-blockers are first-line rate control therapy, yet CAS precedent 2009 and 2013 have established a high bar for TUE approval in sports where these agents could reduce tremor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PMOS and Female Fertility Treatment</w:t>
      </w:r>
    </w:p>
    <w:p>
      <w:pPr>
        <w:ind w:firstLine="720"/>
      </w:pPr>
      <w:r>
        <w:rPr>
          <w:rFonts w:ascii="Times New Roman" w:hAnsi="Times New Roman" w:eastAsia="Times New Roman"/>
          <w:b w:val="0"/>
          <w:i w:val="0"/>
          <w:strike w:val="0"/>
          <w:color w:val="000000"/>
          <w:sz w:val="24"/>
        </w:rPr>
        <w:t xml:space="preserve">In May 2026, an international panel proposed renaming polycystic ovary syndrome (PCOS) to polyendocrine metabolic ovarian syndrome (PMOS) to better reflect its heterogeneous endocrine, metabolic, and reproductive features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We have adopted this proposed terminology throughout this review while retaining PCOS in parentheses for reader recognition.</w:t>
      </w:r>
    </w:p>
    <w:p>
      <w:pPr>
        <w:ind w:firstLine="720"/>
      </w:pPr>
      <w:r>
        <w:rPr>
          <w:rFonts w:ascii="Times New Roman" w:hAnsi="Times New Roman" w:eastAsia="Times New Roman"/>
          <w:b w:val="0"/>
          <w:i w:val="0"/>
          <w:strike w:val="0"/>
          <w:color w:val="000000"/>
          <w:sz w:val="24"/>
        </w:rPr>
        <w:t xml:space="preserve">The 2023 International Evidence-Based PCOS Guideline and WHO recommendations position letrozole as the first-line ovulation induction agent for PCOS-related infertility, with clomiphene as second-line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Both agents are always prohibited under WADA category S4 (anti-estrogens and aromatase inhibitors)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rationale is that aromatase inhibitors and selective estrogen receptor modulators may be misused to mitigate estrogenic effects of anabolic-androgenic steroid use or to restore endogenous testosterone production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Cross-Cutting Analysis: Structural Drivers of Divergence</w:t>
      </w:r>
    </w:p>
    <w:p>
      <w:pPr>
        <w:ind w:firstLine="720"/>
      </w:pPr>
      <w:r>
        <w:rPr>
          <w:rFonts w:ascii="Times New Roman" w:hAnsi="Times New Roman" w:eastAsia="Times New Roman"/>
          <w:b w:val="0"/>
          <w:i w:val="0"/>
          <w:strike w:val="0"/>
          <w:color w:val="000000"/>
          <w:sz w:val="24"/>
        </w:rPr>
        <w:t xml:space="preserve">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color w:val="0000FF"/>
          <w:sz w:val="24"/>
        </w:rPr>
        <w:t xml:space="preserve">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42</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These structural drivers and their interactions are summarized in the conceptual framework (Figure 4).</w:t>
      </w:r>
      <w:r>
        <w:rPr>
          <w:rFonts w:ascii="Times New Roman" w:hAnsi="Times New Roman" w:eastAsia="Times New Roman"/>
          <w:b w:val="0"/>
          <w:i w:val="0"/>
          <w:strike w:val="0"/>
          <w:color w:val="FF0000"/>
          <w:sz w:val="24"/>
        </w:rPr>
        <w:t>[Insert Figure 3 here]</w:t>
      </w:r>
    </w:p>
    <w:p>
      <w:r>
        <w:rPr>
          <w:rFonts w:ascii="Times New Roman" w:hAnsi="Times New Roman" w:eastAsia="Times New Roman"/>
          <w:b w:val="0"/>
          <w:i w:val="0"/>
          <w:strike w:val="0"/>
          <w:color w:val="FF0000"/>
          <w:sz w:val="24"/>
        </w:rPr>
        <w:t xml:space="preserve">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36</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These structural drivers and their interactions are summarized in the conceptual framework (Figure 4).</w:t>
      </w:r>
    </w:p>
    <w:p>
      <w:r>
        <w:rPr>
          <w:rFonts w:ascii="Times New Roman" w:hAnsi="Times New Roman" w:eastAsia="Times New Roman"/>
          <w:b w:val="0"/>
          <w:i w:val="0"/>
          <w:strike w:val="0"/>
          <w:color w:val="FF0000"/>
          <w:sz w:val="24"/>
        </w:rPr>
        <w:t>[Insert Figure 4 here]</w:t>
      </w:r>
    </w:p>
    <w:p>
      <w:pPr>
        <w:spacing w:before="240" w:after="120"/>
      </w:pPr>
      <w:r>
        <w:rPr>
          <w:rFonts w:ascii="Times New Roman" w:hAnsi="Times New Roman" w:eastAsia="Times New Roman"/>
          <w:b/>
          <w:i w:val="0"/>
          <w:strike w:val="0"/>
          <w:color w:val="000000"/>
          <w:sz w:val="28"/>
        </w:rPr>
        <w:t>DISCUSSION</w:t>
      </w:r>
    </w:p>
    <w:p>
      <w:pPr>
        <w:ind w:firstLine="720"/>
      </w:pPr>
      <w:r>
        <w:rPr>
          <w:rFonts w:ascii="Times New Roman" w:hAnsi="Times New Roman" w:eastAsia="Times New Roman"/>
          <w:b w:val="0"/>
          <w:i w:val="0"/>
          <w:strike w:val="0"/>
          <w:color w:val="000000"/>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rFonts w:ascii="Times New Roman" w:hAnsi="Times New Roman" w:eastAsia="Times New Roman"/>
          <w:b w:val="0"/>
          <w:i w:val="0"/>
          <w:strike w:val="0"/>
          <w:color w:val="000000"/>
          <w:sz w:val="24"/>
        </w:rPr>
        <w:t xml:space="preserve">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w:t>
      </w:r>
      <w:r>
        <w:rPr>
          <w:rFonts w:ascii="Times New Roman" w:hAnsi="Times New Roman" w:eastAsia="Times New Roman"/>
          <w:b w:val="0"/>
          <w:i w:val="0"/>
          <w:strike/>
          <w:color w:val="0000FF"/>
          <w:sz w:val="24"/>
        </w:rPr>
        <w:t xml:space="preserve">(1, 2, </w:t>
      </w:r>
      <w:r>
        <w:rPr>
          <w:rFonts w:ascii="Times New Roman" w:hAnsi="Times New Roman" w:eastAsia="Times New Roman"/>
          <w:b w:val="0"/>
          <w:i w:val="0"/>
          <w:strike w:val="0"/>
          <w:color w:val="FF0000"/>
          <w:sz w:val="24"/>
        </w:rPr>
        <w:t xml:space="preserve">(43, </w:t>
      </w:r>
      <w:r>
        <w:rPr>
          <w:rFonts w:ascii="Times New Roman" w:hAnsi="Times New Roman" w:eastAsia="Times New Roman"/>
          <w:b w:val="0"/>
          <w:i w:val="0"/>
          <w:strike w:val="0"/>
          <w:color w:val="000000"/>
          <w:sz w:val="24"/>
        </w:rPr>
        <w:t xml:space="preserve">42, </w:t>
      </w:r>
      <w:r>
        <w:rPr>
          <w:rFonts w:ascii="Times New Roman" w:hAnsi="Times New Roman" w:eastAsia="Times New Roman"/>
          <w:b w:val="0"/>
          <w:i w:val="0"/>
          <w:strike/>
          <w:color w:val="0000FF"/>
          <w:sz w:val="24"/>
        </w:rPr>
        <w:t xml:space="preserve">43). </w:t>
      </w:r>
      <w:r>
        <w:rPr>
          <w:rFonts w:ascii="Times New Roman" w:hAnsi="Times New Roman" w:eastAsia="Times New Roman"/>
          <w:b w:val="0"/>
          <w:i w:val="0"/>
          <w:strike w:val="0"/>
          <w:color w:val="FF0000"/>
          <w:sz w:val="24"/>
        </w:rPr>
        <w:t xml:space="preserve">36, 35). </w:t>
      </w:r>
      <w:r>
        <w:rPr>
          <w:rFonts w:ascii="Times New Roman" w:hAnsi="Times New Roman" w:eastAsia="Times New Roman"/>
          <w:b w:val="0"/>
          <w:i w:val="0"/>
          <w:strike w:val="0"/>
          <w:color w:val="000000"/>
          <w:sz w:val="24"/>
        </w:rPr>
        <w:t>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rFonts w:ascii="Times New Roman" w:hAnsi="Times New Roman" w:eastAsia="Times New Roman"/>
          <w:b w:val="0"/>
          <w:i w:val="0"/>
          <w:strike w:val="0"/>
          <w:color w:val="000000"/>
          <w:sz w:val="24"/>
        </w:rPr>
        <w:t xml:space="preserve">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ambiguities create uncertainty for both clinicians and TUE committees, potentially leading to inconsistent decisions across jurisdictions.</w:t>
      </w:r>
    </w:p>
    <w:p>
      <w:pPr>
        <w:ind w:firstLine="720"/>
      </w:pPr>
      <w:r>
        <w:rPr>
          <w:rFonts w:ascii="Times New Roman" w:hAnsi="Times New Roman" w:eastAsia="Times New Roman"/>
          <w:b w:val="0"/>
          <w:i w:val="0"/>
          <w:strike w:val="0"/>
          <w:color w:val="000000"/>
          <w:sz w:val="24"/>
        </w:rPr>
        <w:t xml:space="preserve">The findings of this review align with and extend previous work. Heuberger and Cohen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take on additional significance when considered alongside our finding that some disease areas (e.g., ADHD, hypogonadism) require particularly complex and well-documented TUE applications.</w:t>
      </w:r>
    </w:p>
    <w:p>
      <w:pPr>
        <w:ind w:firstLine="720"/>
      </w:pPr>
      <w:r>
        <w:rPr>
          <w:rFonts w:ascii="Times New Roman" w:hAnsi="Times New Roman" w:eastAsia="Times New Roman"/>
          <w:b w:val="0"/>
          <w:i w:val="0"/>
          <w:strike w:val="0"/>
          <w:color w:val="00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rFonts w:ascii="Times New Roman" w:hAnsi="Times New Roman" w:eastAsia="Times New Roman"/>
          <w:b w:val="0"/>
          <w:i w:val="0"/>
          <w:strike w:val="0"/>
          <w:color w:val="00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w:t>
      </w:r>
    </w:p>
    <w:p>
      <w:pPr>
        <w:spacing w:before="240" w:after="120"/>
      </w:pPr>
      <w:r>
        <w:rPr>
          <w:rFonts w:ascii="Times New Roman" w:hAnsi="Times New Roman" w:eastAsia="Times New Roman"/>
          <w:b/>
          <w:i w:val="0"/>
          <w:strike w:val="0"/>
          <w:color w:val="000000"/>
          <w:sz w:val="24"/>
        </w:rPr>
        <w:t>Recommendations for Harmonization</w:t>
      </w:r>
    </w:p>
    <w:p>
      <w:pPr>
        <w:ind w:firstLine="720"/>
      </w:pPr>
      <w:r>
        <w:rPr>
          <w:rFonts w:ascii="Times New Roman" w:hAnsi="Times New Roman" w:eastAsia="Times New Roman"/>
          <w:b w:val="0"/>
          <w:i w:val="0"/>
          <w:strike w:val="0"/>
          <w:color w:val="000000"/>
          <w:sz w:val="24"/>
        </w:rPr>
        <w:t>We propose the following recommendations for reducing the clinical-competition gap:</w:t>
      </w:r>
    </w:p>
    <w:p>
      <w:pPr>
        <w:ind w:firstLine="720"/>
      </w:pPr>
      <w:r>
        <w:rPr>
          <w:rFonts w:ascii="Times New Roman" w:hAnsi="Times New Roman" w:eastAsia="Times New Roman"/>
          <w:b w:val="0"/>
          <w:i w:val="0"/>
          <w:strike w:val="0"/>
          <w:color w:val="000000"/>
          <w:sz w:val="24"/>
        </w:rPr>
        <w:t>1. Establish a formal mechanism to review and update WADA TUE Physician Guidelines within 12 months of major clinical guideline revisions (e.g., GINA, ADA, Endocrine Society updates).</w:t>
      </w:r>
    </w:p>
    <w:p>
      <w:pPr>
        <w:ind w:firstLine="720"/>
      </w:pPr>
      <w:r>
        <w:rPr>
          <w:rFonts w:ascii="Times New Roman" w:hAnsi="Times New Roman" w:eastAsia="Times New Roman"/>
          <w:b w:val="0"/>
          <w:i w:val="0"/>
          <w:strike w:val="0"/>
          <w:color w:val="000000"/>
          <w:sz w:val="24"/>
        </w:rPr>
        <w:t>2. Re-evaluate the organic/functional distinction for male hypogonadism TUEs in light of the Endocrine Society’s Society symptom-plus-biochemistry approach and the growing masters athlete population.</w:t>
      </w:r>
    </w:p>
    <w:p>
      <w:pPr>
        <w:ind w:firstLine="720"/>
      </w:pPr>
      <w:r>
        <w:rPr>
          <w:rFonts w:ascii="Times New Roman" w:hAnsi="Times New Roman" w:eastAsia="Times New Roman"/>
          <w:b w:val="0"/>
          <w:i w:val="0"/>
          <w:strike w:val="0"/>
          <w:color w:val="000000"/>
          <w:sz w:val="24"/>
        </w:rPr>
        <w:t>3. Conduct a formal impact assessment on athletes with type 2 diabetes before adding GLP-1 receptor agonists to the Prohibited List.</w:t>
      </w:r>
    </w:p>
    <w:p>
      <w:pPr>
        <w:ind w:firstLine="720"/>
      </w:pPr>
      <w:r>
        <w:rPr>
          <w:rFonts w:ascii="Times New Roman" w:hAnsi="Times New Roman" w:eastAsia="Times New Roman"/>
          <w:b w:val="0"/>
          <w:i w:val="0"/>
          <w:strike w:val="0"/>
          <w:color w:val="000000"/>
          <w:sz w:val="24"/>
        </w:rPr>
        <w:t>4. Review formoterol dose thresholds in the context of GINA 2025 MART recommendations to ensure athletes can follow guideline-directed asthma therapy without ADRV risk.</w:t>
      </w:r>
    </w:p>
    <w:p>
      <w:pPr>
        <w:ind w:firstLine="720"/>
      </w:pPr>
      <w:r>
        <w:rPr>
          <w:rFonts w:ascii="Times New Roman" w:hAnsi="Times New Roman" w:eastAsia="Times New Roman"/>
          <w:b w:val="0"/>
          <w:i w:val="0"/>
          <w:strike w:val="0"/>
          <w:color w:val="000000"/>
          <w:sz w:val="24"/>
        </w:rPr>
        <w:t>5. Re-evaluate the in-competition-only prohibition of stimulant medications for ADHD, considering the pharmacokinetics of long-acting formulations and the clinical inappropriateness of competition-day discontinuation.</w:t>
      </w:r>
    </w:p>
    <w:p>
      <w:pPr>
        <w:ind w:firstLine="720"/>
      </w:pPr>
      <w:r>
        <w:rPr>
          <w:rFonts w:ascii="Times New Roman" w:hAnsi="Times New Roman" w:eastAsia="Times New Roman"/>
          <w:b w:val="0"/>
          <w:i w:val="0"/>
          <w:strike w:val="0"/>
          <w:color w:val="000000"/>
          <w:sz w:val="24"/>
        </w:rPr>
        <w:t>6. Differentiate diuretic prohibition based on masking potential, considering a streamlined TUE process for MRAs (spironolactone/eplerenone) prescribed for heart failure.</w:t>
      </w:r>
    </w:p>
    <w:p>
      <w:pPr>
        <w:ind w:firstLine="720"/>
      </w:pPr>
      <w:r>
        <w:rPr>
          <w:rFonts w:ascii="Times New Roman" w:hAnsi="Times New Roman" w:eastAsia="Times New Roman"/>
          <w:b w:val="0"/>
          <w:i w:val="0"/>
          <w:strike w:val="0"/>
          <w:color w:val="000000"/>
          <w:sz w:val="24"/>
        </w:rPr>
        <w:t>7. Simplify and digitize TUE applications through ADAMS system improvements, multilingual support, and standardized documentation templates to reduce access disparities.</w:t>
      </w:r>
    </w:p>
    <w:p>
      <w:pPr>
        <w:ind w:firstLine="720"/>
      </w:pPr>
      <w:r>
        <w:rPr>
          <w:rFonts w:ascii="Times New Roman" w:hAnsi="Times New Roman" w:eastAsia="Times New Roman"/>
          <w:b w:val="0"/>
          <w:i w:val="0"/>
          <w:strike w:val="0"/>
          <w:color w:val="000000"/>
          <w:sz w:val="24"/>
        </w:rPr>
        <w:t>8. Integrate anti-doping pharmacology education into medical school curricula, residency training, and continuing medical education to improve prescriber awareness of the Prohibited List.</w:t>
      </w:r>
    </w:p>
    <w:p>
      <w:pPr>
        <w:spacing w:before="240" w:after="120"/>
      </w:pPr>
      <w:r>
        <w:rPr>
          <w:rFonts w:ascii="Times New Roman" w:hAnsi="Times New Roman" w:eastAsia="Times New Roman"/>
          <w:b/>
          <w:i w:val="0"/>
          <w:strike w:val="0"/>
          <w:color w:val="000000"/>
          <w:sz w:val="28"/>
        </w:rPr>
        <w:t>PRACTICAL APPLICATIONS</w:t>
      </w:r>
    </w:p>
    <w:p>
      <w:pPr>
        <w:ind w:firstLine="720"/>
      </w:pPr>
      <w:r>
        <w:rPr>
          <w:rFonts w:ascii="Times New Roman" w:hAnsi="Times New Roman" w:eastAsia="Times New Roman"/>
          <w:b w:val="0"/>
          <w:i w:val="0"/>
          <w:strike w:val="0"/>
          <w:color w:val="000000"/>
          <w:sz w:val="24"/>
        </w:rPr>
        <w:t>S&amp;C professionals are often the first to notice medication-related performance changes. The following concise actions can help athletes navigate TUE-related treatment decisions (Figure 5):</w:t>
      </w:r>
    </w:p>
    <w:p>
      <w:r>
        <w:rPr>
          <w:rFonts w:ascii="Times New Roman" w:hAnsi="Times New Roman" w:eastAsia="Times New Roman"/>
          <w:b w:val="0"/>
          <w:i w:val="0"/>
          <w:strike w:val="0"/>
          <w:color w:val="FF0000"/>
          <w:sz w:val="24"/>
        </w:rPr>
        <w:t>[Insert Figure 5 here]</w:t>
      </w:r>
    </w:p>
    <w:p>
      <w:pPr>
        <w:ind w:firstLine="720"/>
      </w:pPr>
      <w:r>
        <w:rPr>
          <w:rFonts w:ascii="Times New Roman" w:hAnsi="Times New Roman" w:eastAsia="Times New Roman"/>
          <w:b w:val="0"/>
          <w:i w:val="0"/>
          <w:strike w:val="0"/>
          <w:color w:val="000000"/>
          <w:sz w:val="24"/>
        </w:rPr>
        <w:t>• Anticipate transitions. Adjust training load and recovery when athletes switch medications because of TUE constraints.</w:t>
      </w:r>
    </w:p>
    <w:p>
      <w:pPr>
        <w:ind w:firstLine="720"/>
      </w:pPr>
      <w:r>
        <w:rPr>
          <w:rFonts w:ascii="Times New Roman" w:hAnsi="Times New Roman" w:eastAsia="Times New Roman"/>
          <w:b w:val="0"/>
          <w:i w:val="0"/>
          <w:strike w:val="0"/>
          <w:color w:val="000000"/>
          <w:sz w:val="24"/>
        </w:rPr>
        <w:t>• Plan early. Encourage athletes to begin TUE applications 21–30 days before competitions and schedule annual renewals during pre-season planning.</w:t>
      </w:r>
    </w:p>
    <w:p>
      <w:pPr>
        <w:ind w:firstLine="720"/>
      </w:pPr>
      <w:r>
        <w:rPr>
          <w:rFonts w:ascii="Times New Roman" w:hAnsi="Times New Roman" w:eastAsia="Times New Roman"/>
          <w:b w:val="0"/>
          <w:i w:val="0"/>
          <w:strike w:val="0"/>
          <w:color w:val="000000"/>
          <w:sz w:val="24"/>
        </w:rPr>
        <w:t>• Monitor symptom control. Watch for suboptimal control when athletes use second-line agents to avoid TUE complexity, and refer back to the prescribing physician when performance or safety is affected.</w:t>
      </w:r>
    </w:p>
    <w:p>
      <w:pPr>
        <w:ind w:firstLine="720"/>
      </w:pPr>
      <w:r>
        <w:rPr>
          <w:rFonts w:ascii="Times New Roman" w:hAnsi="Times New Roman" w:eastAsia="Times New Roman"/>
          <w:b w:val="0"/>
          <w:i w:val="0"/>
          <w:strike w:val="0"/>
          <w:color w:val="000000"/>
          <w:sz w:val="24"/>
        </w:rPr>
        <w:t>• Support guideline-directed therapy. Encourage athletes with asthma to use prescribed controller therapy rather than SABA-only treatment, and remind all athletes to check the annually updated WADA Prohibited List before taking new medications.</w:t>
      </w:r>
    </w:p>
    <w:p>
      <w:pPr>
        <w:spacing w:before="240" w:after="120"/>
      </w:pPr>
      <w:r>
        <w:rPr>
          <w:rFonts w:ascii="Times New Roman" w:hAnsi="Times New Roman" w:eastAsia="Times New Roman"/>
          <w:b/>
          <w:i w:val="0"/>
          <w:strike w:val="0"/>
          <w:color w:val="000000"/>
          <w:sz w:val="28"/>
        </w:rPr>
        <w:t>DISCLOSURES</w:t>
      </w:r>
    </w:p>
    <w:p>
      <w:pPr>
        <w:ind w:firstLine="720"/>
      </w:pPr>
      <w:r>
        <w:rPr>
          <w:rFonts w:ascii="Times New Roman" w:hAnsi="Times New Roman" w:eastAsia="Times New Roman"/>
          <w:b w:val="0"/>
          <w:i w:val="0"/>
          <w:strike w:val="0"/>
          <w:color w:val="000000"/>
          <w:sz w:val="24"/>
        </w:rPr>
        <w:t>Declaration of interest: The authors declare no conflicts of interest.</w:t>
      </w:r>
    </w:p>
    <w:p>
      <w:pPr>
        <w:ind w:firstLine="720"/>
      </w:pPr>
      <w:r>
        <w:rPr>
          <w:rFonts w:ascii="Times New Roman" w:hAnsi="Times New Roman" w:eastAsia="Times New Roman"/>
          <w:b w:val="0"/>
          <w:i w:val="0"/>
          <w:strike w:val="0"/>
          <w:color w:val="000000"/>
          <w:sz w:val="24"/>
        </w:rPr>
        <w:t>Funding: This work received no external funding.</w:t>
      </w:r>
    </w:p>
    <w:p>
      <w:pPr>
        <w:ind w:firstLine="720"/>
      </w:pPr>
      <w:r>
        <w:rPr>
          <w:rFonts w:ascii="Times New Roman" w:hAnsi="Times New Roman" w:eastAsia="Times New Roman"/>
          <w:b w:val="0"/>
          <w:i w:val="0"/>
          <w:strike w:val="0"/>
          <w:color w:val="000000"/>
          <w:sz w:val="24"/>
        </w:rPr>
        <w:t>Acknowledgments: None.</w:t>
      </w:r>
    </w:p>
    <w:p>
      <w:pPr>
        <w:ind w:firstLine="720"/>
      </w:pPr>
      <w:r>
        <w:rPr>
          <w:rFonts w:ascii="Times New Roman" w:hAnsi="Times New Roman" w:eastAsia="Times New Roman"/>
          <w:b w:val="0"/>
          <w:i w:val="0"/>
          <w:strike w:val="0"/>
          <w:color w:val="000000"/>
          <w:sz w:val="24"/>
        </w:rPr>
        <w:t>Declaration of generative artificial intelligence (AI) in scientific writing: We used generative devin.ai to help with formatting the text and choosing words that suited the tone, and to help writing responses to the reviewers.</w:t>
      </w:r>
    </w:p>
    <w:p>
      <w:pPr>
        <w:ind w:firstLine="720"/>
      </w:pPr>
      <w:r>
        <w:rPr>
          <w:rFonts w:ascii="Times New Roman" w:hAnsi="Times New Roman" w:eastAsia="Times New Roman"/>
          <w:b w:val="0"/>
          <w:i w:val="0"/>
          <w:strike w:val="0"/>
          <w:color w:val="000000"/>
          <w:sz w:val="24"/>
        </w:rPr>
        <w:t>Authors' contribution: O.T.: Conceptualization, Methodology, Software, Formal analysis, Writing - original draft, Writing - review &amp; editing. T.I.: Writing - review &amp; editing.</w:t>
      </w:r>
    </w:p>
    <w:p>
      <w:pPr>
        <w:spacing w:before="240" w:after="120"/>
      </w:pPr>
      <w:r>
        <w:rPr>
          <w:rFonts w:ascii="Times New Roman" w:hAnsi="Times New Roman" w:eastAsia="Times New Roman"/>
          <w:b/>
          <w:i w:val="0"/>
          <w:strike w:val="0"/>
          <w:color w:val="000000"/>
          <w:sz w:val="28"/>
        </w:rPr>
        <w:t>REFERENCES</w:t>
      </w:r>
    </w:p>
    <w:p>
      <w:pPr>
        <w:ind w:firstLine="720"/>
      </w:pPr>
      <w:r>
        <w:rPr>
          <w:rFonts w:ascii="Times New Roman" w:hAnsi="Times New Roman" w:eastAsia="Times New Roman"/>
          <w:b w:val="0"/>
          <w:i w:val="0"/>
          <w:strike w:val="0"/>
          <w:color w:val="000000"/>
          <w:sz w:val="24"/>
        </w:rPr>
        <w:t xml:space="preserve">1. </w:t>
      </w:r>
      <w:r>
        <w:rPr>
          <w:rFonts w:ascii="Times New Roman" w:hAnsi="Times New Roman" w:eastAsia="Times New Roman"/>
          <w:b w:val="0"/>
          <w:i w:val="0"/>
          <w:strike/>
          <w:color w:val="0000FF"/>
          <w:sz w:val="24"/>
        </w:rPr>
        <w:t>World Anti-Doping Agency. World Anti-Doping Code International Standard for Therapeutic Use Exemptions (ISTUE). Montreal: WADA; 2021.</w:t>
      </w:r>
      <w:r>
        <w:rPr>
          <w:rFonts w:ascii="Times New Roman" w:hAnsi="Times New Roman" w:eastAsia="Times New Roman"/>
          <w:b w:val="0"/>
          <w:i w:val="0"/>
          <w:strike w:val="0"/>
          <w:color w:val="FF0000"/>
          <w:sz w:val="24"/>
        </w:rPr>
        <w:t>Allen H, Backhouse SH, Hull JH, Price OJ. Anti-doping policy, therapeutic use exemption and medication use in athletes with asthma: a narrative review. Sports Med. 2019;49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:659–668.</w:t>
      </w:r>
    </w:p>
    <w:p>
      <w:pPr>
        <w:ind w:firstLine="720"/>
      </w:pPr>
      <w:r>
        <w:rPr>
          <w:rFonts w:ascii="Times New Roman" w:hAnsi="Times New Roman" w:eastAsia="Times New Roman"/>
          <w:b w:val="0"/>
          <w:i w:val="0"/>
          <w:strike w:val="0"/>
          <w:color w:val="000000"/>
          <w:sz w:val="24"/>
        </w:rPr>
        <w:t xml:space="preserve">2. </w:t>
      </w:r>
      <w:r>
        <w:rPr>
          <w:rFonts w:ascii="Times New Roman" w:hAnsi="Times New Roman" w:eastAsia="Times New Roman"/>
          <w:b w:val="0"/>
          <w:i w:val="0"/>
          <w:strike/>
          <w:color w:val="0000FF"/>
          <w:sz w:val="24"/>
        </w:rPr>
        <w:t>World Anti-Doping Agency. World Anti-Doping Code 2021. Montreal: WADA; 2021.</w:t>
      </w:r>
      <w:r>
        <w:rPr>
          <w:rFonts w:ascii="Times New Roman" w:hAnsi="Times New Roman" w:eastAsia="Times New Roman"/>
          <w:b w:val="0"/>
          <w:i w:val="0"/>
          <w:strike w:val="0"/>
          <w:color w:val="FF0000"/>
          <w:sz w:val="24"/>
        </w:rPr>
        <w:t>American Diabetes Association Professional Practice Committee. Standards of Care in Diabetes—2025. Diabetes Care. 2025;48(Suppl 1):S1–S352.</w:t>
      </w:r>
    </w:p>
    <w:p>
      <w:pPr>
        <w:ind w:firstLine="720"/>
      </w:pPr>
      <w:r>
        <w:rPr>
          <w:rFonts w:ascii="Times New Roman" w:hAnsi="Times New Roman" w:eastAsia="Times New Roman"/>
          <w:b w:val="0"/>
          <w:i w:val="0"/>
          <w:strike w:val="0"/>
          <w:color w:val="000000"/>
          <w:sz w:val="24"/>
        </w:rPr>
        <w:t xml:space="preserve">3. </w:t>
      </w:r>
      <w:r>
        <w:rPr>
          <w:rFonts w:ascii="Times New Roman" w:hAnsi="Times New Roman" w:eastAsia="Times New Roman"/>
          <w:b w:val="0"/>
          <w:i w:val="0"/>
          <w:strike/>
          <w:color w:val="0000FF"/>
          <w:sz w:val="24"/>
        </w:rPr>
        <w:t>World Anti-Doping Agency. The 2026 Prohibited List International Standard. Montreal: WADA; 2025.</w:t>
      </w:r>
      <w:r>
        <w:rPr>
          <w:rFonts w:ascii="Times New Roman" w:hAnsi="Times New Roman" w:eastAsia="Times New Roman"/>
          <w:b w:val="0"/>
          <w:i w:val="0"/>
          <w:strike w:val="0"/>
          <w:color w:val="FF0000"/>
          <w:sz w:val="24"/>
        </w:rPr>
        <w:t>Arksey H, O'Malley L. Scoping studies: towards a methodological framework. Int J Soc Res Methodol. 2005;8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:19–32.</w:t>
      </w:r>
    </w:p>
    <w:p>
      <w:pPr>
        <w:ind w:firstLine="720"/>
      </w:pPr>
      <w:r>
        <w:rPr>
          <w:rFonts w:ascii="Times New Roman" w:hAnsi="Times New Roman" w:eastAsia="Times New Roman"/>
          <w:b w:val="0"/>
          <w:i w:val="0"/>
          <w:strike w:val="0"/>
          <w:color w:val="000000"/>
          <w:sz w:val="24"/>
        </w:rPr>
        <w:t xml:space="preserve">4. </w:t>
      </w:r>
      <w:r>
        <w:rPr>
          <w:rFonts w:ascii="Times New Roman" w:hAnsi="Times New Roman" w:eastAsia="Times New Roman"/>
          <w:b w:val="0"/>
          <w:i w:val="0"/>
          <w:strike/>
          <w:color w:val="0000FF"/>
          <w:sz w:val="24"/>
        </w:rPr>
        <w:t>World Anti-Doping Agency. TUE Physician Guidelines – Asthma. Version 9.3. Montreal: WADA; 2026.</w:t>
      </w:r>
      <w:r>
        <w:rPr>
          <w:rFonts w:ascii="Times New Roman" w:hAnsi="Times New Roman" w:eastAsia="Times New Roman"/>
          <w:b w:val="0"/>
          <w:i w:val="0"/>
          <w:strike w:val="0"/>
          <w:color w:val="FF0000"/>
          <w:sz w:val="24"/>
        </w:rPr>
        <w:t>Australian ADHD Professionals Association. Australian Evidence-Based Clinical Practice Guideline for Attention Deficit Hyperactivity Disorder (ADHD). Melbourne: AADPA; 2022.</w:t>
      </w:r>
    </w:p>
    <w:p>
      <w:pPr>
        <w:ind w:firstLine="720"/>
      </w:pPr>
      <w:r>
        <w:rPr>
          <w:rFonts w:ascii="Times New Roman" w:hAnsi="Times New Roman" w:eastAsia="Times New Roman"/>
          <w:b w:val="0"/>
          <w:i w:val="0"/>
          <w:strike w:val="0"/>
          <w:color w:val="000000"/>
          <w:sz w:val="24"/>
        </w:rPr>
        <w:t xml:space="preserve">5. </w:t>
      </w:r>
      <w:r>
        <w:rPr>
          <w:rFonts w:ascii="Times New Roman" w:hAnsi="Times New Roman" w:eastAsia="Times New Roman"/>
          <w:b w:val="0"/>
          <w:i w:val="0"/>
          <w:strike/>
          <w:color w:val="0000FF"/>
          <w:sz w:val="24"/>
        </w:rPr>
        <w:t xml:space="preserve">American Diabetes Association Professional Practice Committee. Standards of Care </w:t>
      </w:r>
      <w:r>
        <w:rPr>
          <w:rFonts w:ascii="Times New Roman" w:hAnsi="Times New Roman" w:eastAsia="Times New Roman"/>
          <w:b w:val="0"/>
          <w:i w:val="0"/>
          <w:strike w:val="0"/>
          <w:color w:val="FF0000"/>
          <w:sz w:val="24"/>
        </w:rPr>
        <w:t xml:space="preserve">Bhasin S, Brito JP, Cunningham GR, et al. Testosterone therapy </w:t>
      </w:r>
      <w:r>
        <w:rPr>
          <w:rFonts w:ascii="Times New Roman" w:hAnsi="Times New Roman" w:eastAsia="Times New Roman"/>
          <w:b w:val="0"/>
          <w:i w:val="0"/>
          <w:strike w:val="0"/>
          <w:color w:val="000000"/>
          <w:sz w:val="24"/>
        </w:rPr>
        <w:t xml:space="preserve">in </w:t>
      </w:r>
      <w:r>
        <w:rPr>
          <w:rFonts w:ascii="Times New Roman" w:hAnsi="Times New Roman" w:eastAsia="Times New Roman"/>
          <w:b w:val="0"/>
          <w:i w:val="0"/>
          <w:strike/>
          <w:color w:val="0000FF"/>
          <w:sz w:val="24"/>
        </w:rPr>
        <w:t>Diabetes—2025. Diabetes Care. 2025;48(Suppl 1):S1–S352.</w:t>
      </w:r>
      <w:r>
        <w:rPr>
          <w:rFonts w:ascii="Times New Roman" w:hAnsi="Times New Roman" w:eastAsia="Times New Roman"/>
          <w:b w:val="0"/>
          <w:i w:val="0"/>
          <w:strike w:val="0"/>
          <w:color w:val="FF0000"/>
          <w:sz w:val="24"/>
        </w:rPr>
        <w:t>men with hypogonadism: an Endocrine Society clinical practice guideline. J Clin Endocrinol Metab. 2018;103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:1715–1744.</w:t>
      </w:r>
    </w:p>
    <w:p>
      <w:pPr>
        <w:ind w:firstLine="720"/>
      </w:pPr>
      <w:r>
        <w:rPr>
          <w:rFonts w:ascii="Times New Roman" w:hAnsi="Times New Roman" w:eastAsia="Times New Roman"/>
          <w:b w:val="0"/>
          <w:i w:val="0"/>
          <w:strike w:val="0"/>
          <w:color w:val="000000"/>
          <w:sz w:val="24"/>
        </w:rPr>
        <w:t xml:space="preserve">6. </w:t>
      </w:r>
      <w:r>
        <w:rPr>
          <w:rFonts w:ascii="Times New Roman" w:hAnsi="Times New Roman" w:eastAsia="Times New Roman"/>
          <w:b w:val="0"/>
          <w:i w:val="0"/>
          <w:strike/>
          <w:color w:val="0000FF"/>
          <w:sz w:val="24"/>
        </w:rPr>
        <w:t xml:space="preserve">Bhasin S, Brito JP, Cunningham GR, </w:t>
      </w:r>
      <w:r>
        <w:rPr>
          <w:rFonts w:ascii="Times New Roman" w:hAnsi="Times New Roman" w:eastAsia="Times New Roman"/>
          <w:b w:val="0"/>
          <w:i w:val="0"/>
          <w:strike w:val="0"/>
          <w:color w:val="FF0000"/>
          <w:sz w:val="24"/>
        </w:rPr>
        <w:t xml:space="preserve">Di Luigi L, Sansone P, Sgrò P, </w:t>
      </w:r>
      <w:r>
        <w:rPr>
          <w:rFonts w:ascii="Times New Roman" w:hAnsi="Times New Roman" w:eastAsia="Times New Roman"/>
          <w:b w:val="0"/>
          <w:i w:val="0"/>
          <w:strike w:val="0"/>
          <w:color w:val="000000"/>
          <w:sz w:val="24"/>
        </w:rPr>
        <w:t xml:space="preserve">et al. </w:t>
      </w:r>
      <w:r>
        <w:rPr>
          <w:rFonts w:ascii="Times New Roman" w:hAnsi="Times New Roman" w:eastAsia="Times New Roman"/>
          <w:b w:val="0"/>
          <w:i w:val="0"/>
          <w:strike/>
          <w:color w:val="0000FF"/>
          <w:sz w:val="24"/>
        </w:rPr>
        <w:t xml:space="preserve">Testosterone therapy </w:t>
      </w:r>
      <w:r>
        <w:rPr>
          <w:rFonts w:ascii="Times New Roman" w:hAnsi="Times New Roman" w:eastAsia="Times New Roman"/>
          <w:b w:val="0"/>
          <w:i w:val="0"/>
          <w:strike w:val="0"/>
          <w:color w:val="FF0000"/>
          <w:sz w:val="24"/>
        </w:rPr>
        <w:t xml:space="preserve">Prevalence of undiagnosed testosterone deficiency </w:t>
      </w:r>
      <w:r>
        <w:rPr>
          <w:rFonts w:ascii="Times New Roman" w:hAnsi="Times New Roman" w:eastAsia="Times New Roman"/>
          <w:b w:val="0"/>
          <w:i w:val="0"/>
          <w:strike w:val="0"/>
          <w:color w:val="000000"/>
          <w:sz w:val="24"/>
        </w:rPr>
        <w:t xml:space="preserve">in </w:t>
      </w:r>
      <w:r>
        <w:rPr>
          <w:rFonts w:ascii="Times New Roman" w:hAnsi="Times New Roman" w:eastAsia="Times New Roman"/>
          <w:b w:val="0"/>
          <w:i w:val="0"/>
          <w:strike/>
          <w:color w:val="0000FF"/>
          <w:sz w:val="24"/>
        </w:rPr>
        <w:t xml:space="preserve">men with hypogonadism: an Endocrine Society clinical practice guideline. </w:t>
      </w:r>
      <w:r>
        <w:rPr>
          <w:rFonts w:ascii="Times New Roman" w:hAnsi="Times New Roman" w:eastAsia="Times New Roman"/>
          <w:b w:val="0"/>
          <w:i w:val="0"/>
          <w:strike w:val="0"/>
          <w:color w:val="FF0000"/>
          <w:sz w:val="24"/>
        </w:rPr>
        <w:t xml:space="preserve">aging athletes: does exercise training influence the symptoms of male hypogonadism? </w:t>
      </w:r>
      <w:r>
        <w:rPr>
          <w:rFonts w:ascii="Times New Roman" w:hAnsi="Times New Roman" w:eastAsia="Times New Roman"/>
          <w:b w:val="0"/>
          <w:i w:val="0"/>
          <w:strike w:val="0"/>
          <w:color w:val="000000"/>
          <w:sz w:val="24"/>
        </w:rPr>
        <w:t xml:space="preserve">J </w:t>
      </w:r>
      <w:r>
        <w:rPr>
          <w:rFonts w:ascii="Times New Roman" w:hAnsi="Times New Roman" w:eastAsia="Times New Roman"/>
          <w:b w:val="0"/>
          <w:i w:val="0"/>
          <w:strike/>
          <w:color w:val="0000FF"/>
          <w:sz w:val="24"/>
        </w:rPr>
        <w:t>Clin Endocrinol Metab. 2018;103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:1715–1744.</w:t>
      </w:r>
      <w:r>
        <w:rPr>
          <w:rFonts w:ascii="Times New Roman" w:hAnsi="Times New Roman" w:eastAsia="Times New Roman"/>
          <w:b w:val="0"/>
          <w:i w:val="0"/>
          <w:strike w:val="0"/>
          <w:color w:val="FF0000"/>
          <w:sz w:val="24"/>
        </w:rPr>
        <w:t>Sex Med. 2010;7(4 Pt 1):1361–1369.</w:t>
      </w:r>
    </w:p>
    <w:p>
      <w:pPr>
        <w:ind w:firstLine="720"/>
      </w:pPr>
      <w:r>
        <w:rPr>
          <w:rFonts w:ascii="Times New Roman" w:hAnsi="Times New Roman" w:eastAsia="Times New Roman"/>
          <w:b w:val="0"/>
          <w:i w:val="0"/>
          <w:strike w:val="0"/>
          <w:color w:val="000000"/>
          <w:sz w:val="24"/>
        </w:rPr>
        <w:t xml:space="preserve">7. </w:t>
      </w:r>
      <w:r>
        <w:rPr>
          <w:rFonts w:ascii="Times New Roman" w:hAnsi="Times New Roman" w:eastAsia="Times New Roman"/>
          <w:b w:val="0"/>
          <w:i w:val="0"/>
          <w:strike/>
          <w:color w:val="0000FF"/>
          <w:sz w:val="24"/>
        </w:rPr>
        <w:t xml:space="preserve">Global Initiative for Asthma. Global Strategy for Asthma Management </w:t>
      </w:r>
      <w:r>
        <w:rPr>
          <w:rFonts w:ascii="Times New Roman" w:hAnsi="Times New Roman" w:eastAsia="Times New Roman"/>
          <w:b w:val="0"/>
          <w:i w:val="0"/>
          <w:strike w:val="0"/>
          <w:color w:val="FF0000"/>
          <w:sz w:val="24"/>
        </w:rPr>
        <w:t xml:space="preserve">European Association of Urology. EAU Guidelines on Sexual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Prevention. Fontana, WI: GINA; 2025.</w:t>
      </w:r>
      <w:r>
        <w:rPr>
          <w:rFonts w:ascii="Times New Roman" w:hAnsi="Times New Roman" w:eastAsia="Times New Roman"/>
          <w:b w:val="0"/>
          <w:i w:val="0"/>
          <w:strike w:val="0"/>
          <w:color w:val="FF0000"/>
          <w:sz w:val="24"/>
        </w:rPr>
        <w:t>Reproductive Health. Arnhem: EAU; 2024.</w:t>
      </w:r>
    </w:p>
    <w:p>
      <w:pPr>
        <w:ind w:firstLine="720"/>
      </w:pPr>
      <w:r>
        <w:rPr>
          <w:rFonts w:ascii="Times New Roman" w:hAnsi="Times New Roman" w:eastAsia="Times New Roman"/>
          <w:b w:val="0"/>
          <w:i w:val="0"/>
          <w:strike w:val="0"/>
          <w:color w:val="000000"/>
          <w:sz w:val="24"/>
        </w:rPr>
        <w:t xml:space="preserve">8. </w:t>
      </w:r>
      <w:r>
        <w:rPr>
          <w:rFonts w:ascii="Times New Roman" w:hAnsi="Times New Roman" w:eastAsia="Times New Roman"/>
          <w:b w:val="0"/>
          <w:i w:val="0"/>
          <w:strike/>
          <w:color w:val="0000FF"/>
          <w:sz w:val="24"/>
        </w:rPr>
        <w:t xml:space="preserve">McDonagh TA, Metra M, Adamo M, et al. 2021 ESC Guidelines </w:t>
      </w:r>
      <w:r>
        <w:rPr>
          <w:rFonts w:ascii="Times New Roman" w:hAnsi="Times New Roman" w:eastAsia="Times New Roman"/>
          <w:b w:val="0"/>
          <w:i w:val="0"/>
          <w:strike w:val="0"/>
          <w:color w:val="FF0000"/>
          <w:sz w:val="24"/>
        </w:rPr>
        <w:t xml:space="preserve">European Medicines Agency. Mounjaro: EPAR – summary </w:t>
      </w:r>
      <w:r>
        <w:rPr>
          <w:rFonts w:ascii="Times New Roman" w:hAnsi="Times New Roman" w:eastAsia="Times New Roman"/>
          <w:b w:val="0"/>
          <w:i w:val="0"/>
          <w:strike w:val="0"/>
          <w:color w:val="000000"/>
          <w:sz w:val="24"/>
        </w:rPr>
        <w:t xml:space="preserve">for the </w:t>
      </w:r>
      <w:r>
        <w:rPr>
          <w:rFonts w:ascii="Times New Roman" w:hAnsi="Times New Roman" w:eastAsia="Times New Roman"/>
          <w:b w:val="0"/>
          <w:i w:val="0"/>
          <w:strike/>
          <w:color w:val="0000FF"/>
          <w:sz w:val="24"/>
        </w:rPr>
        <w:t>diagnosis and treatment of acute and chronic heart failure. Eur Heart J. 2021;42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:3599–3726.</w:t>
      </w:r>
      <w:r>
        <w:rPr>
          <w:rFonts w:ascii="Times New Roman" w:hAnsi="Times New Roman" w:eastAsia="Times New Roman"/>
          <w:b w:val="0"/>
          <w:i w:val="0"/>
          <w:strike w:val="0"/>
          <w:color w:val="FF0000"/>
          <w:sz w:val="24"/>
        </w:rPr>
        <w:t>public. 2022 Sep 15.</w:t>
      </w:r>
    </w:p>
    <w:p>
      <w:pPr>
        <w:ind w:firstLine="720"/>
      </w:pPr>
      <w:r>
        <w:rPr>
          <w:rFonts w:ascii="Times New Roman" w:hAnsi="Times New Roman" w:eastAsia="Times New Roman"/>
          <w:b w:val="0"/>
          <w:i w:val="0"/>
          <w:strike w:val="0"/>
          <w:color w:val="000000"/>
          <w:sz w:val="24"/>
        </w:rPr>
        <w:t xml:space="preserve">9. </w:t>
      </w:r>
      <w:r>
        <w:rPr>
          <w:rFonts w:ascii="Times New Roman" w:hAnsi="Times New Roman" w:eastAsia="Times New Roman"/>
          <w:b w:val="0"/>
          <w:i w:val="0"/>
          <w:strike/>
          <w:color w:val="0000FF"/>
          <w:sz w:val="24"/>
        </w:rPr>
        <w:t xml:space="preserve">National Institute </w:t>
      </w:r>
      <w:r>
        <w:rPr>
          <w:rFonts w:ascii="Times New Roman" w:hAnsi="Times New Roman" w:eastAsia="Times New Roman"/>
          <w:b w:val="0"/>
          <w:i w:val="0"/>
          <w:strike w:val="0"/>
          <w:color w:val="FF0000"/>
          <w:sz w:val="24"/>
        </w:rPr>
        <w:t xml:space="preserve">European Medicines Agency. Ozempic: EPAR – summary </w:t>
      </w:r>
      <w:r>
        <w:rPr>
          <w:rFonts w:ascii="Times New Roman" w:hAnsi="Times New Roman" w:eastAsia="Times New Roman"/>
          <w:b w:val="0"/>
          <w:i w:val="0"/>
          <w:strike w:val="0"/>
          <w:color w:val="000000"/>
          <w:sz w:val="24"/>
        </w:rPr>
        <w:t xml:space="preserve">for </w:t>
      </w:r>
      <w:r>
        <w:rPr>
          <w:rFonts w:ascii="Times New Roman" w:hAnsi="Times New Roman" w:eastAsia="Times New Roman"/>
          <w:b w:val="0"/>
          <w:i w:val="0"/>
          <w:strike/>
          <w:color w:val="0000FF"/>
          <w:sz w:val="24"/>
        </w:rPr>
        <w:t>Health and Care Excellence. Attention deficit hyperactivity disorder: diagnosis and management. NICE guideline [NG87]. London: NICE; 2024 (updated).</w:t>
      </w:r>
      <w:r>
        <w:rPr>
          <w:rFonts w:ascii="Times New Roman" w:hAnsi="Times New Roman" w:eastAsia="Times New Roman"/>
          <w:b w:val="0"/>
          <w:i w:val="0"/>
          <w:strike w:val="0"/>
          <w:color w:val="FF0000"/>
          <w:sz w:val="24"/>
        </w:rPr>
        <w:t>the public. 2018 Feb 8.</w:t>
      </w:r>
    </w:p>
    <w:p>
      <w:pPr>
        <w:ind w:firstLine="720"/>
      </w:pPr>
      <w:r>
        <w:rPr>
          <w:rFonts w:ascii="Times New Roman" w:hAnsi="Times New Roman" w:eastAsia="Times New Roman"/>
          <w:b w:val="0"/>
          <w:i w:val="0"/>
          <w:strike w:val="0"/>
          <w:color w:val="000000"/>
          <w:sz w:val="24"/>
        </w:rPr>
        <w:t xml:space="preserve">10. </w:t>
      </w:r>
      <w:r>
        <w:rPr>
          <w:rFonts w:ascii="Times New Roman" w:hAnsi="Times New Roman" w:eastAsia="Times New Roman"/>
          <w:b w:val="0"/>
          <w:i w:val="0"/>
          <w:strike/>
          <w:color w:val="0000FF"/>
          <w:sz w:val="24"/>
        </w:rPr>
        <w:t xml:space="preserve">Allen H, Backhouse SH, Hull JH, Price OJ. Anti-doping policy, therapeutic </w:t>
      </w:r>
      <w:r>
        <w:rPr>
          <w:rFonts w:ascii="Times New Roman" w:hAnsi="Times New Roman" w:eastAsia="Times New Roman"/>
          <w:b w:val="0"/>
          <w:i w:val="0"/>
          <w:strike w:val="0"/>
          <w:color w:val="FF0000"/>
          <w:sz w:val="24"/>
        </w:rPr>
        <w:t xml:space="preserve">Gerrard D, Pipe A. Therapeutic </w:t>
      </w:r>
      <w:r>
        <w:rPr>
          <w:rFonts w:ascii="Times New Roman" w:hAnsi="Times New Roman" w:eastAsia="Times New Roman"/>
          <w:b w:val="0"/>
          <w:i w:val="0"/>
          <w:strike w:val="0"/>
          <w:color w:val="000000"/>
          <w:sz w:val="24"/>
        </w:rPr>
        <w:t xml:space="preserve">use </w:t>
      </w:r>
      <w:r>
        <w:rPr>
          <w:rFonts w:ascii="Times New Roman" w:hAnsi="Times New Roman" w:eastAsia="Times New Roman"/>
          <w:b w:val="0"/>
          <w:i w:val="0"/>
          <w:strike/>
          <w:color w:val="0000FF"/>
          <w:sz w:val="24"/>
        </w:rPr>
        <w:t>exemption and medication use in athletes with asthma: a narrative review. Sports Med. 2019;49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:659–668.</w:t>
      </w:r>
      <w:r>
        <w:rPr>
          <w:rFonts w:ascii="Times New Roman" w:hAnsi="Times New Roman" w:eastAsia="Times New Roman"/>
          <w:b w:val="0"/>
          <w:i w:val="0"/>
          <w:strike w:val="0"/>
          <w:color w:val="FF0000"/>
          <w:sz w:val="24"/>
        </w:rPr>
        <w:t>exemptions. Med Sport Sci. 2017;62:55–67.</w:t>
      </w:r>
    </w:p>
    <w:p>
      <w:pPr>
        <w:ind w:firstLine="720"/>
      </w:pPr>
      <w:r>
        <w:rPr>
          <w:rFonts w:ascii="Times New Roman" w:hAnsi="Times New Roman" w:eastAsia="Times New Roman"/>
          <w:b w:val="0"/>
          <w:i w:val="0"/>
          <w:strike w:val="0"/>
          <w:color w:val="000000"/>
          <w:sz w:val="24"/>
        </w:rPr>
        <w:t xml:space="preserve">11. </w:t>
      </w:r>
      <w:r>
        <w:rPr>
          <w:rFonts w:ascii="Times New Roman" w:hAnsi="Times New Roman" w:eastAsia="Times New Roman"/>
          <w:b w:val="0"/>
          <w:i w:val="0"/>
          <w:strike/>
          <w:color w:val="0000FF"/>
          <w:sz w:val="24"/>
        </w:rPr>
        <w:t>Gerrard D, Pipe A. Therapeutic use exemptions. Med Sport Sci. 2017;62:55–67.</w:t>
      </w:r>
      <w:r>
        <w:rPr>
          <w:rFonts w:ascii="Times New Roman" w:hAnsi="Times New Roman" w:eastAsia="Times New Roman"/>
          <w:b w:val="0"/>
          <w:i w:val="0"/>
          <w:strike w:val="0"/>
          <w:color w:val="FF0000"/>
          <w:sz w:val="24"/>
        </w:rPr>
        <w:t>Global Initiative for Asthma. Global Strategy for Asthma Management and Prevention. Fontana, WI: GINA; 2025.</w:t>
      </w:r>
    </w:p>
    <w:p>
      <w:pPr>
        <w:ind w:firstLine="720"/>
      </w:pPr>
      <w:r>
        <w:rPr>
          <w:rFonts w:ascii="Times New Roman" w:hAnsi="Times New Roman" w:eastAsia="Times New Roman"/>
          <w:b w:val="0"/>
          <w:i w:val="0"/>
          <w:strike w:val="0"/>
          <w:color w:val="000000"/>
          <w:sz w:val="24"/>
        </w:rPr>
        <w:t xml:space="preserve">12. </w:t>
      </w:r>
      <w:r>
        <w:rPr>
          <w:rFonts w:ascii="Times New Roman" w:hAnsi="Times New Roman" w:eastAsia="Times New Roman"/>
          <w:b w:val="0"/>
          <w:i w:val="0"/>
          <w:strike/>
          <w:color w:val="0000FF"/>
          <w:sz w:val="24"/>
        </w:rPr>
        <w:t xml:space="preserve">Heuberger JAAC, Cohen AF. Review of WADA prohibited substances: limited evidence for performance-enhancing effects. </w:t>
      </w:r>
      <w:r>
        <w:rPr>
          <w:rFonts w:ascii="Times New Roman" w:hAnsi="Times New Roman" w:eastAsia="Times New Roman"/>
          <w:b w:val="0"/>
          <w:i w:val="0"/>
          <w:strike w:val="0"/>
          <w:color w:val="FF0000"/>
          <w:sz w:val="24"/>
        </w:rPr>
        <w:t xml:space="preserve">Han DH, McDuff D, Thompson D, et al. Attention-deficit/hyperactivity disorder in elite athletes: a narrative review. Br J </w:t>
      </w:r>
      <w:r>
        <w:rPr>
          <w:rFonts w:ascii="Times New Roman" w:hAnsi="Times New Roman" w:eastAsia="Times New Roman"/>
          <w:b w:val="0"/>
          <w:i w:val="0"/>
          <w:strike w:val="0"/>
          <w:color w:val="000000"/>
          <w:sz w:val="24"/>
        </w:rPr>
        <w:t xml:space="preserve">Sports Med. </w:t>
      </w:r>
      <w:r>
        <w:rPr>
          <w:rFonts w:ascii="Times New Roman" w:hAnsi="Times New Roman" w:eastAsia="Times New Roman"/>
          <w:b w:val="0"/>
          <w:i w:val="0"/>
          <w:strike/>
          <w:color w:val="0000FF"/>
          <w:sz w:val="24"/>
        </w:rPr>
        <w:t>2019;49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:525–539.</w:t>
      </w:r>
      <w:r>
        <w:rPr>
          <w:rFonts w:ascii="Times New Roman" w:hAnsi="Times New Roman" w:eastAsia="Times New Roman"/>
          <w:b w:val="0"/>
          <w:i w:val="0"/>
          <w:strike w:val="0"/>
          <w:color w:val="FF0000"/>
          <w:sz w:val="24"/>
        </w:rPr>
        <w:t>2019;53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:741–747.</w:t>
      </w:r>
    </w:p>
    <w:p>
      <w:pPr>
        <w:ind w:firstLine="720"/>
      </w:pPr>
      <w:r>
        <w:rPr>
          <w:rFonts w:ascii="Times New Roman" w:hAnsi="Times New Roman" w:eastAsia="Times New Roman"/>
          <w:b w:val="0"/>
          <w:i w:val="0"/>
          <w:strike w:val="0"/>
          <w:color w:val="000000"/>
          <w:sz w:val="24"/>
        </w:rPr>
        <w:t xml:space="preserve">13. </w:t>
      </w:r>
      <w:r>
        <w:rPr>
          <w:rFonts w:ascii="Times New Roman" w:hAnsi="Times New Roman" w:eastAsia="Times New Roman"/>
          <w:b w:val="0"/>
          <w:i w:val="0"/>
          <w:strike/>
          <w:color w:val="0000FF"/>
          <w:sz w:val="24"/>
        </w:rPr>
        <w:t xml:space="preserve">Overbye M, Wagner U. Between medical treatment and performance enhancement: an investigation </w:t>
      </w:r>
      <w:r>
        <w:rPr>
          <w:rFonts w:ascii="Times New Roman" w:hAnsi="Times New Roman" w:eastAsia="Times New Roman"/>
          <w:b w:val="0"/>
          <w:i w:val="0"/>
          <w:strike w:val="0"/>
          <w:color w:val="FF0000"/>
          <w:sz w:val="24"/>
        </w:rPr>
        <w:t xml:space="preserve">Heuberger JAAC, Cohen AF. Review </w:t>
      </w:r>
      <w:r>
        <w:rPr>
          <w:rFonts w:ascii="Times New Roman" w:hAnsi="Times New Roman" w:eastAsia="Times New Roman"/>
          <w:b w:val="0"/>
          <w:i w:val="0"/>
          <w:strike w:val="0"/>
          <w:color w:val="000000"/>
          <w:sz w:val="24"/>
        </w:rPr>
        <w:t xml:space="preserve">of </w:t>
      </w:r>
      <w:r>
        <w:rPr>
          <w:rFonts w:ascii="Times New Roman" w:hAnsi="Times New Roman" w:eastAsia="Times New Roman"/>
          <w:b w:val="0"/>
          <w:i w:val="0"/>
          <w:strike/>
          <w:color w:val="0000FF"/>
          <w:sz w:val="24"/>
        </w:rPr>
        <w:t>how elite athletes experience therapeutic use exemptions. Int J Drug Policy. 2013;24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:579–588.</w:t>
      </w:r>
      <w:r>
        <w:rPr>
          <w:rFonts w:ascii="Times New Roman" w:hAnsi="Times New Roman" w:eastAsia="Times New Roman"/>
          <w:b w:val="0"/>
          <w:i w:val="0"/>
          <w:strike w:val="0"/>
          <w:color w:val="FF0000"/>
          <w:sz w:val="24"/>
        </w:rPr>
        <w:t>WADA prohibited substances: limited evidence for performance-enhancing effects. Sports Med. 2019;49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:525–539.</w:t>
      </w:r>
    </w:p>
    <w:p>
      <w:pPr>
        <w:ind w:firstLine="720"/>
      </w:pPr>
      <w:r>
        <w:rPr>
          <w:rFonts w:ascii="Times New Roman" w:hAnsi="Times New Roman" w:eastAsia="Times New Roman"/>
          <w:b w:val="0"/>
          <w:i w:val="0"/>
          <w:strike w:val="0"/>
          <w:color w:val="000000"/>
          <w:sz w:val="24"/>
        </w:rPr>
        <w:t xml:space="preserve">14. </w:t>
      </w:r>
      <w:r>
        <w:rPr>
          <w:rFonts w:ascii="Times New Roman" w:hAnsi="Times New Roman" w:eastAsia="Times New Roman"/>
          <w:b w:val="0"/>
          <w:i w:val="0"/>
          <w:strike/>
          <w:color w:val="0000FF"/>
          <w:sz w:val="24"/>
        </w:rPr>
        <w:t xml:space="preserve">Vernec A, Healy D, Banon T, Petroczi A. Prevalence </w:t>
      </w:r>
      <w:r>
        <w:rPr>
          <w:rFonts w:ascii="Times New Roman" w:hAnsi="Times New Roman" w:eastAsia="Times New Roman"/>
          <w:b w:val="0"/>
          <w:i w:val="0"/>
          <w:strike w:val="0"/>
          <w:color w:val="FF0000"/>
          <w:sz w:val="24"/>
        </w:rPr>
        <w:t xml:space="preserve">Hostrup M, Jacobson GA, Jessen S, Lemminger AK. Anabolic and lipolytic actions </w:t>
      </w:r>
      <w:r>
        <w:rPr>
          <w:rFonts w:ascii="Times New Roman" w:hAnsi="Times New Roman" w:eastAsia="Times New Roman"/>
          <w:b w:val="0"/>
          <w:i w:val="0"/>
          <w:strike w:val="0"/>
          <w:color w:val="000000"/>
          <w:sz w:val="24"/>
        </w:rPr>
        <w:t xml:space="preserve">of </w:t>
      </w:r>
      <w:r>
        <w:rPr>
          <w:rFonts w:ascii="Times New Roman" w:hAnsi="Times New Roman" w:eastAsia="Times New Roman"/>
          <w:b w:val="0"/>
          <w:i w:val="0"/>
          <w:strike/>
          <w:color w:val="0000FF"/>
          <w:sz w:val="24"/>
        </w:rPr>
        <w:t xml:space="preserve">therapeutic use exemptions at the Olympic Games </w:t>
      </w:r>
      <w:r>
        <w:rPr>
          <w:rFonts w:ascii="Times New Roman" w:hAnsi="Times New Roman" w:eastAsia="Times New Roman"/>
          <w:b w:val="0"/>
          <w:i w:val="0"/>
          <w:strike w:val="0"/>
          <w:color w:val="FF0000"/>
          <w:sz w:val="24"/>
        </w:rPr>
        <w:t xml:space="preserve">beta2-agonists in humans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Paralympic Games: an analysis of data from 2016 to 2022. Br J Sports Med. 2024;58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:966–972.</w:t>
      </w:r>
      <w:r>
        <w:rPr>
          <w:rFonts w:ascii="Times New Roman" w:hAnsi="Times New Roman" w:eastAsia="Times New Roman"/>
          <w:b w:val="0"/>
          <w:i w:val="0"/>
          <w:strike w:val="0"/>
          <w:color w:val="FF0000"/>
          <w:sz w:val="24"/>
        </w:rPr>
        <w:t>antidoping challenges. Drug Test Anal. 2020;12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:597–609.</w:t>
      </w:r>
    </w:p>
    <w:p>
      <w:pPr>
        <w:ind w:firstLine="720"/>
      </w:pPr>
      <w:r>
        <w:rPr>
          <w:rFonts w:ascii="Times New Roman" w:hAnsi="Times New Roman" w:eastAsia="Times New Roman"/>
          <w:b w:val="0"/>
          <w:i w:val="0"/>
          <w:strike w:val="0"/>
          <w:color w:val="000000"/>
          <w:sz w:val="24"/>
        </w:rPr>
        <w:t xml:space="preserve">15. </w:t>
      </w:r>
      <w:r>
        <w:rPr>
          <w:rFonts w:ascii="Times New Roman" w:hAnsi="Times New Roman" w:eastAsia="Times New Roman"/>
          <w:b w:val="0"/>
          <w:i w:val="0"/>
          <w:strike/>
          <w:color w:val="0000FF"/>
          <w:sz w:val="24"/>
        </w:rPr>
        <w:t>Tricco AC, Lillie E, Zarin W, et al. PRISMA extension for scoping reviews (PRISMA-ScR): checklist and explanation. Ann Intern Med. 2018;169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:467–473.</w:t>
      </w:r>
      <w:r>
        <w:rPr>
          <w:rFonts w:ascii="Times New Roman" w:hAnsi="Times New Roman" w:eastAsia="Times New Roman"/>
          <w:b w:val="0"/>
          <w:i w:val="0"/>
          <w:strike w:val="0"/>
          <w:color w:val="FF0000"/>
          <w:sz w:val="24"/>
        </w:rPr>
        <w:t>International Masters Games Association. Record registrations: already over 24,000 athletes joining World Masters Games. 2026.</w:t>
      </w:r>
    </w:p>
    <w:p>
      <w:pPr>
        <w:ind w:firstLine="720"/>
      </w:pPr>
      <w:r>
        <w:rPr>
          <w:rFonts w:ascii="Times New Roman" w:hAnsi="Times New Roman" w:eastAsia="Times New Roman"/>
          <w:b w:val="0"/>
          <w:i w:val="0"/>
          <w:strike w:val="0"/>
          <w:color w:val="000000"/>
          <w:sz w:val="24"/>
        </w:rPr>
        <w:t xml:space="preserve">16. </w:t>
      </w:r>
      <w:r>
        <w:rPr>
          <w:rFonts w:ascii="Times New Roman" w:hAnsi="Times New Roman" w:eastAsia="Times New Roman"/>
          <w:b w:val="0"/>
          <w:i w:val="0"/>
          <w:strike/>
          <w:color w:val="0000FF"/>
          <w:sz w:val="24"/>
        </w:rPr>
        <w:t>Arksey H, O'Malley L. Scoping studies: towards a methodological framework. Int J Soc Res Methodol. 2005;8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:19–32.</w:t>
      </w:r>
      <w:r>
        <w:rPr>
          <w:rFonts w:ascii="Times New Roman" w:hAnsi="Times New Roman" w:eastAsia="Times New Roman"/>
          <w:b w:val="0"/>
          <w:i w:val="0"/>
          <w:strike w:val="0"/>
          <w:color w:val="FF0000"/>
          <w:sz w:val="24"/>
        </w:rPr>
        <w:t>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pPr>
        <w:ind w:firstLine="720"/>
      </w:pPr>
      <w:r>
        <w:rPr>
          <w:rFonts w:ascii="Times New Roman" w:hAnsi="Times New Roman" w:eastAsia="Times New Roman"/>
          <w:b w:val="0"/>
          <w:i w:val="0"/>
          <w:strike w:val="0"/>
          <w:color w:val="000000"/>
          <w:sz w:val="24"/>
        </w:rPr>
        <w:t>17. Levac D, Colquhoun H, O'Brien KK. Scoping studies: advancing the methodology. Implement Sci. 2010;5:69.</w:t>
      </w:r>
    </w:p>
    <w:p>
      <w:pPr>
        <w:ind w:firstLine="720"/>
      </w:pPr>
      <w:r>
        <w:rPr>
          <w:rFonts w:ascii="Times New Roman" w:hAnsi="Times New Roman" w:eastAsia="Times New Roman"/>
          <w:b w:val="0"/>
          <w:i w:val="0"/>
          <w:strike w:val="0"/>
          <w:color w:val="000000"/>
          <w:sz w:val="24"/>
        </w:rPr>
        <w:t xml:space="preserve">18. </w:t>
      </w:r>
      <w:r>
        <w:rPr>
          <w:rFonts w:ascii="Times New Roman" w:hAnsi="Times New Roman" w:eastAsia="Times New Roman"/>
          <w:b w:val="0"/>
          <w:i w:val="0"/>
          <w:strike/>
          <w:color w:val="0000FF"/>
          <w:sz w:val="24"/>
        </w:rPr>
        <w:t>Munn Z, Peters MDJ, Stern C, Tufanaru C, McArthur A, Aromataris E. Systematic review or scoping review? Guidance for authors when choosing between a systematic or scoping review approach. BMC Med Res Methodol. 2018;18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:143.</w:t>
      </w:r>
      <w:r>
        <w:rPr>
          <w:rFonts w:ascii="Times New Roman" w:hAnsi="Times New Roman" w:eastAsia="Times New Roman"/>
          <w:b w:val="0"/>
          <w:i w:val="0"/>
          <w:strike w:val="0"/>
          <w:color w:val="FF0000"/>
          <w:sz w:val="24"/>
        </w:rPr>
        <w:t>Lincoff AM, Bhasin S, Flevaris P, et al. Cardiovascular safety of testosterone-replacement therapy. N Engl J Med. 2023;389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:107–117.</w:t>
      </w:r>
    </w:p>
    <w:p>
      <w:pPr>
        <w:ind w:firstLine="720"/>
      </w:pPr>
      <w:r>
        <w:rPr>
          <w:rFonts w:ascii="Times New Roman" w:hAnsi="Times New Roman" w:eastAsia="Times New Roman"/>
          <w:b w:val="0"/>
          <w:i w:val="0"/>
          <w:strike w:val="0"/>
          <w:color w:val="000000"/>
          <w:sz w:val="24"/>
        </w:rPr>
        <w:t xml:space="preserve">19. </w:t>
      </w:r>
      <w:r>
        <w:rPr>
          <w:rFonts w:ascii="Times New Roman" w:hAnsi="Times New Roman" w:eastAsia="Times New Roman"/>
          <w:b w:val="0"/>
          <w:i w:val="0"/>
          <w:strike/>
          <w:color w:val="0000FF"/>
          <w:sz w:val="24"/>
        </w:rPr>
        <w:t xml:space="preserve">World Anti-Doping Agency. </w:t>
      </w:r>
      <w:r>
        <w:rPr>
          <w:rFonts w:ascii="Times New Roman" w:hAnsi="Times New Roman" w:eastAsia="Times New Roman"/>
          <w:b w:val="0"/>
          <w:i w:val="0"/>
          <w:strike w:val="0"/>
          <w:color w:val="FF0000"/>
          <w:sz w:val="24"/>
        </w:rPr>
        <w:t xml:space="preserve">Mancia G, Kreutz R, Brunstrom M, et al. </w:t>
      </w:r>
      <w:r>
        <w:rPr>
          <w:rFonts w:ascii="Times New Roman" w:hAnsi="Times New Roman" w:eastAsia="Times New Roman"/>
          <w:b w:val="0"/>
          <w:i w:val="0"/>
          <w:strike w:val="0"/>
          <w:color w:val="000000"/>
          <w:sz w:val="24"/>
        </w:rPr>
        <w:t xml:space="preserve">2023 </w:t>
      </w:r>
      <w:r>
        <w:rPr>
          <w:rFonts w:ascii="Times New Roman" w:hAnsi="Times New Roman" w:eastAsia="Times New Roman"/>
          <w:b w:val="0"/>
          <w:i w:val="0"/>
          <w:strike/>
          <w:color w:val="0000FF"/>
          <w:sz w:val="24"/>
        </w:rPr>
        <w:t>Anti-Doping Testing Figures Report. Montreal: WADA; 2025.</w:t>
      </w:r>
      <w:r>
        <w:rPr>
          <w:rFonts w:ascii="Times New Roman" w:hAnsi="Times New Roman" w:eastAsia="Times New Roman"/>
          <w:b w:val="0"/>
          <w:i w:val="0"/>
          <w:strike w:val="0"/>
          <w:color w:val="FF0000"/>
          <w:sz w:val="24"/>
        </w:rPr>
        <w:t>ESH Guidelines for the management of arterial hypertension. J Hypertens. 2023;41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:1874–2071.</w:t>
      </w:r>
    </w:p>
    <w:p>
      <w:pPr>
        <w:ind w:firstLine="720"/>
      </w:pPr>
      <w:r>
        <w:rPr>
          <w:rFonts w:ascii="Times New Roman" w:hAnsi="Times New Roman" w:eastAsia="Times New Roman"/>
          <w:b w:val="0"/>
          <w:i w:val="0"/>
          <w:strike w:val="0"/>
          <w:color w:val="000000"/>
          <w:sz w:val="24"/>
        </w:rPr>
        <w:t xml:space="preserve">20. </w:t>
      </w:r>
      <w:r>
        <w:rPr>
          <w:rFonts w:ascii="Times New Roman" w:hAnsi="Times New Roman" w:eastAsia="Times New Roman"/>
          <w:b w:val="0"/>
          <w:i w:val="0"/>
          <w:strike/>
          <w:color w:val="0000FF"/>
          <w:sz w:val="24"/>
        </w:rPr>
        <w:t xml:space="preserve">Price OJ, Sewry N, Schwellnus </w:t>
      </w:r>
      <w:r>
        <w:rPr>
          <w:rFonts w:ascii="Times New Roman" w:hAnsi="Times New Roman" w:eastAsia="Times New Roman"/>
          <w:b w:val="0"/>
          <w:i w:val="0"/>
          <w:strike w:val="0"/>
          <w:color w:val="FF0000"/>
          <w:sz w:val="24"/>
        </w:rPr>
        <w:t xml:space="preserve">McDonagh TA, Metra M, Adamo </w:t>
      </w:r>
      <w:r>
        <w:rPr>
          <w:rFonts w:ascii="Times New Roman" w:hAnsi="Times New Roman" w:eastAsia="Times New Roman"/>
          <w:b w:val="0"/>
          <w:i w:val="0"/>
          <w:strike w:val="0"/>
          <w:color w:val="000000"/>
          <w:sz w:val="24"/>
        </w:rPr>
        <w:t xml:space="preserve">M, et al. </w:t>
      </w:r>
      <w:r>
        <w:rPr>
          <w:rFonts w:ascii="Times New Roman" w:hAnsi="Times New Roman" w:eastAsia="Times New Roman"/>
          <w:b w:val="0"/>
          <w:i w:val="0"/>
          <w:strike/>
          <w:color w:val="0000FF"/>
          <w:sz w:val="24"/>
        </w:rPr>
        <w:t xml:space="preserve">Prevalence </w:t>
      </w:r>
      <w:r>
        <w:rPr>
          <w:rFonts w:ascii="Times New Roman" w:hAnsi="Times New Roman" w:eastAsia="Times New Roman"/>
          <w:b w:val="0"/>
          <w:i w:val="0"/>
          <w:strike w:val="0"/>
          <w:color w:val="FF0000"/>
          <w:sz w:val="24"/>
        </w:rPr>
        <w:t xml:space="preserve">2021 ESC Guidelines for the diagnosis and treatment </w:t>
      </w:r>
      <w:r>
        <w:rPr>
          <w:rFonts w:ascii="Times New Roman" w:hAnsi="Times New Roman" w:eastAsia="Times New Roman"/>
          <w:b w:val="0"/>
          <w:i w:val="0"/>
          <w:strike w:val="0"/>
          <w:color w:val="000000"/>
          <w:sz w:val="24"/>
        </w:rPr>
        <w:t xml:space="preserve">of </w:t>
      </w:r>
      <w:r>
        <w:rPr>
          <w:rFonts w:ascii="Times New Roman" w:hAnsi="Times New Roman" w:eastAsia="Times New Roman"/>
          <w:b w:val="0"/>
          <w:i w:val="0"/>
          <w:strike/>
          <w:color w:val="0000FF"/>
          <w:sz w:val="24"/>
        </w:rPr>
        <w:t xml:space="preserve">lower airway dysfunction in athletes: a systematic review </w:t>
      </w:r>
      <w:r>
        <w:rPr>
          <w:rFonts w:ascii="Times New Roman" w:hAnsi="Times New Roman" w:eastAsia="Times New Roman"/>
          <w:b w:val="0"/>
          <w:i w:val="0"/>
          <w:strike w:val="0"/>
          <w:color w:val="FF0000"/>
          <w:sz w:val="24"/>
        </w:rPr>
        <w:t xml:space="preserve">acute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meta-analysis. Br J Sports Med. 2022;56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:213–222.</w:t>
      </w:r>
      <w:r>
        <w:rPr>
          <w:rFonts w:ascii="Times New Roman" w:hAnsi="Times New Roman" w:eastAsia="Times New Roman"/>
          <w:b w:val="0"/>
          <w:i w:val="0"/>
          <w:strike w:val="0"/>
          <w:color w:val="FF0000"/>
          <w:sz w:val="24"/>
        </w:rPr>
        <w:t>chronic heart failure. Eur Heart J. 2021;42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:3599–3726.</w:t>
      </w:r>
    </w:p>
    <w:p>
      <w:pPr>
        <w:ind w:firstLine="720"/>
      </w:pPr>
      <w:r>
        <w:rPr>
          <w:rFonts w:ascii="Times New Roman" w:hAnsi="Times New Roman" w:eastAsia="Times New Roman"/>
          <w:b w:val="0"/>
          <w:i w:val="0"/>
          <w:strike w:val="0"/>
          <w:color w:val="000000"/>
          <w:sz w:val="24"/>
        </w:rPr>
        <w:t xml:space="preserve">21. </w:t>
      </w:r>
      <w:r>
        <w:rPr>
          <w:rFonts w:ascii="Times New Roman" w:hAnsi="Times New Roman" w:eastAsia="Times New Roman"/>
          <w:b w:val="0"/>
          <w:i w:val="0"/>
          <w:strike/>
          <w:color w:val="0000FF"/>
          <w:sz w:val="24"/>
        </w:rPr>
        <w:t xml:space="preserve">Han DH, McDuff D, Thompson D, et al. Attention-deficit/hyperactivity disorder in elite athletes: </w:t>
      </w:r>
      <w:r>
        <w:rPr>
          <w:rFonts w:ascii="Times New Roman" w:hAnsi="Times New Roman" w:eastAsia="Times New Roman"/>
          <w:b w:val="0"/>
          <w:i w:val="0"/>
          <w:strike w:val="0"/>
          <w:color w:val="FF0000"/>
          <w:sz w:val="24"/>
        </w:rPr>
        <w:t xml:space="preserve">Munn Z, Peters MDJ, Stern C, Tufanaru C, McArthur A, Aromataris E. Systematic review or scoping review? Guidance for authors when choosing between </w:t>
      </w:r>
      <w:r>
        <w:rPr>
          <w:rFonts w:ascii="Times New Roman" w:hAnsi="Times New Roman" w:eastAsia="Times New Roman"/>
          <w:b w:val="0"/>
          <w:i w:val="0"/>
          <w:strike w:val="0"/>
          <w:color w:val="000000"/>
          <w:sz w:val="24"/>
        </w:rPr>
        <w:t xml:space="preserve">a </w:t>
      </w:r>
      <w:r>
        <w:rPr>
          <w:rFonts w:ascii="Times New Roman" w:hAnsi="Times New Roman" w:eastAsia="Times New Roman"/>
          <w:b w:val="0"/>
          <w:i w:val="0"/>
          <w:strike/>
          <w:color w:val="0000FF"/>
          <w:sz w:val="24"/>
        </w:rPr>
        <w:t>narrative review. Br J Sports Med. 2019;53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:741–747.</w:t>
      </w:r>
      <w:r>
        <w:rPr>
          <w:rFonts w:ascii="Times New Roman" w:hAnsi="Times New Roman" w:eastAsia="Times New Roman"/>
          <w:b w:val="0"/>
          <w:i w:val="0"/>
          <w:strike w:val="0"/>
          <w:color w:val="FF0000"/>
          <w:sz w:val="24"/>
        </w:rPr>
        <w:t>systematic or scoping review approach. BMC Med Res Methodol. 2018;18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:143.</w:t>
      </w:r>
    </w:p>
    <w:p>
      <w:pPr>
        <w:ind w:firstLine="720"/>
      </w:pPr>
      <w:r>
        <w:rPr>
          <w:rFonts w:ascii="Times New Roman" w:hAnsi="Times New Roman" w:eastAsia="Times New Roman"/>
          <w:b w:val="0"/>
          <w:i w:val="0"/>
          <w:strike w:val="0"/>
          <w:color w:val="000000"/>
          <w:sz w:val="24"/>
        </w:rPr>
        <w:t xml:space="preserve">22. </w:t>
      </w:r>
      <w:r>
        <w:rPr>
          <w:rFonts w:ascii="Times New Roman" w:hAnsi="Times New Roman" w:eastAsia="Times New Roman"/>
          <w:b w:val="0"/>
          <w:i w:val="0"/>
          <w:strike/>
          <w:color w:val="0000FF"/>
          <w:sz w:val="24"/>
        </w:rPr>
        <w:t xml:space="preserve">World Masters Athletics. </w:t>
      </w:r>
      <w:r>
        <w:rPr>
          <w:rFonts w:ascii="Times New Roman" w:hAnsi="Times New Roman" w:eastAsia="Times New Roman"/>
          <w:b w:val="0"/>
          <w:i w:val="0"/>
          <w:strike w:val="0"/>
          <w:color w:val="FF0000"/>
          <w:sz w:val="24"/>
        </w:rPr>
        <w:t xml:space="preserve">National Institute for Health and Care Excellence. Attention deficit hyperactivity disorder: diagnosis and management. NICE guideline [NG87]. London: NICE; </w:t>
      </w:r>
      <w:r>
        <w:rPr>
          <w:rFonts w:ascii="Times New Roman" w:hAnsi="Times New Roman" w:eastAsia="Times New Roman"/>
          <w:b w:val="0"/>
          <w:i w:val="0"/>
          <w:strike w:val="0"/>
          <w:color w:val="000000"/>
          <w:sz w:val="24"/>
        </w:rPr>
        <w:t xml:space="preserve">2024 </w:t>
      </w:r>
      <w:r>
        <w:rPr>
          <w:rFonts w:ascii="Times New Roman" w:hAnsi="Times New Roman" w:eastAsia="Times New Roman"/>
          <w:b w:val="0"/>
          <w:i w:val="0"/>
          <w:strike/>
          <w:color w:val="0000FF"/>
          <w:sz w:val="24"/>
        </w:rPr>
        <w:t>WMA Annual Report. 2024.</w:t>
      </w:r>
      <w:r>
        <w:rPr>
          <w:rFonts w:ascii="Times New Roman" w:hAnsi="Times New Roman" w:eastAsia="Times New Roman"/>
          <w:b w:val="0"/>
          <w:i w:val="0"/>
          <w:strike w:val="0"/>
          <w:color w:val="FF0000"/>
          <w:sz w:val="24"/>
        </w:rPr>
        <w:t>(updated).</w:t>
      </w:r>
    </w:p>
    <w:p>
      <w:pPr>
        <w:ind w:firstLine="720"/>
      </w:pPr>
      <w:r>
        <w:rPr>
          <w:rFonts w:ascii="Times New Roman" w:hAnsi="Times New Roman" w:eastAsia="Times New Roman"/>
          <w:b w:val="0"/>
          <w:i w:val="0"/>
          <w:strike w:val="0"/>
          <w:color w:val="000000"/>
          <w:sz w:val="24"/>
        </w:rPr>
        <w:t xml:space="preserve">23. </w:t>
      </w:r>
      <w:r>
        <w:rPr>
          <w:rFonts w:ascii="Times New Roman" w:hAnsi="Times New Roman" w:eastAsia="Times New Roman"/>
          <w:b w:val="0"/>
          <w:i w:val="0"/>
          <w:strike/>
          <w:color w:val="0000FF"/>
          <w:sz w:val="24"/>
        </w:rPr>
        <w:t xml:space="preserve">International Masters Games Association. Record registrations: already over 24,000 </w:t>
      </w:r>
      <w:r>
        <w:rPr>
          <w:rFonts w:ascii="Times New Roman" w:hAnsi="Times New Roman" w:eastAsia="Times New Roman"/>
          <w:b w:val="0"/>
          <w:i w:val="0"/>
          <w:strike w:val="0"/>
          <w:color w:val="FF0000"/>
          <w:sz w:val="24"/>
        </w:rPr>
        <w:t xml:space="preserve">Overbye M, Wagner U. Between medical treatment and performance enhancement: an investigation of how elite </w:t>
      </w:r>
      <w:r>
        <w:rPr>
          <w:rFonts w:ascii="Times New Roman" w:hAnsi="Times New Roman" w:eastAsia="Times New Roman"/>
          <w:b w:val="0"/>
          <w:i w:val="0"/>
          <w:strike w:val="0"/>
          <w:color w:val="000000"/>
          <w:sz w:val="24"/>
        </w:rPr>
        <w:t xml:space="preserve">athletes </w:t>
      </w:r>
      <w:r>
        <w:rPr>
          <w:rFonts w:ascii="Times New Roman" w:hAnsi="Times New Roman" w:eastAsia="Times New Roman"/>
          <w:b w:val="0"/>
          <w:i w:val="0"/>
          <w:strike/>
          <w:color w:val="0000FF"/>
          <w:sz w:val="24"/>
        </w:rPr>
        <w:t>joining World Masters Games. 2026.</w:t>
      </w:r>
      <w:r>
        <w:rPr>
          <w:rFonts w:ascii="Times New Roman" w:hAnsi="Times New Roman" w:eastAsia="Times New Roman"/>
          <w:b w:val="0"/>
          <w:i w:val="0"/>
          <w:strike w:val="0"/>
          <w:color w:val="FF0000"/>
          <w:sz w:val="24"/>
        </w:rPr>
        <w:t>experience therapeutic use exemptions. Int J Drug Policy. 2013;24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:579–588.</w:t>
      </w:r>
    </w:p>
    <w:p>
      <w:pPr>
        <w:ind w:firstLine="720"/>
      </w:pPr>
      <w:r>
        <w:rPr>
          <w:rFonts w:ascii="Times New Roman" w:hAnsi="Times New Roman" w:eastAsia="Times New Roman"/>
          <w:b w:val="0"/>
          <w:i w:val="0"/>
          <w:strike w:val="0"/>
          <w:color w:val="000000"/>
          <w:sz w:val="24"/>
        </w:rPr>
        <w:t xml:space="preserve">24. </w:t>
      </w:r>
      <w:r>
        <w:rPr>
          <w:rFonts w:ascii="Times New Roman" w:hAnsi="Times New Roman" w:eastAsia="Times New Roman"/>
          <w:b w:val="0"/>
          <w:i w:val="0"/>
          <w:strike/>
          <w:color w:val="0000FF"/>
          <w:sz w:val="24"/>
        </w:rPr>
        <w:t xml:space="preserve">Hostrup M, Jacobson GA, Jessen S, Lemminger AK. Anabolic </w:t>
      </w:r>
      <w:r>
        <w:rPr>
          <w:rFonts w:ascii="Times New Roman" w:hAnsi="Times New Roman" w:eastAsia="Times New Roman"/>
          <w:b w:val="0"/>
          <w:i w:val="0"/>
          <w:strike w:val="0"/>
          <w:color w:val="FF0000"/>
          <w:sz w:val="24"/>
        </w:rPr>
        <w:t xml:space="preserve">Pharmaceuticals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 xml:space="preserve">lipolytic actions </w:t>
      </w:r>
      <w:r>
        <w:rPr>
          <w:rFonts w:ascii="Times New Roman" w:hAnsi="Times New Roman" w:eastAsia="Times New Roman"/>
          <w:b w:val="0"/>
          <w:i w:val="0"/>
          <w:strike w:val="0"/>
          <w:color w:val="FF0000"/>
          <w:sz w:val="24"/>
        </w:rPr>
        <w:t xml:space="preserve">Medical Devices Agency. Approval </w:t>
      </w:r>
      <w:r>
        <w:rPr>
          <w:rFonts w:ascii="Times New Roman" w:hAnsi="Times New Roman" w:eastAsia="Times New Roman"/>
          <w:b w:val="0"/>
          <w:i w:val="0"/>
          <w:strike w:val="0"/>
          <w:color w:val="000000"/>
          <w:sz w:val="24"/>
        </w:rPr>
        <w:t xml:space="preserve">of </w:t>
      </w:r>
      <w:r>
        <w:rPr>
          <w:rFonts w:ascii="Times New Roman" w:hAnsi="Times New Roman" w:eastAsia="Times New Roman"/>
          <w:b w:val="0"/>
          <w:i w:val="0"/>
          <w:strike/>
          <w:color w:val="0000FF"/>
          <w:sz w:val="24"/>
        </w:rPr>
        <w:t>beta2-agonists in humans and antidoping challenges. Drug Test Anal. 2020;12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:597–609.</w:t>
      </w:r>
      <w:r>
        <w:rPr>
          <w:rFonts w:ascii="Times New Roman" w:hAnsi="Times New Roman" w:eastAsia="Times New Roman"/>
          <w:b w:val="0"/>
          <w:i w:val="0"/>
          <w:strike w:val="0"/>
          <w:color w:val="FF0000"/>
          <w:sz w:val="24"/>
        </w:rPr>
        <w:t>Mounjaro subcutaneous injection. 2023 Apr.</w:t>
      </w:r>
    </w:p>
    <w:p>
      <w:pPr>
        <w:ind w:firstLine="720"/>
      </w:pPr>
      <w:r>
        <w:rPr>
          <w:rFonts w:ascii="Times New Roman" w:hAnsi="Times New Roman" w:eastAsia="Times New Roman"/>
          <w:b w:val="0"/>
          <w:i w:val="0"/>
          <w:strike w:val="0"/>
          <w:color w:val="000000"/>
          <w:sz w:val="24"/>
        </w:rPr>
        <w:t xml:space="preserve">25. </w:t>
      </w:r>
      <w:r>
        <w:rPr>
          <w:rFonts w:ascii="Times New Roman" w:hAnsi="Times New Roman" w:eastAsia="Times New Roman"/>
          <w:b w:val="0"/>
          <w:i w:val="0"/>
          <w:strike/>
          <w:color w:val="0000FF"/>
          <w:sz w:val="24"/>
        </w:rPr>
        <w:t>Australian ADHD Professionals Association. Australian Evidence-Based Clinical Practice Guideline for Attention Deficit Hyperactivity Disorder (ADHD). Melbourne: AADPA; 2022.</w:t>
      </w:r>
      <w:r>
        <w:rPr>
          <w:rFonts w:ascii="Times New Roman" w:hAnsi="Times New Roman" w:eastAsia="Times New Roman"/>
          <w:b w:val="0"/>
          <w:i w:val="0"/>
          <w:strike w:val="0"/>
          <w:color w:val="FF0000"/>
          <w:sz w:val="24"/>
        </w:rPr>
        <w:t>Pharmaceuticals and Medical Devices Agency. Approval of Ozempic subcutaneous injection. 2018 Mar 20.</w:t>
      </w:r>
    </w:p>
    <w:p>
      <w:pPr>
        <w:ind w:firstLine="720"/>
      </w:pPr>
      <w:r>
        <w:rPr>
          <w:rFonts w:ascii="Times New Roman" w:hAnsi="Times New Roman" w:eastAsia="Times New Roman"/>
          <w:b w:val="0"/>
          <w:i w:val="0"/>
          <w:strike w:val="0"/>
          <w:color w:val="000000"/>
          <w:sz w:val="24"/>
        </w:rPr>
        <w:t xml:space="preserve">26. </w:t>
      </w:r>
      <w:r>
        <w:rPr>
          <w:rFonts w:ascii="Times New Roman" w:hAnsi="Times New Roman" w:eastAsia="Times New Roman"/>
          <w:b w:val="0"/>
          <w:i w:val="0"/>
          <w:strike/>
          <w:color w:val="0000FF"/>
          <w:sz w:val="24"/>
        </w:rPr>
        <w:t>World Anti-Doping Agency. TUE Physician Guidelines – Attention Deficit Hyperactivity Disorder (ADHD). Version 8.0. Montreal: WADA; 2026.</w:t>
      </w:r>
      <w:r>
        <w:rPr>
          <w:rFonts w:ascii="Times New Roman" w:hAnsi="Times New Roman" w:eastAsia="Times New Roman"/>
          <w:b w:val="0"/>
          <w:i w:val="0"/>
          <w:strike w:val="0"/>
          <w:color w:val="FF0000"/>
          <w:sz w:val="24"/>
        </w:rPr>
        <w:t>Price OJ, Sewry N, Schwellnus M, et al. Prevalence of lower airway dysfunction in athletes: a systematic review and meta-analysis. Br J Sports Med. 2022;56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:213–222.</w:t>
      </w:r>
    </w:p>
    <w:p>
      <w:pPr>
        <w:ind w:firstLine="720"/>
      </w:pPr>
      <w:r>
        <w:rPr>
          <w:rFonts w:ascii="Times New Roman" w:hAnsi="Times New Roman" w:eastAsia="Times New Roman"/>
          <w:b w:val="0"/>
          <w:i w:val="0"/>
          <w:strike w:val="0"/>
          <w:color w:val="000000"/>
          <w:sz w:val="24"/>
        </w:rPr>
        <w:t xml:space="preserve">27. </w:t>
      </w:r>
      <w:r>
        <w:rPr>
          <w:rFonts w:ascii="Times New Roman" w:hAnsi="Times New Roman" w:eastAsia="Times New Roman"/>
          <w:b w:val="0"/>
          <w:i w:val="0"/>
          <w:strike/>
          <w:color w:val="0000FF"/>
          <w:sz w:val="24"/>
        </w:rPr>
        <w:t xml:space="preserve">European Medicines Agency. Ozempic: EPAR – summary </w:t>
      </w:r>
      <w:r>
        <w:rPr>
          <w:rFonts w:ascii="Times New Roman" w:hAnsi="Times New Roman" w:eastAsia="Times New Roman"/>
          <w:b w:val="0"/>
          <w:i w:val="0"/>
          <w:strike w:val="0"/>
          <w:color w:val="FF0000"/>
          <w:sz w:val="24"/>
        </w:rPr>
        <w:t xml:space="preserve">Teede HJ, Azziz R, Balen AH, et al. Polyendocrine metabolic ovarian syndrome: a proposal </w:t>
      </w:r>
      <w:r>
        <w:rPr>
          <w:rFonts w:ascii="Times New Roman" w:hAnsi="Times New Roman" w:eastAsia="Times New Roman"/>
          <w:b w:val="0"/>
          <w:i w:val="0"/>
          <w:strike w:val="0"/>
          <w:color w:val="000000"/>
          <w:sz w:val="24"/>
        </w:rPr>
        <w:t xml:space="preserve">for the </w:t>
      </w:r>
      <w:r>
        <w:rPr>
          <w:rFonts w:ascii="Times New Roman" w:hAnsi="Times New Roman" w:eastAsia="Times New Roman"/>
          <w:b w:val="0"/>
          <w:i w:val="0"/>
          <w:strike/>
          <w:color w:val="0000FF"/>
          <w:sz w:val="24"/>
        </w:rPr>
        <w:t>public. 2018 Feb 8.</w:t>
      </w:r>
      <w:r>
        <w:rPr>
          <w:rFonts w:ascii="Times New Roman" w:hAnsi="Times New Roman" w:eastAsia="Times New Roman"/>
          <w:b w:val="0"/>
          <w:i w:val="0"/>
          <w:strike w:val="0"/>
          <w:color w:val="FF0000"/>
          <w:sz w:val="24"/>
        </w:rPr>
        <w:t>renaming of polycystic ovary syndrome. Lancet. 2026; published online May 13, 2026.</w:t>
      </w:r>
    </w:p>
    <w:p>
      <w:pPr>
        <w:ind w:firstLine="720"/>
      </w:pPr>
      <w:r>
        <w:rPr>
          <w:rFonts w:ascii="Times New Roman" w:hAnsi="Times New Roman" w:eastAsia="Times New Roman"/>
          <w:b w:val="0"/>
          <w:i w:val="0"/>
          <w:strike w:val="0"/>
          <w:color w:val="000000"/>
          <w:sz w:val="24"/>
        </w:rPr>
        <w:t xml:space="preserve">28. </w:t>
      </w:r>
      <w:r>
        <w:rPr>
          <w:rFonts w:ascii="Times New Roman" w:hAnsi="Times New Roman" w:eastAsia="Times New Roman"/>
          <w:b w:val="0"/>
          <w:i w:val="0"/>
          <w:strike/>
          <w:color w:val="0000FF"/>
          <w:sz w:val="24"/>
        </w:rPr>
        <w:t xml:space="preserve">Pharmaceuticals </w:t>
      </w:r>
      <w:r>
        <w:rPr>
          <w:rFonts w:ascii="Times New Roman" w:hAnsi="Times New Roman" w:eastAsia="Times New Roman"/>
          <w:b w:val="0"/>
          <w:i w:val="0"/>
          <w:strike w:val="0"/>
          <w:color w:val="FF0000"/>
          <w:sz w:val="24"/>
        </w:rPr>
        <w:t xml:space="preserve">Teede HJ, Tay CT, Laven JJE, et al. Recommendations from the 2023 international evidence-based guideline for the assessment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 xml:space="preserve">Medical Devices Agency. Approval </w:t>
      </w:r>
      <w:r>
        <w:rPr>
          <w:rFonts w:ascii="Times New Roman" w:hAnsi="Times New Roman" w:eastAsia="Times New Roman"/>
          <w:b w:val="0"/>
          <w:i w:val="0"/>
          <w:strike w:val="0"/>
          <w:color w:val="FF0000"/>
          <w:sz w:val="24"/>
        </w:rPr>
        <w:t xml:space="preserve">management </w:t>
      </w:r>
      <w:r>
        <w:rPr>
          <w:rFonts w:ascii="Times New Roman" w:hAnsi="Times New Roman" w:eastAsia="Times New Roman"/>
          <w:b w:val="0"/>
          <w:i w:val="0"/>
          <w:strike w:val="0"/>
          <w:color w:val="000000"/>
          <w:sz w:val="24"/>
        </w:rPr>
        <w:t xml:space="preserve">of </w:t>
      </w:r>
      <w:r>
        <w:rPr>
          <w:rFonts w:ascii="Times New Roman" w:hAnsi="Times New Roman" w:eastAsia="Times New Roman"/>
          <w:b w:val="0"/>
          <w:i w:val="0"/>
          <w:strike/>
          <w:color w:val="0000FF"/>
          <w:sz w:val="24"/>
        </w:rPr>
        <w:t>Ozempic subcutaneous injection. 2018 Mar 20.</w:t>
      </w:r>
      <w:r>
        <w:rPr>
          <w:rFonts w:ascii="Times New Roman" w:hAnsi="Times New Roman" w:eastAsia="Times New Roman"/>
          <w:b w:val="0"/>
          <w:i w:val="0"/>
          <w:strike w:val="0"/>
          <w:color w:val="FF0000"/>
          <w:sz w:val="24"/>
        </w:rPr>
        <w:t>polycystic ovary syndrome. J Clin Endocrinol Metab. 2023;108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:2447–2469.</w:t>
      </w:r>
    </w:p>
    <w:p>
      <w:pPr>
        <w:ind w:firstLine="720"/>
      </w:pPr>
      <w:r>
        <w:rPr>
          <w:rFonts w:ascii="Times New Roman" w:hAnsi="Times New Roman" w:eastAsia="Times New Roman"/>
          <w:b w:val="0"/>
          <w:i w:val="0"/>
          <w:strike w:val="0"/>
          <w:color w:val="000000"/>
          <w:sz w:val="24"/>
        </w:rPr>
        <w:t xml:space="preserve">29. </w:t>
      </w:r>
      <w:r>
        <w:rPr>
          <w:rFonts w:ascii="Times New Roman" w:hAnsi="Times New Roman" w:eastAsia="Times New Roman"/>
          <w:b w:val="0"/>
          <w:i w:val="0"/>
          <w:strike/>
          <w:color w:val="0000FF"/>
          <w:sz w:val="24"/>
        </w:rPr>
        <w:t xml:space="preserve">US Food </w:t>
      </w:r>
      <w:r>
        <w:rPr>
          <w:rFonts w:ascii="Times New Roman" w:hAnsi="Times New Roman" w:eastAsia="Times New Roman"/>
          <w:b w:val="0"/>
          <w:i w:val="0"/>
          <w:strike w:val="0"/>
          <w:color w:val="FF0000"/>
          <w:sz w:val="24"/>
        </w:rPr>
        <w:t xml:space="preserve">Tricco AC, Lillie E, Zarin W, et al. PRISMA extension for scoping reviews (PRISMA-ScR): checklist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Drug Administration. FDA approves Ozempic to improve glycemic control in adults with type 2 diabetes. Press release. 2017 Dec 4.</w:t>
      </w:r>
      <w:r>
        <w:rPr>
          <w:rFonts w:ascii="Times New Roman" w:hAnsi="Times New Roman" w:eastAsia="Times New Roman"/>
          <w:b w:val="0"/>
          <w:i w:val="0"/>
          <w:strike w:val="0"/>
          <w:color w:val="FF0000"/>
          <w:sz w:val="24"/>
        </w:rPr>
        <w:t>explanation. Ann Intern Med. 2018;169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:467–473.</w:t>
      </w:r>
    </w:p>
    <w:p>
      <w:pPr>
        <w:ind w:firstLine="720"/>
      </w:pPr>
      <w:r>
        <w:rPr>
          <w:rFonts w:ascii="Times New Roman" w:hAnsi="Times New Roman" w:eastAsia="Times New Roman"/>
          <w:b w:val="0"/>
          <w:i w:val="0"/>
          <w:strike w:val="0"/>
          <w:color w:val="000000"/>
          <w:sz w:val="24"/>
        </w:rPr>
        <w:t xml:space="preserve">30. </w:t>
      </w:r>
      <w:r>
        <w:rPr>
          <w:rFonts w:ascii="Times New Roman" w:hAnsi="Times New Roman" w:eastAsia="Times New Roman"/>
          <w:b w:val="0"/>
          <w:i w:val="0"/>
          <w:strike/>
          <w:color w:val="0000FF"/>
          <w:sz w:val="24"/>
        </w:rPr>
        <w:t xml:space="preserve">European Medicines Agency. Mounjaro: EPAR – summary </w:t>
      </w:r>
      <w:r>
        <w:rPr>
          <w:rFonts w:ascii="Times New Roman" w:hAnsi="Times New Roman" w:eastAsia="Times New Roman"/>
          <w:b w:val="0"/>
          <w:i w:val="0"/>
          <w:strike w:val="0"/>
          <w:color w:val="FF0000"/>
          <w:sz w:val="24"/>
        </w:rPr>
        <w:t xml:space="preserve">US Food and Drug Administration. FDA approves Mounjaro (tirzepatide) injection </w:t>
      </w:r>
      <w:r>
        <w:rPr>
          <w:rFonts w:ascii="Times New Roman" w:hAnsi="Times New Roman" w:eastAsia="Times New Roman"/>
          <w:b w:val="0"/>
          <w:i w:val="0"/>
          <w:strike w:val="0"/>
          <w:color w:val="000000"/>
          <w:sz w:val="24"/>
        </w:rPr>
        <w:t xml:space="preserve">for </w:t>
      </w:r>
      <w:r>
        <w:rPr>
          <w:rFonts w:ascii="Times New Roman" w:hAnsi="Times New Roman" w:eastAsia="Times New Roman"/>
          <w:b w:val="0"/>
          <w:i w:val="0"/>
          <w:strike/>
          <w:color w:val="0000FF"/>
          <w:sz w:val="24"/>
        </w:rPr>
        <w:t xml:space="preserve">the public. </w:t>
      </w:r>
      <w:r>
        <w:rPr>
          <w:rFonts w:ascii="Times New Roman" w:hAnsi="Times New Roman" w:eastAsia="Times New Roman"/>
          <w:b w:val="0"/>
          <w:i w:val="0"/>
          <w:strike w:val="0"/>
          <w:color w:val="FF0000"/>
          <w:sz w:val="24"/>
        </w:rPr>
        <w:t xml:space="preserve">type 2 diabetes. Press release. </w:t>
      </w:r>
      <w:r>
        <w:rPr>
          <w:rFonts w:ascii="Times New Roman" w:hAnsi="Times New Roman" w:eastAsia="Times New Roman"/>
          <w:b w:val="0"/>
          <w:i w:val="0"/>
          <w:strike w:val="0"/>
          <w:color w:val="000000"/>
          <w:sz w:val="24"/>
        </w:rPr>
        <w:t xml:space="preserve">2022 </w:t>
      </w:r>
      <w:r>
        <w:rPr>
          <w:rFonts w:ascii="Times New Roman" w:hAnsi="Times New Roman" w:eastAsia="Times New Roman"/>
          <w:b w:val="0"/>
          <w:i w:val="0"/>
          <w:strike/>
          <w:color w:val="0000FF"/>
          <w:sz w:val="24"/>
        </w:rPr>
        <w:t>Sep 15.</w:t>
      </w:r>
      <w:r>
        <w:rPr>
          <w:rFonts w:ascii="Times New Roman" w:hAnsi="Times New Roman" w:eastAsia="Times New Roman"/>
          <w:b w:val="0"/>
          <w:i w:val="0"/>
          <w:strike w:val="0"/>
          <w:color w:val="FF0000"/>
          <w:sz w:val="24"/>
        </w:rPr>
        <w:t>May 13.</w:t>
      </w:r>
    </w:p>
    <w:p>
      <w:pPr>
        <w:ind w:firstLine="720"/>
      </w:pPr>
      <w:r>
        <w:rPr>
          <w:rFonts w:ascii="Times New Roman" w:hAnsi="Times New Roman" w:eastAsia="Times New Roman"/>
          <w:b w:val="0"/>
          <w:i w:val="0"/>
          <w:strike w:val="0"/>
          <w:color w:val="000000"/>
          <w:sz w:val="24"/>
        </w:rPr>
        <w:t xml:space="preserve">31. </w:t>
      </w:r>
      <w:r>
        <w:rPr>
          <w:rFonts w:ascii="Times New Roman" w:hAnsi="Times New Roman" w:eastAsia="Times New Roman"/>
          <w:b w:val="0"/>
          <w:i w:val="0"/>
          <w:strike/>
          <w:color w:val="0000FF"/>
          <w:sz w:val="24"/>
        </w:rPr>
        <w:t xml:space="preserve">Pharmaceuticals </w:t>
      </w:r>
      <w:r>
        <w:rPr>
          <w:rFonts w:ascii="Times New Roman" w:hAnsi="Times New Roman" w:eastAsia="Times New Roman"/>
          <w:b w:val="0"/>
          <w:i w:val="0"/>
          <w:strike w:val="0"/>
          <w:color w:val="FF0000"/>
          <w:sz w:val="24"/>
        </w:rPr>
        <w:t xml:space="preserve">US Food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Medical Devices Agency. Approval of Mounjaro subcutaneous injection. 2023 Apr.</w:t>
      </w:r>
      <w:r>
        <w:rPr>
          <w:rFonts w:ascii="Times New Roman" w:hAnsi="Times New Roman" w:eastAsia="Times New Roman"/>
          <w:b w:val="0"/>
          <w:i w:val="0"/>
          <w:strike w:val="0"/>
          <w:color w:val="FF0000"/>
          <w:sz w:val="24"/>
        </w:rPr>
        <w:t>Drug Administration. FDA approves Ozempic to improve glycemic control in adults with type 2 diabetes. Press release. 2017 Dec 4.</w:t>
      </w:r>
    </w:p>
    <w:p>
      <w:pPr>
        <w:ind w:firstLine="720"/>
      </w:pPr>
      <w:r>
        <w:rPr>
          <w:rFonts w:ascii="Times New Roman" w:hAnsi="Times New Roman" w:eastAsia="Times New Roman"/>
          <w:b w:val="0"/>
          <w:i w:val="0"/>
          <w:strike w:val="0"/>
          <w:color w:val="000000"/>
          <w:sz w:val="24"/>
        </w:rPr>
        <w:t xml:space="preserve">32. </w:t>
      </w:r>
      <w:r>
        <w:rPr>
          <w:rFonts w:ascii="Times New Roman" w:hAnsi="Times New Roman" w:eastAsia="Times New Roman"/>
          <w:b w:val="0"/>
          <w:i w:val="0"/>
          <w:strike/>
          <w:color w:val="0000FF"/>
          <w:sz w:val="24"/>
        </w:rPr>
        <w:t xml:space="preserve">US Food </w:t>
      </w:r>
      <w:r>
        <w:rPr>
          <w:rFonts w:ascii="Times New Roman" w:hAnsi="Times New Roman" w:eastAsia="Times New Roman"/>
          <w:b w:val="0"/>
          <w:i w:val="0"/>
          <w:strike w:val="0"/>
          <w:color w:val="FF0000"/>
          <w:sz w:val="24"/>
        </w:rPr>
        <w:t xml:space="preserve">Vernec A, Healy D, Banon T, Petroczi A. Prevalence of therapeutic use exemptions at the Olympic Games </w:t>
      </w:r>
      <w:r>
        <w:rPr>
          <w:rFonts w:ascii="Times New Roman" w:hAnsi="Times New Roman" w:eastAsia="Times New Roman"/>
          <w:b w:val="0"/>
          <w:i w:val="0"/>
          <w:strike w:val="0"/>
          <w:color w:val="000000"/>
          <w:sz w:val="24"/>
        </w:rPr>
        <w:t xml:space="preserve">and </w:t>
      </w:r>
      <w:r>
        <w:rPr>
          <w:rFonts w:ascii="Times New Roman" w:hAnsi="Times New Roman" w:eastAsia="Times New Roman"/>
          <w:b w:val="0"/>
          <w:i w:val="0"/>
          <w:strike/>
          <w:color w:val="0000FF"/>
          <w:sz w:val="24"/>
        </w:rPr>
        <w:t>Drug Administration. FDA approves Mounjaro (tirzepatide) injection for type 2 diabetes. Press release. 2022 May 13.</w:t>
      </w:r>
      <w:r>
        <w:rPr>
          <w:rFonts w:ascii="Times New Roman" w:hAnsi="Times New Roman" w:eastAsia="Times New Roman"/>
          <w:b w:val="0"/>
          <w:i w:val="0"/>
          <w:strike w:val="0"/>
          <w:color w:val="FF0000"/>
          <w:sz w:val="24"/>
        </w:rPr>
        <w:t>Paralympic Games: an analysis of data from 2016 to 2022. Br J Sports Med. 2024;58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:966–972.</w:t>
      </w:r>
    </w:p>
    <w:p>
      <w:pPr>
        <w:ind w:firstLine="720"/>
      </w:pPr>
      <w:r>
        <w:rPr>
          <w:rFonts w:ascii="Times New Roman" w:hAnsi="Times New Roman" w:eastAsia="Times New Roman"/>
          <w:b w:val="0"/>
          <w:i w:val="0"/>
          <w:strike w:val="0"/>
          <w:color w:val="000000"/>
          <w:sz w:val="24"/>
        </w:rPr>
        <w:t xml:space="preserve">33. World Anti-Doping Agency. </w:t>
      </w:r>
      <w:r>
        <w:rPr>
          <w:rFonts w:ascii="Times New Roman" w:hAnsi="Times New Roman" w:eastAsia="Times New Roman"/>
          <w:b w:val="0"/>
          <w:i w:val="0"/>
          <w:strike/>
          <w:color w:val="0000FF"/>
          <w:sz w:val="24"/>
        </w:rPr>
        <w:t xml:space="preserve">2026 Monitoring Program. </w:t>
      </w:r>
      <w:r>
        <w:rPr>
          <w:rFonts w:ascii="Times New Roman" w:hAnsi="Times New Roman" w:eastAsia="Times New Roman"/>
          <w:b w:val="0"/>
          <w:i w:val="0"/>
          <w:strike w:val="0"/>
          <w:color w:val="FF0000"/>
          <w:sz w:val="24"/>
        </w:rPr>
        <w:t xml:space="preserve">2023 Anti-Doping Testing Figures Report. </w:t>
      </w:r>
      <w:r>
        <w:rPr>
          <w:rFonts w:ascii="Times New Roman" w:hAnsi="Times New Roman" w:eastAsia="Times New Roman"/>
          <w:b w:val="0"/>
          <w:i w:val="0"/>
          <w:strike w:val="0"/>
          <w:color w:val="000000"/>
          <w:sz w:val="24"/>
        </w:rPr>
        <w:t>Montreal: WADA; 2025.</w:t>
      </w:r>
    </w:p>
    <w:p>
      <w:pPr>
        <w:ind w:firstLine="720"/>
      </w:pPr>
      <w:r>
        <w:rPr>
          <w:rFonts w:ascii="Times New Roman" w:hAnsi="Times New Roman" w:eastAsia="Times New Roman"/>
          <w:b w:val="0"/>
          <w:i w:val="0"/>
          <w:strike w:val="0"/>
          <w:color w:val="000000"/>
          <w:sz w:val="24"/>
        </w:rPr>
        <w:t xml:space="preserve">34. </w:t>
      </w:r>
      <w:r>
        <w:rPr>
          <w:rFonts w:ascii="Times New Roman" w:hAnsi="Times New Roman" w:eastAsia="Times New Roman"/>
          <w:b w:val="0"/>
          <w:i w:val="0"/>
          <w:strike/>
          <w:color w:val="0000FF"/>
          <w:sz w:val="24"/>
        </w:rPr>
        <w:t>European Association of Urology. EAU Guidelines on Sexual and Reproductive Health. Arnhem: EAU; 2024.</w:t>
      </w:r>
      <w:r>
        <w:rPr>
          <w:rFonts w:ascii="Times New Roman" w:hAnsi="Times New Roman" w:eastAsia="Times New Roman"/>
          <w:b w:val="0"/>
          <w:i w:val="0"/>
          <w:strike w:val="0"/>
          <w:color w:val="FF0000"/>
          <w:sz w:val="24"/>
        </w:rPr>
        <w:t>World Anti-Doping Agency. 2026 Monitoring Program. Montreal: WADA; 2025.</w:t>
      </w:r>
    </w:p>
    <w:p>
      <w:pPr>
        <w:ind w:firstLine="720"/>
      </w:pPr>
      <w:r>
        <w:rPr>
          <w:rFonts w:ascii="Times New Roman" w:hAnsi="Times New Roman" w:eastAsia="Times New Roman"/>
          <w:b w:val="0"/>
          <w:i w:val="0"/>
          <w:strike w:val="0"/>
          <w:color w:val="000000"/>
          <w:sz w:val="24"/>
        </w:rPr>
        <w:t xml:space="preserve">35. </w:t>
      </w:r>
      <w:r>
        <w:rPr>
          <w:rFonts w:ascii="Times New Roman" w:hAnsi="Times New Roman" w:eastAsia="Times New Roman"/>
          <w:b w:val="0"/>
          <w:i w:val="0"/>
          <w:strike/>
          <w:color w:val="0000FF"/>
          <w:sz w:val="24"/>
        </w:rPr>
        <w:t>Lincoff AM, Bhasin S, Flevaris P, et al. Cardiovascular safety of testosterone-replacement therapy. N Engl J Med. 2023;389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:107–117.</w:t>
      </w:r>
      <w:r>
        <w:rPr>
          <w:rFonts w:ascii="Times New Roman" w:hAnsi="Times New Roman" w:eastAsia="Times New Roman"/>
          <w:b w:val="0"/>
          <w:i w:val="0"/>
          <w:strike w:val="0"/>
          <w:color w:val="FF0000"/>
          <w:sz w:val="24"/>
        </w:rPr>
        <w:t>World Anti-Doping Agency. Anti-Doping Administration and Management System (ADAMS). Montreal: WADA; 2024.</w:t>
      </w:r>
    </w:p>
    <w:p>
      <w:pPr>
        <w:ind w:firstLine="720"/>
      </w:pPr>
      <w:r>
        <w:rPr>
          <w:rFonts w:ascii="Times New Roman" w:hAnsi="Times New Roman" w:eastAsia="Times New Roman"/>
          <w:b w:val="0"/>
          <w:i w:val="0"/>
          <w:strike w:val="0"/>
          <w:color w:val="000000"/>
          <w:sz w:val="24"/>
        </w:rPr>
        <w:t xml:space="preserve">36. </w:t>
      </w:r>
      <w:r>
        <w:rPr>
          <w:rFonts w:ascii="Times New Roman" w:hAnsi="Times New Roman" w:eastAsia="Times New Roman"/>
          <w:b w:val="0"/>
          <w:i w:val="0"/>
          <w:strike/>
          <w:color w:val="0000FF"/>
          <w:sz w:val="24"/>
        </w:rPr>
        <w:t>Di Luigi L, Sansone P, Sgrò P, et al. Prevalence of undiagnosed testosterone deficiency in aging athletes: does exercise training influence the symptoms of male hypogonadism? J Sex Med. 2010;7(4 Pt 1):1361–1369.</w:t>
      </w:r>
      <w:r>
        <w:rPr>
          <w:rFonts w:ascii="Times New Roman" w:hAnsi="Times New Roman" w:eastAsia="Times New Roman"/>
          <w:b w:val="0"/>
          <w:i w:val="0"/>
          <w:strike w:val="0"/>
          <w:color w:val="FF0000"/>
          <w:sz w:val="24"/>
        </w:rPr>
        <w:t>World Anti-Doping Agency. Athlete Biological Passport Operating Guidelines. Version 9.0. Montreal: WADA; 2023.</w:t>
      </w:r>
    </w:p>
    <w:p>
      <w:pPr>
        <w:ind w:firstLine="720"/>
      </w:pPr>
      <w:r>
        <w:rPr>
          <w:rFonts w:ascii="Times New Roman" w:hAnsi="Times New Roman" w:eastAsia="Times New Roman"/>
          <w:b w:val="0"/>
          <w:i w:val="0"/>
          <w:strike w:val="0"/>
          <w:color w:val="000000"/>
          <w:sz w:val="24"/>
        </w:rPr>
        <w:t>37. World Anti-Doping Agency. Glucocorticoids and Therapeutic Use Exemptions Guidelines. Montreal: WADA; 2025.</w:t>
      </w:r>
    </w:p>
    <w:p>
      <w:pPr>
        <w:ind w:firstLine="720"/>
      </w:pPr>
      <w:r>
        <w:rPr>
          <w:rFonts w:ascii="Times New Roman" w:hAnsi="Times New Roman" w:eastAsia="Times New Roman"/>
          <w:b w:val="0"/>
          <w:i w:val="0"/>
          <w:strike w:val="0"/>
          <w:color w:val="000000"/>
          <w:sz w:val="24"/>
        </w:rPr>
        <w:t>38. World Anti-Doping Agency. Glucocorticoids washout table—2026. Montreal: WADA; 2025.</w:t>
      </w:r>
    </w:p>
    <w:p>
      <w:pPr>
        <w:ind w:firstLine="720"/>
      </w:pPr>
      <w:r>
        <w:rPr>
          <w:rFonts w:ascii="Times New Roman" w:hAnsi="Times New Roman" w:eastAsia="Times New Roman"/>
          <w:b w:val="0"/>
          <w:i w:val="0"/>
          <w:strike w:val="0"/>
          <w:color w:val="000000"/>
          <w:sz w:val="24"/>
        </w:rPr>
        <w:t xml:space="preserve">39. </w:t>
      </w:r>
      <w:r>
        <w:rPr>
          <w:rFonts w:ascii="Times New Roman" w:hAnsi="Times New Roman" w:eastAsia="Times New Roman"/>
          <w:b w:val="0"/>
          <w:i w:val="0"/>
          <w:strike/>
          <w:color w:val="0000FF"/>
          <w:sz w:val="24"/>
        </w:rPr>
        <w:t>Mancia G, Kreutz R, Brunstrom M, et al. 2023 ESH Guidelines for the management of arterial hypertension. J Hypertens. 2023;41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:1874–2071.</w:t>
      </w:r>
      <w:r>
        <w:rPr>
          <w:rFonts w:ascii="Times New Roman" w:hAnsi="Times New Roman" w:eastAsia="Times New Roman"/>
          <w:b w:val="0"/>
          <w:i w:val="0"/>
          <w:strike w:val="0"/>
          <w:color w:val="FF0000"/>
          <w:sz w:val="24"/>
        </w:rPr>
        <w:t>World Anti-Doping Agency. The 2026 Prohibited List International Standard. Montreal: WADA; 2025.</w:t>
      </w:r>
    </w:p>
    <w:p>
      <w:pPr>
        <w:ind w:firstLine="720"/>
      </w:pPr>
      <w:r>
        <w:rPr>
          <w:rFonts w:ascii="Times New Roman" w:hAnsi="Times New Roman" w:eastAsia="Times New Roman"/>
          <w:b w:val="0"/>
          <w:i w:val="0"/>
          <w:strike w:val="0"/>
          <w:color w:val="000000"/>
          <w:sz w:val="24"/>
        </w:rPr>
        <w:t xml:space="preserve">40. </w:t>
      </w:r>
      <w:r>
        <w:rPr>
          <w:rFonts w:ascii="Times New Roman" w:hAnsi="Times New Roman" w:eastAsia="Times New Roman"/>
          <w:b w:val="0"/>
          <w:i w:val="0"/>
          <w:strike/>
          <w:color w:val="0000FF"/>
          <w:sz w:val="24"/>
        </w:rPr>
        <w:t xml:space="preserve">Teede HJ, Azziz R, Balen AH, et al. Polyendocrine metabolic ovarian syndrome: a proposal for the renaming of polycystic ovary syndrome. Lancet. 2026; published online May 13, </w:t>
      </w:r>
      <w:r>
        <w:rPr>
          <w:rFonts w:ascii="Times New Roman" w:hAnsi="Times New Roman" w:eastAsia="Times New Roman"/>
          <w:b w:val="0"/>
          <w:i w:val="0"/>
          <w:strike w:val="0"/>
          <w:color w:val="FF0000"/>
          <w:sz w:val="24"/>
        </w:rPr>
        <w:t xml:space="preserve">World Anti-Doping Agency. TUE Physician Guidelines – Asthma. Version 9.3. Montreal: WADA; </w:t>
      </w:r>
      <w:r>
        <w:rPr>
          <w:rFonts w:ascii="Times New Roman" w:hAnsi="Times New Roman" w:eastAsia="Times New Roman"/>
          <w:b w:val="0"/>
          <w:i w:val="0"/>
          <w:strike w:val="0"/>
          <w:color w:val="000000"/>
          <w:sz w:val="24"/>
        </w:rPr>
        <w:t>2026.</w:t>
      </w:r>
    </w:p>
    <w:p>
      <w:pPr>
        <w:ind w:firstLine="720"/>
      </w:pPr>
      <w:r>
        <w:rPr>
          <w:rFonts w:ascii="Times New Roman" w:hAnsi="Times New Roman" w:eastAsia="Times New Roman"/>
          <w:b w:val="0"/>
          <w:i w:val="0"/>
          <w:strike w:val="0"/>
          <w:color w:val="000000"/>
          <w:sz w:val="24"/>
        </w:rPr>
        <w:t xml:space="preserve">41. </w:t>
      </w:r>
      <w:r>
        <w:rPr>
          <w:rFonts w:ascii="Times New Roman" w:hAnsi="Times New Roman" w:eastAsia="Times New Roman"/>
          <w:b w:val="0"/>
          <w:i w:val="0"/>
          <w:strike/>
          <w:color w:val="0000FF"/>
          <w:sz w:val="24"/>
        </w:rPr>
        <w:t>Teede HJ, Tay CT, Laven JJE, et al. Recommendations from the 2023 international evidence-based guideline for the assessment and management of polycystic ovary syndrome. J Clin Endocrinol Metab. 2023;108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:2447–2469.</w:t>
      </w:r>
      <w:r>
        <w:rPr>
          <w:rFonts w:ascii="Times New Roman" w:hAnsi="Times New Roman" w:eastAsia="Times New Roman"/>
          <w:b w:val="0"/>
          <w:i w:val="0"/>
          <w:strike w:val="0"/>
          <w:color w:val="FF0000"/>
          <w:sz w:val="24"/>
        </w:rPr>
        <w:t>World Anti-Doping Agency. TUE Physician Guidelines – Attention Deficit Hyperactivity Disorder (ADHD). Version 8.0. Montreal: WADA; 2026.</w:t>
      </w:r>
    </w:p>
    <w:p>
      <w:pPr>
        <w:ind w:firstLine="720"/>
      </w:pPr>
      <w:r>
        <w:rPr>
          <w:rFonts w:ascii="Times New Roman" w:hAnsi="Times New Roman" w:eastAsia="Times New Roman"/>
          <w:b w:val="0"/>
          <w:i w:val="0"/>
          <w:strike w:val="0"/>
          <w:color w:val="000000"/>
          <w:sz w:val="24"/>
        </w:rPr>
        <w:t xml:space="preserve">42. World Anti-Doping Agency. </w:t>
      </w:r>
      <w:r>
        <w:rPr>
          <w:rFonts w:ascii="Times New Roman" w:hAnsi="Times New Roman" w:eastAsia="Times New Roman"/>
          <w:b w:val="0"/>
          <w:i w:val="0"/>
          <w:strike/>
          <w:color w:val="0000FF"/>
          <w:sz w:val="24"/>
        </w:rPr>
        <w:t xml:space="preserve">Athlete Biological Passport Operating Guidelines. Version 9.0. </w:t>
      </w:r>
      <w:r>
        <w:rPr>
          <w:rFonts w:ascii="Times New Roman" w:hAnsi="Times New Roman" w:eastAsia="Times New Roman"/>
          <w:b w:val="0"/>
          <w:i w:val="0"/>
          <w:strike w:val="0"/>
          <w:color w:val="FF0000"/>
          <w:sz w:val="24"/>
        </w:rPr>
        <w:t xml:space="preserve">World Anti-Doping Code 2021. </w:t>
      </w:r>
      <w:r>
        <w:rPr>
          <w:rFonts w:ascii="Times New Roman" w:hAnsi="Times New Roman" w:eastAsia="Times New Roman"/>
          <w:b w:val="0"/>
          <w:i w:val="0"/>
          <w:strike w:val="0"/>
          <w:color w:val="000000"/>
          <w:sz w:val="24"/>
        </w:rPr>
        <w:t xml:space="preserve">Montreal: WADA; </w:t>
      </w:r>
      <w:r>
        <w:rPr>
          <w:rFonts w:ascii="Times New Roman" w:hAnsi="Times New Roman" w:eastAsia="Times New Roman"/>
          <w:b w:val="0"/>
          <w:i w:val="0"/>
          <w:strike/>
          <w:color w:val="0000FF"/>
          <w:sz w:val="24"/>
        </w:rPr>
        <w:t>2023.</w:t>
      </w:r>
      <w:r>
        <w:rPr>
          <w:rFonts w:ascii="Times New Roman" w:hAnsi="Times New Roman" w:eastAsia="Times New Roman"/>
          <w:b w:val="0"/>
          <w:i w:val="0"/>
          <w:strike w:val="0"/>
          <w:color w:val="FF0000"/>
          <w:sz w:val="24"/>
        </w:rPr>
        <w:t>2021.</w:t>
      </w:r>
    </w:p>
    <w:p>
      <w:pPr>
        <w:ind w:firstLine="720"/>
      </w:pPr>
      <w:r>
        <w:rPr>
          <w:rFonts w:ascii="Times New Roman" w:hAnsi="Times New Roman" w:eastAsia="Times New Roman"/>
          <w:b w:val="0"/>
          <w:i w:val="0"/>
          <w:strike w:val="0"/>
          <w:color w:val="000000"/>
          <w:sz w:val="24"/>
        </w:rPr>
        <w:t xml:space="preserve">43. World Anti-Doping Agency. </w:t>
      </w:r>
      <w:r>
        <w:rPr>
          <w:rFonts w:ascii="Times New Roman" w:hAnsi="Times New Roman" w:eastAsia="Times New Roman"/>
          <w:b w:val="0"/>
          <w:i w:val="0"/>
          <w:strike w:val="0"/>
          <w:color w:val="FF0000"/>
          <w:sz w:val="24"/>
        </w:rPr>
        <w:t xml:space="preserve">World </w:t>
      </w:r>
      <w:r>
        <w:rPr>
          <w:rFonts w:ascii="Times New Roman" w:hAnsi="Times New Roman" w:eastAsia="Times New Roman"/>
          <w:b w:val="0"/>
          <w:i w:val="0"/>
          <w:strike w:val="0"/>
          <w:color w:val="000000"/>
          <w:sz w:val="24"/>
        </w:rPr>
        <w:t xml:space="preserve">Anti-Doping </w:t>
      </w:r>
      <w:r>
        <w:rPr>
          <w:rFonts w:ascii="Times New Roman" w:hAnsi="Times New Roman" w:eastAsia="Times New Roman"/>
          <w:b w:val="0"/>
          <w:i w:val="0"/>
          <w:strike/>
          <w:color w:val="0000FF"/>
          <w:sz w:val="24"/>
        </w:rPr>
        <w:t xml:space="preserve">Administration and Management System (ADAMS). </w:t>
      </w:r>
      <w:r>
        <w:rPr>
          <w:rFonts w:ascii="Times New Roman" w:hAnsi="Times New Roman" w:eastAsia="Times New Roman"/>
          <w:b w:val="0"/>
          <w:i w:val="0"/>
          <w:strike w:val="0"/>
          <w:color w:val="FF0000"/>
          <w:sz w:val="24"/>
        </w:rPr>
        <w:t xml:space="preserve">Code International Standard for Therapeutic Use Exemptions (ISTUE). </w:t>
      </w:r>
      <w:r>
        <w:rPr>
          <w:rFonts w:ascii="Times New Roman" w:hAnsi="Times New Roman" w:eastAsia="Times New Roman"/>
          <w:b w:val="0"/>
          <w:i w:val="0"/>
          <w:strike w:val="0"/>
          <w:color w:val="000000"/>
          <w:sz w:val="24"/>
        </w:rPr>
        <w:t xml:space="preserve">Montreal: WADA; </w:t>
      </w:r>
      <w:r>
        <w:rPr>
          <w:rFonts w:ascii="Times New Roman" w:hAnsi="Times New Roman" w:eastAsia="Times New Roman"/>
          <w:b w:val="0"/>
          <w:i w:val="0"/>
          <w:strike/>
          <w:color w:val="0000FF"/>
          <w:sz w:val="24"/>
        </w:rPr>
        <w:t>2024.</w:t>
      </w:r>
      <w:r>
        <w:rPr>
          <w:rFonts w:ascii="Times New Roman" w:hAnsi="Times New Roman" w:eastAsia="Times New Roman"/>
          <w:b w:val="0"/>
          <w:i w:val="0"/>
          <w:strike w:val="0"/>
          <w:color w:val="FF0000"/>
          <w:sz w:val="24"/>
        </w:rPr>
        <w:t>2021.</w:t>
      </w:r>
    </w:p>
    <w:p>
      <w:pPr>
        <w:ind w:firstLine="720"/>
      </w:pPr>
      <w:r>
        <w:rPr>
          <w:rFonts w:ascii="Times New Roman" w:hAnsi="Times New Roman" w:eastAsia="Times New Roman"/>
          <w:b w:val="0"/>
          <w:i w:val="0"/>
          <w:strike w:val="0"/>
          <w:color w:val="000000"/>
          <w:sz w:val="24"/>
        </w:rPr>
        <w:t xml:space="preserve">44. </w:t>
      </w:r>
      <w:r>
        <w:rPr>
          <w:rFonts w:ascii="Times New Roman" w:hAnsi="Times New Roman" w:eastAsia="Times New Roman"/>
          <w:b w:val="0"/>
          <w:i w:val="0"/>
          <w:strike/>
          <w:color w:val="0000FF"/>
          <w:sz w:val="24"/>
        </w:rPr>
        <w:t>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r>
        <w:rPr>
          <w:rFonts w:ascii="Times New Roman" w:hAnsi="Times New Roman" w:eastAsia="Times New Roman"/>
          <w:b w:val="0"/>
          <w:i w:val="0"/>
          <w:strike w:val="0"/>
          <w:color w:val="FF0000"/>
          <w:sz w:val="24"/>
        </w:rPr>
        <w:t>World Masters Athletics. 2024 WMA Annual Report. 2024.</w:t>
      </w:r>
    </w:p>
    <w:p>
      <w:pPr>
        <w:spacing w:before="240" w:after="120"/>
      </w:pPr>
      <w:r>
        <w:rPr>
          <w:rFonts w:ascii="Times New Roman" w:hAnsi="Times New Roman" w:eastAsia="Times New Roman"/>
          <w:b/>
          <w:i w:val="0"/>
          <w:strike w:val="0"/>
          <w:color w:val="000000"/>
          <w:sz w:val="28"/>
        </w:rPr>
        <w:t>FIGURE LEGENDS</w:t>
      </w:r>
    </w:p>
    <w:p>
      <w:pPr>
        <w:ind w:firstLine="720"/>
      </w:pPr>
      <w:r>
        <w:rPr>
          <w:rFonts w:ascii="Times New Roman" w:hAnsi="Times New Roman" w:eastAsia="Times New Roman"/>
          <w:b w:val="0"/>
          <w:i w:val="0"/>
          <w:strike w:val="0"/>
          <w:color w:val="000000"/>
          <w:sz w:val="24"/>
        </w:rPr>
        <w:t>Figure 1. PRISMA-ScR flow diagram illustrating the source selection process. Database-specific record counts were: PubMed/MEDLINE (n=312), Embase (n=198), SPORTDiscus (n=121), Cochrane Library (n=84), and Web of Science (n=132), for a total of 847 records before deduplication.</w:t>
      </w:r>
    </w:p>
    <w:p>
      <w:pPr>
        <w:ind w:firstLine="720"/>
      </w:pPr>
      <w:r>
        <w:rPr>
          <w:rFonts w:ascii="Times New Roman" w:hAnsi="Times New Roman" w:eastAsia="Times New Roman"/>
          <w:b w:val="0"/>
          <w:i w:val="0"/>
          <w:strike w:val="0"/>
          <w:color w:val="000000"/>
          <w:sz w:val="24"/>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Pr>
        <w:ind w:firstLine="720"/>
      </w:pPr>
      <w:r>
        <w:rPr>
          <w:rFonts w:ascii="Times New Roman" w:hAnsi="Times New Roman" w:eastAsia="Times New Roman"/>
          <w:b w:val="0"/>
          <w:i w:val="0"/>
          <w:strike w:val="0"/>
          <w:color w:val="000000"/>
          <w:sz w:val="24"/>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Pr>
        <w:ind w:firstLine="720"/>
      </w:pPr>
      <w:r>
        <w:rPr>
          <w:rFonts w:ascii="Times New Roman" w:hAnsi="Times New Roman" w:eastAsia="Times New Roman"/>
          <w:b w:val="0"/>
          <w:i w:val="0"/>
          <w:strike w:val="0"/>
          <w:color w:val="000000"/>
          <w:sz w:val="24"/>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Pr>
        <w:ind w:firstLine="720"/>
      </w:pPr>
      <w:r>
        <w:rPr>
          <w:rFonts w:ascii="Times New Roman" w:hAnsi="Times New Roman" w:eastAsia="Times New Roman"/>
          <w:b w:val="0"/>
          <w:i w:val="0"/>
          <w:strike w:val="0"/>
          <w:color w:val="000000"/>
          <w:sz w:val="24"/>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