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Response to Reviewers</w:t>
      </w:r>
    </w:p>
    <w:p>
      <w:pPr>
        <w:jc w:val="center"/>
      </w:pPr>
      <w:r>
        <w:rPr>
          <w:i/>
          <w:sz w:val="42"/>
        </w:rPr>
        <w:t>SCJ-D-26-00070: Mind the Gap: A Scoping Review of Discrepancies Between WADA Therapeutic Use Exemptions and Current Clinical Practice Guidelines</w:t>
      </w:r>
    </w:p>
    <w:p/>
    <w:p>
      <w:pPr>
        <w:spacing w:before="240" w:after="120"/>
      </w:pPr>
      <w:r>
        <w:rPr>
          <w:b/>
          <w:sz w:val="28"/>
        </w:rPr>
        <w:t>General Response</w:t>
      </w:r>
    </w:p>
    <w:p>
      <w:r>
        <w:rPr>
          <w:sz w:val="42"/>
        </w:rPr>
        <w:t>We thank the Associate Editor and both reviewers for the constructive and detailed feedback. We have revised the manuscript to address every comment. Major structural changes include: (10) adding page numbers; (5) moving figures and their legends to the end of the manuscript (no embedded figures); (16) moving Source Selection from Results to Methods; (25) placing Recommendations for Harmonization within the Discussion; (6) shortening Practical Applications; and (36) removing the separate Conclusion section. We have also substantially revised the content to provide population/epidemiological context, include WADA perspective throughout, add FDA/EMA/PMDA approval information, explain organic versus functional hypogonadism, address the heart failure/elite-sport issue, and replace PCOS terminology with PMOS while retaining PCOS in parentheses at first use.</w:t>
      </w:r>
    </w:p>
    <w:p>
      <w:r>
        <w:rPr>
          <w:sz w:val="42"/>
        </w:rPr>
        <w:t>All references have been re-verified and renumbered alphabetically (AMA style) per SCJ guidelines. The PRISMA-ScR checklist has been updated and is submitted as a supplementary file. A clean revised manuscript, a marked manuscript (deletions shown in blue strikethrough, insertions shown in red), and this point-by-point response are provided.</w:t>
      </w:r>
    </w:p>
    <w:p>
      <w:pPr>
        <w:spacing w:before="240" w:after="120"/>
      </w:pPr>
      <w:r>
        <w:rPr>
          <w:b/>
          <w:sz w:val="28"/>
        </w:rPr>
        <w:t>Reviewer #1</w:t>
      </w:r>
    </w:p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Please include page numbers on the resubmission.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Page numbers have been added to the footer of every page.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This scoping review is missing a key element: population (epidemiological data) suggesting that there are people with these diseases/health issues in tested sports.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 new subsection, Population and Epidemiological Context, has been added to Results. It reports 2023 WADA testing figures (288,865 samples across 94 sports/disciplines), athlete asthma prevalence (~20–25%), ADHD prevalence among elite athletes (7–8%), and the expanding masters athlete population (2024 WMA Championships: 8,029 athletes; 2027 World Masters Games: &gt;24,000 registrants).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It seems that the role/responsibilities of S&amp;C professionals would be much lower than that of medical staff... the recommendations at the end are very hard to support.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reduced the Practical Applications section to four concise, actionable items and reframed them as support/communication roles rather than clinical decision-making. Recommendations for policy harmonization now appear within the Discussion and are directed at WADA, regulatory bodies, and medical stakeholders, not S&amp;C professionals.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It is not surprising there are gaps. The updates to clinical guidelines are on different timelines than those of TUE.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This point is now explicitly stated in the Cross-Cutting Analysis and Discussion as the first structural driver: temporal mismatch between clinical guideline update cycles and WADA regulatory revisions.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The primary thing missing is FDA/EMA/PMDA guidance... specifically for the newer drugs.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 new paragraph in the Type 2 Diabetes section now lists FDA, EMA, and PMDA approval dates for semaglutide and tirzepatide, with corresponding references.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There has been a recent change to PCOS, it is now PMOS - please correct throughout the manuscript.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adopted the proposed term PMOS (polyendocrine metabolic ovarian syndrome) throughout, with PCOS retained in parentheses at first use. All figures and legends have also been updated.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On page 16, you discuss that WADA is permissive, but WADA cares about performance enhancement, which b2 agonists can do.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Asthma section now explicitly states WADA's rationale: systemic beta-2 agonists can increase lean body mass and reduce fat mass, and permitted inhaled doses are set below doses associated with these effects. This performance-enhancement rationale is independent of clinical asthma care.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On pdf page 16 you mention potential compliance risk. Has this happened in the literature or is there any evidence to support it?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qualified the statement as a threshold exceedance risk under acute, clinically appropriate dosing during exacerbations, and note that athletes may apply for retroactive TUEs. We do not claim that documented ADRVs are common; rather, the uncertainty and administrative burden itself may influence treatment decisions.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Please provide examples or evidence to support the claim that TUE submissions may be operationally restricted to athletes with elite-level results or prior ADRVs.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softened the language and now note that some NADOs require proof of national-team status, international results, or prior anti-doping testing, while others accept applications at any level but impose documentation and processing requirements that function as de facto barriers. We cite athlete-survey and TUE-application literature and explicitly state that systematic eligibility data by competitive tier are limited.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T2D section: GLP-1 RAs are not on the list, so this section seems irrelevant.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section is retained because GLP-1 receptor agonists are on the WADA Monitoring Program and represent an emerging clinical-competition gap; we note that this is not a current TUE issue but a rapidly evolving one.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Please provide data on the number of athletes who are &gt;40 in sports monitored by regulatory agencies.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hypogonadism section now cites a study of 183 male athletes over 50 years showing 11.5% severe and 26.2% mild testosterone deficiency. It also provides masters-sport registration data (WMA 2024; World Masters Games 2027) to contextualize the size of the &gt;40 athlete population.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Heart failure? I am fairly certain that is contra-indicated for elite level sport participation.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now clarify that advanced heart failure generally precludes elite competition, but athletes with earlier-stage or stable heart failure, as well as masters and recreational competitors, may be prescribed MRAs. The example has been revised accordingly.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There is no mention of the biological passport.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Athlete Biological Passport (ABP) and ADAMS are now introduced in the Cross-Cutting Analysis and their role in longitudinal monitoring and TUE administration is discussed.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The discussion could be shortened substantially - it is very repetitive with the results.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Discussion has been shortened and reorganized. It now emphasizes synthesis, WADA perspective, ethical implications, and limitations rather than repeating results.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Much like the military and other occupations - it may not be fair that people cannot receive a specific treatment - and that means they cannot compete.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This tension is now acknowledged in the Discussion: anti-doping rules exist because some substances can enhance performance and some athletes misuse them; the clinical-competition gap reflects a necessary trade-off that may limit participation for some athletes.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Figure 1 - please identify the number of studies identified in each database.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Figure 1 now lists database-specific counts in the top identification box (PubMed n=312, Embase n=198, SPORTDiscus n=121, Cochrane n=84, Web of Science n=132, Total n=847), and the legend provides these counts.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Figure 3 - please explain what the gap sensitivity means more clearly.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Figure 3 legend has been expanded to state that the timeline shows how clinical guideline updates occur on annual or near-annual cycles while WADA TUE guidance and Prohibited List changes may lag by 1–3 years, creating a window of divergence.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Figure 5 - adjust your x-axis so the names can be fully seen.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Figure 5 disease-area labels have been rewritten without line breaks, PCOS has been changed to PMOS, and the x-axis labels are rotated 30 degrees and right-aligned so the full text is visible.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Make sure the prisma checklist is included.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An updated PRISMA-ScR checklist is included as a supplementary file and generated from src/create_prisma_scr_checklist.py.</w:t>
      </w:r>
    </w:p>
    <w:p/>
    <w:p>
      <w:pPr>
        <w:spacing w:before="240" w:after="120"/>
      </w:pPr>
      <w:r>
        <w:rPr>
          <w:b/>
          <w:sz w:val="28"/>
        </w:rPr>
        <w:t>Reviewer #2</w:t>
      </w:r>
    </w:p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Add the WADA perspective to create a balanced narrative.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 dedicated paragraph in the Discussion explicitly acknowledges WADA's mandate to protect clean sport, the role of the Prohibited List, ISTUE, ABP, and ADAMS, and the legitimate rationale for threshold-based and organic-only rules. WADA perspective has also been added to the asthma, ADHD, hypogonadism, cardiovascular, and T2D sections.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Figure 4 is confusing. Recommend providing an example in the description of how to interpret the figure.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Figure 4 caption now includes a concrete example (an adult athlete with ADHD on long-acting methylphenidate who would be required to discontinue the medication in-competition without a TUE). The conceptual framework figure itself retains the same structural layout.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Fully spell out the following categories on the X axis of Figure 5: Male..., PCOS/..., and Type 2 Diabetes...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Figure 5 labels are now fully spelled out as "Male Hypogonadism," "PMOS / Fertility," and "Type 2 Diabetes / GLP-1 RA" and are rotated for readability.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1, Line 20: Confirm with editor if key words can be words that appear in the article title.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Keywords were selected from the title and body of the manuscript per SCJ guidance; we are prepared to adjust if the Editorial Office prefers.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2, Line 10: Add "provided such use does not confer an unfair advantage" to the TUE principle sentence.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Introduction now states that WADA's objective is to permit appropriate medical care provided the use would produce no additional enhancement beyond a return to normal health and does not confer an unfair advantage.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5, Lines 14 &amp; 16: Should National Anti-Doping Organizations and International Federations be capitalized?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changed these to lower case ("national anti-doping organizations" and "international federations") while retaining the acronyms NADOs and IFs.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6, Line 35 / Page 8, Line 23: Are they exclusively international medical organizations or are some on the national level?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Methods eligibility criteria now explicitly include both recognized international and national medical organizations.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Confirm if an acronym can start a sentence (WADA).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revised sentences to avoid starting with WADA as an acronym; the expansion "World Anti-Doping Agency" is used when it begins a sentence.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10, Line 21: Confirm wording "...could accumulate 48 μg delivered formoterol daily..."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wording is retained as an illustrative calculation based on a budesonide/formoterol 200/6 μg MART regimen and the 54 μg WADA formoterol threshold.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11, Lines 35-43: Include WADA perspective on why ADHD stimulants are allowed out-of-competition but not in-competition.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ADHD section now explicitly explains WADA's rationale: stimulants may acutely improve alertness and concentration in competition, whereas out-of-competition treatment continuity is permitted because detection windows are shorter and clinical need persists.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13, Line 25: This statement requires a reference to support it.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statement has been supported with references (43, 23, 32): Overbye and Wagner (23) document how elite athletes experience TUE access as a barrier; Vernec et al. (32) report variation in TUE prevalence across Olympic Games; and WADA's ISTUE (43) establishes the criteria that NADOs and IFs implement with variable practical requirements.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14: Mention the major increase in GLP-1 medications in overweight/obese populations without diabetes.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T2D section now notes that semaglutide and tirzepatide are also widely used for weight management, which is the basis for WADA surveillance and potential future prohibition in weight-class sports.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15, Lines 31 &amp; 33: WADA perspective on testosterone and risk of supraphysiological enhancement.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hypogonadism section now explicitly states WADA's concern that testosterone restoration can be abused to produce supraphysiological effects, and explains why the organic-only rule seeks to prevent misuse.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16, Line 56: PCOS is now PMOS as of May 12, 2026.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adopted PMOS (polyendocrine metabolic ovarian syndrome) throughout, with PCOS in parentheses at first use.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17, Lines 43 &amp; 45: Explain the difference between organic and functional hypogonadism.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 new paragraph defines organic hypogonadism (identifiable hypothalamic-pituitary-gonadal pathology) and functional hypogonadism (age-, obesity-, opioid-, or overtraining-related suppression without a discrete structural lesion).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19, Line 51: Confirm accuracy of reference (24).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Reference (14) is Hostrup et al., a systematic review and meta-analysis of beta-2 agonist performance-enhancing effects, which we now use appropriately in the asthma and discussion sections.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19, Line 59: Reference (12) and sentence are misleading.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We have removed the misleading use of Heuberger &amp; Cohen (13) for beta-2 agonists. The asthma section now uses Hostrup et al. (14) for the performance-enhancement rationale and WADA/Allen references for threshold policy.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21, Line 31: International Federations capitalization.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Changed to lower case.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23, Line 7: Use S&amp;C instead of strength and conditioning.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All instances have been standardized to S&amp;C after first use.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25, Line 49: Spell out ADAMS at first use.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Anti-Doping Administration and Management System (ADAMS) is now spelled out at first use in the Cross-Cutting Analysis.</w:t>
      </w:r>
    </w:p>
    <w:p/>
    <w:p>
      <w:pPr>
        <w:spacing w:before="240" w:after="120"/>
      </w:pPr>
      <w:r>
        <w:rPr>
          <w:b/>
          <w:sz w:val="28"/>
        </w:rPr>
        <w:t>Associate Editor</w:t>
      </w:r>
    </w:p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2 – Move the figures to the end of the paper where the figure legends are located.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All figures have been removed from the main text. The manuscript now cites figures parenthetically in the text and presents detailed figure legends on a separate page after References.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ABSTRACT Line 1 - Put "and the" between (WADA) and Therapeutic.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abstract now reads: "The World Anti-Doping Agency (WADA) and the Therapeutic Use Exemption (TUE) system permit athletes..."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INTRODUCTION – You need page numbers.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Page numbers have been added to the footer.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Page 2, Line 12 – Suggested purpose statement.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purpose statement has been revised for clarity to reflect mapping discrepancies between WADA TUE regulations and clinical practice guidelines and providing practical guidance for S&amp;C professionals.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RESULTS - Source Selection should be in Methods.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Source Selection has been moved to the Methods section under "Selection of Sources of Evidence."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DISCUSSION Line 8 – Change to discrepancies between WADA and TUE.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Discussion opening now reads "...systematic mapping of discrepancies between WADA TUE regulations and current clinical practice guidelines..."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PRACTICAL APPLICATIONS - Reduce this section.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Practical Applications has been shortened from seven long bullets to four concise, action-oriented recommendations.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RECOMMENDATIONS FOR HARMONIZATION should be in the Discussion.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Recommendations for Harmonization now appear as a subsection within the Discussion.</w:t>
      </w:r>
    </w:p>
    <w:p/>
    <w:p>
      <w:pPr>
        <w:ind w:left="283"/>
      </w:pPr>
      <w:r>
        <w:rPr>
          <w:b/>
          <w:sz w:val="14"/>
        </w:rPr>
        <w:t xml:space="preserve">Comment: </w:t>
      </w:r>
      <w:r>
        <w:rPr>
          <w:i/>
          <w:sz w:val="14"/>
        </w:rPr>
        <w:t>Omit the Conclusions.</w:t>
      </w:r>
    </w:p>
    <w:p>
      <w:pPr>
        <w:ind w:left="283"/>
      </w:pPr>
      <w:r>
        <w:rPr>
          <w:b/>
          <w:sz w:val="14"/>
        </w:rPr>
        <w:t xml:space="preserve">Response: </w:t>
      </w:r>
      <w:r>
        <w:rPr>
          <w:sz w:val="14"/>
        </w:rPr>
        <w:t>The separate Conclusion section has been removed; concluding points are integrated into the final paragraphs of the Discussion.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