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i w:val="0"/>
          <w:sz w:val="28"/>
        </w:rPr>
        <w:t>Response to BJSM Decision and Reviewer Comments</w:t>
      </w:r>
    </w:p>
    <w:p>
      <w:pPr>
        <w:spacing w:before="0" w:after="240"/>
      </w:pPr>
      <w:r>
        <w:rPr>
          <w:b w:val="0"/>
          <w:i/>
          <w:sz w:val="22"/>
        </w:rPr>
        <w:t>Manuscript: Mind the Gap: Clinical Practice Guidelines and WADA Therapeutic Use Exemptions Are Diverging—A Call for Harmonization</w:t>
      </w:r>
    </w:p>
    <w:p>
      <w:pPr>
        <w:spacing w:before="0" w:after="240"/>
      </w:pPr>
      <w:r>
        <w:rPr>
          <w:b w:val="0"/>
          <w:i w:val="0"/>
          <w:sz w:val="22"/>
        </w:rPr>
        <w:t>Date: May 2026</w:t>
      </w:r>
    </w:p>
    <w:p>
      <w:pPr>
        <w:spacing w:before="0" w:after="160"/>
      </w:pPr>
      <w:r>
        <w:rPr>
          <w:b w:val="0"/>
          <w:i w:val="0"/>
          <w:sz w:val="22"/>
        </w:rPr>
        <w:t>Dear Associate Editor,</w:t>
      </w:r>
    </w:p>
    <w:p>
      <w:pPr>
        <w:spacing w:before="0" w:after="80"/>
      </w:pPr>
      <w:r>
        <w:rPr>
          <w:b w:val="0"/>
          <w:i w:val="0"/>
          <w:sz w:val="22"/>
        </w:rPr>
        <w:t>Thank you for the opportunity to submit our viewpoint to the BJSM and for the detailed feedback from the reviewers. While we respectfully accept the editorial decision, we wish to clarify several points where we believe the reviewers may have misinterpreted our arguments. We document these clarifications below for the record and to inform our revised submission to the Strength and Conditioning Journal (SCJ), where we will present the full scoping review with expanded practical applications.</w:t>
      </w:r>
    </w:p>
    <w:p>
      <w:pPr>
        <w:spacing w:before="0" w:after="240"/>
      </w:pPr>
      <w:r>
        <w:rPr>
          <w:b w:val="0"/>
          <w:i w:val="0"/>
          <w:sz w:val="22"/>
        </w:rPr>
        <w:t>We emphasize that our manuscript was submitted as a Viewpoint/Commentary (approximately 1,500 words), which necessarily limited the depth of discussion on each topic. The full scoping review, now being prepared for SCJ, addresses many of the reviewers’ concerns in greater detail.</w:t>
      </w:r>
    </w:p>
    <w:p>
      <w:pPr>
        <w:spacing w:before="240" w:after="80"/>
      </w:pPr>
      <w:r>
        <w:rPr>
          <w:b/>
          <w:i w:val="0"/>
          <w:sz w:val="24"/>
        </w:rPr>
        <w:t>Response to Reviewer 1</w:t>
      </w:r>
    </w:p>
    <w:p>
      <w:pPr>
        <w:spacing w:before="160" w:after="80"/>
      </w:pPr>
      <w:r>
        <w:rPr>
          <w:b/>
          <w:i w:val="0"/>
          <w:sz w:val="22"/>
        </w:rPr>
        <w:t>Reviewer 1 Comment:</w:t>
      </w:r>
    </w:p>
    <w:p>
      <w:pPr>
        <w:spacing w:before="0" w:after="80"/>
        <w:ind w:left="720"/>
      </w:pPr>
      <w:r>
        <w:rPr>
          <w:b w:val="0"/>
          <w:i/>
          <w:sz w:val="22"/>
        </w:rPr>
        <w:t>"The author does not demonstrate an understanding of anti-doping processes including the TUE process. Athletes are not required to cease prohibited medications, TUEs permit them to continue them and participate in sport."</w:t>
      </w:r>
    </w:p>
    <w:p>
      <w:pPr>
        <w:spacing w:before="160" w:after="80"/>
      </w:pPr>
      <w:r>
        <w:rPr>
          <w:b/>
          <w:i w:val="0"/>
          <w:sz w:val="22"/>
        </w:rPr>
        <w:t>Response:</w:t>
      </w:r>
    </w:p>
    <w:p>
      <w:pPr>
        <w:spacing w:before="0" w:after="80"/>
      </w:pPr>
      <w:r>
        <w:rPr>
          <w:b w:val="0"/>
          <w:i w:val="0"/>
          <w:sz w:val="22"/>
        </w:rPr>
        <w:t>We respectfully disagree with this characterization. The lead author is a physician (MD) with CSCS certification and personal experience as a competitive athlete subject to anti-doping testing under the Japan Anti-Doping Agency (JADA). We are fully aware that the TUE system exists precisely to permit athletes with legitimate medical conditions to use otherwise prohibited substances.</w:t>
      </w:r>
    </w:p>
    <w:p>
      <w:pPr>
        <w:spacing w:before="0" w:after="80"/>
      </w:pPr>
      <w:r>
        <w:rPr>
          <w:b w:val="0"/>
          <w:i w:val="0"/>
          <w:sz w:val="22"/>
        </w:rPr>
        <w:t>Our argument is not that TUEs do not exist, but rather that structural gaps between the TUE regulatory framework and current clinical practice guidelines create practical barriers that compromise the system’s intended function. Specifically:</w:t>
      </w:r>
    </w:p>
    <w:p>
      <w:pPr>
        <w:ind w:left="720" w:hanging="357"/>
      </w:pPr>
      <w:r>
        <w:rPr>
          <w:sz w:val="22"/>
        </w:rPr>
        <w:t xml:space="preserve">• </w:t>
      </w:r>
      <w:r>
        <w:rPr>
          <w:b/>
          <w:sz w:val="22"/>
        </w:rPr>
        <w:t xml:space="preserve">TUE access is not universal or equitable. </w:t>
      </w:r>
      <w:r>
        <w:rPr>
          <w:sz w:val="22"/>
        </w:rPr>
        <w:t>In the author’s direct experience as a competitive bodybuilder under JADA jurisdiction, athletes were informed during official anti-doping education sessions that TUE applications could only be submitted by athletes who had previously placed in top positions at national competitions or who had a prior anti-doping rule violation. This effectively excludes emerging athletes, newcomers, and those competing at sub-elite levels from TUE access, creating a two-tier system where the right to receive evidence-based medical treatment while competing depends on competitive achievement rather than medical need.</w:t>
      </w:r>
    </w:p>
    <w:p>
      <w:pPr>
        <w:ind w:left="720" w:hanging="357"/>
      </w:pPr>
      <w:r>
        <w:rPr>
          <w:sz w:val="22"/>
        </w:rPr>
        <w:t xml:space="preserve">• </w:t>
      </w:r>
      <w:r>
        <w:rPr>
          <w:b/>
          <w:sz w:val="22"/>
        </w:rPr>
        <w:t xml:space="preserve">The gap between clinical standard of care and TUE criteria is the core issue. </w:t>
      </w:r>
      <w:r>
        <w:rPr>
          <w:sz w:val="22"/>
        </w:rPr>
        <w:t>Even when TUE applications are theoretically available, the criteria for approval may diverge from clinical guidelines. For example, WADA’s restriction of testosterone TUEs to organic etiologies excludes functional hypogonadism, which the Endocrine Society and EAU guidelines recognize as a treatable condition. The TUE system cannot bridge a gap when the eligibility criteria themselves are misaligned with clinical evidence.</w:t>
      </w:r>
    </w:p>
    <w:p>
      <w:pPr>
        <w:ind w:left="720" w:hanging="357"/>
      </w:pPr>
      <w:r>
        <w:rPr>
          <w:sz w:val="22"/>
        </w:rPr>
        <w:t xml:space="preserve">• </w:t>
      </w:r>
      <w:r>
        <w:rPr>
          <w:b/>
          <w:sz w:val="22"/>
        </w:rPr>
        <w:t xml:space="preserve">The viewpoint format constrained our discussion. </w:t>
      </w:r>
      <w:r>
        <w:rPr>
          <w:sz w:val="22"/>
        </w:rPr>
        <w:t>The BJSM viewpoint format (~1,500 words) required us to present a high-level overview across seven disease areas. The full scoping review (now being prepared for SCJ at 5,000–8,000 words) provides detailed disease-specific analysis including the TUE process, approval criteria, and practical implications.</w:t>
      </w:r>
    </w:p>
    <w:p>
      <w:pPr>
        <w:spacing w:before="160" w:after="80"/>
      </w:pPr>
      <w:r>
        <w:rPr>
          <w:b w:val="0"/>
          <w:i w:val="0"/>
          <w:sz w:val="22"/>
        </w:rPr>
        <w:t>Reviewer 1’s comment that "the WADA prohibited list and TUE process is not just about the welfare of the athletes but also protection of fairness in sport" is a point we explicitly address in our manuscript. Our scoping review identifies the tension between these dual objectives as a structural driver of the clinical-competition gap.</w:t>
      </w:r>
    </w:p>
    <w:p>
      <w:pPr>
        <w:spacing w:before="320" w:after="80"/>
      </w:pPr>
      <w:r>
        <w:rPr>
          <w:b/>
          <w:i w:val="0"/>
          <w:sz w:val="24"/>
        </w:rPr>
        <w:t>Response to Reviewer 2</w:t>
      </w:r>
    </w:p>
    <w:p>
      <w:pPr>
        <w:spacing w:before="160" w:after="80"/>
      </w:pPr>
      <w:r>
        <w:rPr>
          <w:b/>
          <w:i w:val="0"/>
          <w:sz w:val="22"/>
        </w:rPr>
        <w:t>Point 1 – Male Hypogonadism and Low Testosterone:</w:t>
      </w:r>
    </w:p>
    <w:p>
      <w:pPr>
        <w:spacing w:before="0" w:after="80"/>
        <w:ind w:left="720"/>
      </w:pPr>
      <w:r>
        <w:rPr>
          <w:b w:val="0"/>
          <w:i/>
          <w:sz w:val="22"/>
        </w:rPr>
        <w:t>Reviewer comment: Non-organic causes are theoretically reversible; aging males with borderline T from non-organic cause "will NEVER get a TUE"; T is a "VERY potent performance enhancer"; TUE requirements should only apply to elite athletes.</w:t>
      </w:r>
    </w:p>
    <w:p>
      <w:pPr>
        <w:spacing w:before="80" w:after="80"/>
      </w:pPr>
      <w:r>
        <w:rPr>
          <w:b/>
          <w:i w:val="0"/>
          <w:sz w:val="22"/>
        </w:rPr>
        <w:t>Response:</w:t>
      </w:r>
    </w:p>
    <w:p>
      <w:pPr>
        <w:spacing w:before="0" w:after="80"/>
      </w:pPr>
      <w:r>
        <w:rPr>
          <w:b w:val="0"/>
          <w:i w:val="0"/>
          <w:sz w:val="22"/>
        </w:rPr>
        <w:t>We agree that testosterone is a potent performance enhancer and that this fact appropriately informs anti-doping policy. However, the reviewer’s statement that an aging male with non-organic hypogonadism "will NEVER get a TUE" precisely illustrates our argument: when clinical guidelines (Endocrine Society 2018, EAU 2024) recommend treatment and WADA policy categorically excludes it, a clinical-competition gap exists by definition. We do not argue that all hypogonadal athletes should receive TUEs; we argue that the categorical exclusion of functional etiologies deserves re-evaluation in light of evolving clinical evidence, including the TRAVERSE trial’s cardiovascular safety data.</w:t>
      </w:r>
    </w:p>
    <w:p>
      <w:pPr>
        <w:spacing w:before="0" w:after="80"/>
      </w:pPr>
      <w:r>
        <w:rPr>
          <w:b w:val="0"/>
          <w:i w:val="0"/>
          <w:sz w:val="22"/>
        </w:rPr>
        <w:t>The reviewer’s observation that "they are rarely elite" and that "TUE requirements should only be applied to elite athletes and keep out of recreational sport" supports our recommendation for a tiered approach, which we develop further in the SCJ manuscript.</w:t>
      </w:r>
    </w:p>
    <w:p>
      <w:pPr>
        <w:spacing w:before="160" w:after="80"/>
      </w:pPr>
      <w:r>
        <w:rPr>
          <w:b/>
          <w:i w:val="0"/>
          <w:sz w:val="22"/>
        </w:rPr>
        <w:t>Point 2 – Asthma Treatment:</w:t>
      </w:r>
    </w:p>
    <w:p>
      <w:pPr>
        <w:spacing w:before="0" w:after="80"/>
        <w:ind w:left="720"/>
      </w:pPr>
      <w:r>
        <w:rPr>
          <w:b w:val="0"/>
          <w:i/>
          <w:sz w:val="22"/>
        </w:rPr>
        <w:t>Reviewer comment: Biggest risk is with salbutamol, which is not mentioned. Athletes can apply for TUE if over permitted dose.</w:t>
      </w:r>
    </w:p>
    <w:p>
      <w:pPr>
        <w:spacing w:before="80" w:after="80"/>
      </w:pPr>
      <w:r>
        <w:rPr>
          <w:b/>
          <w:i w:val="0"/>
          <w:sz w:val="22"/>
        </w:rPr>
        <w:t>Response:</w:t>
      </w:r>
    </w:p>
    <w:p>
      <w:pPr>
        <w:spacing w:before="0" w:after="80"/>
      </w:pPr>
      <w:r>
        <w:rPr>
          <w:b w:val="0"/>
          <w:i w:val="0"/>
          <w:sz w:val="22"/>
        </w:rPr>
        <w:t>We appreciate this feedback and accept that the salbutamol/albuterol threshold risk deserves more prominent discussion. In our viewpoint, we did address the concern that WADA’s permissive approach to inhaled salbutamol without TUE inadvertently incentivizes SABA monotherapy—which GINA 2025 explicitly recommends against. However, we acknowledge that the specific threshold exceedance risk with salbutamol (1600 μg/24h, 800 μg/8h limits and the urine decision limit of 1000 ng/mL) was insufficiently discussed. The full SCJ manuscript now includes expanded analysis of both salbutamol and formoterol threshold risks.</w:t>
      </w:r>
    </w:p>
    <w:p>
      <w:pPr>
        <w:spacing w:before="160" w:after="80"/>
      </w:pPr>
      <w:r>
        <w:rPr>
          <w:b/>
          <w:i w:val="0"/>
          <w:sz w:val="22"/>
        </w:rPr>
        <w:t>Point 3 – ADHD:</w:t>
      </w:r>
    </w:p>
    <w:p>
      <w:pPr>
        <w:spacing w:before="0" w:after="80"/>
        <w:ind w:left="720"/>
      </w:pPr>
      <w:r>
        <w:rPr>
          <w:b w:val="0"/>
          <w:i/>
          <w:sz w:val="22"/>
        </w:rPr>
        <w:t>Reviewer comment: Athletes can apply for TUE and use stimulants during competition if required for regular treatment.</w:t>
      </w:r>
    </w:p>
    <w:p>
      <w:pPr>
        <w:spacing w:before="80" w:after="80"/>
      </w:pPr>
      <w:r>
        <w:rPr>
          <w:b/>
          <w:i w:val="0"/>
          <w:sz w:val="22"/>
        </w:rPr>
        <w:t>Response:</w:t>
      </w:r>
    </w:p>
    <w:p>
      <w:pPr>
        <w:spacing w:before="0" w:after="80"/>
      </w:pPr>
      <w:r>
        <w:rPr>
          <w:b w:val="0"/>
          <w:i w:val="0"/>
          <w:sz w:val="22"/>
        </w:rPr>
        <w:t>We understand that TUE applications for stimulant medications in ADHD are possible, and the revised SCJ manuscript explicitly discusses this pathway. However, TUE availability in theory does not equate to equitable access in practice. As noted above, the author’s personal experience in JADA-regulated competitive bodybuilding revealed that TUE submission was restricted to athletes with prior top placements or rule violations. This operational restriction—whether reflecting JADA-specific policy, testing capacity limitations, or sport-specific implementation—means that emerging or sub-elite athletes diagnosed with ADHD may have no practical mechanism to obtain a TUE, even when clinical guidelines unequivocally recommend stimulant pharmacotherapy as first-line treatment.</w:t>
      </w:r>
    </w:p>
    <w:p>
      <w:pPr>
        <w:spacing w:before="0" w:after="80"/>
      </w:pPr>
      <w:r>
        <w:rPr>
          <w:b w:val="0"/>
          <w:i w:val="0"/>
          <w:sz w:val="22"/>
        </w:rPr>
        <w:t>This jurisdictional variability in TUE access is precisely the type of systemic issue our scoping review aims to highlight.</w:t>
      </w:r>
    </w:p>
    <w:p>
      <w:pPr>
        <w:spacing w:before="160" w:after="80"/>
      </w:pPr>
      <w:r>
        <w:rPr>
          <w:b/>
          <w:i w:val="0"/>
          <w:sz w:val="22"/>
        </w:rPr>
        <w:t>Point 4 – GLP-1 Receptor Agonists:</w:t>
      </w:r>
    </w:p>
    <w:p>
      <w:pPr>
        <w:spacing w:before="0" w:after="80"/>
        <w:ind w:left="720"/>
      </w:pPr>
      <w:r>
        <w:rPr>
          <w:b w:val="0"/>
          <w:i/>
          <w:sz w:val="22"/>
        </w:rPr>
        <w:t>Reviewer comment: Currently permitted; on monitoring list; if prohibited, TUE option would exist for medical indications like type 2 diabetes.</w:t>
      </w:r>
    </w:p>
    <w:p>
      <w:pPr>
        <w:spacing w:before="80" w:after="80"/>
      </w:pPr>
      <w:r>
        <w:rPr>
          <w:b/>
          <w:i w:val="0"/>
          <w:sz w:val="22"/>
        </w:rPr>
        <w:t>Response:</w:t>
      </w:r>
    </w:p>
    <w:p>
      <w:pPr>
        <w:spacing w:before="0" w:after="80"/>
      </w:pPr>
      <w:r>
        <w:rPr>
          <w:b w:val="0"/>
          <w:i w:val="0"/>
          <w:sz w:val="22"/>
        </w:rPr>
        <w:t>We agree with the reviewer that GLP-1 receptor agonists are currently permitted and that TUE pathways would likely be established if they are prohibited. Our manuscript explicitly acknowledges this. Our concern is prospective: given the trajectory toward prohibition (monitoring program inclusion since 2024), we advocate for proactive impact assessment before prohibition rather than reactive TUE framework development afterward. The reviewer’s suggestion that prohibition would likely be limited to weight-category and aesthetic sports is a nuanced point that we incorporate in the SCJ revision.</w:t>
      </w:r>
    </w:p>
    <w:p>
      <w:pPr>
        <w:spacing w:before="160" w:after="80"/>
      </w:pPr>
      <w:r>
        <w:rPr>
          <w:b/>
          <w:i w:val="0"/>
          <w:sz w:val="22"/>
        </w:rPr>
        <w:t>Point 5 – TUE Guideline Review Process:</w:t>
      </w:r>
    </w:p>
    <w:p>
      <w:pPr>
        <w:spacing w:before="0" w:after="80"/>
        <w:ind w:left="720"/>
      </w:pPr>
      <w:r>
        <w:rPr>
          <w:b w:val="0"/>
          <w:i/>
          <w:sz w:val="22"/>
        </w:rPr>
        <w:t>Reviewer comment: Formal review process exists; most guidelines updated in last 2 years; one outstanding review (sleep disorders).</w:t>
      </w:r>
    </w:p>
    <w:p>
      <w:pPr>
        <w:spacing w:before="80" w:after="80"/>
      </w:pPr>
      <w:r>
        <w:rPr>
          <w:b/>
          <w:i w:val="0"/>
          <w:sz w:val="22"/>
        </w:rPr>
        <w:t>Response:</w:t>
      </w:r>
    </w:p>
    <w:p>
      <w:pPr>
        <w:spacing w:before="0" w:after="80"/>
      </w:pPr>
      <w:r>
        <w:rPr>
          <w:b w:val="0"/>
          <w:i w:val="0"/>
          <w:sz w:val="22"/>
        </w:rPr>
        <w:t>We appreciate this clarification and acknowledge that WADA has made progress in updating TUE Physician Guidelines. Our recommendation for a formal linkage mechanism between clinical guideline revisions and TUE guideline review is intended to complement, not replace, the existing process. The temporal mismatch we identified refers to the structural lag that can occur between major clinical guideline revisions and corresponding TUE guideline updates, even with an active review process. The SCJ manuscript now includes a more balanced acknowledgment of recent update efforts.</w:t>
      </w:r>
    </w:p>
    <w:p>
      <w:pPr>
        <w:spacing w:before="320" w:after="80"/>
      </w:pPr>
      <w:r>
        <w:rPr>
          <w:b/>
          <w:i w:val="0"/>
          <w:sz w:val="24"/>
        </w:rPr>
        <w:t>Concluding Remarks</w:t>
      </w:r>
    </w:p>
    <w:p>
      <w:pPr>
        <w:spacing w:before="0" w:after="80"/>
      </w:pPr>
      <w:r>
        <w:rPr>
          <w:b w:val="0"/>
          <w:i w:val="0"/>
          <w:sz w:val="22"/>
        </w:rPr>
        <w:t>We note that both reviewers appear to approach this topic primarily from a regulatory perspective, which is valuable but represents one side of a multifaceted issue. Our manuscript is written from the dual perspective of a physician-athlete who has personally experienced the anti-doping system as a competitive bodybuilder in Japan and who treats patients navigating these same challenges. This experiential perspective informs our identification of practical barriers that may not be apparent from the regulatory framework alone.</w:t>
      </w:r>
    </w:p>
    <w:p>
      <w:pPr>
        <w:spacing w:before="0" w:after="80"/>
      </w:pPr>
      <w:r>
        <w:rPr>
          <w:b w:val="0"/>
          <w:i w:val="0"/>
          <w:sz w:val="22"/>
        </w:rPr>
        <w:t>We will proceed with submission to the Strength and Conditioning Journal, where the full scoping review format (5,000–8,000 words) allows for the comprehensive treatment that both reviewers’ comments suggest is needed. The SCJ manuscript incorporates the valid points raised by both reviewers, including expanded salbutamol analysis, more nuanced GLP-1 discussion, acknowledgment of recent TUE guideline updates, and—critically—a new section on jurisdictional variability in TUE access based on the author’s first-hand experience.</w:t>
      </w:r>
    </w:p>
    <w:p>
      <w:pPr>
        <w:spacing w:before="320" w:after="80"/>
      </w:pPr>
      <w:r>
        <w:rPr>
          <w:b w:val="0"/>
          <w:i w:val="0"/>
          <w:sz w:val="22"/>
        </w:rPr>
        <w:t>Respectfully,</w:t>
      </w:r>
    </w:p>
    <w:p>
      <w:pPr>
        <w:spacing w:before="0" w:after="80"/>
      </w:pPr>
      <w:r>
        <w:rPr>
          <w:b w:val="0"/>
          <w:i w:val="0"/>
          <w:sz w:val="22"/>
        </w:rPr>
        <w:t>[Author Name], MD, CSCS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