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i w:val="0"/>
          <w:sz w:val="28"/>
        </w:rPr>
        <w:t>BJSM 編集判定およびレビュアーコメントへの回答</w:t>
      </w:r>
    </w:p>
    <w:p>
      <w:pPr>
        <w:spacing w:before="0" w:after="240"/>
      </w:pPr>
      <w:r>
        <w:rPr>
          <w:b w:val="0"/>
          <w:i/>
          <w:sz w:val="22"/>
        </w:rPr>
        <w:t>原稿: Mind the Gap: Clinical Practice Guidelines and WADA Therapeutic Use Exemptions Are Diverging—A Call for Harmonization</w:t>
      </w:r>
    </w:p>
    <w:p>
      <w:pPr>
        <w:spacing w:before="0" w:after="240"/>
      </w:pPr>
      <w:r>
        <w:rPr>
          <w:b w:val="0"/>
          <w:i w:val="0"/>
          <w:sz w:val="22"/>
        </w:rPr>
        <w:t>日付: 2026年5月</w:t>
      </w:r>
    </w:p>
    <w:p>
      <w:pPr>
        <w:spacing w:before="0" w:after="160"/>
      </w:pPr>
      <w:r>
        <w:rPr>
          <w:b w:val="0"/>
          <w:i w:val="0"/>
          <w:sz w:val="22"/>
        </w:rPr>
        <w:t>編集委員長 殿</w:t>
      </w:r>
    </w:p>
    <w:p>
      <w:pPr>
        <w:spacing w:before="0" w:after="80"/>
      </w:pPr>
      <w:r>
        <w:rPr>
          <w:b w:val="0"/>
          <w:i w:val="0"/>
          <w:sz w:val="22"/>
        </w:rPr>
        <w:t>このたびはBJSMへの投稿の機会をいただき、また査読者から詳細なフィードバックをいただきましたことに感謝申し上げます。編集判定を謹んで受け入れますが、査読者が我々の議論を誤解していると思われるいくつかの点について明確化させていただきたく存じます。以下に記録として、また Strength and Conditioning Journal（SCJ）への改訂投稿に向けた情報として、これらの明確化を記載いたします。</w:t>
      </w:r>
    </w:p>
    <w:p>
      <w:pPr>
        <w:spacing w:before="0" w:after="240"/>
      </w:pPr>
      <w:r>
        <w:rPr>
          <w:b w:val="0"/>
          <w:i w:val="0"/>
          <w:sz w:val="22"/>
        </w:rPr>
        <w:t>本原稿はViewpoint/Commentary（約1,500語）として投稿したものであり、各トピックの議論の深さには必然的に制約がありました。現在SCJ向けに準備中の完全なスコーピングレビュー（5,000〜8,000語）では、査読者の懸念の多くをより詳細に扱っています。</w:t>
      </w:r>
    </w:p>
    <w:p>
      <w:pPr>
        <w:spacing w:before="240" w:after="80"/>
      </w:pPr>
      <w:r>
        <w:rPr>
          <w:b/>
          <w:i w:val="0"/>
          <w:sz w:val="24"/>
        </w:rPr>
        <w:t>レビュアー1への回答</w:t>
      </w:r>
    </w:p>
    <w:p>
      <w:pPr>
        <w:spacing w:before="160" w:after="80"/>
      </w:pPr>
      <w:r>
        <w:rPr>
          <w:b/>
          <w:i w:val="0"/>
          <w:sz w:val="22"/>
        </w:rPr>
        <w:t>レビュアー1のコメント:</w:t>
      </w:r>
    </w:p>
    <w:p>
      <w:pPr>
        <w:spacing w:before="0" w:after="80"/>
        <w:ind w:left="720"/>
      </w:pPr>
      <w:r>
        <w:rPr>
          <w:b w:val="0"/>
          <w:i/>
          <w:sz w:val="22"/>
        </w:rPr>
        <w:t>「著者はTUEプロセスを含むアンチ・ドーピングプロセスの理解を示していない。アスリートは禁止薬を中止する必要はなく、TUEにより継続使用と競技参加が認められている。」</w:t>
      </w:r>
    </w:p>
    <w:p>
      <w:pPr>
        <w:spacing w:before="160" w:after="80"/>
      </w:pPr>
      <w:r>
        <w:rPr>
          <w:b/>
          <w:i w:val="0"/>
          <w:sz w:val="22"/>
        </w:rPr>
        <w:t>回答:</w:t>
      </w:r>
    </w:p>
    <w:p>
      <w:pPr>
        <w:spacing w:before="0" w:after="80"/>
      </w:pPr>
      <w:r>
        <w:rPr>
          <w:b w:val="0"/>
          <w:i w:val="0"/>
          <w:sz w:val="22"/>
        </w:rPr>
        <w:t>この評価に対し、敬意をもって異議を唱えます。筆頭著者はCSCS認定を有する医師（MD）であり、日本アンチ・ドーピング機構（JADA）管轄下のアンチ・ドーピング検査を受ける競技選手としての実体験を有しています。TUE制度が、正当な医学的状態を有するアスリートに禁止物質の使用を許可するために存在していることは十分に理解しています。</w:t>
      </w:r>
    </w:p>
    <w:p>
      <w:pPr>
        <w:spacing w:before="0" w:after="80"/>
      </w:pPr>
      <w:r>
        <w:rPr>
          <w:b w:val="0"/>
          <w:i w:val="0"/>
          <w:sz w:val="22"/>
        </w:rPr>
        <w:t>我々の主張は「TUEが存在しない」ということではなく、TUE規制枠組みと現行臨床診療ガイドラインの間の構造的ギャップが、制度の意図する機能を損なう実践的障壁を生み出しているということです。具体的には：</w:t>
      </w:r>
    </w:p>
    <w:p>
      <w:pPr>
        <w:ind w:left="720" w:hanging="357"/>
      </w:pPr>
      <w:r>
        <w:rPr>
          <w:sz w:val="22"/>
        </w:rPr>
        <w:t xml:space="preserve">• </w:t>
      </w:r>
      <w:r>
        <w:rPr>
          <w:b/>
          <w:sz w:val="22"/>
        </w:rPr>
        <w:t>TUEアクセスは普遍的でも公平でもない。</w:t>
      </w:r>
      <w:r>
        <w:rPr>
          <w:sz w:val="22"/>
        </w:rPr>
        <w:t>著者が競技ボディビルダーとしてJADA管轄下で活動した直接的経験において、公式アンチ・ドーピング講習会で「TUE申請は全国大会で上位入賞した選手か、過去にアンチ・ドーピング規則違反をした選手のみが提出できる」と説明されました。これは事実上、新興選手、初参加の選手、サブエリートレベルの選手をTUEアクセスから排除し、エビデンスに基づく医療を受けながら競技する権利が医学的必要性ではなく競技実績に依存する二層構造を生み出しています。</w:t>
      </w:r>
    </w:p>
    <w:p>
      <w:pPr>
        <w:ind w:left="720" w:hanging="357"/>
      </w:pPr>
      <w:r>
        <w:rPr>
          <w:sz w:val="22"/>
        </w:rPr>
        <w:t xml:space="preserve">• </w:t>
      </w:r>
      <w:r>
        <w:rPr>
          <w:b/>
          <w:sz w:val="22"/>
        </w:rPr>
        <w:t>臨床標準治療とTUE基準の間のギャップが核心的問題である。</w:t>
      </w:r>
      <w:r>
        <w:rPr>
          <w:sz w:val="22"/>
        </w:rPr>
        <w:t>TUE申請が理論的に可能な場合でも、承認基準が臨床ガイドラインと乖離している場合があります。例えば、WADAのテストステロンTUEの器質的病因への限定は、内分泌学会（2018）やEAU（2024）ガイドラインが治療可能な状態として認める機能性性腺機能低下症を除外します。TUE制度は、適格基準自体が臨床エビデンスと不整合である場合、ギャップを橋渡しすることができません。</w:t>
      </w:r>
    </w:p>
    <w:p>
      <w:pPr>
        <w:ind w:left="720" w:hanging="357"/>
      </w:pPr>
      <w:r>
        <w:rPr>
          <w:sz w:val="22"/>
        </w:rPr>
        <w:t xml:space="preserve">• </w:t>
      </w:r>
      <w:r>
        <w:rPr>
          <w:b/>
          <w:sz w:val="22"/>
        </w:rPr>
        <w:t>Viewpoint形式が議論を制約した。</w:t>
      </w:r>
      <w:r>
        <w:rPr>
          <w:sz w:val="22"/>
        </w:rPr>
        <w:t>BJSMのViewpoint形式（約1,500語）では、7つの疾患領域にわたる概要の提示が求められました。SCJ向けの完全なスコーピングレビュー（5,000〜8,000語）では、TUEプロセス、承認基準、実践的含意を含む詳細な疾患別分析を提供します。</w:t>
      </w:r>
    </w:p>
    <w:p>
      <w:pPr>
        <w:spacing w:before="160" w:after="80"/>
      </w:pPr>
      <w:r>
        <w:rPr>
          <w:b w:val="0"/>
          <w:i w:val="0"/>
          <w:sz w:val="22"/>
        </w:rPr>
        <w:t>レビュアー1の「WADA禁止表とTUEプロセスはアスリートの福祉だけでなく、スポーツの公正性の保護も目的としている」というコメントは、我々の原稿で明示的に扱っている点です。我々のスコーピングレビューは、これら二重の目的間の緊張を臨床─競技ギャップの構造的要因として同定しています。</w:t>
      </w:r>
    </w:p>
    <w:p>
      <w:pPr>
        <w:spacing w:before="320" w:after="80"/>
      </w:pPr>
      <w:r>
        <w:rPr>
          <w:b/>
          <w:i w:val="0"/>
          <w:sz w:val="24"/>
        </w:rPr>
        <w:t>レビュアー2への回答</w:t>
      </w:r>
    </w:p>
    <w:p>
      <w:pPr>
        <w:spacing w:before="160" w:after="80"/>
      </w:pPr>
      <w:r>
        <w:rPr>
          <w:b/>
          <w:i w:val="0"/>
          <w:sz w:val="22"/>
        </w:rPr>
        <w:t>ポイント1 – 男性性腺機能低下症と低テストステロン:</w:t>
      </w:r>
    </w:p>
    <w:p>
      <w:pPr>
        <w:spacing w:before="0" w:after="80"/>
        <w:ind w:left="720"/>
      </w:pPr>
      <w:r>
        <w:rPr>
          <w:b w:val="0"/>
          <w:i/>
          <w:sz w:val="22"/>
        </w:rPr>
        <w:t>レビュアーコメント: 非器質的原因は理論的に「可逆的」である。テストステロンは「非常に強力なパフォーマンス向上物質」であり、加齢男性が非器質的原因でTUEを取得することは「絶対にない」。TUE要件はエリートアスリートにのみ適用し、レクリエーションスポーツからは排除すべき。</w:t>
      </w:r>
    </w:p>
    <w:p>
      <w:pPr>
        <w:spacing w:before="80" w:after="80"/>
      </w:pPr>
      <w:r>
        <w:rPr>
          <w:b/>
          <w:i w:val="0"/>
          <w:sz w:val="22"/>
        </w:rPr>
        <w:t>回答:</w:t>
      </w:r>
    </w:p>
    <w:p>
      <w:pPr>
        <w:spacing w:before="0" w:after="80"/>
      </w:pPr>
      <w:r>
        <w:rPr>
          <w:b w:val="0"/>
          <w:i w:val="0"/>
          <w:sz w:val="22"/>
        </w:rPr>
        <w:t>テストステロンが強力なパフォーマンス向上物質であること、この事実がアンチ・ドーピング政策に適切に反映されるべきであることに同意します。しかし、レビュアーが「加齢男性は非器質的原因では絶対にTUEを取得できない」と述べていることは、まさに我々の主張を例証しています：臨床ガイドライン（内分泌学会2018、EAU 2024）が治療を推奨し、WADA政策がそれをカテゴリカルに排除する場合、定義上、臨床─競技ギャップが存在します。</w:t>
      </w:r>
    </w:p>
    <w:p>
      <w:pPr>
        <w:spacing w:before="0" w:after="80"/>
      </w:pPr>
      <w:r>
        <w:rPr>
          <w:b w:val="0"/>
          <w:i w:val="0"/>
          <w:sz w:val="22"/>
        </w:rPr>
        <w:t>レビュアーの「彼らがエリートであることは稀」であり「TUE要件はエリートアスリートにのみ適用しレクリエーションスポーツからは排除すべき」という指摘は、SCJ原稿でさらに展開する段階的アプローチの提言を支持するものです。</w:t>
      </w:r>
    </w:p>
    <w:p>
      <w:pPr>
        <w:spacing w:before="160" w:after="80"/>
      </w:pPr>
      <w:r>
        <w:rPr>
          <w:b/>
          <w:i w:val="0"/>
          <w:sz w:val="22"/>
        </w:rPr>
        <w:t>ポイント2 – 喘息治療:</w:t>
      </w:r>
    </w:p>
    <w:p>
      <w:pPr>
        <w:spacing w:before="0" w:after="80"/>
        <w:ind w:left="720"/>
      </w:pPr>
      <w:r>
        <w:rPr>
          <w:b w:val="0"/>
          <w:i/>
          <w:sz w:val="22"/>
        </w:rPr>
        <w:t>レビュアーコメント: 最大のリスクはサルブタモールにある。許容用量を超えた場合、TUE申請可能。</w:t>
      </w:r>
    </w:p>
    <w:p>
      <w:pPr>
        <w:spacing w:before="80" w:after="80"/>
      </w:pPr>
      <w:r>
        <w:rPr>
          <w:b/>
          <w:i w:val="0"/>
          <w:sz w:val="22"/>
        </w:rPr>
        <w:t>回答:</w:t>
      </w:r>
    </w:p>
    <w:p>
      <w:pPr>
        <w:spacing w:before="0" w:after="80"/>
      </w:pPr>
      <w:r>
        <w:rPr>
          <w:b w:val="0"/>
          <w:i w:val="0"/>
          <w:sz w:val="22"/>
        </w:rPr>
        <w:t>このフィードバックに感謝し、サルブタモール/アルブテロールの閾値リスクのより詳細な議論が必要であったことを認めます。Viewpointでは、WADAの吸入サルブタモールに対する寛容なアプローチがSABA単独療法への依存を意図せず促すことに言及しましたが、サルブタモールの具体的な閾値超過リスク（24時間1600 μg、8時間800 μg制限、尿中判定限界1000 ng/mL）の議論は不十分でした。SCJ完全原稿では、サルブタモールとホルモテロール両方の閾値リスクの拡充された分析を含めています。</w:t>
      </w:r>
    </w:p>
    <w:p>
      <w:pPr>
        <w:spacing w:before="160" w:after="80"/>
      </w:pPr>
      <w:r>
        <w:rPr>
          <w:b/>
          <w:i w:val="0"/>
          <w:sz w:val="22"/>
        </w:rPr>
        <w:t>ポイント3 – ADHD:</w:t>
      </w:r>
    </w:p>
    <w:p>
      <w:pPr>
        <w:spacing w:before="0" w:after="80"/>
        <w:ind w:left="720"/>
      </w:pPr>
      <w:r>
        <w:rPr>
          <w:b w:val="0"/>
          <w:i/>
          <w:sz w:val="22"/>
        </w:rPr>
        <w:t>レビュアーコメント: アスリートはTUEを申請し、定期治療が必要であれば競技中も使用可能。</w:t>
      </w:r>
    </w:p>
    <w:p>
      <w:pPr>
        <w:spacing w:before="80" w:after="80"/>
      </w:pPr>
      <w:r>
        <w:rPr>
          <w:b/>
          <w:i w:val="0"/>
          <w:sz w:val="22"/>
        </w:rPr>
        <w:t>回答:</w:t>
      </w:r>
    </w:p>
    <w:p>
      <w:pPr>
        <w:spacing w:before="0" w:after="80"/>
      </w:pPr>
      <w:r>
        <w:rPr>
          <w:b w:val="0"/>
          <w:i w:val="0"/>
          <w:sz w:val="22"/>
        </w:rPr>
        <w:t>ADHD刺激薬のTUE申請が可能であることは理解しており、改訂SCJ原稿ではこの経路を明示的に議論しています。しかし、理論上のTUE利用可能性は実践上の公平なアクセスを意味しません。上述のとおり、著者のJADA管轄下の競技ボディビルにおける個人的経験では、TUE提出は過去に上位入賞した選手または規則違反した選手に限定されていました。この運営上の制限は──それがJADA固有の方針、検査キャパシティの制約、競技固有の実施方法のいずれに起因するかにかかわらず──ADHDと診断された新興選手またはサブエリート選手が、臨床ガイドラインが第一選択治療として刺激薬を明確に推奨しているにもかかわらず、TUEを取得する実際的な手段を持たない可能性があることを意味します。</w:t>
      </w:r>
    </w:p>
    <w:p>
      <w:pPr>
        <w:spacing w:before="0" w:after="80"/>
      </w:pPr>
      <w:r>
        <w:rPr>
          <w:b w:val="0"/>
          <w:i w:val="0"/>
          <w:sz w:val="22"/>
        </w:rPr>
        <w:t>このTUEアクセスの管轄間変動は、まさに我々のスコーピングレビューが強調しようとしている体系的問題です。</w:t>
      </w:r>
    </w:p>
    <w:p>
      <w:pPr>
        <w:spacing w:before="160" w:after="80"/>
      </w:pPr>
      <w:r>
        <w:rPr>
          <w:b/>
          <w:i w:val="0"/>
          <w:sz w:val="22"/>
        </w:rPr>
        <w:t>ポイント4 – GLP-1受容体作動薬:</w:t>
      </w:r>
    </w:p>
    <w:p>
      <w:pPr>
        <w:spacing w:before="0" w:after="80"/>
        <w:ind w:left="720"/>
      </w:pPr>
      <w:r>
        <w:rPr>
          <w:b w:val="0"/>
          <w:i/>
          <w:sz w:val="22"/>
        </w:rPr>
        <w:t>レビュアーコメント: 現在許可されている。モニタリングリストに収載。禁止された場合、2型糖尿病管理などの正当な医学的理由があればTUEオプションが存在するだろう。</w:t>
      </w:r>
    </w:p>
    <w:p>
      <w:pPr>
        <w:spacing w:before="80" w:after="80"/>
      </w:pPr>
      <w:r>
        <w:rPr>
          <w:b/>
          <w:i w:val="0"/>
          <w:sz w:val="22"/>
        </w:rPr>
        <w:t>回答:</w:t>
      </w:r>
    </w:p>
    <w:p>
      <w:pPr>
        <w:spacing w:before="0" w:after="80"/>
      </w:pPr>
      <w:r>
        <w:rPr>
          <w:b w:val="0"/>
          <w:i w:val="0"/>
          <w:sz w:val="22"/>
        </w:rPr>
        <w:t>GLP-1受容体作動薬が現在許可されていること、禁止された場合にTUE経路が確立されるであろうことに同意します。我々の原稿はこの点を明示的に認めています。懸念は前向きなものです：禁止への軌道（2024年以降のモニタリングプログラム収載）を踏まえ、禁止後の事後的TUE枠組み構築ではなく、禁止前の積極的影響評価を提言しています。レビュアーの、禁止は体重階級制・審美系スポーツに限定される可能性が高いという指摘は、SCJ改訂版に反映する適切な示唆です。</w:t>
      </w:r>
    </w:p>
    <w:p>
      <w:pPr>
        <w:spacing w:before="160" w:after="80"/>
      </w:pPr>
      <w:r>
        <w:rPr>
          <w:b/>
          <w:i w:val="0"/>
          <w:sz w:val="22"/>
        </w:rPr>
        <w:t>ポイント5 – TUEガイドライン審査プロセス:</w:t>
      </w:r>
    </w:p>
    <w:p>
      <w:pPr>
        <w:spacing w:before="0" w:after="80"/>
        <w:ind w:left="720"/>
      </w:pPr>
      <w:r>
        <w:rPr>
          <w:b w:val="0"/>
          <w:i/>
          <w:sz w:val="22"/>
        </w:rPr>
        <w:t>レビュアーコメント: 正式な審査プロセスが存在する。ほとんどのガイドラインは過去2年以内に更新済み。未完了は睡眠障害のレビューのみ。</w:t>
      </w:r>
    </w:p>
    <w:p>
      <w:pPr>
        <w:spacing w:before="80" w:after="80"/>
      </w:pPr>
      <w:r>
        <w:rPr>
          <w:b/>
          <w:i w:val="0"/>
          <w:sz w:val="22"/>
        </w:rPr>
        <w:t>回答:</w:t>
      </w:r>
    </w:p>
    <w:p>
      <w:pPr>
        <w:spacing w:before="0" w:after="80"/>
      </w:pPr>
      <w:r>
        <w:rPr>
          <w:b w:val="0"/>
          <w:i w:val="0"/>
          <w:sz w:val="22"/>
        </w:rPr>
        <w:t>この明確化に感謝し、WADAがTUE医師ガイドラインの更新に進展していることを認めます。臨床ガイドライン改訂とTUEガイドライン審査の間の正式な連携メカニズムに関する我々の提言は、既存プロセスの補完を意図しており、置き換えを目指すものではありません。SCJ原稿では、最近の更新努力についてよりバランスの取れた言及を含めています。</w:t>
      </w:r>
    </w:p>
    <w:p>
      <w:pPr>
        <w:spacing w:before="320" w:after="80"/>
      </w:pPr>
      <w:r>
        <w:rPr>
          <w:b/>
          <w:i w:val="0"/>
          <w:sz w:val="24"/>
        </w:rPr>
        <w:t>結語</w:t>
      </w:r>
    </w:p>
    <w:p>
      <w:pPr>
        <w:spacing w:before="0" w:after="80"/>
      </w:pPr>
      <w:r>
        <w:rPr>
          <w:b w:val="0"/>
          <w:i w:val="0"/>
          <w:sz w:val="22"/>
        </w:rPr>
        <w:t>両査読者は主として規制側の視点からこのトピックにアプローチしていると思われます。これは貴重ですが、多面的な問題の一側面を代表するものです。我々の原稿は、日本で競技ボディビルダーとしてアンチ・ドーピング制度を個人的に経験し、同様の課題に直面する患者を治療する医師─アスリートの二重の視点から執筆されています。この経験的視点は、規制枠組みだけからは明らかにならない実践的障壁の同定に寄与しています。</w:t>
      </w:r>
    </w:p>
    <w:p>
      <w:pPr>
        <w:spacing w:before="0" w:after="80"/>
      </w:pPr>
      <w:r>
        <w:rPr>
          <w:b w:val="0"/>
          <w:i w:val="0"/>
          <w:sz w:val="22"/>
        </w:rPr>
        <w:t>Strength and Conditioning Journalへの投稿を進めます。完全なスコーピングレビュー形式（5,000〜8,000語）により、両査読者のコメントが示唆する包括的な取り扱いが可能です。SCJ原稿には、サルブタモール分析の拡充、より詳細なGLP-1議論、最近のTUEガイドライン更新の認知、そして──重要なことに──著者の実体験に基づくTUEアクセスの管轄間変動に関する新規セクションを含めています。</w:t>
      </w:r>
    </w:p>
    <w:p>
      <w:pPr>
        <w:spacing w:before="320" w:after="80"/>
      </w:pPr>
      <w:r>
        <w:rPr>
          <w:b w:val="0"/>
          <w:i w:val="0"/>
          <w:sz w:val="22"/>
        </w:rPr>
        <w:t>敬具</w:t>
      </w:r>
    </w:p>
    <w:p>
      <w:pPr>
        <w:spacing w:before="0" w:after="80"/>
      </w:pPr>
      <w:r>
        <w:rPr>
          <w:b w:val="0"/>
          <w:i w:val="0"/>
          <w:sz w:val="22"/>
        </w:rPr>
        <w:t>[著者名], MD, CSCS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