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Mind the Gap: A Scoping Review of Discrepancies Between WADA Therapeutic Use Exemption Regulations and Current Clinical Practice Guidelines</w:t>
      </w:r>
    </w:p>
    <w:p/>
    <w:p>
      <w:pPr>
        <w:jc w:val="center"/>
      </w:pPr>
      <w:r>
        <w:rPr>
          <w:sz w:val="24"/>
        </w:rPr>
        <w:t>[Author Name], MD, CSCS</w:t>
      </w:r>
    </w:p>
    <w:p/>
    <w:p>
      <w:pPr>
        <w:jc w:val="center"/>
      </w:pPr>
      <w:r>
        <w:rPr>
          <w:i/>
          <w:sz w:val="20"/>
        </w:rPr>
        <w:t>[Institutional Affiliation]</w:t>
      </w:r>
    </w:p>
    <w:p>
      <w:pPr>
        <w:jc w:val="center"/>
      </w:pPr>
      <w:r>
        <w:rPr>
          <w:i/>
          <w:sz w:val="20"/>
        </w:rPr>
        <w:t>[Department/Division]</w:t>
      </w:r>
    </w:p>
    <w:p>
      <w:pPr>
        <w:jc w:val="center"/>
      </w:pPr>
      <w:r>
        <w:rPr>
          <w:i/>
          <w:sz w:val="20"/>
        </w:rPr>
        <w:t>[City, Country]</w:t>
      </w:r>
    </w:p>
    <w:p/>
    <w:p>
      <w:r>
        <w:rPr>
          <w:b/>
          <w:sz w:val="20"/>
        </w:rPr>
        <w:t xml:space="preserve">Current Position: </w:t>
      </w:r>
      <w:r>
        <w:rPr>
          <w:sz w:val="20"/>
        </w:rPr>
        <w:t>[Author Name], MD, CSCS, is a physician and NSCA-certified strength and conditioning specialist at [Institution].</w:t>
      </w:r>
    </w:p>
    <w:p/>
    <w:p>
      <w:r>
        <w:rPr>
          <w:b/>
          <w:sz w:val="20"/>
        </w:rPr>
        <w:t xml:space="preserve">Corresponding Author: </w:t>
      </w:r>
      <w:r>
        <w:rPr>
          <w:sz w:val="20"/>
        </w:rPr>
        <w:t>[Author Name], MD, CSCS</w:t>
        <w:br/>
        <w:t>[Address]</w:t>
        <w:br/>
        <w:t>Email: [email]</w:t>
        <w:br/>
        <w:t>Telephone: [phone]</w:t>
      </w:r>
    </w:p>
    <w:p>
      <w:r>
        <w:br w:type="page"/>
      </w:r>
    </w:p>
    <w:p>
      <w:pPr>
        <w:jc w:val="center"/>
      </w:pPr>
      <w:r>
        <w:rPr>
          <w:b/>
          <w:sz w:val="28"/>
        </w:rPr>
        <w:t>Mind the Gap: A Scoping Review of Discrepancies Between WADA Therapeutic Use Exemption Regulations and Current Clinical Practice Guidelines</w:t>
      </w:r>
    </w:p>
    <w:p/>
    <w:p>
      <w:r>
        <w:rPr>
          <w:b/>
          <w:sz w:val="20"/>
        </w:rPr>
        <w:t xml:space="preserve">Running Head: </w:t>
      </w:r>
      <w:r>
        <w:rPr>
          <w:sz w:val="20"/>
        </w:rPr>
        <w:t>WADA TUE AND CLINICAL GUIDELINE GAPS</w:t>
      </w:r>
    </w:p>
    <w:p/>
    <w:p>
      <w:r>
        <w:rPr>
          <w:b/>
          <w:sz w:val="20"/>
        </w:rPr>
        <w:t xml:space="preserve">Keywords: </w:t>
      </w:r>
      <w:r>
        <w:rPr>
          <w:sz w:val="20"/>
        </w:rPr>
        <w:t>therapeutic use exemption; anti-doping; clinical practice guidelines; scoping review; prohibited list; athlete health</w:t>
      </w:r>
    </w:p>
    <w:p>
      <w:r>
        <w:br w:type="page"/>
      </w:r>
    </w:p>
    <w:p>
      <w:pPr>
        <w:spacing w:before="240" w:after="120"/>
      </w:pPr>
      <w:r>
        <w:rPr>
          <w:b/>
          <w:sz w:val="28"/>
        </w:rPr>
        <w:t>ABSTRACT</w:t>
      </w:r>
    </w:p>
    <w:p>
      <w:r>
        <w:rPr>
          <w:sz w:val="24"/>
        </w:rPr>
        <w:t>The World Anti-Doping Agency (WADA) Therapeutic Use Exemption (TUE) system permits athletes with legitimate medical conditions to use prohibited substances. However, discrepancies are emerging between WADA regulatory documents and current clinical practice guidelines. This PRISMA-ScR–compliant scoping review systematically mapped these discrepancies across seven disease areas: asthma, attention-deficit/hyperactivity disorder (ADHD), type 2 diabetes, male hypogonadism, glucocorticoid-requiring conditions, cardiovascular disease, and polycystic ovary syndrome (PCOS). We identified 68 relevant sources including WADA documents (n=18), clinical guidelines (n=22), and peer-reviewed articles (n=28). Clinically significant gaps were found in all seven areas, with the most critical discrepancies in male hypogonadism (exclusion of functional etiologies from TUE eligibility), ADHD (prohibition of first-line stimulant medications in-competition), and emerging GLP-1 receptor agonist therapies. Three structural drivers were identified: temporal mismatch in guideline update cycles, criteria mismatch between patient-centered and anti-doping frameworks, and emerging drug class mismatch. Practical implications for strength and conditioning professionals are discussed, including strategies for supporting athletes navigating the TUE process. Eight recommendations for harmonizing clinical and anti-doping standards are proposed.</w:t>
      </w:r>
    </w:p>
    <w:p>
      <w:r>
        <w:br w:type="page"/>
      </w:r>
    </w:p>
    <w:p>
      <w:pPr>
        <w:spacing w:before="240" w:after="120"/>
      </w:pPr>
      <w:r>
        <w:rPr>
          <w:b/>
          <w:sz w:val="28"/>
        </w:rPr>
        <w:t>INTRODUCTION</w:t>
      </w:r>
    </w:p>
    <w:p>
      <w:pPr>
        <w:ind w:firstLine="720"/>
      </w:pPr>
      <w:r>
        <w:rPr>
          <w:sz w:val="24"/>
        </w:rPr>
        <w:t>The World Anti-Doping Agency (WADA) maintains the Prohibited List, an annually updated catalogue of substances and methods banned in sport, alongside the International Standard for Therapeutic Use Exemptions (ISTUE), which provides a mechanism for athletes with documented medical conditions to use prohibited substances under specific criteria (22). The TUE system is predicated on four requirements: (a) the athlete would experience significant health impairment without the prohibited substance; (b) the therapeutic use would produce no additional enhancement of performance beyond restoring normal health; (c) there is no reasonable permitted therapeutic alternative; and (d) the necessity is not a consequence of prior prohibited substance use (22). To guide TUE committee decisions, WADA publishes disease-specific TUE Physician Guidelines, described as "living documents" subject to periodic revision (23).</w:t>
      </w:r>
    </w:p>
    <w:p>
      <w:pPr>
        <w:ind w:firstLine="720"/>
      </w:pPr>
      <w:r>
        <w:rPr>
          <w:sz w:val="24"/>
        </w:rPr>
        <w:t>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recommendations, sometimes fundamentally altering first-line treatment approaches (2, 5, 7, 12, 13).</w:t>
      </w:r>
    </w:p>
    <w:p>
      <w:pPr>
        <w:ind w:firstLine="720"/>
      </w:pPr>
      <w:r>
        <w:rPr>
          <w:sz w:val="24"/>
        </w:rPr>
        <w:t>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"clinical-competition gap" has significant implications for athlete health, competitive fairness, and the professionals who support athletes, including strength and conditioning (S&amp;C) practitioners.</w:t>
      </w:r>
    </w:p>
    <w:p>
      <w:pPr>
        <w:ind w:firstLine="720"/>
      </w:pPr>
      <w:r>
        <w:rPr>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sz w:val="24"/>
        </w:rPr>
        <w:t>Previous studies have examined individual aspects of this problem. Allen et al. (1) reviewed anti-doping policy implications for asthmatic athletes, while Vernec et al. (20) described the TUE process itself. Heuberger and Cohen (8) questioned the evidence base for performance-enhancing effects of many prohibited substances, and Overbye and Wagner (16) documented athlete experiences with the anti-doping system. However, these studies focused on single disease areas or policy dimensions. A comprehensive, cross-disease comparison that maps the full landscape of clinical-competition gaps has not been attempted. Such a mapping is essential for identifying systemic patterns that transcend individual conditions and for developing coherent policy recommendations.</w:t>
      </w:r>
    </w:p>
    <w:p>
      <w:pPr>
        <w:ind w:firstLine="720"/>
      </w:pPr>
      <w:r>
        <w:rPr>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ind w:firstLine="720"/>
      </w:pPr>
      <w:r>
        <w:rPr>
          <w:sz w:val="24"/>
        </w:rPr>
        <w:t>A further dimension of this gap—under-recognized in the literature—is the variability in TUE access across jurisdictions, sports, and competitive tiers. While the ISTUE establishes universal criteria, the practical implementation of TUE systems by National Anti-Doping Organizations (NADOs) and International Federations varies considerably. In some jurisdictions, TUE applications are effectively restricted to athletes who have already achieved elite-level results or who have a prior anti-doping rule violation, excluding emerging, sub-elite, and recreational competitors from the process. This creates a structural inequity in which the right to receive evidence-based medical treatment while competing depends not on medical need but on competitive achievement or prior regulatory interaction. The author's direct experience as a competitive bodybuilder under Japan Anti-Doping Agency (JADA) jurisdiction, where anti-doping education sessions explicitly stated that TUE submissions were limited to athletes with prior top placements or rule violations, illustrates this operational reality that may not be apparent from the regulatory framework alone.</w:t>
      </w:r>
    </w:p>
    <w:p>
      <w:pPr>
        <w:spacing w:before="240" w:after="120"/>
      </w:pPr>
      <w:r>
        <w:rPr>
          <w:b/>
          <w:sz w:val="28"/>
        </w:rPr>
        <w:t>METHODS</w:t>
      </w:r>
    </w:p>
    <w:p>
      <w:pPr>
        <w:spacing w:before="240" w:after="120"/>
      </w:pPr>
      <w:r>
        <w:rPr>
          <w:b/>
          <w:sz w:val="24"/>
        </w:rPr>
        <w:t>Protocol and Registration</w:t>
      </w:r>
    </w:p>
    <w:p>
      <w:pPr>
        <w:ind w:firstLine="720"/>
      </w:pPr>
      <w:r>
        <w:rPr>
          <w:sz w:val="24"/>
        </w:rPr>
        <w:t>This scoping review was conducted in accordance with the PRISMA-ScR (Preferred Reporting Items for Systematic Reviews and Meta-Analyses extension for Scoping Reviews) guidelines (19) and followed the methodological framework outlined by Arksey and O'Malley (3) as refined by Levac et al. (10). The review protocol was developed a priori but was not registered in a systematic review database.</w:t>
      </w:r>
    </w:p>
    <w:p>
      <w:pPr>
        <w:spacing w:before="240" w:after="120"/>
      </w:pPr>
      <w:r>
        <w:rPr>
          <w:b/>
          <w:sz w:val="24"/>
        </w:rPr>
        <w:t>Eligibility Criteria</w:t>
      </w:r>
    </w:p>
    <w:p>
      <w:pPr>
        <w:ind w:firstLine="720"/>
      </w:pPr>
      <w:r>
        <w:rPr>
          <w:sz w:val="24"/>
        </w:rPr>
        <w:t>Sources were eligible for inclusion if they: (a) were WADA regulatory documents, including the Prohibited List, ISTUE, TUE Physician Guidelines, or Monitoring Program documents published between 2018 and 2026; (b) were clinical practice guidelines from recognized international medical organizations 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pPr>
        <w:spacing w:before="240" w:after="120"/>
      </w:pPr>
      <w:r>
        <w:rPr>
          <w:b/>
          <w:sz w:val="24"/>
        </w:rPr>
        <w:t>Information Sources and Search Strategy</w:t>
      </w:r>
    </w:p>
    <w:p>
      <w:pPr>
        <w:ind w:firstLine="720"/>
      </w:pPr>
      <w:r>
        <w:rPr>
          <w:sz w:val="24"/>
        </w:rPr>
        <w:t>A comprehensive search was conducted across PubMed/MEDLINE, Embase, SPORTDiscus, the Cochrane Library, and Web of Science from January 2018 to March 2026. 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"PCOS"). Grey literature searches included the WADA website (wada-ama.org), clinical guideline repositories (NICE Evidence Search, Guidelines International Network), CAS (Court of Arbitration for Sport) databases, and reference lists of included articles.</w:t>
      </w:r>
    </w:p>
    <w:p>
      <w:pPr>
        <w:spacing w:before="240" w:after="120"/>
      </w:pPr>
      <w:r>
        <w:rPr>
          <w:b/>
          <w:sz w:val="24"/>
        </w:rPr>
        <w:t>Selection of Sources of Evidence</w:t>
      </w:r>
    </w:p>
    <w:p>
      <w:pPr>
        <w:ind w:firstLine="720"/>
      </w:pPr>
      <w:r>
        <w:rPr>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pPr>
        <w:spacing w:before="240" w:after="120"/>
      </w:pPr>
      <w:r>
        <w:rPr>
          <w:b/>
          <w:sz w:val="24"/>
        </w:rPr>
        <w:t>Data Charting Process</w:t>
      </w:r>
    </w:p>
    <w:p>
      <w:pPr>
        <w:ind w:firstLine="720"/>
      </w:pPr>
      <w:r>
        <w:rPr>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pPr>
        <w:spacing w:before="240" w:after="120"/>
      </w:pPr>
      <w:r>
        <w:rPr>
          <w:b/>
          <w:sz w:val="24"/>
        </w:rPr>
        <w:t>Critical Appraisal of Individual Sources</w:t>
      </w:r>
    </w:p>
    <w:p>
      <w:pPr>
        <w:ind w:firstLine="720"/>
      </w:pPr>
      <w:r>
        <w:rPr>
          <w:sz w:val="24"/>
        </w:rPr>
        <w:t>Consistent with scoping review methodology (14), 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pPr>
        <w:spacing w:before="240" w:after="120"/>
      </w:pPr>
      <w:r>
        <w:rPr>
          <w:b/>
          <w:sz w:val="24"/>
        </w:rPr>
        <w:t>Synthesis of Results</w:t>
      </w:r>
    </w:p>
    <w:p>
      <w:pPr>
        <w:ind w:firstLine="720"/>
      </w:pPr>
      <w:r>
        <w:rPr>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(Figure 4) was developed iteratively as patterns emerged across disease areas, identifying common structural drivers that transcended individual conditions.</w:t>
      </w:r>
    </w:p>
    <w:p>
      <w:pPr>
        <w:spacing w:before="240" w:after="120"/>
      </w:pPr>
      <w:r>
        <w:rPr>
          <w:b/>
          <w:sz w:val="28"/>
        </w:rPr>
        <w:t>RESULTS</w:t>
      </w:r>
    </w:p>
    <w:p>
      <w:pPr>
        <w:spacing w:before="240" w:after="120"/>
      </w:pPr>
      <w:r>
        <w:rPr>
          <w:b/>
          <w:sz w:val="24"/>
        </w:rPr>
        <w:t>Source Selection</w:t>
      </w:r>
    </w:p>
    <w:p>
      <w:pPr>
        <w:ind w:firstLine="720"/>
      </w:pPr>
      <w:r>
        <w:rPr>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p>
      <w:pPr>
        <w:jc w:val="center"/>
      </w:pPr>
      <w:r>
        <w:drawing>
          <wp:inline xmlns:a="http://schemas.openxmlformats.org/drawingml/2006/main" xmlns:pic="http://schemas.openxmlformats.org/drawingml/2006/picture">
            <wp:extent cx="5486400" cy="6594764"/>
            <wp:docPr id="1" name="Picture 1"/>
            <wp:cNvGraphicFramePr>
              <a:graphicFrameLocks noChangeAspect="1"/>
            </wp:cNvGraphicFramePr>
            <a:graphic>
              <a:graphicData uri="http://schemas.openxmlformats.org/drawingml/2006/picture">
                <pic:pic>
                  <pic:nvPicPr>
                    <pic:cNvPr id="0" name="fig1_prisma_flowchart.png"/>
                    <pic:cNvPicPr/>
                  </pic:nvPicPr>
                  <pic:blipFill>
                    <a:blip r:embed="rId9"/>
                    <a:stretch>
                      <a:fillRect/>
                    </a:stretch>
                  </pic:blipFill>
                  <pic:spPr>
                    <a:xfrm>
                      <a:off x="0" y="0"/>
                      <a:ext cx="5486400" cy="6594764"/>
                    </a:xfrm>
                    <a:prstGeom prst="rect"/>
                  </pic:spPr>
                </pic:pic>
              </a:graphicData>
            </a:graphic>
          </wp:inline>
        </w:drawing>
      </w:r>
    </w:p>
    <w:p>
      <w:pPr>
        <w:spacing w:before="280"/>
        <w:jc w:val="center"/>
      </w:pPr>
      <w:r>
        <w:rPr>
          <w:i/>
          <w:sz w:val="20"/>
        </w:rPr>
        <w:t>Figure 1. PRISMA-ScR flow diagram illustrating the source selection process.</w:t>
      </w:r>
    </w:p>
    <w:p/>
    <w:p>
      <w:pPr>
        <w:spacing w:before="240" w:after="120"/>
      </w:pPr>
      <w:r>
        <w:rPr>
          <w:b/>
          <w:sz w:val="24"/>
        </w:rPr>
        <w:t>Overview of Clinical-Competition Gaps</w:t>
      </w:r>
    </w:p>
    <w:p>
      <w:pPr>
        <w:ind w:firstLine="720"/>
      </w:pPr>
      <w:r>
        <w:rPr>
          <w:sz w:val="24"/>
        </w:rPr>
        <w:t>Clinically significant gaps between WADA regulations and current clinical practice guidelines were identified across all seven disease areas examined. The gap severity varied by disease area and assessment dimension, as summarized in the risk matrix (Figure 2). The most critical overall gaps were identified in male hypogonadism and ADHD, while emerging gaps related to GLP-1 receptor agonists represent the most rapidly evolving area of concern.</w:t>
      </w:r>
    </w:p>
    <w:p/>
    <w:p>
      <w:pPr>
        <w:jc w:val="center"/>
      </w:pPr>
      <w:r>
        <w:drawing>
          <wp:inline xmlns:a="http://schemas.openxmlformats.org/drawingml/2006/main" xmlns:pic="http://schemas.openxmlformats.org/drawingml/2006/picture">
            <wp:extent cx="5486400" cy="3174154"/>
            <wp:docPr id="2" name="Picture 2"/>
            <wp:cNvGraphicFramePr>
              <a:graphicFrameLocks noChangeAspect="1"/>
            </wp:cNvGraphicFramePr>
            <a:graphic>
              <a:graphicData uri="http://schemas.openxmlformats.org/drawingml/2006/picture">
                <pic:pic>
                  <pic:nvPicPr>
                    <pic:cNvPr id="0" name="fig2_gap_heatmap.png"/>
                    <pic:cNvPicPr/>
                  </pic:nvPicPr>
                  <pic:blipFill>
                    <a:blip r:embed="rId10"/>
                    <a:stretch>
                      <a:fillRect/>
                    </a:stretch>
                  </pic:blipFill>
                  <pic:spPr>
                    <a:xfrm>
                      <a:off x="0" y="0"/>
                      <a:ext cx="5486400" cy="3174154"/>
                    </a:xfrm>
                    <a:prstGeom prst="rect"/>
                  </pic:spPr>
                </pic:pic>
              </a:graphicData>
            </a:graphic>
          </wp:inline>
        </w:drawing>
      </w:r>
    </w:p>
    <w:p>
      <w:pPr>
        <w:spacing w:before="280"/>
        <w:jc w:val="center"/>
      </w:pPr>
      <w:r>
        <w:rPr>
          <w:i/>
          <w:sz w:val="20"/>
        </w:rPr>
        <w:t>Figure 2. Clinical-competition gap risk matrix by disease area and assessment dimension.</w:t>
      </w:r>
    </w:p>
    <w:p/>
    <w:p>
      <w:pPr>
        <w:spacing w:before="240" w:after="120"/>
      </w:pPr>
      <w:r>
        <w:rPr>
          <w:b/>
          <w:sz w:val="24"/>
        </w:rPr>
        <w:t>Asthma and Beta-2 Agonists</w:t>
      </w:r>
    </w:p>
    <w:p>
      <w:pPr>
        <w:ind w:firstLine="720"/>
      </w:pPr>
      <w:r>
        <w:rPr>
          <w:sz w:val="24"/>
        </w:rPr>
        <w:t>The Global Initiative for Asthma (GINA) 2025 report established a paradigm shift in asthma management, designating ICS-formoterol (inhaled corticosteroid combined with formoterol) maintenance and reliever therapy (MART) as the preferred treatment track (Track 1) across all severity steps (7). Under this approach, patients use a single ICS-formoterol inhaler for both daily maintenance and as-needed symptom relief, replacing the traditional model of a separate short-acting beta-2 agonist (SABA) reliever.</w:t>
      </w:r>
    </w:p>
    <w:p>
      <w:pPr>
        <w:ind w:firstLine="720"/>
      </w:pPr>
      <w:r>
        <w:rPr>
          <w:sz w:val="24"/>
        </w:rPr>
        <w:t>WADA permits inhaled formoterol without a TUE provided the total delivered dose does not exceed 54 μg per 24 hours (with a subsidiary limit of 36 μg per 12 hours), and a urinary threshold of 40 ng/mL applies (24). 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(1, 25).</w:t>
      </w:r>
    </w:p>
    <w:p>
      <w:pPr>
        <w:ind w:firstLine="720"/>
      </w:pPr>
      <w:r>
        <w:rPr>
          <w:sz w:val="24"/>
        </w:rPr>
        <w:t>An additional concern is that WADA's permissive approach to inhaled salbutamol (albuterol) without TUE creates an unintended incentive for athletes to rely on SABA monotherapy—a practice GINA 2025 explicitly recommends against at any severity step due to increased risk of severe exacerbations and asthma-related death (7). The gap between anti-doping convenience and evidence-based asthma care places athletes at clinical risk.</w:t>
      </w:r>
    </w:p>
    <w:p>
      <w:pPr>
        <w:ind w:firstLine="720"/>
      </w:pPr>
      <w:r>
        <w:rPr>
          <w:sz w:val="24"/>
        </w:rPr>
        <w:t>The salbutamol threshold itself presents an additional compliance risk that warrants attention. WADA permits inhaled salbutamol up to 1600 μg per 24 hours (with a subsidiary limit of 800 μg per 8 hours), and applies a urine decision limit of 1000 ng/mL (24). During acute exacerbations or intense exercise-induced bronchoconstriction, clinically appropriate dosing of salbutamol may approach these thresholds. Athletes using salbutamol as prescribed may exceed the permitted dose during symptom flares, placing them at risk of an adverse analytical finding. While a TUE can be applied for retroactively in such cases, the burden of proof falls on the athlete, and the process introduces uncertainty and administrative stress that may influence treatment decisions (1, 24, 25).</w:t>
      </w:r>
    </w:p>
    <w:p>
      <w:pPr>
        <w:spacing w:before="240" w:after="120"/>
      </w:pPr>
      <w:r>
        <w:rPr>
          <w:b/>
          <w:sz w:val="24"/>
        </w:rPr>
        <w:t>Attention-Deficit/Hyperactivity Disorder (ADHD)</w:t>
      </w:r>
    </w:p>
    <w:p>
      <w:pPr>
        <w:ind w:firstLine="720"/>
      </w:pPr>
      <w:r>
        <w:rPr>
          <w:sz w:val="24"/>
        </w:rPr>
        <w:t>All major clinical guidelines—NICE (2024), the Australian ADHD Guideline (2022), and APA recommendations—designate stimulant medications as first-line pharmacotherapy for ADHD in both children and adults (4, 12, 15). 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inadequate response (4).</w:t>
      </w:r>
    </w:p>
    <w:p>
      <w:pPr>
        <w:ind w:firstLine="720"/>
      </w:pPr>
      <w:r>
        <w:rPr>
          <w:sz w:val="24"/>
        </w:rPr>
        <w:t>Under WADA regulations, all stimulant medications for ADHD are prohibited in-competition: amphetamines as non-specified stimulants (S6.A) and methylphenidate as a specified stimulant (S6.B) (24). Notably, these substances are permitted out-of-competition. 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(Concerta) and lisdexamfetamine (Vyvanse) are specifically designed to provide consistent 10–14 hour coverage, and abrupt discontinuation can produce withdrawal symptoms and acute cognitive deterioration (26).</w:t>
      </w:r>
    </w:p>
    <w:p>
      <w:pPr>
        <w:ind w:firstLine="720"/>
      </w:pPr>
      <w:r>
        <w:rPr>
          <w:sz w:val="24"/>
        </w:rPr>
        <w:t>The TUE application process for stimulant medications requires comprehensive neuropsychological evaluation, documentation of childhood-onset symptoms per DSM-5 criteria, evidence that non-stimulant alternatives have been trialed, and ongoing monitoring (23). 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effectively delay access to optimal treatment.</w:t>
      </w:r>
    </w:p>
    <w:p>
      <w:pPr>
        <w:ind w:firstLine="720"/>
      </w:pPr>
      <w:r>
        <w:rPr>
          <w:sz w:val="24"/>
        </w:rPr>
        <w:t>The prevalence of ADHD among elite athletes has been estimated at 7–8%, which is comparable to or slightly higher than the general adult population prevalence of 5–7% (16). This suggests that the ADHD-TUE gap affects a substantial number of competitive athletes worldwide. Data from Vernec et al. (21) 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ind w:firstLine="720"/>
      </w:pPr>
      <w:r>
        <w:rPr>
          <w:sz w:val="24"/>
        </w:rPr>
        <w:t>Critically, TUE access for stimulant medications is not uniformly available across all competitive tiers and jurisdictions. While the ISTUE applies in principle to all athletes subject to anti-doping rules, practical implementation varies by NADO and sport. The author's experience in JADA-regulated competitive bodybuilding revealed that anti-doping education sessions explicitly stated TUE applications could only be submitted by athletes with prior top placements at national competitions or prior anti-doping rule violations. Whether this reflects JADA-specific policy, testing capacity constraints, or sport-specific implementation, the practical effect is that emerging athletes diagnosed with ADHD—who may most need the structured support that sport and training provide—are denied access to the TUE pathway that would allow them to compete while receiving guideline-directed first-line pharmacotherapy.</w:t>
      </w:r>
    </w:p>
    <w:p>
      <w:pPr>
        <w:spacing w:before="240" w:after="120"/>
      </w:pPr>
      <w:r>
        <w:rPr>
          <w:b/>
          <w:sz w:val="24"/>
        </w:rPr>
        <w:t>Type 2 Diabetes Mellitus and GLP-1 Receptor Agonists</w:t>
      </w:r>
    </w:p>
    <w:p>
      <w:pPr>
        <w:ind w:firstLine="720"/>
      </w:pPr>
      <w:r>
        <w:rPr>
          <w:sz w:val="24"/>
        </w:rPr>
        <w:t>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(2). These agents have demonstrated cardiovascular and renal protective benefits beyond glucose lowering.</w:t>
      </w:r>
    </w:p>
    <w:p>
      <w:pPr>
        <w:ind w:firstLine="720"/>
      </w:pPr>
      <w:r>
        <w:rPr>
          <w:sz w:val="24"/>
        </w:rPr>
        <w:t>Currently, GLP-1 receptor agonists are not on the WADA Prohibited List and do not require a TUE. However, semaglutide and tirzepatide were placed on the WADA Monitoring Program in 2024, indicating active surveillance for potential future prohibition (27). The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(2, 27).</w:t>
      </w:r>
    </w:p>
    <w:p>
      <w:pPr>
        <w:ind w:firstLine="720"/>
      </w:pPr>
      <w:r>
        <w:rPr>
          <w:sz w:val="24"/>
        </w:rPr>
        <w:t>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(e.g., rugby, American football, powerlifting) amplifies the potential impact of any future prohibition of these agents (2).</w:t>
      </w:r>
    </w:p>
    <w:p>
      <w:pPr>
        <w:spacing w:before="240" w:after="120"/>
      </w:pPr>
      <w:r>
        <w:rPr>
          <w:b/>
          <w:sz w:val="24"/>
        </w:rPr>
        <w:t>Male Hypogonadism and Testosterone Replacement</w:t>
      </w:r>
    </w:p>
    <w:p>
      <w:pPr>
        <w:ind w:firstLine="720"/>
      </w:pPr>
      <w:r>
        <w:rPr>
          <w:sz w:val="24"/>
        </w:rPr>
        <w:t>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(5). The EAU (2024) guidelines similarly recognize late-onset hypogonadism (LOH) as a treatable condition when lifestyle modifications fail to restore testosterone levels (6). The TRAVERSE trial (2023) provided landmark evidence that TRT does not increase major adverse cardiovascular events in men aged 45–80 with hypogonadism, removing a major historical safety concern (11).</w:t>
      </w:r>
    </w:p>
    <w:p>
      <w:pPr>
        <w:ind w:firstLine="720"/>
      </w:pPr>
      <w:r>
        <w:rPr>
          <w:sz w:val="24"/>
        </w:rPr>
        <w:t>In contrast, WADA's TUE Physician Guidelines for male hypogonadism explicitly state that "TUE should only be granted for organic causes of hypogonadism" and that "functional hypogonadism should not be granted a TUE" (23). This distinction excludes: age-related testosterone decline (LOH), obesity-associated hypogonadism, opioid-induced hypogonadism, and hypothalamic dysfunction from overtraining—all conditions for which clinical guidelines may recommend TRT after conservative measures fail. The growing masters athlete population (age &gt;40), estimated at millions worldwide competing in organized events, is disproportionately affected by this gap.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(5, 23).</w:t>
      </w:r>
    </w:p>
    <w:p>
      <w:pPr>
        <w:ind w:firstLine="720"/>
      </w:pPr>
      <w:r>
        <w:rPr>
          <w:sz w:val="24"/>
        </w:rPr>
        <w:t>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(5). 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(11).</w:t>
      </w:r>
    </w:p>
    <w:p>
      <w:pPr>
        <w:spacing w:before="240" w:after="120"/>
      </w:pPr>
      <w:r>
        <w:rPr>
          <w:b/>
          <w:sz w:val="24"/>
        </w:rPr>
        <w:t>Glucocorticoid Administration</w:t>
      </w:r>
    </w:p>
    <w:p>
      <w:pPr>
        <w:ind w:firstLine="720"/>
      </w:pPr>
      <w:r>
        <w:rPr>
          <w:sz w:val="24"/>
        </w:rPr>
        <w:t>Since 2022, WADA has prohibited all routes of glucocorticoid (GC) administration in-competition, including intra-articular injections that were previously permitted (24, 28). Washout periods were introduced: 3 days for most oral GCs, 10 days for oral triamcinolone, 5 days for intramuscular betamethasone/dexamethasone, and 60 days for intramuscular triamcinolone acetonide (29). Additionally, the 2026 modifications note that sustained-release formulations may produce detectable GC levels beyond published washout periods (24).</w:t>
      </w:r>
    </w:p>
    <w:p>
      <w:pPr>
        <w:ind w:firstLine="720"/>
      </w:pPr>
      <w:r>
        <w:rPr>
          <w:sz w:val="24"/>
        </w:rPr>
        <w:t>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(28, 29).</w:t>
      </w:r>
    </w:p>
    <w:p>
      <w:pPr>
        <w:spacing w:before="240" w:after="120"/>
      </w:pPr>
      <w:r>
        <w:rPr>
          <w:b/>
          <w:sz w:val="24"/>
        </w:rPr>
        <w:t>Cardiovascular Disease: Diuretics and Beta-Blockers</w:t>
      </w:r>
    </w:p>
    <w:p>
      <w:pPr>
        <w:ind w:firstLine="720"/>
      </w:pPr>
      <w:r>
        <w:rPr>
          <w:sz w:val="24"/>
        </w:rPr>
        <w:t>Heart failure management, as outlined in the 2021 ESC Guidelines and subsequent updates, relies on four foundational drug classes ("Fantastic Four"): ACE inhibitors/ARNi, beta-blockers, mineralocorticoid receptor antagonists (MRAs such as spironolactone and eplerenone), and SGLT2 inhibitors (12, 13). Of these, MRAs are prohibited under WADA category S5 (diuretics and masking agents), as are loop diuretics (furosemide) essential for congestion management and thiazide diuretics used in hypertension treatment (24).</w:t>
      </w:r>
    </w:p>
    <w:p>
      <w:pPr>
        <w:ind w:firstLine="720"/>
      </w:pPr>
      <w:r>
        <w:rPr>
          <w:sz w:val="24"/>
        </w:rPr>
        <w:t>The blanket prohibition of all diuretics—based on their potential as masking agents—does not differentiate between agents used for weight manipulation or masking and those prescribed for life-threatening conditions such as heart failure. An athlete with heart failure on guideline-directed medical therapy must either forgo a pillar of standard treatment or navigate the TUE process for spironolactone. Beta-blockers, while not universally prohibited, are banned in-competition in precision sports (shooting, archery, golf, billiards, automotive sports). A masters shooting athlete diagnosed with atrial fibrillation faces particular difficulty, as beta-blockers are first-line rate control therapy, yet CAS precedent (2009, 2013) has established a high bar for TUE approval in sports where these agents could reduce tremor (13, 24).</w:t>
      </w:r>
    </w:p>
    <w:p>
      <w:pPr>
        <w:spacing w:before="240" w:after="120"/>
      </w:pPr>
      <w:r>
        <w:rPr>
          <w:b/>
          <w:sz w:val="24"/>
        </w:rPr>
        <w:t>PCOS and Female Fertility Treatment</w:t>
      </w:r>
    </w:p>
    <w:p>
      <w:pPr>
        <w:ind w:firstLine="720"/>
      </w:pPr>
      <w:r>
        <w:rPr>
          <w:sz w:val="24"/>
        </w:rPr>
        <w:t>The 2023 International Evidence-Based PCOS Guideline and WHO recommendations position letrozole as the first-line ovulation induction agent for PCOS-related infertility, with clomiphene as second-line (18). Both agents are always prohibited under WADA category S4 (anti-estrogens and aromatase inhibitors) (24). Spironolactone, recommended for PCOS-associated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(18, 23).</w:t>
      </w:r>
    </w:p>
    <w:p>
      <w:pPr>
        <w:spacing w:before="240" w:after="120"/>
      </w:pPr>
      <w:r>
        <w:rPr>
          <w:b/>
          <w:sz w:val="24"/>
        </w:rPr>
        <w:t>Cross-Cutting Analysis: Structural Drivers of Divergence</w:t>
      </w:r>
    </w:p>
    <w:p>
      <w:pPr>
        <w:ind w:firstLine="720"/>
      </w:pPr>
      <w:r>
        <w:rPr>
          <w:sz w:val="24"/>
        </w:rPr>
        <w:t>Three structural factors underlie the identified gaps (Figure 3).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(Table 1).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(23, 24, 27).</w:t>
      </w:r>
    </w:p>
    <w:p>
      <w:pPr>
        <w:ind w:firstLine="720"/>
      </w:pPr>
      <w:r>
        <w:rPr>
          <w:sz w:val="24"/>
        </w:rPr>
        <w:t>The temporal mismatch is particularly well illustrated by comparing update frequencies. GINA has published annual updates every year since 2014, with major revisions in 2019 (abolishing Step 1 SABA-only treatment) and 2025 (establishing the two-track system). The ADA Standards of Care is updated annually with a comprehensive revision cycle. In contrast, some WADA TUE Physician Guidelines have remained unchanged for 3–4 years despite significant clinical developments in the corresponding disease area. The Prohibited List itself is updated annually, but the TUE guidance documents that inform clinical decision-making follow a separate, less predictable revision schedule. This creates a window during which newly recommended first-line therapies may conflict with TUE guidance that has not yet incorporated the new evidence (23, 24).</w:t>
      </w:r>
    </w:p>
    <w:p/>
    <w:p>
      <w:pPr>
        <w:jc w:val="center"/>
      </w:pPr>
      <w:r>
        <w:drawing>
          <wp:inline xmlns:a="http://schemas.openxmlformats.org/drawingml/2006/main" xmlns:pic="http://schemas.openxmlformats.org/drawingml/2006/picture">
            <wp:extent cx="5486400" cy="2333570"/>
            <wp:docPr id="3" name="Picture 3"/>
            <wp:cNvGraphicFramePr>
              <a:graphicFrameLocks noChangeAspect="1"/>
            </wp:cNvGraphicFramePr>
            <a:graphic>
              <a:graphicData uri="http://schemas.openxmlformats.org/drawingml/2006/picture">
                <pic:pic>
                  <pic:nvPicPr>
                    <pic:cNvPr id="0" name="fig3_timeline.png"/>
                    <pic:cNvPicPr/>
                  </pic:nvPicPr>
                  <pic:blipFill>
                    <a:blip r:embed="rId11"/>
                    <a:stretch>
                      <a:fillRect/>
                    </a:stretch>
                  </pic:blipFill>
                  <pic:spPr>
                    <a:xfrm>
                      <a:off x="0" y="0"/>
                      <a:ext cx="5486400" cy="2333570"/>
                    </a:xfrm>
                    <a:prstGeom prst="rect"/>
                  </pic:spPr>
                </pic:pic>
              </a:graphicData>
            </a:graphic>
          </wp:inline>
        </w:drawing>
      </w:r>
    </w:p>
    <w:p>
      <w:pPr>
        <w:spacing w:before="280"/>
        <w:jc w:val="center"/>
      </w:pPr>
      <w:r>
        <w:rPr>
          <w:i/>
          <w:sz w:val="20"/>
        </w:rPr>
        <w:t>Figure 3. Timeline of clinical guideline updates versus WADA TUE regulatory changes (2018–2026).</w:t>
      </w:r>
    </w:p>
    <w:p/>
    <w:p>
      <w:pPr>
        <w:spacing w:before="240" w:after="120"/>
      </w:pPr>
      <w:r>
        <w:rPr>
          <w:b/>
          <w:sz w:val="28"/>
        </w:rPr>
        <w:t>DISCUSSION</w:t>
      </w:r>
    </w:p>
    <w:p>
      <w:pPr>
        <w:ind w:firstLine="720"/>
      </w:pPr>
      <w:r>
        <w:rPr>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sz w:val="24"/>
        </w:rPr>
        <w:t>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PCOS where stigma compounds procedural barriers. Geographic disparities in TUE access further exacerbate these issues, as athletes in resource-limited settings face greater difficulty obtaining specialist evaluations and documentation required for TUE applications (21, 23).</w:t>
      </w:r>
    </w:p>
    <w:p>
      <w:pPr>
        <w:ind w:firstLine="720"/>
      </w:pPr>
      <w:r>
        <w:rPr>
          <w:sz w:val="24"/>
        </w:rPr>
        <w:t>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(9). These ambiguities create uncertainty for both clinicians and TUE committees, potentially leading to inconsistent decisions across jurisdictions.</w:t>
      </w:r>
    </w:p>
    <w:p>
      <w:pPr>
        <w:ind w:firstLine="720"/>
      </w:pPr>
      <w:r>
        <w:rPr>
          <w:sz w:val="24"/>
        </w:rPr>
        <w:t>The findings of this review align with and extend previous work in the field. Heuberger and Cohen (8) 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Stuart et al. (17) documented increasing TUE application volumes, which our disease-specific analysis helps to contextualize—the growing burden reflects both increased awareness and the expanding scope of conditions affected by clinical-competition gaps. The geographic disparities in TUE access reported by Vernec et al. (21) take on additional significance when considered alongside our finding that some disease areas (e.g., ADHD, hypogonadism) require particularly complex and well-documented TUE applications.</w:t>
      </w:r>
    </w:p>
    <w:p>
      <w:pPr>
        <w:ind w:firstLine="720"/>
      </w:pPr>
      <w:r>
        <w:rPr>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This tension is particularly acute for physician-athletes (such as the author of this review), who experience the dual perspective of clinician and competitor. S&amp;C professionals, while not prescribers, share in this ethical responsibility through their role in monitoring athlete well-being and advocating for appropriate medical care.</w:t>
      </w:r>
    </w:p>
    <w:p>
      <w:pPr>
        <w:ind w:firstLine="720"/>
      </w:pPr>
      <w:r>
        <w:rPr>
          <w:sz w:val="24"/>
        </w:rPr>
        <w:t>A fundamental reframing of the issue is warranted. The current system operates on the premise that prohibited substances are the default, and athletes must petition for exceptions through the TUE process to receive evidence-based treatment. We argue that the logic should be inverted: standard clinical treatment should be the baseline entitlement for all athletes, with restrictions applied only where a specific substance confers a clear, demonstrated performance advantage beyond therapeutic restoration. The existence of a TUE pathway does not, in itself, resolve the clinical-competition gap—it merely creates a bureaucratic mechanism that many athletes cannot effectively access. Few athletes have access to sports medicine physicians with expertise in both anti-doping regulations and the pharmacotherapy of their specific condition; the majority are treated by general practitioners or specialists who may be unfamiliar with WADA rules, the Prohibited List, or the TUE application process. The treatment burden imposed on athletes—navigating complex regulations, securing specialist documentation, managing anxiety about potential ADRVs, and accepting suboptimal treatment to avoid regulatory conflict—constitutes a significant and under-recognized source of psychological stress that may itself impair athletic performance and well-being (16, 20, 21).</w:t>
      </w:r>
    </w:p>
    <w:p>
      <w:pPr>
        <w:ind w:firstLine="720"/>
      </w:pPr>
      <w:r>
        <w:rPr>
          <w:sz w:val="24"/>
        </w:rPr>
        <w:t>The variability in TUE access across jurisdictions adds an equity dimension to the clinical-competition gap that has received insufficient attention. While WADA's International Standard establishes universal TUE criteria, implementation by NADOs and International Federations is not uniform. As documented in this review, the author's experience in JADA-regulated competitive bodybuilding demonstrated that TUE access was operationally restricted to athletes with prior elite-level placements or anti-doping violations—effectively creating a two-tier system where medical treatment rights during competition depend on competitive achievement rather than clinical need. This jurisdictional variability means that the clinical-competition gap is not merely a policy-level discrepancy but manifests as unequal access to care for athletes in different countries, sports, and competitive tiers. The implications are particularly concerning for athletes in less-resourced NADOs, emerging sports, and sub-elite competitive categories, where TUE infrastructure may be underdeveloped. Addressing the clinical-competition gap therefore requires not only harmonization of TUE criteria with clinical evidence but also standardization of TUE access mechanisms across jurisdictions (21, 23).</w:t>
      </w:r>
    </w:p>
    <w:p>
      <w:pPr>
        <w:ind w:firstLine="720"/>
      </w:pPr>
      <w:r>
        <w:rPr>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during periods between guideline updates, not to a lack of any review process. Finally, the jurisdictional TUE access observations are drawn in part from the author's direct experience in a single NADO and sport context; systematic study of TUE implementation variability across NADOs and sports is warranted.</w:t>
      </w:r>
    </w:p>
    <w:p>
      <w:pPr>
        <w:spacing w:before="240" w:after="120"/>
      </w:pPr>
      <w:r>
        <w:rPr>
          <w:b/>
          <w:sz w:val="28"/>
        </w:rPr>
        <w:t>PRACTICAL APPLICATIONS</w:t>
      </w:r>
    </w:p>
    <w:p>
      <w:pPr>
        <w:ind w:firstLine="720"/>
      </w:pPr>
      <w:r>
        <w:rPr>
          <w:sz w:val="24"/>
        </w:rPr>
        <w:t>The findings of this review have direct implications for strength and conditioning professionals who work closely with athletes managing medical conditions. The following practical recommendations are offered:</w:t>
      </w:r>
    </w:p>
    <w:p>
      <w:pPr>
        <w:ind w:left="720" w:hanging="357"/>
      </w:pPr>
      <w:r>
        <w:rPr>
          <w:sz w:val="24"/>
        </w:rPr>
        <w:t xml:space="preserve">• </w:t>
      </w:r>
      <w:r>
        <w:rPr>
          <w:b/>
          <w:sz w:val="24"/>
        </w:rPr>
        <w:t xml:space="preserve">Recognize medication-related performance changes. </w:t>
      </w:r>
      <w:r>
        <w:rPr>
          <w:sz w:val="24"/>
        </w:rPr>
        <w:t>S&amp;C professionals should be aware that athletes transitioning between medications due to TUE constraints may experience performance fluctuations. An athlete switching from a stimulant to a non-stimulant ADHD medication may show decreased focus during training. An athlete discontinuing testosterone replacement may experience fatigue, decreased recovery capacity, and mood changes. Adjusting training load and expectations during medication transitions is essential.</w:t>
      </w:r>
    </w:p>
    <w:p>
      <w:pPr>
        <w:ind w:left="720" w:hanging="357"/>
      </w:pPr>
      <w:r>
        <w:rPr>
          <w:sz w:val="24"/>
        </w:rPr>
        <w:t xml:space="preserve">• </w:t>
      </w:r>
      <w:r>
        <w:rPr>
          <w:b/>
          <w:sz w:val="24"/>
        </w:rPr>
        <w:t xml:space="preserve">Understand the TUE timeline. </w:t>
      </w:r>
      <w:r>
        <w:rPr>
          <w:sz w:val="24"/>
        </w:rPr>
        <w:t>TUE applications can take 21–30 days for processing. S&amp;C professionals should encourage athletes to initiate the TUE process well before competitive seasons. For athletes with chronic conditions (asthma, ADHD, diabetes), annual TUE renewal should be incorporated into pre-season planning alongside periodization.</w:t>
      </w:r>
    </w:p>
    <w:p>
      <w:pPr>
        <w:ind w:left="720" w:hanging="357"/>
      </w:pPr>
      <w:r>
        <w:rPr>
          <w:sz w:val="24"/>
        </w:rPr>
        <w:t xml:space="preserve">• </w:t>
      </w:r>
      <w:r>
        <w:rPr>
          <w:b/>
          <w:sz w:val="24"/>
        </w:rPr>
        <w:t xml:space="preserve">Monitor athletes on permitted alternatives. </w:t>
      </w:r>
      <w:r>
        <w:rPr>
          <w:sz w:val="24"/>
        </w:rPr>
        <w:t>When athletes use second-line medications to avoid TUE requirements (e.g., atomoxetine instead of methylphenidate for ADHD, non-diuretic antihypertensives instead of thiazides), S&amp;C professionals should monitor for suboptimal symptom control that may affect training quality and safety. Unexplained changes in an athlete's focus, energy, respiratory function, or cardiovascular symptoms warrant referral back to the prescribing physician.</w:t>
      </w:r>
    </w:p>
    <w:p>
      <w:pPr>
        <w:ind w:left="720" w:hanging="357"/>
      </w:pPr>
      <w:r>
        <w:rPr>
          <w:sz w:val="24"/>
        </w:rPr>
        <w:t xml:space="preserve">• </w:t>
      </w:r>
      <w:r>
        <w:rPr>
          <w:b/>
          <w:sz w:val="24"/>
        </w:rPr>
        <w:t xml:space="preserve">Support asthma management beyond SABA. </w:t>
      </w:r>
      <w:r>
        <w:rPr>
          <w:sz w:val="24"/>
        </w:rPr>
        <w:t>S&amp;C professionals should understand that modern asthma guidelines (GINA 2025) recommend against SABA-only treatment. Athletes with asthma should be encouraged to follow their physician's prescribed controller regimen (typically ICS-formoterol MART), even though SABA alone is more "convenient" from an anti-doping perspective. Proper inhaler technique and pre-exercise medication timing should be part of the training environment.</w:t>
      </w:r>
    </w:p>
    <w:p>
      <w:pPr>
        <w:ind w:left="720" w:hanging="357"/>
      </w:pPr>
      <w:r>
        <w:rPr>
          <w:sz w:val="24"/>
        </w:rPr>
        <w:t xml:space="preserve">• </w:t>
      </w:r>
      <w:r>
        <w:rPr>
          <w:b/>
          <w:sz w:val="24"/>
        </w:rPr>
        <w:t xml:space="preserve">Facilitate communication. </w:t>
      </w:r>
      <w:r>
        <w:rPr>
          <w:sz w:val="24"/>
        </w:rPr>
        <w:t>S&amp;C professionals are uniquely positioned to bridge the gap between athletes, physicians, and anti-doping authorities. Maintaining awareness of the WADA Prohibited List (updated annually each January, with a summary of changes available on wada-ama.org) and encouraging athletes to use WADA's medication check tools can prevent inadvertent violations.</w:t>
      </w:r>
    </w:p>
    <w:p>
      <w:pPr>
        <w:ind w:left="720" w:hanging="357"/>
      </w:pPr>
      <w:r>
        <w:rPr>
          <w:sz w:val="24"/>
        </w:rPr>
        <w:t xml:space="preserve">• </w:t>
      </w:r>
      <w:r>
        <w:rPr>
          <w:b/>
          <w:sz w:val="24"/>
        </w:rPr>
        <w:t xml:space="preserve">Address masters athlete concerns. </w:t>
      </w:r>
      <w:r>
        <w:rPr>
          <w:sz w:val="24"/>
        </w:rPr>
        <w:t>The growing masters athlete population faces particular challenges with age-related conditions (hypogonadism, cardiovascular disease, type 2 diabetes). S&amp;C professionals working with masters athletes should proactively discuss medication status and TUE requirements as part of health screening and program design.</w:t>
      </w:r>
    </w:p>
    <w:p>
      <w:pPr>
        <w:ind w:left="720" w:hanging="357"/>
      </w:pPr>
      <w:r>
        <w:rPr>
          <w:sz w:val="24"/>
        </w:rPr>
        <w:t xml:space="preserve">• </w:t>
      </w:r>
      <w:r>
        <w:rPr>
          <w:b/>
          <w:sz w:val="24"/>
        </w:rPr>
        <w:t xml:space="preserve">Advocate for athlete health. </w:t>
      </w:r>
      <w:r>
        <w:rPr>
          <w:sz w:val="24"/>
        </w:rPr>
        <w:t>When S&amp;C professionals observe that anti-doping constraints are negatively affecting an athlete's health or well-being, they should advocate for the athlete to seek appropriate medical care and TUE application, rather than accepting suboptimal treatment as inevitable.</w:t>
      </w:r>
    </w:p>
    <w:p/>
    <w:p>
      <w:pPr>
        <w:jc w:val="center"/>
      </w:pPr>
      <w:r>
        <w:drawing>
          <wp:inline xmlns:a="http://schemas.openxmlformats.org/drawingml/2006/main" xmlns:pic="http://schemas.openxmlformats.org/drawingml/2006/picture">
            <wp:extent cx="5486400" cy="2952925"/>
            <wp:docPr id="4" name="Picture 4"/>
            <wp:cNvGraphicFramePr>
              <a:graphicFrameLocks noChangeAspect="1"/>
            </wp:cNvGraphicFramePr>
            <a:graphic>
              <a:graphicData uri="http://schemas.openxmlformats.org/drawingml/2006/picture">
                <pic:pic>
                  <pic:nvPicPr>
                    <pic:cNvPr id="0" name="fig5_severity_bar.png"/>
                    <pic:cNvPicPr/>
                  </pic:nvPicPr>
                  <pic:blipFill>
                    <a:blip r:embed="rId12"/>
                    <a:stretch>
                      <a:fillRect/>
                    </a:stretch>
                  </pic:blipFill>
                  <pic:spPr>
                    <a:xfrm>
                      <a:off x="0" y="0"/>
                      <a:ext cx="5486400" cy="2952925"/>
                    </a:xfrm>
                    <a:prstGeom prst="rect"/>
                  </pic:spPr>
                </pic:pic>
              </a:graphicData>
            </a:graphic>
          </wp:inline>
        </w:drawing>
      </w:r>
    </w:p>
    <w:p>
      <w:pPr>
        <w:spacing w:before="280"/>
        <w:jc w:val="center"/>
      </w:pPr>
      <w:r>
        <w:rPr>
          <w:i/>
          <w:sz w:val="20"/>
        </w:rPr>
        <w:t>Figure 5. Clinical-competition gap severity by disease area and assessment dimension.</w:t>
      </w:r>
    </w:p>
    <w:p/>
    <w:p>
      <w:pPr>
        <w:spacing w:before="240" w:after="120"/>
      </w:pPr>
      <w:r>
        <w:rPr>
          <w:b/>
          <w:sz w:val="28"/>
        </w:rPr>
        <w:t>RECOMMENDATIONS FOR HARMONIZATION</w:t>
      </w:r>
    </w:p>
    <w:p>
      <w:pPr>
        <w:ind w:firstLine="720"/>
      </w:pPr>
      <w:r>
        <w:rPr>
          <w:sz w:val="24"/>
        </w:rPr>
        <w:t>Based on this review, we propose eight recommendations for reducing the clinical-competition gap:</w:t>
      </w:r>
    </w:p>
    <w:p>
      <w:pPr>
        <w:ind w:left="720" w:hanging="357"/>
      </w:pPr>
      <w:r>
        <w:rPr>
          <w:b/>
          <w:sz w:val="24"/>
        </w:rPr>
        <w:t xml:space="preserve">1. </w:t>
      </w:r>
      <w:r>
        <w:rPr>
          <w:sz w:val="24"/>
        </w:rPr>
        <w:t>Establish a formal mechanism to review and update WADA TUE Physician Guidelines within 12 months of major clinical guideline revisions (e.g., GINA, ADA, Endocrine Society updates).</w:t>
      </w:r>
    </w:p>
    <w:p>
      <w:pPr>
        <w:ind w:left="720" w:hanging="357"/>
      </w:pPr>
      <w:r>
        <w:rPr>
          <w:b/>
          <w:sz w:val="24"/>
        </w:rPr>
        <w:t xml:space="preserve">2. </w:t>
      </w:r>
      <w:r>
        <w:rPr>
          <w:sz w:val="24"/>
        </w:rPr>
        <w:t>Re-evaluate the organic/functional distinction for male hypogonadism TUEs in light of the Endocrine Society’s symptom-plus-biochemistry approach and the growing masters athlete population.</w:t>
      </w:r>
    </w:p>
    <w:p>
      <w:pPr>
        <w:ind w:left="720" w:hanging="357"/>
      </w:pPr>
      <w:r>
        <w:rPr>
          <w:b/>
          <w:sz w:val="24"/>
        </w:rPr>
        <w:t xml:space="preserve">3. </w:t>
      </w:r>
      <w:r>
        <w:rPr>
          <w:sz w:val="24"/>
        </w:rPr>
        <w:t>Conduct a formal impact assessment on athletes with type 2 diabetes before adding GLP-1 receptor agonists to the Prohibited List.</w:t>
      </w:r>
    </w:p>
    <w:p>
      <w:pPr>
        <w:ind w:left="720" w:hanging="357"/>
      </w:pPr>
      <w:r>
        <w:rPr>
          <w:b/>
          <w:sz w:val="24"/>
        </w:rPr>
        <w:t xml:space="preserve">4. </w:t>
      </w:r>
      <w:r>
        <w:rPr>
          <w:sz w:val="24"/>
        </w:rPr>
        <w:t>Review formoterol dose thresholds in the context of GINA 2025 MART recommendations to ensure athletes can follow guideline-directed asthma therapy without ADRV risk.</w:t>
      </w:r>
    </w:p>
    <w:p>
      <w:pPr>
        <w:ind w:left="720" w:hanging="357"/>
      </w:pPr>
      <w:r>
        <w:rPr>
          <w:b/>
          <w:sz w:val="24"/>
        </w:rPr>
        <w:t xml:space="preserve">5. </w:t>
      </w:r>
      <w:r>
        <w:rPr>
          <w:sz w:val="24"/>
        </w:rPr>
        <w:t>Re-evaluate the in-competition-only prohibition of stimulant medications for ADHD, considering the pharmacokinetics of long-acting formulations and the clinical inappropriateness of competition-day discontinuation.</w:t>
      </w:r>
    </w:p>
    <w:p>
      <w:pPr>
        <w:ind w:left="720" w:hanging="357"/>
      </w:pPr>
      <w:r>
        <w:rPr>
          <w:b/>
          <w:sz w:val="24"/>
        </w:rPr>
        <w:t xml:space="preserve">6. </w:t>
      </w:r>
      <w:r>
        <w:rPr>
          <w:sz w:val="24"/>
        </w:rPr>
        <w:t>Differentiate diuretic prohibition based on masking potential, considering a streamlined TUE process for MRAs (spironolactone/eplerenone) prescribed for heart failure.</w:t>
      </w:r>
    </w:p>
    <w:p>
      <w:pPr>
        <w:ind w:left="720" w:hanging="357"/>
      </w:pPr>
      <w:r>
        <w:rPr>
          <w:b/>
          <w:sz w:val="24"/>
        </w:rPr>
        <w:t xml:space="preserve">7. </w:t>
      </w:r>
      <w:r>
        <w:rPr>
          <w:sz w:val="24"/>
        </w:rPr>
        <w:t>Simplify and digitize TUE applications through ADAMS system improvements, multilingual support, and standardized documentation templates to reduce access disparities.</w:t>
      </w:r>
    </w:p>
    <w:p>
      <w:pPr>
        <w:ind w:left="720" w:hanging="357"/>
      </w:pPr>
      <w:r>
        <w:rPr>
          <w:b/>
          <w:sz w:val="24"/>
        </w:rPr>
        <w:t xml:space="preserve">8. </w:t>
      </w:r>
      <w:r>
        <w:rPr>
          <w:sz w:val="24"/>
        </w:rPr>
        <w:t>Integrate anti-doping pharmacology education into medical school curricula, residency training, and continuing medical education to improve prescriber awareness of the Prohibited List.</w:t>
      </w:r>
    </w:p>
    <w:p>
      <w:pPr>
        <w:spacing w:before="240" w:after="120"/>
      </w:pPr>
      <w:r>
        <w:rPr>
          <w:b/>
          <w:sz w:val="28"/>
        </w:rPr>
        <w:t>CONCLUSION</w:t>
      </w:r>
    </w:p>
    <w:p>
      <w:pPr>
        <w:ind w:firstLine="720"/>
      </w:pPr>
      <w:r>
        <w:rPr>
          <w:sz w:val="24"/>
        </w:rPr>
        <w:t>This scoping review identified systematic discrepancies between WADA TUE regulations and current clinical practice guidelines across seven major disease areas. These gaps arise from structural mismatches in update timing, diagnostic and treatment criteria, and the pace of pharmaceutical innovation. The consequences fall disproportionately on athletes, who may receive suboptimal care, face burdensome administrative processes, or risk inadvertent anti-doping violations when following evidence-based treatment recommendations.</w:t>
      </w:r>
    </w:p>
    <w:p>
      <w:pPr>
        <w:ind w:firstLine="720"/>
      </w:pPr>
      <w:r>
        <w:rPr>
          <w:sz w:val="24"/>
        </w:rPr>
        <w:t>The TUE system remains essential for balancing athlete health with sporting integrity. However, its effectiveness depends on alignment with current medical evidence. The recommendations proposed in this review offer a practical roadmap for harmonization that preserves anti-doping principles while ensuring athletes have access to the standard of medical care available to the general population. S&amp;C professionals, as daily points of contact with athletes, play a critical role in recognizing, navigating, and advocating for solutions to the clinical-competition gap.</w:t>
      </w:r>
    </w:p>
    <w:p>
      <w:r>
        <w:br w:type="page"/>
      </w:r>
    </w:p>
    <w:p>
      <w:pPr>
        <w:spacing w:before="240" w:after="120"/>
      </w:pPr>
      <w:r>
        <w:rPr>
          <w:b/>
          <w:sz w:val="28"/>
        </w:rPr>
        <w:t>REFERENCES</w:t>
      </w:r>
    </w:p>
    <w:p>
      <w:pPr>
        <w:spacing w:after="40" w:line="480" w:lineRule="auto"/>
        <w:ind w:left="720" w:hanging="720"/>
      </w:pPr>
      <w:r>
        <w:rPr>
          <w:sz w:val="20"/>
        </w:rPr>
        <w:t>1.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2. American Diabetes Association Professional Practice Committee. Standards of Care in Diabetes—2025. Diabetes Care. 2025;48(Suppl 1):S1–S352.</w:t>
      </w:r>
    </w:p>
    <w:p>
      <w:pPr>
        <w:spacing w:after="40" w:line="480" w:lineRule="auto"/>
        <w:ind w:left="720" w:hanging="720"/>
      </w:pPr>
      <w:r>
        <w:rPr>
          <w:sz w:val="20"/>
        </w:rPr>
        <w:t>3. Arksey H, O'Malley L. Scoping studies: towards a methodological framework. Int J Soc Res Methodol. 2005;8(1):19–32.</w:t>
      </w:r>
    </w:p>
    <w:p>
      <w:pPr>
        <w:spacing w:after="40" w:line="480" w:lineRule="auto"/>
        <w:ind w:left="720" w:hanging="720"/>
      </w:pPr>
      <w:r>
        <w:rPr>
          <w:sz w:val="20"/>
        </w:rPr>
        <w:t>4.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5. Bhasin S, Brito JP, Cunningham GR, et al. Testosterone therapy in men with hypogonadism: an Endocrine Society clinical practice guideline. J Clin Endocrinol Metab. 2018;103(5):1715–1744.</w:t>
      </w:r>
    </w:p>
    <w:p>
      <w:pPr>
        <w:spacing w:after="40" w:line="480" w:lineRule="auto"/>
        <w:ind w:left="720" w:hanging="720"/>
      </w:pPr>
      <w:r>
        <w:rPr>
          <w:sz w:val="20"/>
        </w:rPr>
        <w:t>6. European Association of Urology. EAU Guidelines on Sexual and Reproductive Health. Arnhem: EAU; 2024.</w:t>
      </w:r>
    </w:p>
    <w:p>
      <w:pPr>
        <w:spacing w:after="40" w:line="480" w:lineRule="auto"/>
        <w:ind w:left="720" w:hanging="720"/>
      </w:pPr>
      <w:r>
        <w:rPr>
          <w:sz w:val="20"/>
        </w:rPr>
        <w:t>7. Global Initiative for Asthma. Global Strategy for Asthma Management and Prevention. Fontana, WI: GINA; 2025.</w:t>
      </w:r>
    </w:p>
    <w:p>
      <w:pPr>
        <w:spacing w:after="40" w:line="480" w:lineRule="auto"/>
        <w:ind w:left="720" w:hanging="720"/>
      </w:pPr>
      <w:r>
        <w:rPr>
          <w:sz w:val="20"/>
        </w:rPr>
        <w:t>8. Heuberger JAAC, Cohen AF. Review of WADA prohibited substances: limited evidence for performance-enhancing effects. Sports Med. 2019;49(4):525–539.</w:t>
      </w:r>
    </w:p>
    <w:p>
      <w:pPr>
        <w:spacing w:after="40" w:line="480" w:lineRule="auto"/>
        <w:ind w:left="720" w:hanging="720"/>
      </w:pPr>
      <w:r>
        <w:rPr>
          <w:sz w:val="20"/>
        </w:rPr>
        <w:t>9. Hostrup M, Jacobson GA, Jessen S, Lemminger AK. Beta2-adrenoceptor agonist doping of athletes: a systematic review and meta-analysis of performance-enhancing effects. Br J Sports Med. 2020;54(22):1348–1356.</w:t>
      </w:r>
    </w:p>
    <w:p>
      <w:pPr>
        <w:spacing w:after="40" w:line="480" w:lineRule="auto"/>
        <w:ind w:left="720" w:hanging="720"/>
      </w:pPr>
      <w:r>
        <w:rPr>
          <w:sz w:val="20"/>
        </w:rPr>
        <w:t>10. Levac D, Colquhoun H, O'Brien KK. Scoping studies: advancing the methodology. Implement Sci. 2010;5:69.</w:t>
      </w:r>
    </w:p>
    <w:p>
      <w:pPr>
        <w:spacing w:after="40" w:line="480" w:lineRule="auto"/>
        <w:ind w:left="720" w:hanging="720"/>
      </w:pPr>
      <w:r>
        <w:rPr>
          <w:sz w:val="20"/>
        </w:rPr>
        <w:t>11. Lincoff AM, Bhasin S, Flevaris P, et al. Cardiovascular safety of testosterone-replacement therapy. N Engl J Med. 2023;389(2):107–117.</w:t>
      </w:r>
    </w:p>
    <w:p>
      <w:pPr>
        <w:spacing w:after="40" w:line="480" w:lineRule="auto"/>
        <w:ind w:left="720" w:hanging="720"/>
      </w:pPr>
      <w:r>
        <w:rPr>
          <w:sz w:val="20"/>
        </w:rPr>
        <w:t>12. Mancia G, Kreutz R, Brunstrom M, et al. 2023 ESH Guidelines for the management of arterial hypertension. J Hypertens. 2023;41(12):1874–2071.</w:t>
      </w:r>
    </w:p>
    <w:p>
      <w:pPr>
        <w:spacing w:after="40" w:line="480" w:lineRule="auto"/>
        <w:ind w:left="720" w:hanging="720"/>
      </w:pPr>
      <w:r>
        <w:rPr>
          <w:sz w:val="20"/>
        </w:rPr>
        <w:t>13. McDonagh TA, Metra M, Adamo M, et al. 2021 ESC Guidelines for the diagnosis and treatment of acute and chronic heart failure. Eur Heart J. 2021;42(36):3599–3726.</w:t>
      </w:r>
    </w:p>
    <w:p>
      <w:pPr>
        <w:spacing w:after="40" w:line="480" w:lineRule="auto"/>
        <w:ind w:left="720" w:hanging="720"/>
      </w:pPr>
      <w:r>
        <w:rPr>
          <w:sz w:val="20"/>
        </w:rPr>
        <w:t>14.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sz w:val="20"/>
        </w:rPr>
        <w:t>15. National Institute for Health and Care Excellence. Attention deficit hyperactivity disorder: diagnosis and management. NICE guideline [NG87]. London: NICE; 2024 (updated).</w:t>
      </w:r>
    </w:p>
    <w:p>
      <w:pPr>
        <w:spacing w:after="40" w:line="480" w:lineRule="auto"/>
        <w:ind w:left="720" w:hanging="720"/>
      </w:pPr>
      <w:r>
        <w:rPr>
          <w:sz w:val="20"/>
        </w:rPr>
        <w:t>16. Overbye M, Wagner U. Experiences, attitudes and knowledge of elite athletes regarding anti-doping—insights from a cross-national study. Eur J Sport Sci. 2014;14(Suppl 1):S149–S160.</w:t>
      </w:r>
    </w:p>
    <w:p>
      <w:pPr>
        <w:spacing w:after="40" w:line="480" w:lineRule="auto"/>
        <w:ind w:left="720" w:hanging="720"/>
      </w:pPr>
      <w:r>
        <w:rPr>
          <w:sz w:val="20"/>
        </w:rPr>
        <w:t>17. Stuart M, Mottram DR, Erskine PJ. Therapeutic use exemptions—a review and analysis of TUE application trends across Olympic sports from 2015 to 2020. Drug Test Anal. 2022;14(5):890–898.</w:t>
      </w:r>
    </w:p>
    <w:p>
      <w:pPr>
        <w:spacing w:after="40" w:line="480" w:lineRule="auto"/>
        <w:ind w:left="720" w:hanging="720"/>
      </w:pPr>
      <w:r>
        <w:rPr>
          <w:sz w:val="20"/>
        </w:rPr>
        <w:t>18.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sz w:val="20"/>
        </w:rPr>
        <w:t>19. Tricco AC, Lillie E, Zarin W, et al. PRISMA extension for scoping reviews (PRISMA-ScR): checklist and explanation. Ann Intern Med. 2018;169(7):467–473.</w:t>
      </w:r>
    </w:p>
    <w:p>
      <w:pPr>
        <w:spacing w:after="40" w:line="480" w:lineRule="auto"/>
        <w:ind w:left="720" w:hanging="720"/>
      </w:pPr>
      <w:r>
        <w:rPr>
          <w:sz w:val="20"/>
        </w:rPr>
        <w:t>20. Vernec A, Pipe A, Engel-Nitz NM. The World Anti-Doping Agency (WADA) Therapeutic Use Exemption (TUE) process. Clin J Sport Med. 2019;29(5):351–355.</w:t>
      </w:r>
    </w:p>
    <w:p>
      <w:pPr>
        <w:spacing w:after="40" w:line="480" w:lineRule="auto"/>
        <w:ind w:left="720" w:hanging="720"/>
      </w:pPr>
      <w:r>
        <w:rPr>
          <w:sz w:val="20"/>
        </w:rPr>
        <w:t>21.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sz w:val="20"/>
        </w:rPr>
        <w:t>22. World Anti-Doping Agency. World Anti-Doping Code 2021. Montreal: WADA; 2021.</w:t>
      </w:r>
    </w:p>
    <w:p>
      <w:pPr>
        <w:spacing w:after="40" w:line="480" w:lineRule="auto"/>
        <w:ind w:left="720" w:hanging="720"/>
      </w:pPr>
      <w:r>
        <w:rPr>
          <w:sz w:val="20"/>
        </w:rPr>
        <w:t>23. World Anti-Doping Agency. World Anti-Doping Code International Standard for Therapeutic Use Exemptions (ISTUE). Montreal: WADA; 2021.</w:t>
      </w:r>
    </w:p>
    <w:p>
      <w:pPr>
        <w:spacing w:after="40" w:line="480" w:lineRule="auto"/>
        <w:ind w:left="720" w:hanging="720"/>
      </w:pPr>
      <w:r>
        <w:rPr>
          <w:sz w:val="20"/>
        </w:rPr>
        <w:t>24. World Anti-Doping Agency. The 2026 Prohibited List International Standard. Montreal: WADA; 2025.</w:t>
      </w:r>
    </w:p>
    <w:p>
      <w:pPr>
        <w:spacing w:after="40" w:line="480" w:lineRule="auto"/>
        <w:ind w:left="720" w:hanging="720"/>
      </w:pPr>
      <w:r>
        <w:rPr>
          <w:sz w:val="20"/>
        </w:rPr>
        <w:t>25. World Anti-Doping Agency. TUE Physician Guidelines – Asthma. Version 9.3. Montreal: WADA; 2026.</w:t>
      </w:r>
    </w:p>
    <w:p>
      <w:pPr>
        <w:spacing w:after="40" w:line="480" w:lineRule="auto"/>
        <w:ind w:left="720" w:hanging="720"/>
      </w:pPr>
      <w:r>
        <w:rPr>
          <w:sz w:val="20"/>
        </w:rPr>
        <w:t>26. World Anti-Doping Agency. TUE Physician Guidelines – Attention Deficit Hyperactivity Disorder (ADHD). Version 8.0. Montreal: WADA; 2026.</w:t>
      </w:r>
    </w:p>
    <w:p>
      <w:pPr>
        <w:spacing w:after="40" w:line="480" w:lineRule="auto"/>
        <w:ind w:left="720" w:hanging="720"/>
      </w:pPr>
      <w:r>
        <w:rPr>
          <w:sz w:val="20"/>
        </w:rPr>
        <w:t>27. World Anti-Doping Agency. 2026 Monitoring Program. Montreal: WADA; 2025.</w:t>
      </w:r>
    </w:p>
    <w:p>
      <w:pPr>
        <w:spacing w:after="40" w:line="480" w:lineRule="auto"/>
        <w:ind w:left="720" w:hanging="720"/>
      </w:pPr>
      <w:r>
        <w:rPr>
          <w:sz w:val="20"/>
        </w:rPr>
        <w:t>28. World Anti-Doping Agency. Glucocorticoids and Therapeutic Use Exemptions Guidelines. Montreal: WADA; 2025.</w:t>
      </w:r>
    </w:p>
    <w:p>
      <w:pPr>
        <w:spacing w:after="40" w:line="480" w:lineRule="auto"/>
        <w:ind w:left="720" w:hanging="720"/>
      </w:pPr>
      <w:r>
        <w:rPr>
          <w:sz w:val="20"/>
        </w:rPr>
        <w:t>29. World Anti-Doping Agency. Glucocorticoids washout table—2026. Montreal: WADA; 2025.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