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sz w:val="22"/>
        </w:rPr>
        <w:t>［日付］</w:t>
      </w:r>
    </w:p>
    <w:p>
      <w:pPr>
        <w:spacing w:after="120"/>
      </w:pPr>
      <w:r>
        <w:rPr>
          <w:b w:val="0"/>
          <w:i w:val="0"/>
          <w:sz w:val="22"/>
        </w:rPr>
      </w:r>
    </w:p>
    <w:p>
      <w:pPr>
        <w:spacing w:after="120"/>
      </w:pPr>
      <w:r>
        <w:rPr>
          <w:b w:val="0"/>
          <w:i w:val="0"/>
          <w:sz w:val="22"/>
        </w:rPr>
        <w:t>編集長</w:t>
        <w:br/>
        <w:t>Strength and Conditioning Journal</w:t>
        <w:br/>
        <w:t>National Strength and Conditioning Association</w:t>
      </w:r>
    </w:p>
    <w:p>
      <w:pPr>
        <w:spacing w:after="120"/>
      </w:pPr>
      <w:r>
        <w:rPr>
          <w:b w:val="0"/>
          <w:i w:val="0"/>
          <w:sz w:val="22"/>
        </w:rPr>
      </w:r>
    </w:p>
    <w:p>
      <w:pPr>
        <w:spacing w:after="120"/>
      </w:pPr>
      <w:r>
        <w:rPr>
          <w:b/>
          <w:i w:val="0"/>
          <w:sz w:val="22"/>
        </w:rPr>
        <w:t>拝啓</w:t>
      </w:r>
    </w:p>
    <w:p>
      <w:pPr>
        <w:spacing w:after="120"/>
      </w:pPr>
      <w:r>
        <w:rPr>
          <w:b w:val="0"/>
          <w:i w:val="0"/>
          <w:sz w:val="22"/>
        </w:rPr>
        <w:t>「Mind the Gap: WADA治療使用特例規則と現行臨床診療ガイドラインの乖離に関するスコーピングレビュー」と題した原稿を、Strength and Conditioning Journalのナラティブレビュー論文としてご検討いただきたく、謹んで投稿いたします。</w:t>
      </w:r>
    </w:p>
    <w:p>
      <w:pPr>
        <w:spacing w:after="120"/>
      </w:pPr>
      <w:r>
        <w:rPr>
          <w:b w:val="0"/>
          <w:i w:val="0"/>
          <w:sz w:val="22"/>
        </w:rPr>
        <w:t>本PRISMA-ScR準拠スコーピングレビューは、世界アンチ・ドーピング機構（WADA）の治療使用特例（TUE）規制枠組みと、7つの疾患領域（喘息、ADHD、2型糖尿病、男性性腺機能低下症、グルココルチコイド投与を要する疾患、心血管疾患、多嚢胞性卵巣症候群）における現行のエビデンスに基づく臨床診療ガイドラインとの乖離を体系的にマッピングしました。68件の関連文献を同定し、7領域すべてで臨床的に有意なギャップを確認しました。</w:t>
      </w:r>
    </w:p>
    <w:p>
      <w:pPr>
        <w:spacing w:after="120"/>
      </w:pPr>
      <w:r>
        <w:rPr>
          <w:b w:val="0"/>
          <w:i w:val="0"/>
          <w:sz w:val="22"/>
        </w:rPr>
        <w:t>本原稿がSCJの読者層に特に適していると考える理由は以下の通りです。第一に、臨床─競技ギャップはS&amp;C専門家が日常的に指導するアスリートに直接影響します。第二に、本レビューはS&amp;C専門家が禁止薬物を服用中のアスリートやTUEプロセスのナビゲーションにおいて即座に活用できる、疾患別の実践的ガイダンスを提供します。第三に、臨床ガイドラインがWADA禁止表上の薬剤をますます推奨する中で、S&amp;C専門家がこれらの乖離を予測・管理するための包括的な参考資料が必要とされています。</w:t>
      </w:r>
    </w:p>
    <w:p>
      <w:pPr>
        <w:spacing w:after="120"/>
      </w:pPr>
      <w:r>
        <w:rPr>
          <w:b w:val="0"/>
          <w:i w:val="0"/>
          <w:sz w:val="22"/>
        </w:rPr>
        <w:t>本レビューの特徴的な点は、臨床医であると同時に日本アンチ・ドーピング機構（JADA）管轄下の元競技ボディビルダーとしての著者の視点を統合していることです。この二重の視点は、学術文献で十分に認識されていないギャップの同定に寄与しました：管轄区域と競技レベル間のTUEアクセスの変動性です。例示的な逸話として、著者が参加した公式JADAアンチ・ドーピング講習会では、TUE提出は全国大会で上位入賞した選手か、過去に規則違反をした選手のみに限られると明示されました。これはJADAの正式な方針ではなく局所的な運用実態を反映している可能性がありますが、アンチ・ドーピング規則の対象となる全てのアスリートにTUEアクセスが均一に提供されていない可能性があるという、より広い構造的懸念を例証するものです。この格差は、アンチ・ドーピング規則とエビデンスに基づく薬物療法の両方に精通した医師へのアクセスの限界と相まって、公平なケアへの重大な障壁を生み出し、競技の裾野を狭める可能性があります。</w:t>
      </w:r>
    </w:p>
    <w:p>
      <w:pPr>
        <w:spacing w:after="120"/>
      </w:pPr>
      <w:r>
        <w:rPr>
          <w:b w:val="0"/>
          <w:i w:val="0"/>
          <w:sz w:val="22"/>
        </w:rPr>
        <w:t>本レビューの中心的主張は、標準的臨床治療が全てのアスリートにとって基本的権利であるべきであり、制限は特定の物質が治療的回復を超える明確なパフォーマンス向上効果をもたらす場合にのみ適用されるべきであるということです。現行制度はこの論理を反転させ、禁止をデフォルトとしてアスリートに例外を請願させています。これが課す治療負担──規制の不確実性、行政的複雑さ、知識ある医師へのアクセス制限、心理的苦痛──は、本レビューがより広く注目を集めることを目指す、アスリートに対する重大かつ十分に認識されていない害を表しています。</w:t>
      </w:r>
    </w:p>
    <w:p>
      <w:pPr>
        <w:spacing w:after="120"/>
      </w:pPr>
      <w:r>
        <w:rPr>
          <w:b w:val="0"/>
          <w:i w:val="0"/>
          <w:sz w:val="22"/>
        </w:rPr>
        <w:t>本原稿は未発表であり、他のジャーナルで審査中ではありません。核心的議論の一部は以前British Journal of Sports MedicineにViewpoint（約1,500語）として投稿されましたが、本原稿は体系的方法論、疾患別分析、実践的提言を含む包括的スコーピングレビュー（約6,700語）であり、先の投稿とは実質的に異なる著作です。全著者が原稿を承認し、SCJへの投稿に同意しています。</w:t>
      </w:r>
    </w:p>
    <w:p>
      <w:pPr>
        <w:spacing w:after="120"/>
      </w:pPr>
      <w:r>
        <w:rPr>
          <w:b w:val="0"/>
          <w:i w:val="0"/>
          <w:sz w:val="22"/>
        </w:rPr>
        <w:t>投稿規定を確認し遵守していることを確認いたします。PRISMA-ScRチェックリストは補足ファイルとして添付しています。</w:t>
      </w:r>
    </w:p>
    <w:p>
      <w:pPr>
        <w:spacing w:after="120"/>
      </w:pPr>
      <w:r>
        <w:rPr>
          <w:b w:val="0"/>
          <w:i w:val="0"/>
          <w:sz w:val="22"/>
        </w:rPr>
      </w:r>
    </w:p>
    <w:p>
      <w:pPr>
        <w:spacing w:after="120"/>
      </w:pPr>
      <w:r>
        <w:rPr>
          <w:b w:val="0"/>
          <w:i w:val="0"/>
          <w:sz w:val="22"/>
        </w:rPr>
        <w:t>敬具</w:t>
      </w:r>
    </w:p>
    <w:p>
      <w:pPr>
        <w:spacing w:after="120"/>
      </w:pPr>
      <w:r>
        <w:rPr>
          <w:b w:val="0"/>
          <w:i w:val="0"/>
          <w:sz w:val="22"/>
        </w:rPr>
        <w:t>[著者名], MD, CSCS</w:t>
        <w:br/>
        <w:t>[所属機関]</w:t>
        <w:br/>
        <w:t>Email: [email]</w:t>
        <w:br/>
        <w:t>Telephone: [phone]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