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28"/>
        </w:rPr>
        <w:t>yoshika: A Python Package for Pharmacokinetic-Pharmacodynamic Simulation of Local Anesthetics with Selectable Initial Compartment</w:t>
      </w:r>
    </w:p>
    <w:p>
      <w:pPr>
        <w:jc w:val="center"/>
      </w:pPr>
      <w:r>
        <w:rPr>
          <w:sz w:val="24"/>
        </w:rPr>
        <w:t>Tatsuki Onishi</w:t>
      </w:r>
    </w:p>
    <w:p>
      <w:pPr>
        <w:jc w:val="center"/>
      </w:pPr>
      <w:r>
        <w:rPr>
          <w:i/>
          <w:sz w:val="20"/>
        </w:rPr>
        <w:t>Data Science and AI Innovation Research Promotion Center, Shiga University</w:t>
      </w:r>
    </w:p>
    <w:p>
      <w:pPr>
        <w:jc w:val="center"/>
      </w:pPr>
      <w:r>
        <w:rPr>
          <w:sz w:val="20"/>
        </w:rPr>
        <w:t>ORCID: 0000-0001-7261-9062</w:t>
      </w:r>
    </w:p>
    <w:p>
      <w:pPr>
        <w:spacing w:after="240"/>
        <w:jc w:val="center"/>
      </w:pPr>
      <w:r>
        <w:rPr>
          <w:sz w:val="20"/>
        </w:rPr>
        <w:t>Corresponding author: bougtoir@gmail.com</w:t>
      </w:r>
    </w:p>
    <w:p>
      <w:pPr>
        <w:pStyle w:val="Heading1"/>
      </w:pPr>
      <w:r>
        <w:t>Highlights</w:t>
      </w:r>
    </w:p>
    <w:p>
      <w:pPr>
        <w:pStyle w:val="ListBullet"/>
      </w:pPr>
      <w:r>
        <w:t>First open-source PKPD simulator with selectable initial compartment for local anesthetics</w:t>
      </w:r>
    </w:p>
    <w:p>
      <w:pPr>
        <w:pStyle w:val="ListBullet"/>
      </w:pPr>
      <w:r>
        <w:t>Simulates clinically distinct scenarios: successful block, failed block, IV, and depot</w:t>
      </w:r>
    </w:p>
    <w:p>
      <w:pPr>
        <w:pStyle w:val="ListBullet"/>
      </w:pPr>
      <w:r>
        <w:t>Supports context-sensitive maximum dose framework for regional anesthesia safety</w:t>
      </w:r>
    </w:p>
    <w:p>
      <w:pPr>
        <w:pStyle w:val="ListBullet"/>
      </w:pPr>
      <w:r>
        <w:t>Built-in parameters for lidocaine, bupivacaine, ropivacaine, and levobupivacaine</w:t>
      </w:r>
    </w:p>
    <w:p>
      <w:pPr>
        <w:pStyle w:val="ListBullet"/>
      </w:pPr>
      <w:r>
        <w:t>Demonstrates route-adaptive PKPD integration feasibility for anesthesia information systems</w:t>
      </w:r>
    </w:p>
    <w:p>
      <w:pPr>
        <w:pStyle w:val="Heading1"/>
      </w:pPr>
      <w:r>
        <w:t>Abstract</w:t>
      </w:r>
    </w:p>
    <w:p>
      <w:r>
        <w:t>yoshika (Yielding Open Simulation of Hybrid Inter-disciplinary Kinetic Absorption) is an open-source Python package for pharmacokinetic-pharmacodynamic (PKPD) simulation of local anesthetics with a selectable initial compartment. Traditional three-compartment pharmacokinetic models assume intravenous administration where drug enters the central plasma compartment first. In regional anesthesia, however, drug is deposited directly into tissues: a successful peripheral nerve block deposits drug into vessel-poor tissue, while a failed block may deposit drug into vessel-rich tissue or directly into plasma. yoshika enables researchers and clinicians to simulate these clinically distinct scenarios by selecting the initial compartment of drug deposition and comparing the resulting concentration-time profiles and pharmacodynamic effects. The package includes built-in parameters for four local anesthetics (lidocaine, bupivacaine, ropivacaine, levobupivacaine), an effect-site compartment with sigmoid Emax pharmacodynamic model, and visualization utilities. By quantifying how the initial compartment determines peak plasma concentration and time-to-toxicity, yoshika supports the concept of context-sensitive maximum dose recommendations and route-adaptive PKPD simulation in anesthesia information management systems.</w:t>
      </w:r>
    </w:p>
    <w:p>
      <w:r>
        <w:rPr>
          <w:b/>
        </w:rPr>
        <w:t xml:space="preserve">Keywords: </w:t>
      </w:r>
      <w:r>
        <w:t>pharmacokinetics; pharmacodynamics; local anesthetics; regional anesthesia; compartment model; simulation; Python; systemic toxicity</w:t>
      </w:r>
    </w:p>
    <w:p>
      <w:pPr>
        <w:pStyle w:val="Heading1"/>
      </w:pPr>
      <w:r>
        <w:t>1. Introduction</w:t>
      </w:r>
    </w:p>
    <w:p>
      <w:pPr>
        <w:pStyle w:val="Heading2"/>
      </w:pPr>
      <w:r>
        <w:t>1.1. The initial compartment problem in regional anesthesia</w:t>
      </w:r>
    </w:p>
    <w:p>
      <w:r>
        <w:rPr>
          <w:rFonts w:ascii="Times New Roman" w:hAnsi="Times New Roman"/>
          <w:sz w:val="22"/>
        </w:rPr>
        <w:t>In regional anesthesia and pain medicine, local anesthetics (LAs) are injected near nerves and fascial planes rather than intravenously. The pharmacokinetic behavior of these drugs depends critically on the injection site and block success. Existing PK simulation tools (e.g., STANPUMP, Tivatrainer, Eleveld models) uniformly assume intravenous administration, where drug enters the central (plasma) compartment at time zero.</w:t>
      </w:r>
      <w:r>
        <w:rPr>
          <w:sz w:val="16"/>
          <w:vertAlign w:val="superscript"/>
        </w:rPr>
        <w:t>1</w:t>
      </w:r>
      <w:r>
        <w:rPr>
          <w:rFonts w:ascii="Times New Roman" w:hAnsi="Times New Roman"/>
          <w:sz w:val="22"/>
        </w:rPr>
        <w:t xml:space="preserve"> This assumption does not hold for regional anesthesia, where:</w:t>
      </w:r>
    </w:p>
    <w:p>
      <w:pPr>
        <w:pStyle w:val="ListBullet"/>
      </w:pPr>
      <w:r>
        <w:t>A successful peripheral nerve block deposits the drug bolus into vessel-poor tissue (V3/BPT), resulting in slow absorption into plasma with a delayed, attenuated peak plasma concentration.</w:t>
      </w:r>
    </w:p>
    <w:p>
      <w:pPr>
        <w:pStyle w:val="ListBullet"/>
      </w:pPr>
      <w:r>
        <w:t>A failed block with intravascular injection deposits the drug into vessel-rich tissue (V2/BRT) or directly into plasma, resulting in rapid systemic exposure and potentially toxic concentrations.</w:t>
      </w:r>
    </w:p>
    <w:p>
      <w:pPr>
        <w:pStyle w:val="ListBullet"/>
      </w:pPr>
      <w:r>
        <w:t>Fascial plane blocks and depot injections involve absorption through a depot compartment with first-order absorption kinetics (kₐ).</w:t>
      </w:r>
    </w:p>
    <w:p>
      <w:r>
        <w:t>To our knowledge, no existing open-source PKPD simulation package explicitly supports selectable initial compartment for local anesthetics.</w:t>
      </w:r>
    </w:p>
    <w:p>
      <w:pPr>
        <w:pStyle w:val="Heading2"/>
      </w:pPr>
      <w:r>
        <w:t>1.2. Physicochemical basis of compartmental drug distribution</w:t>
      </w:r>
    </w:p>
    <w:p>
      <w:r>
        <w:rPr>
          <w:rFonts w:ascii="Times New Roman" w:hAnsi="Times New Roman"/>
          <w:sz w:val="22"/>
        </w:rPr>
        <w:t>The pharmacokinetic behavior of LAs across tissue compartments is fundamentally governed by their physicochemical properties, particularly lipophilicity and ionization state. Strichartz et al. systematically measured octanol/buffer partition coefficients and pKa values for clinically used LAs, demonstrating that lipophilicity—as quantified by the partition coefficient—and temperature-dependent ionization are primary determinants of tissue distribution and nerve-blocking potency.</w:t>
      </w:r>
      <w:r>
        <w:rPr>
          <w:sz w:val="16"/>
          <w:vertAlign w:val="superscript"/>
        </w:rPr>
        <w:t>2</w:t>
      </w:r>
      <w:r>
        <w:rPr>
          <w:rFonts w:ascii="Times New Roman" w:hAnsi="Times New Roman"/>
          <w:sz w:val="22"/>
        </w:rPr>
        <w:t xml:space="preserve"> Their finding that the protonated species concentration in lipid remains nearly constant upon cooling, while the neutral species concentration decreases substantially, provided a physicochemical explanation for the increased blocking potency of LAs at lower temperatures.</w:t>
      </w:r>
    </w:p>
    <w:p>
      <w:r>
        <w:rPr>
          <w:rFonts w:ascii="Times New Roman" w:hAnsi="Times New Roman"/>
          <w:sz w:val="22"/>
        </w:rPr>
        <w:t>Building on these fundamental properties, Kavčič et al. applied quantum chemical calculations to model the transfer energetics of seven LAs from extracellular fluid across the biological membrane to the axoplasm, demonstrating that LA transfer between compartments relies on pH differences and affinities toward lipophilic compartments.</w:t>
      </w:r>
      <w:r>
        <w:rPr>
          <w:sz w:val="16"/>
          <w:vertAlign w:val="superscript"/>
        </w:rPr>
        <w:t>3</w:t>
      </w:r>
      <w:r>
        <w:rPr>
          <w:rFonts w:ascii="Times New Roman" w:hAnsi="Times New Roman"/>
          <w:sz w:val="22"/>
        </w:rPr>
        <w:t xml:space="preserve"> Their computational analysis showed that LAs are stored in Schwann cell membranes, adipose tissue, and other lipophilic compartments, from which they are slowly released—a process directly relevant to the vessel-poor tissue (BPT) compartment in pharmacokinetic models. Furthermore, local acidosis reduces LA storage in lipophilic compartments, decreasing the duration of action, while more lipophilic LAs (e.g., bupivacaine) exhibit greater storage capacity and longer duration.</w:t>
      </w:r>
    </w:p>
    <w:p>
      <w:r>
        <w:t>These physicochemical principles provide the theoretical foundation for the compartmental modeling approach implemented in yoshika: the initial compartment of drug deposition determines the subsequent absorption kinetics because tissue-specific lipophilicity and pH govern the rate of drug transfer between compartments.</w:t>
      </w:r>
    </w:p>
    <w:p>
      <w:pPr>
        <w:pStyle w:val="Heading2"/>
      </w:pPr>
      <w:r>
        <w:t>1.3. Clinical significance: systemic toxicity risk and context-sensitive dosing</w:t>
      </w:r>
    </w:p>
    <w:p>
      <w:r>
        <w:rPr>
          <w:rFonts w:ascii="Times New Roman" w:hAnsi="Times New Roman"/>
          <w:sz w:val="22"/>
        </w:rPr>
        <w:t>The clinical significance of selectable initial compartment modeling lies in its direct implications for local anesthetic systemic toxicity (LAST) risk assessment. Traditional maximum recommended doses for LAs (e.g., bupivacaine 2 mg/kg, lidocaine 4.5 mg/kg without epinephrine) are derived from intravenous pharmacokinetic studies, where the entire dose enters the central plasma compartment instantaneously.</w:t>
      </w:r>
      <w:r>
        <w:rPr>
          <w:sz w:val="16"/>
          <w:vertAlign w:val="superscript"/>
        </w:rPr>
        <w:t>4,5</w:t>
      </w:r>
      <w:r>
        <w:rPr>
          <w:rFonts w:ascii="Times New Roman" w:hAnsi="Times New Roman"/>
          <w:sz w:val="22"/>
        </w:rPr>
        <w:t xml:space="preserve"> This assumption produces the highest possible peak plasma concentration (Cmax) for a given dose.</w:t>
      </w:r>
    </w:p>
    <w:p>
      <w:r>
        <w:t>However, in regional anesthesia, the initial compartment of drug deposition fundamentally alters the concentration-time profile:</w:t>
      </w:r>
    </w:p>
    <w:p>
      <w:pPr>
        <w:pStyle w:val="ListBullet"/>
      </w:pPr>
      <w:r>
        <w:t>Successful block (BPT start): Drug deposited in vessel-poor tissue is absorbed slowly into plasma, producing a delayed and attenuated Cmax.</w:t>
      </w:r>
    </w:p>
    <w:p>
      <w:pPr>
        <w:pStyle w:val="ListBullet"/>
      </w:pPr>
      <w:r>
        <w:t>Failed block (BRT start): Drug deposited near vessel-rich tissue is absorbed rapidly, producing an earlier and higher Cmax.</w:t>
      </w:r>
    </w:p>
    <w:p>
      <w:pPr>
        <w:pStyle w:val="ListBullet"/>
      </w:pPr>
      <w:r>
        <w:t>Intravascular injection (Plasma start): Equivalent to IV bolus with immediate high Cmax and maximum toxicity risk.</w:t>
      </w:r>
    </w:p>
    <w:p>
      <w:r>
        <w:rPr>
          <w:rFonts w:ascii="Times New Roman" w:hAnsi="Times New Roman"/>
          <w:sz w:val="22"/>
        </w:rPr>
        <w:t>We propose the concept of context-sensitive maximum dose for LAs, analogous to the context-sensitive half-time that transformed understanding of intravenous drug offset.</w:t>
      </w:r>
      <w:r>
        <w:rPr>
          <w:sz w:val="16"/>
          <w:vertAlign w:val="superscript"/>
        </w:rPr>
        <w:t>6</w:t>
      </w:r>
      <w:r>
        <w:rPr>
          <w:rFonts w:ascii="Times New Roman" w:hAnsi="Times New Roman"/>
          <w:sz w:val="22"/>
        </w:rPr>
        <w:t xml:space="preserve"> Under this framework, the effective maximum safe dose is not a single fixed value but varies with the clinical scenario (Table 1).</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rFonts w:ascii="Times New Roman" w:hAnsi="Times New Roman"/>
                <w:b/>
                <w:sz w:val="18"/>
              </w:rPr>
              <w:t>Scenario</w:t>
            </w:r>
          </w:p>
        </w:tc>
        <w:tc>
          <w:tcPr>
            <w:tcW w:type="dxa" w:w="2160"/>
          </w:tcPr>
          <w:p>
            <w:pPr>
              <w:jc w:val="center"/>
            </w:pPr>
            <w:r>
              <w:rPr>
                <w:rFonts w:ascii="Times New Roman" w:hAnsi="Times New Roman"/>
                <w:b/>
                <w:sz w:val="18"/>
              </w:rPr>
              <w:t>Initial Compartment</w:t>
            </w:r>
          </w:p>
        </w:tc>
        <w:tc>
          <w:tcPr>
            <w:tcW w:type="dxa" w:w="2160"/>
          </w:tcPr>
          <w:p>
            <w:pPr>
              <w:jc w:val="center"/>
            </w:pPr>
            <w:r>
              <w:rPr>
                <w:rFonts w:ascii="Times New Roman" w:hAnsi="Times New Roman"/>
                <w:b/>
                <w:sz w:val="18"/>
              </w:rPr>
              <w:t>Expected Cmax</w:t>
            </w:r>
          </w:p>
        </w:tc>
        <w:tc>
          <w:tcPr>
            <w:tcW w:type="dxa" w:w="2160"/>
          </w:tcPr>
          <w:p>
            <w:pPr>
              <w:jc w:val="center"/>
            </w:pPr>
            <w:r>
              <w:rPr>
                <w:rFonts w:ascii="Times New Roman" w:hAnsi="Times New Roman"/>
                <w:b/>
                <w:sz w:val="18"/>
              </w:rPr>
              <w:t>Dose Implication</w:t>
            </w:r>
          </w:p>
        </w:tc>
      </w:tr>
      <w:tr>
        <w:tc>
          <w:tcPr>
            <w:tcW w:type="dxa" w:w="2160"/>
          </w:tcPr>
          <w:p>
            <w:r>
              <w:rPr>
                <w:rFonts w:ascii="Times New Roman" w:hAnsi="Times New Roman"/>
                <w:sz w:val="18"/>
              </w:rPr>
              <w:t>Successful block</w:t>
            </w:r>
          </w:p>
        </w:tc>
        <w:tc>
          <w:tcPr>
            <w:tcW w:type="dxa" w:w="2160"/>
          </w:tcPr>
          <w:p>
            <w:r>
              <w:rPr>
                <w:rFonts w:ascii="Times New Roman" w:hAnsi="Times New Roman"/>
                <w:sz w:val="18"/>
              </w:rPr>
              <w:t>BPT (V3)</w:t>
            </w:r>
          </w:p>
        </w:tc>
        <w:tc>
          <w:tcPr>
            <w:tcW w:type="dxa" w:w="2160"/>
          </w:tcPr>
          <w:p>
            <w:r>
              <w:rPr>
                <w:rFonts w:ascii="Times New Roman" w:hAnsi="Times New Roman"/>
                <w:sz w:val="18"/>
              </w:rPr>
              <w:t>Low, delayed</w:t>
            </w:r>
          </w:p>
        </w:tc>
        <w:tc>
          <w:tcPr>
            <w:tcW w:type="dxa" w:w="2160"/>
          </w:tcPr>
          <w:p>
            <w:r>
              <w:rPr>
                <w:rFonts w:ascii="Times New Roman" w:hAnsi="Times New Roman"/>
                <w:sz w:val="18"/>
              </w:rPr>
              <w:t>Higher dose may be safe</w:t>
            </w:r>
          </w:p>
        </w:tc>
      </w:tr>
      <w:tr>
        <w:tc>
          <w:tcPr>
            <w:tcW w:type="dxa" w:w="2160"/>
          </w:tcPr>
          <w:p>
            <w:r>
              <w:rPr>
                <w:rFonts w:ascii="Times New Roman" w:hAnsi="Times New Roman"/>
                <w:sz w:val="18"/>
              </w:rPr>
              <w:t>Partial block</w:t>
            </w:r>
          </w:p>
        </w:tc>
        <w:tc>
          <w:tcPr>
            <w:tcW w:type="dxa" w:w="2160"/>
          </w:tcPr>
          <w:p>
            <w:r>
              <w:rPr>
                <w:rFonts w:ascii="Times New Roman" w:hAnsi="Times New Roman"/>
                <w:sz w:val="18"/>
              </w:rPr>
              <w:t>Mixed (BPT + BRT)</w:t>
            </w:r>
          </w:p>
        </w:tc>
        <w:tc>
          <w:tcPr>
            <w:tcW w:type="dxa" w:w="2160"/>
          </w:tcPr>
          <w:p>
            <w:r>
              <w:rPr>
                <w:rFonts w:ascii="Times New Roman" w:hAnsi="Times New Roman"/>
                <w:sz w:val="18"/>
              </w:rPr>
              <w:t>Intermediate</w:t>
            </w:r>
          </w:p>
        </w:tc>
        <w:tc>
          <w:tcPr>
            <w:tcW w:type="dxa" w:w="2160"/>
          </w:tcPr>
          <w:p>
            <w:r>
              <w:rPr>
                <w:rFonts w:ascii="Times New Roman" w:hAnsi="Times New Roman"/>
                <w:sz w:val="18"/>
              </w:rPr>
              <w:t>Standard limit applies</w:t>
            </w:r>
          </w:p>
        </w:tc>
      </w:tr>
      <w:tr>
        <w:tc>
          <w:tcPr>
            <w:tcW w:type="dxa" w:w="2160"/>
          </w:tcPr>
          <w:p>
            <w:r>
              <w:rPr>
                <w:rFonts w:ascii="Times New Roman" w:hAnsi="Times New Roman"/>
                <w:sz w:val="18"/>
              </w:rPr>
              <w:t>Failed block</w:t>
            </w:r>
          </w:p>
        </w:tc>
        <w:tc>
          <w:tcPr>
            <w:tcW w:type="dxa" w:w="2160"/>
          </w:tcPr>
          <w:p>
            <w:r>
              <w:rPr>
                <w:rFonts w:ascii="Times New Roman" w:hAnsi="Times New Roman"/>
                <w:sz w:val="18"/>
              </w:rPr>
              <w:t>BRT (V2)</w:t>
            </w:r>
          </w:p>
        </w:tc>
        <w:tc>
          <w:tcPr>
            <w:tcW w:type="dxa" w:w="2160"/>
          </w:tcPr>
          <w:p>
            <w:r>
              <w:rPr>
                <w:rFonts w:ascii="Times New Roman" w:hAnsi="Times New Roman"/>
                <w:sz w:val="18"/>
              </w:rPr>
              <w:t>Moderate-high, early</w:t>
            </w:r>
          </w:p>
        </w:tc>
        <w:tc>
          <w:tcPr>
            <w:tcW w:type="dxa" w:w="2160"/>
          </w:tcPr>
          <w:p>
            <w:r>
              <w:rPr>
                <w:rFonts w:ascii="Times New Roman" w:hAnsi="Times New Roman"/>
                <w:sz w:val="18"/>
              </w:rPr>
              <w:t>Lower dose may be needed</w:t>
            </w:r>
          </w:p>
        </w:tc>
      </w:tr>
      <w:tr>
        <w:tc>
          <w:tcPr>
            <w:tcW w:type="dxa" w:w="2160"/>
          </w:tcPr>
          <w:p>
            <w:r>
              <w:rPr>
                <w:rFonts w:ascii="Times New Roman" w:hAnsi="Times New Roman"/>
                <w:sz w:val="18"/>
              </w:rPr>
              <w:t>Intravascular injection</w:t>
            </w:r>
          </w:p>
        </w:tc>
        <w:tc>
          <w:tcPr>
            <w:tcW w:type="dxa" w:w="2160"/>
          </w:tcPr>
          <w:p>
            <w:r>
              <w:rPr>
                <w:rFonts w:ascii="Times New Roman" w:hAnsi="Times New Roman"/>
                <w:sz w:val="18"/>
              </w:rPr>
              <w:t>Plasma (V1)</w:t>
            </w:r>
          </w:p>
        </w:tc>
        <w:tc>
          <w:tcPr>
            <w:tcW w:type="dxa" w:w="2160"/>
          </w:tcPr>
          <w:p>
            <w:r>
              <w:rPr>
                <w:rFonts w:ascii="Times New Roman" w:hAnsi="Times New Roman"/>
                <w:sz w:val="18"/>
              </w:rPr>
              <w:t>Very high, immediate</w:t>
            </w:r>
          </w:p>
        </w:tc>
        <w:tc>
          <w:tcPr>
            <w:tcW w:type="dxa" w:w="2160"/>
          </w:tcPr>
          <w:p>
            <w:r>
              <w:rPr>
                <w:rFonts w:ascii="Times New Roman" w:hAnsi="Times New Roman"/>
                <w:sz w:val="18"/>
              </w:rPr>
              <w:t>Traditional IV limits apply</w:t>
            </w:r>
          </w:p>
        </w:tc>
      </w:tr>
      <w:tr>
        <w:tc>
          <w:tcPr>
            <w:tcW w:type="dxa" w:w="2160"/>
          </w:tcPr>
          <w:p>
            <w:r>
              <w:rPr>
                <w:rFonts w:ascii="Times New Roman" w:hAnsi="Times New Roman"/>
                <w:sz w:val="18"/>
              </w:rPr>
              <w:t>Epidural</w:t>
            </w:r>
          </w:p>
        </w:tc>
        <w:tc>
          <w:tcPr>
            <w:tcW w:type="dxa" w:w="2160"/>
          </w:tcPr>
          <w:p>
            <w:r>
              <w:rPr>
                <w:rFonts w:ascii="Times New Roman" w:hAnsi="Times New Roman"/>
                <w:sz w:val="18"/>
              </w:rPr>
              <w:t>Depot (multi-pathway)</w:t>
            </w:r>
          </w:p>
        </w:tc>
        <w:tc>
          <w:tcPr>
            <w:tcW w:type="dxa" w:w="2160"/>
          </w:tcPr>
          <w:p>
            <w:r>
              <w:rPr>
                <w:rFonts w:ascii="Times New Roman" w:hAnsi="Times New Roman"/>
                <w:sz w:val="18"/>
              </w:rPr>
              <w:t>Intermediate, delayed</w:t>
            </w:r>
          </w:p>
        </w:tc>
        <w:tc>
          <w:tcPr>
            <w:tcW w:type="dxa" w:w="2160"/>
          </w:tcPr>
          <w:p>
            <w:r>
              <w:rPr>
                <w:rFonts w:ascii="Times New Roman" w:hAnsi="Times New Roman"/>
                <w:sz w:val="18"/>
              </w:rPr>
              <w:t>Depot model approximation</w:t>
            </w:r>
          </w:p>
        </w:tc>
      </w:tr>
    </w:tbl>
    <w:p>
      <w:pPr>
        <w:spacing w:before="280"/>
        <w:jc w:val="center"/>
      </w:pPr>
      <w:r>
        <w:rPr>
          <w:rFonts w:ascii="Times New Roman" w:hAnsi="Times New Roman"/>
          <w:b/>
          <w:sz w:val="20"/>
        </w:rPr>
        <w:t xml:space="preserve">Table 1. </w:t>
      </w:r>
      <w:r>
        <w:rPr>
          <w:rFonts w:ascii="Times New Roman" w:hAnsi="Times New Roman"/>
          <w:sz w:val="20"/>
        </w:rPr>
        <w:t>Proposed context-sensitive maximum dose framework.</w:t>
      </w:r>
    </w:p>
    <w:p>
      <w:r>
        <w:rPr>
          <w:rFonts w:ascii="Times New Roman" w:hAnsi="Times New Roman"/>
          <w:sz w:val="22"/>
        </w:rPr>
        <w:t>This framework provides a pharmacokinetic rationale for the empirical observation that LAST is rare despite frequent exceeding of traditional mg/kg dose limits in regional anesthesia practice.</w:t>
      </w:r>
      <w:r>
        <w:rPr>
          <w:sz w:val="16"/>
          <w:vertAlign w:val="superscript"/>
        </w:rPr>
        <w:t>4</w:t>
      </w:r>
      <w:r>
        <w:rPr>
          <w:rFonts w:ascii="Times New Roman" w:hAnsi="Times New Roman"/>
          <w:sz w:val="22"/>
        </w:rPr>
      </w:r>
    </w:p>
    <w:p>
      <w:pPr>
        <w:pStyle w:val="Heading2"/>
      </w:pPr>
      <w:r>
        <w:t>1.4. Existing anesthesia simulators and positioning of yoshika</w:t>
      </w:r>
    </w:p>
    <w:p>
      <w:r>
        <w:t>Several open-source anesthesia simulation tools exist, but none address the specific problem of initial compartment selection for local anesthetics in regional anesthesia.</w:t>
      </w:r>
    </w:p>
    <w:p>
      <w:r>
        <w:rPr>
          <w:rFonts w:ascii="Times New Roman" w:hAnsi="Times New Roman"/>
          <w:sz w:val="22"/>
        </w:rPr>
        <w:t>The Python Anesthesia Simulator (PAS)</w:t>
      </w:r>
      <w:r>
        <w:rPr>
          <w:sz w:val="16"/>
          <w:vertAlign w:val="superscript"/>
        </w:rPr>
        <w:t>10</w:t>
      </w:r>
      <w:r>
        <w:rPr>
          <w:rFonts w:ascii="Times New Roman" w:hAnsi="Times New Roman"/>
          <w:sz w:val="22"/>
        </w:rPr>
        <w:t xml:space="preserve"> provides a general framework for simulating the effects of propofol, remifentanil, and norepinephrine during total intravenous anesthesia (TIVA).</w:t>
      </w:r>
    </w:p>
    <w:p>
      <w:r>
        <w:rPr>
          <w:rFonts w:ascii="Times New Roman" w:hAnsi="Times New Roman"/>
          <w:sz w:val="22"/>
        </w:rPr>
        <w:t>The Anesthesia Response Simulator (AReS)</w:t>
      </w:r>
      <w:r>
        <w:rPr>
          <w:sz w:val="16"/>
          <w:vertAlign w:val="superscript"/>
        </w:rPr>
        <w:t>11</w:t>
      </w:r>
      <w:r>
        <w:rPr>
          <w:rFonts w:ascii="Times New Roman" w:hAnsi="Times New Roman"/>
          <w:sz w:val="22"/>
        </w:rPr>
        <w:t xml:space="preserve"> extends TIVA simulation to propofol, remifentanil, norepinephrine, and rocuronium, with target-controlled infusion modules and surgical stimulus profiles.</w:t>
      </w:r>
    </w:p>
    <w:p>
      <w:r>
        <w:rPr>
          <w:rFonts w:ascii="Times New Roman" w:hAnsi="Times New Roman"/>
          <w:sz w:val="22"/>
        </w:rPr>
        <w:t>The AMICAS simulator</w:t>
      </w:r>
      <w:r>
        <w:rPr>
          <w:sz w:val="16"/>
          <w:vertAlign w:val="superscript"/>
        </w:rPr>
        <w:t>12</w:t>
      </w:r>
      <w:r>
        <w:rPr>
          <w:rFonts w:ascii="Times New Roman" w:hAnsi="Times New Roman"/>
          <w:sz w:val="22"/>
        </w:rPr>
        <w:t xml:space="preserve"> provides a MATLAB/Simulink-based patient simulator for multi-drug dosing control during general anesthesia.</w:t>
      </w:r>
    </w:p>
    <w:p>
      <w:r>
        <w:t>All three simulators focus exclusively on intravenous general anesthetics. yoshika fills this gap by providing a simulation tool specifically designed for local anesthetics with selectable initial compartment.</w:t>
      </w:r>
    </w:p>
    <w:p>
      <w:pPr>
        <w:pStyle w:val="Heading2"/>
      </w:pPr>
      <w:r>
        <w:t>1.5. Aim</w:t>
      </w:r>
    </w:p>
    <w:p>
      <w:r>
        <w:t>The aim of this study is to present yoshika, an open-source Python package for PKPD simulation of local anesthetics with selectable initial compartment, and to demonstrate how the choice of initial compartment affects predicted plasma concentration profiles and toxicity risk across clinically relevant scenarios.</w:t>
      </w:r>
    </w:p>
    <w:p>
      <w:pPr>
        <w:pStyle w:val="Heading1"/>
      </w:pPr>
      <w:r>
        <w:t>2. Methods</w:t>
      </w:r>
    </w:p>
    <w:p>
      <w:pPr>
        <w:pStyle w:val="Heading2"/>
      </w:pPr>
      <w:r>
        <w:t>2.1. Software architecture</w:t>
      </w:r>
    </w:p>
    <w:p>
      <w:r>
        <w:t>yoshika is structured as a modular Python package with the following components:</w:t>
      </w:r>
    </w:p>
    <w:p>
      <w:pPr>
        <w:pStyle w:val="ListBullet"/>
      </w:pPr>
      <w:r>
        <w:t>compartments: Compartment definitions (PLASMA, BRT, BPT, DEPOT) and initial condition logic.</w:t>
      </w:r>
    </w:p>
    <w:p>
      <w:pPr>
        <w:pStyle w:val="ListBullet"/>
      </w:pPr>
      <w:r>
        <w:t>drugs: Drug parameter database with four built-in local anesthetics and custom drug support.</w:t>
      </w:r>
    </w:p>
    <w:p>
      <w:pPr>
        <w:pStyle w:val="ListBullet"/>
      </w:pPr>
      <w:r>
        <w:t>model: Three-compartment PK ODE model solved with SciPy's solve_ivp (RK45 method).</w:t>
      </w:r>
    </w:p>
    <w:p>
      <w:pPr>
        <w:pStyle w:val="ListBullet"/>
      </w:pPr>
      <w:r>
        <w:t>pd: Pharmacodynamic models (Emax, sigmoid Emax, effect-site equilibration).</w:t>
      </w:r>
    </w:p>
    <w:p>
      <w:pPr>
        <w:pStyle w:val="ListBullet"/>
      </w:pPr>
      <w:r>
        <w:t>simulator: High-level API for single simulations and multi-scenario comparison.</w:t>
      </w:r>
    </w:p>
    <w:p>
      <w:pPr>
        <w:pStyle w:val="ListBullet"/>
      </w:pPr>
      <w:r>
        <w:t>plotting: Matplotlib-based visualization utilities.</w:t>
      </w:r>
    </w:p>
    <w:p>
      <w:pPr>
        <w:pStyle w:val="ListBullet"/>
      </w:pPr>
      <w:r>
        <w:t>utils: AUC calculation, half-life estimation, and unit conversion.</w:t>
      </w:r>
    </w:p>
    <w:p>
      <w:pPr>
        <w:pStyle w:val="Heading2"/>
      </w:pPr>
      <w:r>
        <w:t>2.2. Pharmacokinetic model</w:t>
      </w:r>
    </w:p>
    <w:p>
      <w:r>
        <w:rPr>
          <w:rFonts w:ascii="Times New Roman" w:hAnsi="Times New Roman"/>
          <w:sz w:val="22"/>
        </w:rPr>
        <w:t>yoshika implements a standard three-compartment mammillary PK model with an optional depot compartment. The ODEs are solved numerically using scipy.integrate.solve_ivp with the RK45 method.</w:t>
      </w:r>
      <w:r>
        <w:rPr>
          <w:sz w:val="16"/>
          <w:vertAlign w:val="superscript"/>
        </w:rPr>
        <w:t>9</w:t>
      </w:r>
      <w:r>
        <w:rPr>
          <w:rFonts w:ascii="Times New Roman" w:hAnsi="Times New Roman"/>
          <w:sz w:val="22"/>
        </w:rPr>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18"/>
              </w:rPr>
              <w:t>Initial Compartment</w:t>
            </w:r>
          </w:p>
        </w:tc>
        <w:tc>
          <w:tcPr>
            <w:tcW w:type="dxa" w:w="1728"/>
          </w:tcPr>
          <w:p>
            <w:pPr>
              <w:jc w:val="center"/>
            </w:pPr>
            <w:r>
              <w:rPr>
                <w:rFonts w:ascii="Times New Roman" w:hAnsi="Times New Roman"/>
                <w:b/>
                <w:sz w:val="18"/>
              </w:rPr>
              <w:t>A_depot(0)</w:t>
            </w:r>
          </w:p>
        </w:tc>
        <w:tc>
          <w:tcPr>
            <w:tcW w:type="dxa" w:w="1728"/>
          </w:tcPr>
          <w:p>
            <w:pPr>
              <w:jc w:val="center"/>
            </w:pPr>
            <w:r>
              <w:rPr>
                <w:rFonts w:ascii="Times New Roman" w:hAnsi="Times New Roman"/>
                <w:b/>
                <w:sz w:val="18"/>
              </w:rPr>
              <w:t>A1(0)</w:t>
            </w:r>
          </w:p>
        </w:tc>
        <w:tc>
          <w:tcPr>
            <w:tcW w:type="dxa" w:w="1728"/>
          </w:tcPr>
          <w:p>
            <w:pPr>
              <w:jc w:val="center"/>
            </w:pPr>
            <w:r>
              <w:rPr>
                <w:rFonts w:ascii="Times New Roman" w:hAnsi="Times New Roman"/>
                <w:b/>
                <w:sz w:val="18"/>
              </w:rPr>
              <w:t>A2(0)</w:t>
            </w:r>
          </w:p>
        </w:tc>
        <w:tc>
          <w:tcPr>
            <w:tcW w:type="dxa" w:w="1728"/>
          </w:tcPr>
          <w:p>
            <w:pPr>
              <w:jc w:val="center"/>
            </w:pPr>
            <w:r>
              <w:rPr>
                <w:rFonts w:ascii="Times New Roman" w:hAnsi="Times New Roman"/>
                <w:b/>
                <w:sz w:val="18"/>
              </w:rPr>
              <w:t>A3(0)</w:t>
            </w:r>
          </w:p>
        </w:tc>
      </w:tr>
      <w:tr>
        <w:tc>
          <w:tcPr>
            <w:tcW w:type="dxa" w:w="1728"/>
          </w:tcPr>
          <w:p>
            <w:r>
              <w:rPr>
                <w:rFonts w:ascii="Times New Roman" w:hAnsi="Times New Roman"/>
                <w:sz w:val="18"/>
              </w:rPr>
              <w:t>Plasma (IV)</w:t>
            </w:r>
          </w:p>
        </w:tc>
        <w:tc>
          <w:tcPr>
            <w:tcW w:type="dxa" w:w="1728"/>
          </w:tcPr>
          <w:p>
            <w:r>
              <w:rPr>
                <w:rFonts w:ascii="Times New Roman" w:hAnsi="Times New Roman"/>
                <w:sz w:val="18"/>
              </w:rPr>
              <w:t>0</w:t>
            </w:r>
          </w:p>
        </w:tc>
        <w:tc>
          <w:tcPr>
            <w:tcW w:type="dxa" w:w="1728"/>
          </w:tcPr>
          <w:p>
            <w:r>
              <w:rPr>
                <w:rFonts w:ascii="Times New Roman" w:hAnsi="Times New Roman"/>
                <w:sz w:val="18"/>
              </w:rPr>
              <w:t>Dose</w:t>
            </w:r>
          </w:p>
        </w:tc>
        <w:tc>
          <w:tcPr>
            <w:tcW w:type="dxa" w:w="1728"/>
          </w:tcPr>
          <w:p>
            <w:r>
              <w:rPr>
                <w:rFonts w:ascii="Times New Roman" w:hAnsi="Times New Roman"/>
                <w:sz w:val="18"/>
              </w:rPr>
              <w:t>0</w:t>
            </w:r>
          </w:p>
        </w:tc>
        <w:tc>
          <w:tcPr>
            <w:tcW w:type="dxa" w:w="1728"/>
          </w:tcPr>
          <w:p>
            <w:r>
              <w:rPr>
                <w:rFonts w:ascii="Times New Roman" w:hAnsi="Times New Roman"/>
                <w:sz w:val="18"/>
              </w:rPr>
              <w:t>0</w:t>
            </w:r>
          </w:p>
        </w:tc>
      </w:tr>
      <w:tr>
        <w:tc>
          <w:tcPr>
            <w:tcW w:type="dxa" w:w="1728"/>
          </w:tcPr>
          <w:p>
            <w:r>
              <w:rPr>
                <w:rFonts w:ascii="Times New Roman" w:hAnsi="Times New Roman"/>
                <w:sz w:val="18"/>
              </w:rPr>
              <w:t>BRT (failed block)</w:t>
            </w:r>
          </w:p>
        </w:tc>
        <w:tc>
          <w:tcPr>
            <w:tcW w:type="dxa" w:w="1728"/>
          </w:tcPr>
          <w:p>
            <w:r>
              <w:rPr>
                <w:rFonts w:ascii="Times New Roman" w:hAnsi="Times New Roman"/>
                <w:sz w:val="18"/>
              </w:rPr>
              <w:t>0</w:t>
            </w:r>
          </w:p>
        </w:tc>
        <w:tc>
          <w:tcPr>
            <w:tcW w:type="dxa" w:w="1728"/>
          </w:tcPr>
          <w:p>
            <w:r>
              <w:rPr>
                <w:rFonts w:ascii="Times New Roman" w:hAnsi="Times New Roman"/>
                <w:sz w:val="18"/>
              </w:rPr>
              <w:t>0</w:t>
            </w:r>
          </w:p>
        </w:tc>
        <w:tc>
          <w:tcPr>
            <w:tcW w:type="dxa" w:w="1728"/>
          </w:tcPr>
          <w:p>
            <w:r>
              <w:rPr>
                <w:rFonts w:ascii="Times New Roman" w:hAnsi="Times New Roman"/>
                <w:sz w:val="18"/>
              </w:rPr>
              <w:t>Dose</w:t>
            </w:r>
          </w:p>
        </w:tc>
        <w:tc>
          <w:tcPr>
            <w:tcW w:type="dxa" w:w="1728"/>
          </w:tcPr>
          <w:p>
            <w:r>
              <w:rPr>
                <w:rFonts w:ascii="Times New Roman" w:hAnsi="Times New Roman"/>
                <w:sz w:val="18"/>
              </w:rPr>
              <w:t>0</w:t>
            </w:r>
          </w:p>
        </w:tc>
      </w:tr>
      <w:tr>
        <w:tc>
          <w:tcPr>
            <w:tcW w:type="dxa" w:w="1728"/>
          </w:tcPr>
          <w:p>
            <w:r>
              <w:rPr>
                <w:rFonts w:ascii="Times New Roman" w:hAnsi="Times New Roman"/>
                <w:sz w:val="18"/>
              </w:rPr>
              <w:t>BPT (successful block)</w:t>
            </w:r>
          </w:p>
        </w:tc>
        <w:tc>
          <w:tcPr>
            <w:tcW w:type="dxa" w:w="1728"/>
          </w:tcPr>
          <w:p>
            <w:r>
              <w:rPr>
                <w:rFonts w:ascii="Times New Roman" w:hAnsi="Times New Roman"/>
                <w:sz w:val="18"/>
              </w:rPr>
              <w:t>0</w:t>
            </w:r>
          </w:p>
        </w:tc>
        <w:tc>
          <w:tcPr>
            <w:tcW w:type="dxa" w:w="1728"/>
          </w:tcPr>
          <w:p>
            <w:r>
              <w:rPr>
                <w:rFonts w:ascii="Times New Roman" w:hAnsi="Times New Roman"/>
                <w:sz w:val="18"/>
              </w:rPr>
              <w:t>0</w:t>
            </w:r>
          </w:p>
        </w:tc>
        <w:tc>
          <w:tcPr>
            <w:tcW w:type="dxa" w:w="1728"/>
          </w:tcPr>
          <w:p>
            <w:r>
              <w:rPr>
                <w:rFonts w:ascii="Times New Roman" w:hAnsi="Times New Roman"/>
                <w:sz w:val="18"/>
              </w:rPr>
              <w:t>0</w:t>
            </w:r>
          </w:p>
        </w:tc>
        <w:tc>
          <w:tcPr>
            <w:tcW w:type="dxa" w:w="1728"/>
          </w:tcPr>
          <w:p>
            <w:r>
              <w:rPr>
                <w:rFonts w:ascii="Times New Roman" w:hAnsi="Times New Roman"/>
                <w:sz w:val="18"/>
              </w:rPr>
              <w:t>Dose</w:t>
            </w:r>
          </w:p>
        </w:tc>
      </w:tr>
      <w:tr>
        <w:tc>
          <w:tcPr>
            <w:tcW w:type="dxa" w:w="1728"/>
          </w:tcPr>
          <w:p>
            <w:r>
              <w:rPr>
                <w:rFonts w:ascii="Times New Roman" w:hAnsi="Times New Roman"/>
                <w:sz w:val="18"/>
              </w:rPr>
              <w:t>Depot (fascial plane)</w:t>
            </w:r>
          </w:p>
        </w:tc>
        <w:tc>
          <w:tcPr>
            <w:tcW w:type="dxa" w:w="1728"/>
          </w:tcPr>
          <w:p>
            <w:r>
              <w:rPr>
                <w:rFonts w:ascii="Times New Roman" w:hAnsi="Times New Roman"/>
                <w:sz w:val="18"/>
              </w:rPr>
              <w:t>Dose</w:t>
            </w:r>
          </w:p>
        </w:tc>
        <w:tc>
          <w:tcPr>
            <w:tcW w:type="dxa" w:w="1728"/>
          </w:tcPr>
          <w:p>
            <w:r>
              <w:rPr>
                <w:rFonts w:ascii="Times New Roman" w:hAnsi="Times New Roman"/>
                <w:sz w:val="18"/>
              </w:rPr>
              <w:t>0</w:t>
            </w:r>
          </w:p>
        </w:tc>
        <w:tc>
          <w:tcPr>
            <w:tcW w:type="dxa" w:w="1728"/>
          </w:tcPr>
          <w:p>
            <w:r>
              <w:rPr>
                <w:rFonts w:ascii="Times New Roman" w:hAnsi="Times New Roman"/>
                <w:sz w:val="18"/>
              </w:rPr>
              <w:t>0</w:t>
            </w:r>
          </w:p>
        </w:tc>
        <w:tc>
          <w:tcPr>
            <w:tcW w:type="dxa" w:w="1728"/>
          </w:tcPr>
          <w:p>
            <w:r>
              <w:rPr>
                <w:rFonts w:ascii="Times New Roman" w:hAnsi="Times New Roman"/>
                <w:sz w:val="18"/>
              </w:rPr>
              <w:t>0</w:t>
            </w:r>
          </w:p>
        </w:tc>
      </w:tr>
    </w:tbl>
    <w:p>
      <w:pPr>
        <w:spacing w:before="280"/>
        <w:jc w:val="center"/>
      </w:pPr>
      <w:r>
        <w:rPr>
          <w:rFonts w:ascii="Times New Roman" w:hAnsi="Times New Roman"/>
          <w:b/>
          <w:sz w:val="20"/>
        </w:rPr>
        <w:t xml:space="preserve">Table 2. </w:t>
      </w:r>
      <w:r>
        <w:rPr>
          <w:rFonts w:ascii="Times New Roman" w:hAnsi="Times New Roman"/>
          <w:sz w:val="20"/>
        </w:rPr>
        <w:t>Initial conditions for each selectable compartment.</w:t>
      </w:r>
    </w:p>
    <w:p>
      <w:pPr>
        <w:pStyle w:val="Heading2"/>
      </w:pPr>
      <w:r>
        <w:t>2.3. Pharmacodynamic model</w:t>
      </w:r>
    </w:p>
    <w:p>
      <w:r>
        <w:t>yoshika includes an effect-site compartment linked to the central compartment via kₑ₀. The drug effect is computed using a sigmoid Emax model.</w:t>
      </w:r>
    </w:p>
    <w:p>
      <w:pPr>
        <w:pStyle w:val="Heading2"/>
      </w:pPr>
      <w:r>
        <w:t>2.4. Drug parameter database</w:t>
      </w:r>
    </w:p>
    <w:p>
      <w:r>
        <w:rPr>
          <w:rFonts w:ascii="Times New Roman" w:hAnsi="Times New Roman"/>
          <w:sz w:val="22"/>
        </w:rPr>
        <w:t>The package includes pharmacokinetic parameters for four commonly used local anesthetics: lidocaine, bupivacaine, ropivacaine, and levobupivacaine.</w:t>
      </w:r>
      <w:r>
        <w:rPr>
          <w:sz w:val="16"/>
          <w:vertAlign w:val="superscript"/>
        </w:rPr>
        <w:t>7,8</w:t>
      </w:r>
      <w:r>
        <w:rPr>
          <w:rFonts w:ascii="Times New Roman" w:hAnsi="Times New Roman"/>
          <w:sz w:val="22"/>
        </w:rPr>
      </w:r>
    </w:p>
    <w:p>
      <w:pPr>
        <w:pStyle w:val="Heading2"/>
      </w:pPr>
      <w:r>
        <w:t>2.5. Epidural administration approximation</w:t>
      </w:r>
    </w:p>
    <w:p>
      <w:r>
        <w:rPr>
          <w:rFonts w:ascii="Times New Roman" w:hAnsi="Times New Roman"/>
          <w:sz w:val="22"/>
        </w:rPr>
        <w:t>Epidural administration can be approximated using the Depot compartment in yoshika.</w:t>
      </w:r>
      <w:r>
        <w:rPr>
          <w:sz w:val="16"/>
          <w:vertAlign w:val="superscript"/>
        </w:rPr>
        <w:t>8</w:t>
      </w:r>
      <w:r>
        <w:rPr>
          <w:rFonts w:ascii="Times New Roman" w:hAnsi="Times New Roman"/>
          <w:sz w:val="22"/>
        </w:rPr>
      </w:r>
    </w:p>
    <w:p>
      <w:pPr>
        <w:pStyle w:val="Heading1"/>
      </w:pPr>
      <w:r>
        <w:t>3. Results</w:t>
      </w:r>
    </w:p>
    <w:p>
      <w:pPr>
        <w:pStyle w:val="Heading2"/>
      </w:pPr>
      <w:r>
        <w:t>3.1. Comparison of plasma concentration profiles by initial compartment</w:t>
      </w:r>
    </w:p>
    <w:p>
      <w:r>
        <w:t>Figure 1 shows the three-compartment model with selectable initial compartment. To demonstrate the core functionality, bupivacaine 150 mg administered to a 70 kg patient was simulated across three initial compartment scenarios.</w:t>
      </w:r>
    </w:p>
    <w:p>
      <w:pPr>
        <w:jc w:val="center"/>
      </w:pPr>
      <w:r>
        <w:drawing>
          <wp:inline xmlns:a="http://schemas.openxmlformats.org/drawingml/2006/main" xmlns:pic="http://schemas.openxmlformats.org/drawingml/2006/picture">
            <wp:extent cx="5029200" cy="3557827"/>
            <wp:docPr id="1" name="Picture 1"/>
            <wp:cNvGraphicFramePr>
              <a:graphicFrameLocks noChangeAspect="1"/>
            </wp:cNvGraphicFramePr>
            <a:graphic>
              <a:graphicData uri="http://schemas.openxmlformats.org/drawingml/2006/picture">
                <pic:pic>
                  <pic:nvPicPr>
                    <pic:cNvPr id="0" name="fig1_compartment_diagram_plasma.png"/>
                    <pic:cNvPicPr/>
                  </pic:nvPicPr>
                  <pic:blipFill>
                    <a:blip r:embed="rId9"/>
                    <a:stretch>
                      <a:fillRect/>
                    </a:stretch>
                  </pic:blipFill>
                  <pic:spPr>
                    <a:xfrm>
                      <a:off x="0" y="0"/>
                      <a:ext cx="5029200" cy="3557827"/>
                    </a:xfrm>
                    <a:prstGeom prst="rect"/>
                  </pic:spPr>
                </pic:pic>
              </a:graphicData>
            </a:graphic>
          </wp:inline>
        </w:drawing>
      </w:r>
    </w:p>
    <w:p>
      <w:pPr>
        <w:spacing w:before="280"/>
        <w:jc w:val="center"/>
      </w:pPr>
      <w:r>
        <w:rPr>
          <w:rFonts w:ascii="Times New Roman" w:hAnsi="Times New Roman"/>
          <w:b/>
          <w:sz w:val="20"/>
        </w:rPr>
        <w:t xml:space="preserve">Figure 1. </w:t>
      </w:r>
      <w:r>
        <w:rPr>
          <w:rFonts w:ascii="Times New Roman" w:hAnsi="Times New Roman"/>
          <w:sz w:val="20"/>
        </w:rPr>
        <w:t>Three-compartment model with selectable initial compartment (plasma highlighted).</w:t>
      </w:r>
    </w:p>
    <w:p>
      <w:r>
        <w:t>Figure 2 demonstrates the dramatic differences in plasma concentration-time profiles when bupivacaine 150 mg is administered to the same patient but with different initial compartments.</w:t>
      </w:r>
    </w:p>
    <w:p>
      <w:pPr>
        <w:jc w:val="center"/>
      </w:pPr>
      <w:r>
        <w:drawing>
          <wp:inline xmlns:a="http://schemas.openxmlformats.org/drawingml/2006/main" xmlns:pic="http://schemas.openxmlformats.org/drawingml/2006/picture">
            <wp:extent cx="5029200" cy="2913351"/>
            <wp:docPr id="2" name="Picture 2"/>
            <wp:cNvGraphicFramePr>
              <a:graphicFrameLocks noChangeAspect="1"/>
            </wp:cNvGraphicFramePr>
            <a:graphic>
              <a:graphicData uri="http://schemas.openxmlformats.org/drawingml/2006/picture">
                <pic:pic>
                  <pic:nvPicPr>
                    <pic:cNvPr id="0" name="fig2_bupivacaine_comparison.png"/>
                    <pic:cNvPicPr/>
                  </pic:nvPicPr>
                  <pic:blipFill>
                    <a:blip r:embed="rId10"/>
                    <a:stretch>
                      <a:fillRect/>
                    </a:stretch>
                  </pic:blipFill>
                  <pic:spPr>
                    <a:xfrm>
                      <a:off x="0" y="0"/>
                      <a:ext cx="5029200" cy="2913351"/>
                    </a:xfrm>
                    <a:prstGeom prst="rect"/>
                  </pic:spPr>
                </pic:pic>
              </a:graphicData>
            </a:graphic>
          </wp:inline>
        </w:drawing>
      </w:r>
    </w:p>
    <w:p>
      <w:pPr>
        <w:spacing w:before="280"/>
        <w:jc w:val="center"/>
      </w:pPr>
      <w:r>
        <w:rPr>
          <w:rFonts w:ascii="Times New Roman" w:hAnsi="Times New Roman"/>
          <w:b/>
          <w:sz w:val="20"/>
        </w:rPr>
        <w:t xml:space="preserve">Figure 2. </w:t>
      </w:r>
      <w:r>
        <w:rPr>
          <w:rFonts w:ascii="Times New Roman" w:hAnsi="Times New Roman"/>
          <w:sz w:val="20"/>
        </w:rPr>
        <w:t>Bupivacaine 150 mg — Plasma concentration by initial compartment with toxicity thresholds.</w:t>
      </w:r>
    </w:p>
    <w:p>
      <w:pPr>
        <w:pStyle w:val="Heading2"/>
      </w:pPr>
      <w:r>
        <w:t>3.2. Cross-drug comparison</w:t>
      </w:r>
    </w:p>
    <w:p>
      <w:r>
        <w:t>Figure 3 extends the comparison to all four local anesthetics.</w:t>
      </w:r>
    </w:p>
    <w:p>
      <w:pPr>
        <w:jc w:val="center"/>
      </w:pPr>
      <w:r>
        <w:drawing>
          <wp:inline xmlns:a="http://schemas.openxmlformats.org/drawingml/2006/main" xmlns:pic="http://schemas.openxmlformats.org/drawingml/2006/picture">
            <wp:extent cx="5029200" cy="6291431"/>
            <wp:docPr id="3" name="Picture 3"/>
            <wp:cNvGraphicFramePr>
              <a:graphicFrameLocks noChangeAspect="1"/>
            </wp:cNvGraphicFramePr>
            <a:graphic>
              <a:graphicData uri="http://schemas.openxmlformats.org/drawingml/2006/picture">
                <pic:pic>
                  <pic:nvPicPr>
                    <pic:cNvPr id="0" name="fig3_all_drugs_comparison.png"/>
                    <pic:cNvPicPr/>
                  </pic:nvPicPr>
                  <pic:blipFill>
                    <a:blip r:embed="rId11"/>
                    <a:stretch>
                      <a:fillRect/>
                    </a:stretch>
                  </pic:blipFill>
                  <pic:spPr>
                    <a:xfrm>
                      <a:off x="0" y="0"/>
                      <a:ext cx="5029200" cy="6291431"/>
                    </a:xfrm>
                    <a:prstGeom prst="rect"/>
                  </pic:spPr>
                </pic:pic>
              </a:graphicData>
            </a:graphic>
          </wp:inline>
        </w:drawing>
      </w:r>
    </w:p>
    <w:p>
      <w:pPr>
        <w:spacing w:before="280"/>
        <w:jc w:val="center"/>
      </w:pPr>
      <w:r>
        <w:rPr>
          <w:rFonts w:ascii="Times New Roman" w:hAnsi="Times New Roman"/>
          <w:b/>
          <w:sz w:val="20"/>
        </w:rPr>
        <w:t xml:space="preserve">Figure 3. </w:t>
      </w:r>
      <w:r>
        <w:rPr>
          <w:rFonts w:ascii="Times New Roman" w:hAnsi="Times New Roman"/>
          <w:sz w:val="20"/>
        </w:rPr>
        <w:t>Plasma concentration comparison for all four local anesthetics by initial compartment.</w:t>
      </w:r>
    </w:p>
    <w:p>
      <w:pPr>
        <w:pStyle w:val="Heading2"/>
      </w:pPr>
      <w:r>
        <w:t>3.3. Pharmacodynamic response</w:t>
      </w:r>
    </w:p>
    <w:p>
      <w:r>
        <w:t>Figure 4 shows the effect-site response. Figure 5 shows the full compartment profile for BPT. Figure 6 provides a PK/PD summary.</w:t>
      </w:r>
    </w:p>
    <w:p>
      <w:pPr>
        <w:jc w:val="center"/>
      </w:pPr>
      <w:r>
        <w:drawing>
          <wp:inline xmlns:a="http://schemas.openxmlformats.org/drawingml/2006/main" xmlns:pic="http://schemas.openxmlformats.org/drawingml/2006/picture">
            <wp:extent cx="5029200" cy="2912533"/>
            <wp:docPr id="4" name="Picture 4"/>
            <wp:cNvGraphicFramePr>
              <a:graphicFrameLocks noChangeAspect="1"/>
            </wp:cNvGraphicFramePr>
            <a:graphic>
              <a:graphicData uri="http://schemas.openxmlformats.org/drawingml/2006/picture">
                <pic:pic>
                  <pic:nvPicPr>
                    <pic:cNvPr id="0" name="fig4_bupivacaine_effect.png"/>
                    <pic:cNvPicPr/>
                  </pic:nvPicPr>
                  <pic:blipFill>
                    <a:blip r:embed="rId12"/>
                    <a:stretch>
                      <a:fillRect/>
                    </a:stretch>
                  </pic:blipFill>
                  <pic:spPr>
                    <a:xfrm>
                      <a:off x="0" y="0"/>
                      <a:ext cx="5029200" cy="2912533"/>
                    </a:xfrm>
                    <a:prstGeom prst="rect"/>
                  </pic:spPr>
                </pic:pic>
              </a:graphicData>
            </a:graphic>
          </wp:inline>
        </w:drawing>
      </w:r>
    </w:p>
    <w:p>
      <w:pPr>
        <w:spacing w:before="280"/>
        <w:jc w:val="center"/>
      </w:pPr>
      <w:r>
        <w:rPr>
          <w:rFonts w:ascii="Times New Roman" w:hAnsi="Times New Roman"/>
          <w:b/>
          <w:sz w:val="20"/>
        </w:rPr>
        <w:t xml:space="preserve">Figure 4. </w:t>
      </w:r>
      <w:r>
        <w:rPr>
          <w:rFonts w:ascii="Times New Roman" w:hAnsi="Times New Roman"/>
          <w:sz w:val="20"/>
        </w:rPr>
        <w:t>Bupivacaine — Effect-site response by initial compartment.</w:t>
      </w:r>
    </w:p>
    <w:p>
      <w:pPr>
        <w:jc w:val="center"/>
      </w:pPr>
      <w:r>
        <w:drawing>
          <wp:inline xmlns:a="http://schemas.openxmlformats.org/drawingml/2006/main" xmlns:pic="http://schemas.openxmlformats.org/drawingml/2006/picture">
            <wp:extent cx="5029200" cy="2993087"/>
            <wp:docPr id="5" name="Picture 5"/>
            <wp:cNvGraphicFramePr>
              <a:graphicFrameLocks noChangeAspect="1"/>
            </wp:cNvGraphicFramePr>
            <a:graphic>
              <a:graphicData uri="http://schemas.openxmlformats.org/drawingml/2006/picture">
                <pic:pic>
                  <pic:nvPicPr>
                    <pic:cNvPr id="0" name="fig5_bupivacaine_bpt_full.png"/>
                    <pic:cNvPicPr/>
                  </pic:nvPicPr>
                  <pic:blipFill>
                    <a:blip r:embed="rId13"/>
                    <a:stretch>
                      <a:fillRect/>
                    </a:stretch>
                  </pic:blipFill>
                  <pic:spPr>
                    <a:xfrm>
                      <a:off x="0" y="0"/>
                      <a:ext cx="5029200" cy="2993087"/>
                    </a:xfrm>
                    <a:prstGeom prst="rect"/>
                  </pic:spPr>
                </pic:pic>
              </a:graphicData>
            </a:graphic>
          </wp:inline>
        </w:drawing>
      </w:r>
    </w:p>
    <w:p>
      <w:pPr>
        <w:spacing w:before="280"/>
        <w:jc w:val="center"/>
      </w:pPr>
      <w:r>
        <w:rPr>
          <w:rFonts w:ascii="Times New Roman" w:hAnsi="Times New Roman"/>
          <w:b/>
          <w:sz w:val="20"/>
        </w:rPr>
        <w:t xml:space="preserve">Figure 5. </w:t>
      </w:r>
      <w:r>
        <w:rPr>
          <w:rFonts w:ascii="Times New Roman" w:hAnsi="Times New Roman"/>
          <w:sz w:val="20"/>
        </w:rPr>
        <w:t>Bupivacaine 150 mg from BPT — Full compartment concentration profile.</w:t>
      </w:r>
    </w:p>
    <w:p>
      <w:pPr>
        <w:jc w:val="center"/>
      </w:pPr>
      <w:r>
        <w:drawing>
          <wp:inline xmlns:a="http://schemas.openxmlformats.org/drawingml/2006/main" xmlns:pic="http://schemas.openxmlformats.org/drawingml/2006/picture">
            <wp:extent cx="5029200" cy="1213319"/>
            <wp:docPr id="6" name="Picture 6"/>
            <wp:cNvGraphicFramePr>
              <a:graphicFrameLocks noChangeAspect="1"/>
            </wp:cNvGraphicFramePr>
            <a:graphic>
              <a:graphicData uri="http://schemas.openxmlformats.org/drawingml/2006/picture">
                <pic:pic>
                  <pic:nvPicPr>
                    <pic:cNvPr id="0" name="fig6_summary_table.png"/>
                    <pic:cNvPicPr/>
                  </pic:nvPicPr>
                  <pic:blipFill>
                    <a:blip r:embed="rId14"/>
                    <a:stretch>
                      <a:fillRect/>
                    </a:stretch>
                  </pic:blipFill>
                  <pic:spPr>
                    <a:xfrm>
                      <a:off x="0" y="0"/>
                      <a:ext cx="5029200" cy="1213319"/>
                    </a:xfrm>
                    <a:prstGeom prst="rect"/>
                  </pic:spPr>
                </pic:pic>
              </a:graphicData>
            </a:graphic>
          </wp:inline>
        </w:drawing>
      </w:r>
    </w:p>
    <w:p>
      <w:pPr>
        <w:spacing w:before="280"/>
        <w:jc w:val="center"/>
      </w:pPr>
      <w:r>
        <w:rPr>
          <w:rFonts w:ascii="Times New Roman" w:hAnsi="Times New Roman"/>
          <w:b/>
          <w:sz w:val="20"/>
        </w:rPr>
        <w:t xml:space="preserve">Figure 6. </w:t>
      </w:r>
      <w:r>
        <w:rPr>
          <w:rFonts w:ascii="Times New Roman" w:hAnsi="Times New Roman"/>
          <w:sz w:val="20"/>
        </w:rPr>
        <w:t>Bupivacaine 150 mg — PK/PD summary by initial compartment.</w:t>
      </w:r>
    </w:p>
    <w:p>
      <w:pPr>
        <w:pStyle w:val="Heading1"/>
      </w:pPr>
      <w:r>
        <w:t>4. Discussion</w:t>
      </w:r>
    </w:p>
    <w:p>
      <w:pPr>
        <w:pStyle w:val="Heading2"/>
      </w:pPr>
      <w:r>
        <w:t>4.1. Clinical implications</w:t>
      </w:r>
    </w:p>
    <w:p>
      <w:r>
        <w:t>yoshika addresses a gap in the pharmacokinetic simulation landscape by providing the first open-source tool that allows users to select the initial compartment of drug deposition for local anesthetics.</w:t>
      </w:r>
    </w:p>
    <w:p>
      <w:r>
        <w:rPr>
          <w:rFonts w:ascii="Times New Roman" w:hAnsi="Times New Roman"/>
          <w:sz w:val="22"/>
        </w:rPr>
        <w:t>In clinical pharmacology, yoshika provides a computational basis for reconsidering maximum recommended doses of local anesthetics.</w:t>
      </w:r>
    </w:p>
    <w:p>
      <w:r>
        <w:rPr>
          <w:rFonts w:ascii="Times New Roman" w:hAnsi="Times New Roman"/>
          <w:sz w:val="22"/>
        </w:rPr>
        <w:t>In anesthesia information management systems (AIMS), yoshika demonstrates that route-adaptive PKPD simulation is computationally feasible.</w:t>
      </w:r>
      <w:r>
        <w:rPr>
          <w:sz w:val="16"/>
          <w:vertAlign w:val="superscript"/>
        </w:rPr>
        <w:t>1</w:t>
      </w:r>
      <w:r>
        <w:rPr>
          <w:rFonts w:ascii="Times New Roman" w:hAnsi="Times New Roman"/>
          <w:sz w:val="22"/>
        </w:rPr>
      </w:r>
    </w:p>
    <w:p>
      <w:pPr>
        <w:pStyle w:val="Heading2"/>
      </w:pPr>
      <w:r>
        <w:t>4.2. Comparison with existing anesthesia simulators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18"/>
              </w:rPr>
              <w:t>Feature</w:t>
            </w:r>
          </w:p>
        </w:tc>
        <w:tc>
          <w:tcPr>
            <w:tcW w:type="dxa" w:w="1728"/>
          </w:tcPr>
          <w:p>
            <w:pPr>
              <w:jc w:val="center"/>
            </w:pPr>
            <w:r>
              <w:rPr>
                <w:rFonts w:ascii="Times New Roman" w:hAnsi="Times New Roman"/>
                <w:b/>
                <w:sz w:val="18"/>
              </w:rPr>
              <w:t>PAS</w:t>
            </w:r>
          </w:p>
        </w:tc>
        <w:tc>
          <w:tcPr>
            <w:tcW w:type="dxa" w:w="1728"/>
          </w:tcPr>
          <w:p>
            <w:pPr>
              <w:jc w:val="center"/>
            </w:pPr>
            <w:r>
              <w:rPr>
                <w:rFonts w:ascii="Times New Roman" w:hAnsi="Times New Roman"/>
                <w:b/>
                <w:sz w:val="18"/>
              </w:rPr>
              <w:t>AReS</w:t>
            </w:r>
          </w:p>
        </w:tc>
        <w:tc>
          <w:tcPr>
            <w:tcW w:type="dxa" w:w="1728"/>
          </w:tcPr>
          <w:p>
            <w:pPr>
              <w:jc w:val="center"/>
            </w:pPr>
            <w:r>
              <w:rPr>
                <w:rFonts w:ascii="Times New Roman" w:hAnsi="Times New Roman"/>
                <w:b/>
                <w:sz w:val="18"/>
              </w:rPr>
              <w:t>AMICAS</w:t>
            </w:r>
          </w:p>
        </w:tc>
        <w:tc>
          <w:tcPr>
            <w:tcW w:type="dxa" w:w="1728"/>
          </w:tcPr>
          <w:p>
            <w:pPr>
              <w:jc w:val="center"/>
            </w:pPr>
            <w:r>
              <w:rPr>
                <w:rFonts w:ascii="Times New Roman" w:hAnsi="Times New Roman"/>
                <w:b/>
                <w:sz w:val="18"/>
              </w:rPr>
              <w:t>yoshika</w:t>
            </w:r>
          </w:p>
        </w:tc>
      </w:tr>
      <w:tr>
        <w:tc>
          <w:tcPr>
            <w:tcW w:type="dxa" w:w="1728"/>
          </w:tcPr>
          <w:p>
            <w:r>
              <w:rPr>
                <w:rFonts w:ascii="Times New Roman" w:hAnsi="Times New Roman"/>
                <w:sz w:val="18"/>
              </w:rPr>
              <w:t>Drug class</w:t>
            </w:r>
          </w:p>
        </w:tc>
        <w:tc>
          <w:tcPr>
            <w:tcW w:type="dxa" w:w="1728"/>
          </w:tcPr>
          <w:p>
            <w:r>
              <w:rPr>
                <w:rFonts w:ascii="Times New Roman" w:hAnsi="Times New Roman"/>
                <w:sz w:val="18"/>
              </w:rPr>
              <w:t>General</w:t>
            </w:r>
          </w:p>
        </w:tc>
        <w:tc>
          <w:tcPr>
            <w:tcW w:type="dxa" w:w="1728"/>
          </w:tcPr>
          <w:p>
            <w:r>
              <w:rPr>
                <w:rFonts w:ascii="Times New Roman" w:hAnsi="Times New Roman"/>
                <w:sz w:val="18"/>
              </w:rPr>
              <w:t>General</w:t>
            </w:r>
          </w:p>
        </w:tc>
        <w:tc>
          <w:tcPr>
            <w:tcW w:type="dxa" w:w="1728"/>
          </w:tcPr>
          <w:p>
            <w:r>
              <w:rPr>
                <w:rFonts w:ascii="Times New Roman" w:hAnsi="Times New Roman"/>
                <w:sz w:val="18"/>
              </w:rPr>
              <w:t>General</w:t>
            </w:r>
          </w:p>
        </w:tc>
        <w:tc>
          <w:tcPr>
            <w:tcW w:type="dxa" w:w="1728"/>
          </w:tcPr>
          <w:p>
            <w:r>
              <w:rPr>
                <w:rFonts w:ascii="Times New Roman" w:hAnsi="Times New Roman"/>
                <w:sz w:val="18"/>
              </w:rPr>
              <w:t>Local anesthetics</w:t>
            </w:r>
          </w:p>
        </w:tc>
      </w:tr>
      <w:tr>
        <w:tc>
          <w:tcPr>
            <w:tcW w:type="dxa" w:w="1728"/>
          </w:tcPr>
          <w:p>
            <w:r>
              <w:rPr>
                <w:rFonts w:ascii="Times New Roman" w:hAnsi="Times New Roman"/>
                <w:sz w:val="18"/>
              </w:rPr>
              <w:t>Administration route</w:t>
            </w:r>
          </w:p>
        </w:tc>
        <w:tc>
          <w:tcPr>
            <w:tcW w:type="dxa" w:w="1728"/>
          </w:tcPr>
          <w:p>
            <w:r>
              <w:rPr>
                <w:rFonts w:ascii="Times New Roman" w:hAnsi="Times New Roman"/>
                <w:sz w:val="18"/>
              </w:rPr>
              <w:t>IV only</w:t>
            </w:r>
          </w:p>
        </w:tc>
        <w:tc>
          <w:tcPr>
            <w:tcW w:type="dxa" w:w="1728"/>
          </w:tcPr>
          <w:p>
            <w:r>
              <w:rPr>
                <w:rFonts w:ascii="Times New Roman" w:hAnsi="Times New Roman"/>
                <w:sz w:val="18"/>
              </w:rPr>
              <w:t>IV only</w:t>
            </w:r>
          </w:p>
        </w:tc>
        <w:tc>
          <w:tcPr>
            <w:tcW w:type="dxa" w:w="1728"/>
          </w:tcPr>
          <w:p>
            <w:r>
              <w:rPr>
                <w:rFonts w:ascii="Times New Roman" w:hAnsi="Times New Roman"/>
                <w:sz w:val="18"/>
              </w:rPr>
              <w:t>IV only</w:t>
            </w:r>
          </w:p>
        </w:tc>
        <w:tc>
          <w:tcPr>
            <w:tcW w:type="dxa" w:w="1728"/>
          </w:tcPr>
          <w:p>
            <w:r>
              <w:rPr>
                <w:rFonts w:ascii="Times New Roman" w:hAnsi="Times New Roman"/>
                <w:sz w:val="18"/>
              </w:rPr>
              <w:t>Selectable (IV, BRT, BPT, Depot)</w:t>
            </w:r>
          </w:p>
        </w:tc>
      </w:tr>
      <w:tr>
        <w:tc>
          <w:tcPr>
            <w:tcW w:type="dxa" w:w="1728"/>
          </w:tcPr>
          <w:p>
            <w:r>
              <w:rPr>
                <w:rFonts w:ascii="Times New Roman" w:hAnsi="Times New Roman"/>
                <w:sz w:val="18"/>
              </w:rPr>
              <w:t>Language</w:t>
            </w:r>
          </w:p>
        </w:tc>
        <w:tc>
          <w:tcPr>
            <w:tcW w:type="dxa" w:w="1728"/>
          </w:tcPr>
          <w:p>
            <w:r>
              <w:rPr>
                <w:rFonts w:ascii="Times New Roman" w:hAnsi="Times New Roman"/>
                <w:sz w:val="18"/>
              </w:rPr>
              <w:t>Python</w:t>
            </w:r>
          </w:p>
        </w:tc>
        <w:tc>
          <w:tcPr>
            <w:tcW w:type="dxa" w:w="1728"/>
          </w:tcPr>
          <w:p>
            <w:r>
              <w:rPr>
                <w:rFonts w:ascii="Times New Roman" w:hAnsi="Times New Roman"/>
                <w:sz w:val="18"/>
              </w:rPr>
              <w:t>Python/MATLAB</w:t>
            </w:r>
          </w:p>
        </w:tc>
        <w:tc>
          <w:tcPr>
            <w:tcW w:type="dxa" w:w="1728"/>
          </w:tcPr>
          <w:p>
            <w:r>
              <w:rPr>
                <w:rFonts w:ascii="Times New Roman" w:hAnsi="Times New Roman"/>
                <w:sz w:val="18"/>
              </w:rPr>
              <w:t>MATLAB/Simulink</w:t>
            </w:r>
          </w:p>
        </w:tc>
        <w:tc>
          <w:tcPr>
            <w:tcW w:type="dxa" w:w="1728"/>
          </w:tcPr>
          <w:p>
            <w:r>
              <w:rPr>
                <w:rFonts w:ascii="Times New Roman" w:hAnsi="Times New Roman"/>
                <w:sz w:val="18"/>
              </w:rPr>
              <w:t>Python</w:t>
            </w:r>
          </w:p>
        </w:tc>
      </w:tr>
      <w:tr>
        <w:tc>
          <w:tcPr>
            <w:tcW w:type="dxa" w:w="1728"/>
          </w:tcPr>
          <w:p>
            <w:r>
              <w:rPr>
                <w:rFonts w:ascii="Times New Roman" w:hAnsi="Times New Roman"/>
                <w:sz w:val="18"/>
              </w:rPr>
              <w:t>PD model</w:t>
            </w:r>
          </w:p>
        </w:tc>
        <w:tc>
          <w:tcPr>
            <w:tcW w:type="dxa" w:w="1728"/>
          </w:tcPr>
          <w:p>
            <w:r>
              <w:rPr>
                <w:rFonts w:ascii="Times New Roman" w:hAnsi="Times New Roman"/>
                <w:sz w:val="18"/>
              </w:rPr>
              <w:t>BIS, MAP, CO</w:t>
            </w:r>
          </w:p>
        </w:tc>
        <w:tc>
          <w:tcPr>
            <w:tcW w:type="dxa" w:w="1728"/>
          </w:tcPr>
          <w:p>
            <w:r>
              <w:rPr>
                <w:rFonts w:ascii="Times New Roman" w:hAnsi="Times New Roman"/>
                <w:sz w:val="18"/>
              </w:rPr>
              <w:t>BIS, MAP, CO, NMB</w:t>
            </w:r>
          </w:p>
        </w:tc>
        <w:tc>
          <w:tcPr>
            <w:tcW w:type="dxa" w:w="1728"/>
          </w:tcPr>
          <w:p>
            <w:r>
              <w:rPr>
                <w:rFonts w:ascii="Times New Roman" w:hAnsi="Times New Roman"/>
                <w:sz w:val="18"/>
              </w:rPr>
              <w:t>BIS, MAP, CO</w:t>
            </w:r>
          </w:p>
        </w:tc>
        <w:tc>
          <w:tcPr>
            <w:tcW w:type="dxa" w:w="1728"/>
          </w:tcPr>
          <w:p>
            <w:r>
              <w:rPr>
                <w:rFonts w:ascii="Times New Roman" w:hAnsi="Times New Roman"/>
                <w:sz w:val="18"/>
              </w:rPr>
              <w:t>Sigmoid Emax</w:t>
            </w:r>
          </w:p>
        </w:tc>
      </w:tr>
      <w:tr>
        <w:tc>
          <w:tcPr>
            <w:tcW w:type="dxa" w:w="1728"/>
          </w:tcPr>
          <w:p>
            <w:r>
              <w:rPr>
                <w:rFonts w:ascii="Times New Roman" w:hAnsi="Times New Roman"/>
                <w:sz w:val="18"/>
              </w:rPr>
              <w:t>Target application</w:t>
            </w:r>
          </w:p>
        </w:tc>
        <w:tc>
          <w:tcPr>
            <w:tcW w:type="dxa" w:w="1728"/>
          </w:tcPr>
          <w:p>
            <w:r>
              <w:rPr>
                <w:rFonts w:ascii="Times New Roman" w:hAnsi="Times New Roman"/>
                <w:sz w:val="18"/>
              </w:rPr>
              <w:t>TIVA drug control</w:t>
            </w:r>
          </w:p>
        </w:tc>
        <w:tc>
          <w:tcPr>
            <w:tcW w:type="dxa" w:w="1728"/>
          </w:tcPr>
          <w:p>
            <w:r>
              <w:rPr>
                <w:rFonts w:ascii="Times New Roman" w:hAnsi="Times New Roman"/>
                <w:sz w:val="18"/>
              </w:rPr>
              <w:t>Automated anesthesia</w:t>
            </w:r>
          </w:p>
        </w:tc>
        <w:tc>
          <w:tcPr>
            <w:tcW w:type="dxa" w:w="1728"/>
          </w:tcPr>
          <w:p>
            <w:r>
              <w:rPr>
                <w:rFonts w:ascii="Times New Roman" w:hAnsi="Times New Roman"/>
                <w:sz w:val="18"/>
              </w:rPr>
              <w:t>Multi-drug dosing</w:t>
            </w:r>
          </w:p>
        </w:tc>
        <w:tc>
          <w:tcPr>
            <w:tcW w:type="dxa" w:w="1728"/>
          </w:tcPr>
          <w:p>
            <w:r>
              <w:rPr>
                <w:rFonts w:ascii="Times New Roman" w:hAnsi="Times New Roman"/>
                <w:sz w:val="18"/>
              </w:rPr>
              <w:t>Regional anesthesia PKPD</w:t>
            </w:r>
          </w:p>
        </w:tc>
      </w:tr>
      <w:tr>
        <w:tc>
          <w:tcPr>
            <w:tcW w:type="dxa" w:w="1728"/>
          </w:tcPr>
          <w:p>
            <w:r>
              <w:rPr>
                <w:rFonts w:ascii="Times New Roman" w:hAnsi="Times New Roman"/>
                <w:sz w:val="18"/>
              </w:rPr>
              <w:t>License</w:t>
            </w:r>
          </w:p>
        </w:tc>
        <w:tc>
          <w:tcPr>
            <w:tcW w:type="dxa" w:w="1728"/>
          </w:tcPr>
          <w:p>
            <w:r>
              <w:rPr>
                <w:rFonts w:ascii="Times New Roman" w:hAnsi="Times New Roman"/>
                <w:sz w:val="18"/>
              </w:rPr>
              <w:t>Open source</w:t>
            </w:r>
          </w:p>
        </w:tc>
        <w:tc>
          <w:tcPr>
            <w:tcW w:type="dxa" w:w="1728"/>
          </w:tcPr>
          <w:p>
            <w:r>
              <w:rPr>
                <w:rFonts w:ascii="Times New Roman" w:hAnsi="Times New Roman"/>
                <w:sz w:val="18"/>
              </w:rPr>
              <w:t>MIT</w:t>
            </w:r>
          </w:p>
        </w:tc>
        <w:tc>
          <w:tcPr>
            <w:tcW w:type="dxa" w:w="1728"/>
          </w:tcPr>
          <w:p>
            <w:r>
              <w:rPr>
                <w:rFonts w:ascii="Times New Roman" w:hAnsi="Times New Roman"/>
                <w:sz w:val="18"/>
              </w:rPr>
              <w:t>Open source</w:t>
            </w:r>
          </w:p>
        </w:tc>
        <w:tc>
          <w:tcPr>
            <w:tcW w:type="dxa" w:w="1728"/>
          </w:tcPr>
          <w:p>
            <w:r>
              <w:rPr>
                <w:rFonts w:ascii="Times New Roman" w:hAnsi="Times New Roman"/>
                <w:sz w:val="18"/>
              </w:rPr>
              <w:t>MIT</w:t>
            </w:r>
          </w:p>
        </w:tc>
      </w:tr>
    </w:tbl>
    <w:p>
      <w:pPr>
        <w:spacing w:before="280"/>
        <w:jc w:val="center"/>
      </w:pPr>
      <w:r>
        <w:rPr>
          <w:rFonts w:ascii="Times New Roman" w:hAnsi="Times New Roman"/>
          <w:b/>
          <w:sz w:val="20"/>
        </w:rPr>
        <w:t xml:space="preserve">Table 3. </w:t>
      </w:r>
      <w:r>
        <w:rPr>
          <w:rFonts w:ascii="Times New Roman" w:hAnsi="Times New Roman"/>
          <w:sz w:val="20"/>
        </w:rPr>
        <w:t>Comparison of open-source anesthesia simulators.</w:t>
      </w:r>
    </w:p>
    <w:p>
      <w:pPr>
        <w:pStyle w:val="Heading2"/>
      </w:pPr>
      <w:r>
        <w:t>4.3. Limitations</w:t>
      </w:r>
    </w:p>
    <w:p>
      <w:r>
        <w:t>Several limitations should be acknowledged.</w:t>
      </w:r>
    </w:p>
    <w:p>
      <w:r>
        <w:rPr>
          <w:rFonts w:ascii="Times New Roman" w:hAnsi="Times New Roman"/>
          <w:sz w:val="22"/>
        </w:rPr>
        <w:t>First, the pharmacokinetic parameters used in yoshika are derived from intravenous pharmacokinetic studies.</w:t>
      </w:r>
      <w:r>
        <w:rPr>
          <w:sz w:val="16"/>
          <w:vertAlign w:val="superscript"/>
        </w:rPr>
        <w:t>7</w:t>
      </w:r>
      <w:r>
        <w:rPr>
          <w:rFonts w:ascii="Times New Roman" w:hAnsi="Times New Roman"/>
          <w:sz w:val="22"/>
        </w:rPr>
        <w:t xml:space="preserve"> This assumption has not been validated with clinical data from regional anesthesia.</w:t>
      </w:r>
    </w:p>
    <w:p>
      <w:r>
        <w:rPr>
          <w:rFonts w:ascii="Times New Roman" w:hAnsi="Times New Roman"/>
          <w:sz w:val="22"/>
        </w:rPr>
        <w:t>Second, the three-compartment model does not capture the full complexity of LA tissue pharmacokinetics, including pH-dependent ionization equilibria</w:t>
      </w:r>
      <w:r>
        <w:rPr>
          <w:sz w:val="16"/>
          <w:vertAlign w:val="superscript"/>
        </w:rPr>
        <w:t>2,3</w:t>
      </w:r>
      <w:r>
        <w:rPr>
          <w:rFonts w:ascii="Times New Roman" w:hAnsi="Times New Roman"/>
          <w:sz w:val="22"/>
        </w:rPr>
        <w:t xml:space="preserve"> and site-specific absorption pathways.</w:t>
      </w:r>
    </w:p>
    <w:p>
      <w:r>
        <w:t>Third, spinal (subarachnoid/intrathecal) administration is not modeled in the current version.</w:t>
      </w:r>
    </w:p>
    <w:p>
      <w:r>
        <w:t>Fourth, the current version does not implement population pharmacokinetic variability or covariate models.</w:t>
      </w:r>
    </w:p>
    <w:p>
      <w:pPr>
        <w:pStyle w:val="Heading2"/>
      </w:pPr>
      <w:r>
        <w:t>4.4. Future directions</w:t>
      </w:r>
    </w:p>
    <w:p>
      <w:r>
        <w:t>Future development directions include systematic measurement of plasma concentration profiles after various regional block types, prospective validation of the context-sensitive maximum dose framework, and integration of population pharmacokinetic models.</w:t>
      </w:r>
    </w:p>
    <w:p>
      <w:pPr>
        <w:pStyle w:val="Heading1"/>
      </w:pPr>
      <w:r>
        <w:t>5. Conclusions</w:t>
      </w:r>
    </w:p>
    <w:p>
      <w:r>
        <w:t>yoshika is an open-source Python package that fills a specific gap in pharmacokinetic simulation tools: the ability to select the initial compartment of drug deposition for local anesthetics in regional anesthesia. The software is freely available under the MIT license at https://github.com/bougtoir/yoshika-pkpd. The manuscript source and reproduction code are available at https://github.com/bougtoir/yoshika-pkpd/tree/main/v1.</w:t>
      </w:r>
    </w:p>
    <w:p>
      <w:pPr>
        <w:pStyle w:val="Heading1"/>
      </w:pPr>
      <w:r>
        <w:t>Software availability</w:t>
      </w:r>
    </w:p>
    <w:p>
      <w:r>
        <w:t>The source code for yoshika is publicly available at https://github.com/bougtoir/yoshika-pkpd under the MIT license. The package requires Python &gt;= 3.9 with NumPy, SciPy, Matplotlib, and Pandas as dependencies. Installation is available via pip install yoshika or from source. The manuscript source, figures, and reproduction scripts are available at https://github.com/bougtoir/yoshika-pkpd/tree/main/v1.</w:t>
      </w:r>
    </w:p>
    <w:p>
      <w:pPr>
        <w:pStyle w:val="Heading1"/>
      </w:pPr>
      <w:r>
        <w:t>Declaration of competing interest</w:t>
      </w:r>
    </w:p>
    <w:p>
      <w:r>
        <w:t>The authors declare that they have no known competing financial interests or personal relationships that could have appeared to influence the work reported in this paper.</w:t>
      </w:r>
    </w:p>
    <w:p>
      <w:pPr>
        <w:pStyle w:val="Heading1"/>
      </w:pPr>
      <w:r>
        <w:t>Data availability</w:t>
      </w:r>
    </w:p>
    <w:p>
      <w:r>
        <w:t>No data was used for the research described in the article. The software source code is publicly available at https://github.com/bougtoir/yoshika-pkpd.</w:t>
      </w:r>
    </w:p>
    <w:p>
      <w:pPr>
        <w:pStyle w:val="Heading1"/>
      </w:pPr>
      <w:r>
        <w:t>CRediT authorship contribution statement</w:t>
      </w:r>
    </w:p>
    <w:p>
      <w:r>
        <w:rPr>
          <w:b/>
        </w:rPr>
        <w:t xml:space="preserve">Tatsuki Onishi: </w:t>
      </w:r>
      <w:r>
        <w:t>Conceptualization, Methodology, Software, Validation, Writing – Original Draft, Writing – Review &amp; Editing.</w:t>
      </w:r>
    </w:p>
    <w:p>
      <w:pPr>
        <w:pStyle w:val="Heading1"/>
      </w:pPr>
      <w:r>
        <w:t>Acknowledgements</w:t>
      </w:r>
    </w:p>
    <w:p>
      <w:r>
        <w:t>None.</w:t>
      </w:r>
    </w:p>
    <w:p>
      <w:pPr>
        <w:pStyle w:val="Heading1"/>
      </w:pPr>
      <w:r>
        <w:t>References</w:t>
      </w:r>
    </w:p>
    <w:p>
      <w:pPr>
        <w:spacing w:after="80"/>
      </w:pPr>
      <w:r>
        <w:rPr>
          <w:sz w:val="20"/>
        </w:rPr>
        <w:t>[1] Eleveld DJ, Colin P, Absalom AR, Struys MMRF. Pharmacokinetic-pharmacodynamic model for propofol for broad application in anaesthesia and sedation. Br J Anaesth. 2018;120(5):942-959.</w:t>
      </w:r>
    </w:p>
    <w:p>
      <w:pPr>
        <w:spacing w:after="80"/>
      </w:pPr>
      <w:r>
        <w:rPr>
          <w:sz w:val="20"/>
        </w:rPr>
        <w:t>[2] Strichartz GR, Sanchez V, Arthur GR, Chafetz R, Martiny D. Fundamental properties of local anesthetics. II. Measured octanol buffer partition coefficients and pKa values of clinically used drugs. Anesth Analg. 1990;71(2):158-170.</w:t>
      </w:r>
    </w:p>
    <w:p>
      <w:pPr>
        <w:spacing w:after="80"/>
      </w:pPr>
      <w:r>
        <w:rPr>
          <w:sz w:val="20"/>
        </w:rPr>
        <w:t>[3] Kavčič H, Umek N, Vintar N, Mavri J. Local anesthetics transfer relies on pH differences and affinities toward lipophilic compartments. J Phys Org Chem. 2021;34(12):e4275.</w:t>
      </w:r>
    </w:p>
    <w:p>
      <w:pPr>
        <w:spacing w:after="80"/>
      </w:pPr>
      <w:r>
        <w:rPr>
          <w:sz w:val="20"/>
        </w:rPr>
        <w:t>[4] Rosenberg PH, Veering BT, Urmey WF. Maximum recommended doses of local anesthetics: a multifactorial concept. Reg Anesth Pain Med. 2004;29(6):564-575.</w:t>
      </w:r>
    </w:p>
    <w:p>
      <w:pPr>
        <w:spacing w:after="80"/>
      </w:pPr>
      <w:r>
        <w:rPr>
          <w:sz w:val="20"/>
        </w:rPr>
        <w:t>[5] De Cassai A, Pasin L, Boscolo A, et al. Local anaesthetic toxicity: moving beyond maximum recommended doses. Br J Anaesth. 2025.</w:t>
      </w:r>
    </w:p>
    <w:p>
      <w:pPr>
        <w:spacing w:after="80"/>
      </w:pPr>
      <w:r>
        <w:rPr>
          <w:sz w:val="20"/>
        </w:rPr>
        <w:t>[6] Hughes MA, Glass PSA, Jacobs JR. Context-sensitive half-time in multicompartment pharmacokinetic models for intravenous anesthetic drugs. Anesthesiology. 1992;76(3):334-341.</w:t>
      </w:r>
    </w:p>
    <w:p>
      <w:pPr>
        <w:spacing w:after="80"/>
      </w:pPr>
      <w:r>
        <w:rPr>
          <w:sz w:val="20"/>
        </w:rPr>
        <w:t>[7] Tucker GT, Mather LE. Clinical pharmacokinetics of local anaesthetics. Clin Pharmacokinet. 1979;4(4):241-278.</w:t>
      </w:r>
    </w:p>
    <w:p>
      <w:pPr>
        <w:spacing w:after="80"/>
      </w:pPr>
      <w:r>
        <w:rPr>
          <w:sz w:val="20"/>
        </w:rPr>
        <w:t>[8] Burm AGL. Clinical pharmacokinetics of epidural and spinal anaesthesia. Clin Pharmacokinet. 1989;16(5):283-311.</w:t>
      </w:r>
    </w:p>
    <w:p>
      <w:pPr>
        <w:spacing w:after="80"/>
      </w:pPr>
      <w:r>
        <w:rPr>
          <w:sz w:val="20"/>
        </w:rPr>
        <w:t>[9] Virtanen P, Gommers R, Oliphant TE, et al. SciPy 1.0: fundamental algorithms for scientific computing in Python. Nat Methods. 2020;17(3):261-272.</w:t>
      </w:r>
    </w:p>
    <w:p>
      <w:pPr>
        <w:spacing w:after="80"/>
      </w:pPr>
      <w:r>
        <w:rPr>
          <w:sz w:val="20"/>
        </w:rPr>
        <w:t>[10] Aubouin-Pairault B, Fiacchini M, Dang T. PAS: a Python Anesthesia Simulator for drug control. J Open Source Softw. 2023;8(88):5480.</w:t>
      </w:r>
    </w:p>
    <w:p>
      <w:pPr>
        <w:spacing w:after="80"/>
      </w:pPr>
      <w:r>
        <w:rPr>
          <w:sz w:val="20"/>
        </w:rPr>
        <w:t>[11] Hosseinirad S, Merlo M, Trovo F, Tognoli E, Metelli AM, Dumont GA. AReS: a patient simulator to facilitate testing of automated anesthesia. Comput Methods Programs Biomed. 2025;108901.</w:t>
      </w:r>
    </w:p>
    <w:p>
      <w:pPr>
        <w:spacing w:after="80"/>
      </w:pPr>
      <w:r>
        <w:rPr>
          <w:sz w:val="20"/>
        </w:rPr>
        <w:t>[12] Ionescu CM, Neckebroek M, Ghita M, Copot D. An open source patient simulator for design and evaluation of computer based multiple drug dosing control for anesthetic and hemodynamic variables. IEEE Access. 2021;9:8680-8694.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