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Highlights</w:t>
      </w:r>
    </w:p>
    <w:p>
      <w:pPr>
        <w:pStyle w:val="ListBullet"/>
      </w:pPr>
      <w:r>
        <w:t>Open-source comparison of initial-compartment scenarios for local anesthetics</w:t>
      </w:r>
    </w:p>
    <w:p>
      <w:pPr>
        <w:pStyle w:val="ListBullet"/>
      </w:pPr>
      <w:r>
        <w:t>Standard PK equations; scenarios differ only in input and absorption</w:t>
      </w:r>
    </w:p>
    <w:p>
      <w:pPr>
        <w:pStyle w:val="ListBullet"/>
      </w:pPr>
      <w:r>
        <w:t>External validation: 90% of predicted Cmax values were within two-fold</w:t>
      </w:r>
    </w:p>
    <w:p>
      <w:pPr>
        <w:pStyle w:val="ListBullet"/>
      </w:pPr>
      <w:r>
        <w:t>Intravenous input overstates and mis-times non-IV peak concentrations</w:t>
      </w:r>
    </w:p>
    <w:p>
      <w:pPr>
        <w:pStyle w:val="ListBullet"/>
      </w:pPr>
      <w:r>
        <w:t>Framework for exploratory, route-aware dosing and monitoring hypotheses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