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yoshika:</w:t>
      </w:r>
      <w:r>
        <w:t xml:space="preserve"> </w:t>
      </w:r>
      <w:r>
        <w:t xml:space="preserve">A</w:t>
      </w:r>
      <w:r>
        <w:t xml:space="preserve"> </w:t>
      </w:r>
      <w:r>
        <w:t xml:space="preserve">Python</w:t>
      </w:r>
      <w:r>
        <w:t xml:space="preserve"> </w:t>
      </w:r>
      <w:r>
        <w:t xml:space="preserve">Package</w:t>
      </w:r>
      <w:r>
        <w:t xml:space="preserve"> </w:t>
      </w:r>
      <w:r>
        <w:t xml:space="preserve">for</w:t>
      </w:r>
      <w:r>
        <w:t xml:space="preserve"> </w:t>
      </w:r>
      <w:r>
        <w:t xml:space="preserve">Pharmacokinetic-Pharmacodynamic</w:t>
      </w:r>
      <w:r>
        <w:t xml:space="preserve"> </w:t>
      </w:r>
      <w:r>
        <w:t xml:space="preserve">Simulation</w:t>
      </w:r>
      <w:r>
        <w:t xml:space="preserve"> </w:t>
      </w:r>
      <w:r>
        <w:t xml:space="preserve">of</w:t>
      </w:r>
      <w:r>
        <w:t xml:space="preserve"> </w:t>
      </w:r>
      <w:r>
        <w:t xml:space="preserve">Local</w:t>
      </w:r>
      <w:r>
        <w:t xml:space="preserve"> </w:t>
      </w:r>
      <w:r>
        <w:t xml:space="preserve">Anesthetics</w:t>
      </w:r>
      <w:r>
        <w:t xml:space="preserve"> </w:t>
      </w:r>
      <w:r>
        <w:t xml:space="preserve">with</w:t>
      </w:r>
      <w:r>
        <w:t xml:space="preserve"> </w:t>
      </w:r>
      <w:r>
        <w:t xml:space="preserve">Selectable</w:t>
      </w:r>
      <w:r>
        <w:t xml:space="preserve"> </w:t>
      </w:r>
      <w:r>
        <w:t xml:space="preserve">Initial</w:t>
      </w:r>
      <w:r>
        <w:t xml:space="preserve"> </w:t>
      </w:r>
      <w:r>
        <w:t xml:space="preserve">Compartment</w:t>
      </w:r>
    </w:p>
    <w:p>
      <w:pPr>
        <w:pStyle w:val="Date"/>
      </w:pPr>
      <w:r>
        <w:rPr>
          <w:highlight w:val="yellow"/>
        </w:rPr>
        <w:t xml:space="preserve">28</w:t>
      </w:r>
      <w:r>
        <w:rPr>
          <w:highlight w:val="yellow"/>
        </w:rPr>
        <w:t xml:space="preserve"> </w:t>
      </w:r>
      <w:r>
        <w:rPr>
          <w:highlight w:val="yellow"/>
        </w:rPr>
        <w:t xml:space="preserve">March</w:t>
      </w:r>
      <w:r>
        <w:rPr>
          <w:highlight w:val="yellow"/>
        </w:rPr>
        <w:t xml:space="preserve"> </w:t>
      </w:r>
      <w:r>
        <w:rPr>
          <w:highlight w:val="yellow"/>
        </w:rPr>
        <w:t xml:space="preserve">2026</w:t>
      </w:r>
    </w:p>
    <w:p>
      <w:pPr>
        <w:pStyle w:val="Heading1"/>
      </w:pPr>
      <w:bookmarkStart w:id="20" w:name="highlights"/>
      <w:r>
        <w:t xml:space="preserve">Highlights</w:t>
      </w:r>
      <w:bookmarkEnd w:id="20"/>
    </w:p>
    <w:p>
      <w:pPr>
        <w:numPr>
          <w:ilvl w:val="0"/>
          <w:numId w:val="1001"/>
        </w:numPr>
        <w:pStyle w:val="Compact"/>
      </w:pPr>
      <w:r>
        <w:rPr>
          <w:highlight w:val="yellow"/>
        </w:rPr>
        <w:t xml:space="preserve">Open-source comparison of initial-compartment scenarios for local anesthetics</w:t>
      </w:r>
    </w:p>
    <w:p>
      <w:pPr>
        <w:numPr>
          <w:ilvl w:val="0"/>
          <w:numId w:val="1001"/>
        </w:numPr>
        <w:pStyle w:val="Compact"/>
      </w:pPr>
      <w:r>
        <w:rPr>
          <w:highlight w:val="yellow"/>
        </w:rPr>
        <w:t xml:space="preserve">Standard PK equations; scenarios differ only in input and absorption</w:t>
      </w:r>
    </w:p>
    <w:p>
      <w:pPr>
        <w:numPr>
          <w:ilvl w:val="0"/>
          <w:numId w:val="1001"/>
        </w:numPr>
        <w:pStyle w:val="Compact"/>
      </w:pPr>
      <w:r>
        <w:rPr>
          <w:highlight w:val="yellow"/>
        </w:rPr>
        <w:t xml:space="preserve">External validation: 90% of predicted Cmax values were within two-fold</w:t>
      </w:r>
    </w:p>
    <w:p>
      <w:pPr>
        <w:numPr>
          <w:ilvl w:val="0"/>
          <w:numId w:val="1001"/>
        </w:numPr>
        <w:pStyle w:val="Compact"/>
      </w:pPr>
      <w:r>
        <w:rPr>
          <w:highlight w:val="yellow"/>
        </w:rPr>
        <w:t xml:space="preserve">Intravenous input overstates and mis-times non-IV peak concentrations</w:t>
      </w:r>
    </w:p>
    <w:p>
      <w:pPr>
        <w:numPr>
          <w:ilvl w:val="0"/>
          <w:numId w:val="1001"/>
        </w:numPr>
        <w:pStyle w:val="Compact"/>
      </w:pPr>
      <w:r>
        <w:rPr>
          <w:highlight w:val="yellow"/>
        </w:rPr>
        <w:t xml:space="preserve">Framework for exploratory, route-aware dosing and monitoring hypotheses</w:t>
      </w:r>
    </w:p>
    <w:p>
      <w:pPr>
        <w:pStyle w:val="Heading1"/>
      </w:pPr>
      <w:bookmarkStart w:id="21" w:name="abstract"/>
      <w:r>
        <w:t xml:space="preserve">Abstract</w:t>
      </w:r>
      <w:bookmarkEnd w:id="21"/>
    </w:p>
    <w:p>
      <w:pPr>
        <w:pStyle w:val="FirstParagraph"/>
      </w:pPr>
      <w:r>
        <w:rPr>
          <w:highlight w:val="yellow"/>
        </w:rPr>
        <w:t xml:space="preserve">yoshika (Yielding Open Simulation of Hybrid Inter-disciplinary Kinetic Absorption) is an</w:t>
      </w:r>
      <w:r>
        <w:rPr>
          <w:highlight w:val="yellow"/>
        </w:rPr>
        <w:t xml:space="preserve"> </w:t>
      </w:r>
      <w:r>
        <w:rPr>
          <w:highlight w:val="yellow"/>
        </w:rPr>
        <w:t xml:space="preserve">open-source Python package for pharmacokinetic-pharmacodynamic (PKPD) simulation of local</w:t>
      </w:r>
      <w:r>
        <w:rPr>
          <w:highlight w:val="yellow"/>
        </w:rPr>
        <w:t xml:space="preserve"> </w:t>
      </w:r>
      <w:r>
        <w:rPr>
          <w:highlight w:val="yellow"/>
        </w:rPr>
        <w:t xml:space="preserve">anesthetics with selectable initial compartments. It uses a conventional three-compartment</w:t>
      </w:r>
      <w:r>
        <w:rPr>
          <w:highlight w:val="yellow"/>
        </w:rPr>
        <w:t xml:space="preserve"> </w:t>
      </w:r>
      <w:r>
        <w:rPr>
          <w:highlight w:val="yellow"/>
        </w:rPr>
        <w:t xml:space="preserve">model; its contribution is a reproducible methodology that makes drug-deposition assumptions</w:t>
      </w:r>
      <w:r>
        <w:rPr>
          <w:highlight w:val="yellow"/>
        </w:rPr>
        <w:t xml:space="preserve"> </w:t>
      </w:r>
      <w:r>
        <w:rPr>
          <w:highlight w:val="yellow"/>
        </w:rPr>
        <w:t xml:space="preserve">explicit and systematically comparable. Conventional simulators place the entire dose in</w:t>
      </w:r>
      <w:r>
        <w:rPr>
          <w:highlight w:val="yellow"/>
        </w:rPr>
        <w:t xml:space="preserve"> </w:t>
      </w:r>
      <w:r>
        <w:rPr>
          <w:highlight w:val="yellow"/>
        </w:rPr>
        <w:t xml:space="preserve">plasma at time zero, whereas regional anesthesia deposits drug in tissue for subsequent</w:t>
      </w:r>
      <w:r>
        <w:rPr>
          <w:highlight w:val="yellow"/>
        </w:rPr>
        <w:t xml:space="preserve"> </w:t>
      </w:r>
      <w:r>
        <w:rPr>
          <w:highlight w:val="yellow"/>
        </w:rPr>
        <w:t xml:space="preserve">absorption. yoshika allows initial placement in plasma, vessel-rich tissue, vessel-poor</w:t>
      </w:r>
      <w:r>
        <w:rPr>
          <w:highlight w:val="yellow"/>
        </w:rPr>
        <w:t xml:space="preserve"> </w:t>
      </w:r>
      <w:r>
        <w:rPr>
          <w:highlight w:val="yellow"/>
        </w:rPr>
        <w:t xml:space="preserve">tissue, or a depot and compares concentration-time profiles and pharmacodynamic effects using</w:t>
      </w:r>
      <w:r>
        <w:rPr>
          <w:highlight w:val="yellow"/>
        </w:rPr>
        <w:t xml:space="preserve"> </w:t>
      </w:r>
      <w:r>
        <w:rPr>
          <w:highlight w:val="yellow"/>
        </w:rPr>
        <w:t xml:space="preserve">shared disposition parameters. It includes built-in parameters for lidocaine, bupivacaine,</w:t>
      </w:r>
      <w:r>
        <w:rPr>
          <w:highlight w:val="yellow"/>
        </w:rPr>
        <w:t xml:space="preserve"> </w:t>
      </w:r>
      <w:r>
        <w:rPr>
          <w:highlight w:val="yellow"/>
        </w:rPr>
        <w:t xml:space="preserve">ropivacaine, and levobupivacaine, an effect-site compartment with a sigmoid Emax model,</w:t>
      </w:r>
      <w:r>
        <w:rPr>
          <w:highlight w:val="yellow"/>
        </w:rPr>
        <w:t xml:space="preserve"> </w:t>
      </w:r>
      <w:r>
        <w:rPr>
          <w:highlight w:val="yellow"/>
        </w:rPr>
        <w:t xml:space="preserve">visualization tools, and tests. External validation used Cmax and Tmax from ten published</w:t>
      </w:r>
      <w:r>
        <w:rPr>
          <w:highlight w:val="yellow"/>
        </w:rPr>
        <w:t xml:space="preserve"> </w:t>
      </w:r>
      <w:r>
        <w:rPr>
          <w:highlight w:val="yellow"/>
        </w:rPr>
        <w:t xml:space="preserve">clinical pharmacokinetic records spanning intercostal, fascial-plane, peripheral-nerve, and</w:t>
      </w:r>
      <w:r>
        <w:rPr>
          <w:highlight w:val="yellow"/>
        </w:rPr>
        <w:t xml:space="preserve"> </w:t>
      </w:r>
      <w:r>
        <w:rPr>
          <w:highlight w:val="yellow"/>
        </w:rPr>
        <w:t xml:space="preserve">epidural routes. With the depot absorption rate calibrated to observed Tmax, 90% of predicted</w:t>
      </w:r>
      <w:r>
        <w:rPr>
          <w:highlight w:val="yellow"/>
        </w:rPr>
        <w:t xml:space="preserve"> </w:t>
      </w:r>
      <w:r>
        <w:rPr>
          <w:highlight w:val="yellow"/>
        </w:rPr>
        <w:t xml:space="preserve">Cmax values were within two-fold of observations (geometric mean fold error, 1.51; Pearson</w:t>
      </w:r>
      <w:r>
        <w:rPr>
          <w:highlight w:val="yellow"/>
        </w:rPr>
        <w:t xml:space="preserve"> </w:t>
      </w:r>
      <w:r>
        <w:rPr>
          <w:highlight w:val="yellow"/>
        </w:rPr>
        <w:t xml:space="preserve">r = 0.81). The intravenous-input assumption overestimated Cmax approximately tenfold and</w:t>
      </w:r>
      <w:r>
        <w:rPr>
          <w:highlight w:val="yellow"/>
        </w:rPr>
        <w:t xml:space="preserve"> </w:t>
      </w:r>
      <w:r>
        <w:rPr>
          <w:highlight w:val="yellow"/>
        </w:rPr>
        <w:t xml:space="preserve">predicted an instantaneous peak. yoshika is intended for exploratory and educational</w:t>
      </w:r>
      <w:r>
        <w:rPr>
          <w:highlight w:val="yellow"/>
        </w:rPr>
        <w:t xml:space="preserve"> </w:t>
      </w:r>
      <w:r>
        <w:rPr>
          <w:highlight w:val="yellow"/>
        </w:rPr>
        <w:t xml:space="preserve">generation of route-aware hypotheses about peak exposure and monitoring windows, not as a</w:t>
      </w:r>
      <w:r>
        <w:rPr>
          <w:highlight w:val="yellow"/>
        </w:rPr>
        <w:t xml:space="preserve"> </w:t>
      </w:r>
      <w:r>
        <w:rPr>
          <w:highlight w:val="yellow"/>
        </w:rPr>
        <w:t xml:space="preserve">validated clinical dosing tool.</w:t>
      </w:r>
    </w:p>
    <w:p>
      <w:pPr>
        <w:pStyle w:val="BodyText"/>
      </w:pPr>
      <w:r>
        <w:rPr>
          <w:b/>
        </w:rPr>
        <w:t xml:space="preserve">Keywords:</w:t>
      </w:r>
      <w:r>
        <w:t xml:space="preserve"> </w:t>
      </w:r>
      <w:r>
        <w:t xml:space="preserve">pharmacokinetics; pharmacodynamics; local anesthetics; regional anesthesia;</w:t>
      </w:r>
      <w:r>
        <w:t xml:space="preserve"> </w:t>
      </w:r>
      <w:r>
        <w:t xml:space="preserve">compartment model; simulation; selectable initial compartment; systemic toxicity</w:t>
      </w:r>
    </w:p>
    <w:p>
      <w:pPr>
        <w:pStyle w:val="Heading1"/>
      </w:pPr>
      <w:bookmarkStart w:id="22" w:name="introduction"/>
      <w:r>
        <w:t xml:space="preserve">1. Introduction</w:t>
      </w:r>
      <w:bookmarkEnd w:id="22"/>
    </w:p>
    <w:p>
      <w:pPr>
        <w:pStyle w:val="Heading2"/>
      </w:pPr>
      <w:bookmarkStart w:id="23" w:name="X634272d9b7e686c071ccb58b073d229955d513a"/>
      <w:r>
        <w:t xml:space="preserve">1.1 The initial compartment problem in regional anesthesia</w:t>
      </w:r>
      <w:bookmarkEnd w:id="23"/>
    </w:p>
    <w:p>
      <w:pPr>
        <w:pStyle w:val="FirstParagraph"/>
      </w:pPr>
      <w:r>
        <w:t xml:space="preserve">In regional anesthesia and pain medicine, local anesthetics are injected near nerves and</w:t>
      </w:r>
      <w:r>
        <w:t xml:space="preserve"> </w:t>
      </w:r>
      <w:r>
        <w:t xml:space="preserve">fascial planes rather than intravenously. The pharmacokinetic behavior of these drugs</w:t>
      </w:r>
      <w:r>
        <w:t xml:space="preserve"> </w:t>
      </w:r>
      <w:r>
        <w:t xml:space="preserve">depends critically on the injection site and block success. Existing PK simulation tools</w:t>
      </w:r>
      <w:r>
        <w:t xml:space="preserve"> </w:t>
      </w:r>
      <w:r>
        <w:t xml:space="preserve">(e.g., STANPUMP, Tivatrainer, Eleveld models) uniformly assume intravenous administration,</w:t>
      </w:r>
      <w:r>
        <w:t xml:space="preserve"> </w:t>
      </w:r>
      <w:r>
        <w:t xml:space="preserve">where drug enters the central (plasma) compartment at time zero</w:t>
      </w:r>
      <w:r>
        <w:t xml:space="preserve"> </w:t>
      </w:r>
      <w:r>
        <w:t xml:space="preserve">[1]</w:t>
      </w:r>
      <w:r>
        <w:t xml:space="preserve">. This</w:t>
      </w:r>
      <w:r>
        <w:t xml:space="preserve"> </w:t>
      </w:r>
      <w:r>
        <w:t xml:space="preserve">assumption does not hold for regional anesthesia, where:</w:t>
      </w:r>
    </w:p>
    <w:p>
      <w:pPr>
        <w:numPr>
          <w:ilvl w:val="0"/>
          <w:numId w:val="1002"/>
        </w:numPr>
        <w:pStyle w:val="Compact"/>
      </w:pPr>
      <w:r>
        <w:t xml:space="preserve">A successful peripheral nerve block deposits the drug bolus into vessel-poor tissue</w:t>
      </w:r>
      <w:r>
        <w:t xml:space="preserve"> </w:t>
      </w:r>
      <w:r>
        <w:t xml:space="preserve">(V3/BPT), resulting in slow absorption into plasma with a delayed, attenuated peak</w:t>
      </w:r>
      <w:r>
        <w:t xml:space="preserve"> </w:t>
      </w:r>
      <w:r>
        <w:t xml:space="preserve">plasma concentration.</w:t>
      </w:r>
    </w:p>
    <w:p>
      <w:pPr>
        <w:numPr>
          <w:ilvl w:val="0"/>
          <w:numId w:val="1002"/>
        </w:numPr>
        <w:pStyle w:val="Compact"/>
      </w:pPr>
      <w:r>
        <w:t xml:space="preserve">A failed block with intravascular injection deposits the drug into vessel-rich tissue</w:t>
      </w:r>
      <w:r>
        <w:t xml:space="preserve"> </w:t>
      </w:r>
      <w:r>
        <w:t xml:space="preserve">(V2/BRT) or directly into plasma, resulting in rapid systemic exposure and potentially</w:t>
      </w:r>
      <w:r>
        <w:t xml:space="preserve"> </w:t>
      </w:r>
      <w:r>
        <w:t xml:space="preserve">toxic concentrations.</w:t>
      </w:r>
    </w:p>
    <w:p>
      <w:pPr>
        <w:numPr>
          <w:ilvl w:val="0"/>
          <w:numId w:val="1002"/>
        </w:numPr>
        <w:pStyle w:val="Compact"/>
      </w:pPr>
      <w:r>
        <w:rPr>
          <w:highlight w:val="yellow"/>
        </w:rPr>
        <w:t xml:space="preserve">Fascial plane blocks and depot injections involve absorption through a depot compartment</w:t>
      </w:r>
      <w:r>
        <w:rPr>
          <w:highlight w:val="yellow"/>
        </w:rPr>
        <w:t xml:space="preserve"> </w:t>
      </w:r>
      <w:r>
        <w:rPr>
          <w:highlight w:val="yellow"/>
        </w:rPr>
        <w:t xml:space="preserve">with first-order absorption kinetics (</w:t>
      </w:r>
      <m:oMath>
        <m:sSub>
          <m:e>
            <m:r>
              <m:t>k</m:t>
            </m:r>
          </m:e>
          <m:sub>
            <m:r>
              <m:t>a</m:t>
            </m:r>
          </m:sub>
        </m:sSub>
      </m:oMath>
      <w:r>
        <w:rPr>
          <w:highlight w:val="yellow"/>
        </w:rPr>
        <w:t xml:space="preserve">).</w:t>
      </w:r>
    </w:p>
    <w:p>
      <w:pPr>
        <w:pStyle w:val="FirstParagraph"/>
      </w:pPr>
      <w:r>
        <w:t xml:space="preserve">To our knowledge, no existing open-source PKPD simulation package explicitly supports</w:t>
      </w:r>
      <w:r>
        <w:t xml:space="preserve"> </w:t>
      </w:r>
      <w:r>
        <w:t xml:space="preserve">selectable initial compartment for local anesthetics. The Python Anesthesia Simulator</w:t>
      </w:r>
      <w:r>
        <w:t xml:space="preserve"> </w:t>
      </w:r>
      <w:r>
        <w:t xml:space="preserve">(PAS)</w:t>
      </w:r>
      <w:r>
        <w:t xml:space="preserve"> </w:t>
      </w:r>
      <w:r>
        <w:t xml:space="preserve">[2]</w:t>
      </w:r>
      <w:r>
        <w:t xml:space="preserve"> </w:t>
      </w:r>
      <w:r>
        <w:t xml:space="preserve">provides a general framework for anesthetic PK simulation but does</w:t>
      </w:r>
      <w:r>
        <w:t xml:space="preserve"> </w:t>
      </w:r>
      <w:r>
        <w:t xml:space="preserve">not address the specific problem of initial compartment selection for regional anesthesia</w:t>
      </w:r>
      <w:r>
        <w:t xml:space="preserve"> </w:t>
      </w:r>
      <w:r>
        <w:t xml:space="preserve">applications.</w:t>
      </w:r>
    </w:p>
    <w:p>
      <w:pPr>
        <w:pStyle w:val="BodyText"/>
      </w:pPr>
      <w:r>
        <w:rPr>
          <w:highlight w:val="yellow"/>
        </w:rPr>
        <w:t xml:space="preserve">We emphasize at the outset what yoshika is and is not. Mathematically, changing the</w:t>
      </w:r>
      <w:r>
        <w:rPr>
          <w:highlight w:val="yellow"/>
        </w:rPr>
        <w:t xml:space="preserve"> </w:t>
      </w:r>
      <w:r>
        <w:rPr>
          <w:highlight w:val="yellow"/>
        </w:rPr>
        <w:t xml:space="preserve">compartment that receives the dose at</w:t>
      </w:r>
      <w:r>
        <w:rPr>
          <w:highlight w:val="yellow"/>
        </w:rPr>
        <w:t xml:space="preserve"> </w:t>
      </w:r>
      <m:oMath>
        <m:r>
          <m:t>t</m:t>
        </m:r>
        <m:r>
          <m:t>=</m:t>
        </m:r>
        <m:r>
          <m:t>0</m:t>
        </m:r>
      </m:oMath>
      <w:r>
        <w:rPr>
          <w:highlight w:val="yellow"/>
        </w:rPr>
        <w:t xml:space="preserve"> </w:t>
      </w:r>
      <w:r>
        <w:rPr>
          <w:highlight w:val="yellow"/>
        </w:rPr>
        <w:t xml:space="preserve">is a trivial change of initial conditions</w:t>
      </w:r>
      <w:r>
        <w:rPr>
          <w:highlight w:val="yellow"/>
        </w:rPr>
        <w:t xml:space="preserve"> </w:t>
      </w:r>
      <w:r>
        <w:rPr>
          <w:highlight w:val="yellow"/>
        </w:rPr>
        <w:t xml:space="preserve">in a standard three-compartment model; it is not a new pharmacokinetic model, and we do</w:t>
      </w:r>
      <w:r>
        <w:rPr>
          <w:highlight w:val="yellow"/>
        </w:rPr>
        <w:t xml:space="preserve"> </w:t>
      </w:r>
      <w:r>
        <w:rPr>
          <w:highlight w:val="yellow"/>
        </w:rPr>
        <w:t xml:space="preserve">not claim it to be. The contribution is instead a</w:t>
      </w:r>
      <w:r>
        <w:rPr>
          <w:highlight w:val="yellow"/>
        </w:rPr>
        <w:t xml:space="preserve"> </w:t>
      </w:r>
      <w:r>
        <w:rPr>
          <w:i/>
          <w:highlight w:val="yellow"/>
        </w:rPr>
        <w:t xml:space="preserve">methodological and software</w:t>
      </w:r>
      <w:r>
        <w:rPr>
          <w:highlight w:val="yellow"/>
        </w:rPr>
        <w:t xml:space="preserve"> </w:t>
      </w:r>
      <w:r>
        <w:rPr>
          <w:highlight w:val="yellow"/>
        </w:rPr>
        <w:t xml:space="preserve">one:</w:t>
      </w:r>
      <w:r>
        <w:rPr>
          <w:highlight w:val="yellow"/>
        </w:rPr>
        <w:t xml:space="preserve"> </w:t>
      </w:r>
      <w:r>
        <w:rPr>
          <w:highlight w:val="yellow"/>
        </w:rPr>
        <w:t xml:space="preserve">a reproducible, open framework that makes the initial-compartment choice explicit and</w:t>
      </w:r>
      <w:r>
        <w:rPr>
          <w:highlight w:val="yellow"/>
        </w:rPr>
        <w:t xml:space="preserve"> </w:t>
      </w:r>
      <w:r>
        <w:rPr>
          <w:highlight w:val="yellow"/>
        </w:rPr>
        <w:t xml:space="preserve">lets it be varied systematically, together with the observation—often overlooked in</w:t>
      </w:r>
      <w:r>
        <w:rPr>
          <w:highlight w:val="yellow"/>
        </w:rPr>
        <w:t xml:space="preserve"> </w:t>
      </w:r>
      <w:r>
        <w:rPr>
          <w:highlight w:val="yellow"/>
        </w:rPr>
        <w:t xml:space="preserve">routine practice and in intravenous (IV)-oriented simulators—that this choice has large and</w:t>
      </w:r>
      <w:r>
        <w:rPr>
          <w:highlight w:val="yellow"/>
        </w:rPr>
        <w:t xml:space="preserve"> </w:t>
      </w:r>
      <w:r>
        <w:rPr>
          <w:highlight w:val="yellow"/>
        </w:rPr>
        <w:t xml:space="preserve">clinically meaningful consequences for the predicted concentration-time profile. Whether</w:t>
      </w:r>
      <w:r>
        <w:rPr>
          <w:highlight w:val="yellow"/>
        </w:rPr>
        <w:t xml:space="preserve"> </w:t>
      </w:r>
      <w:r>
        <w:rPr>
          <w:highlight w:val="yellow"/>
        </w:rPr>
        <w:t xml:space="preserve">the resulting predictions correspond to reality is an empirical question, which we address</w:t>
      </w:r>
      <w:r>
        <w:rPr>
          <w:highlight w:val="yellow"/>
        </w:rPr>
        <w:t xml:space="preserve"> </w:t>
      </w:r>
      <w:r>
        <w:rPr>
          <w:highlight w:val="yellow"/>
        </w:rPr>
        <w:t xml:space="preserve">by external validation against published plasma concentration data (§3.3).</w:t>
      </w:r>
    </w:p>
    <w:p>
      <w:pPr>
        <w:pStyle w:val="Heading2"/>
      </w:pPr>
      <w:bookmarkStart w:id="24" w:name="Xae798aff50de3362f719dbff1b1d4f38aadd89a"/>
      <w:r>
        <w:rPr>
          <w:highlight w:val="yellow"/>
        </w:rPr>
        <w:t xml:space="preserve">1.2 Clinical motivation: initial compartment and systemic toxicity risk</w:t>
      </w:r>
      <w:bookmarkEnd w:id="24"/>
    </w:p>
    <w:p>
      <w:pPr>
        <w:pStyle w:val="FirstParagraph"/>
      </w:pPr>
      <w:r>
        <w:rPr>
          <w:highlight w:val="yellow"/>
        </w:rPr>
        <w:t xml:space="preserve">A potential clinical relevance of selectable initial compartment modeling lies in its</w:t>
      </w:r>
      <w:r>
        <w:rPr>
          <w:highlight w:val="yellow"/>
        </w:rPr>
        <w:t xml:space="preserve"> </w:t>
      </w:r>
      <w:r>
        <w:rPr>
          <w:highlight w:val="yellow"/>
        </w:rPr>
        <w:t xml:space="preserve">implications for local anesthetic systemic toxicity (LAST) risk assessment.</w:t>
      </w:r>
      <w:r>
        <w:rPr>
          <w:highlight w:val="yellow"/>
        </w:rPr>
        <w:t xml:space="preserve"> </w:t>
      </w:r>
      <w:r>
        <w:rPr>
          <w:highlight w:val="yellow"/>
        </w:rPr>
        <w:t xml:space="preserve">Traditional maximum recommended doses for local anesthetics (e.g., bupivacaine</w:t>
      </w:r>
      <w:r>
        <w:rPr>
          <w:highlight w:val="yellow"/>
        </w:rPr>
        <w:t xml:space="preserve"> </w:t>
      </w:r>
      <w:r>
        <w:rPr>
          <w:highlight w:val="yellow"/>
        </w:rPr>
        <w:t xml:space="preserve">2 mg/kg, lidocaine 4.5 mg/kg without epinephrine) are derived largely from intravenous</w:t>
      </w:r>
      <w:r>
        <w:rPr>
          <w:highlight w:val="yellow"/>
        </w:rPr>
        <w:t xml:space="preserve"> </w:t>
      </w:r>
      <w:r>
        <w:rPr>
          <w:highlight w:val="yellow"/>
        </w:rPr>
        <w:t xml:space="preserve">and systemic pharmacokinetic studies, where the entire dose is assumed to enter the</w:t>
      </w:r>
      <w:r>
        <w:rPr>
          <w:highlight w:val="yellow"/>
        </w:rPr>
        <w:t xml:space="preserve"> </w:t>
      </w:r>
      <w:r>
        <w:rPr>
          <w:highlight w:val="yellow"/>
        </w:rPr>
        <w:t xml:space="preserve">central plasma compartment instantaneously</w:t>
      </w:r>
      <w:r>
        <w:rPr>
          <w:highlight w:val="yellow"/>
        </w:rPr>
        <w:t xml:space="preserve"> </w:t>
      </w:r>
      <w:r>
        <w:rPr>
          <w:highlight w:val="yellow"/>
        </w:rPr>
        <w:t xml:space="preserve">[3,4]</w:t>
      </w:r>
      <w:r>
        <w:rPr>
          <w:highlight w:val="yellow"/>
        </w:rPr>
        <w:t xml:space="preserve">. This</w:t>
      </w:r>
      <w:r>
        <w:rPr>
          <w:highlight w:val="yellow"/>
        </w:rPr>
        <w:t xml:space="preserve"> </w:t>
      </w:r>
      <w:r>
        <w:rPr>
          <w:highlight w:val="yellow"/>
        </w:rPr>
        <w:t xml:space="preserve">assumption produces the highest possible peak plasma concentration (</w:t>
      </w:r>
      <m:oMath>
        <m:sSub>
          <m:e>
            <m:r>
              <m:t>C</m:t>
            </m:r>
          </m:e>
          <m:sub>
            <m:r>
              <m:t>m</m:t>
            </m:r>
            <m:r>
              <m:t>a</m:t>
            </m:r>
            <m:r>
              <m:t>x</m:t>
            </m:r>
          </m:sub>
        </m:sSub>
      </m:oMath>
      <w:r>
        <w:rPr>
          <w:highlight w:val="yellow"/>
        </w:rPr>
        <w:t xml:space="preserve">) for a given dose.</w:t>
      </w:r>
    </w:p>
    <w:p>
      <w:pPr>
        <w:pStyle w:val="BodyText"/>
      </w:pPr>
      <w:r>
        <w:rPr>
          <w:highlight w:val="yellow"/>
        </w:rPr>
        <w:t xml:space="preserve">Changing the initial compartment changes the simulated concentration-time profile in</w:t>
      </w:r>
      <w:r>
        <w:rPr>
          <w:highlight w:val="yellow"/>
        </w:rPr>
        <w:t xml:space="preserve"> </w:t>
      </w:r>
      <w:r>
        <w:rPr>
          <w:highlight w:val="yellow"/>
        </w:rPr>
        <w:t xml:space="preserve">qualitatively different ways. We use the following scenario labels throughout; they are</w:t>
      </w:r>
      <w:r>
        <w:rPr>
          <w:highlight w:val="yellow"/>
        </w:rPr>
        <w:t xml:space="preserve"> </w:t>
      </w:r>
      <w:r>
        <w:rPr>
          <w:highlight w:val="yellow"/>
        </w:rPr>
        <w:t xml:space="preserve">heuristic modelling scenarios, not validated anatomical mappings (see the caveat below):</w:t>
      </w:r>
    </w:p>
    <w:p>
      <w:pPr>
        <w:numPr>
          <w:ilvl w:val="0"/>
          <w:numId w:val="1003"/>
        </w:numPr>
        <w:pStyle w:val="Compact"/>
      </w:pPr>
      <w:r>
        <w:rPr>
          <w:b/>
          <w:highlight w:val="yellow"/>
        </w:rPr>
        <w:t xml:space="preserve">Vessel-poor-tissue start (labelled</w:t>
      </w:r>
      <w:r>
        <w:rPr>
          <w:b/>
          <w:highlight w:val="yellow"/>
        </w:rPr>
        <w:t xml:space="preserve"> </w:t>
      </w:r>
      <w:r>
        <w:rPr>
          <w:b/>
          <w:highlight w:val="yellow"/>
        </w:rPr>
        <w:t xml:space="preserve">“</w:t>
      </w:r>
      <w:r>
        <w:rPr>
          <w:b/>
          <w:highlight w:val="yellow"/>
        </w:rPr>
        <w:t xml:space="preserve">successful block</w:t>
      </w:r>
      <w:r>
        <w:rPr>
          <w:b/>
          <w:highlight w:val="yellow"/>
        </w:rPr>
        <w:t xml:space="preserve">”</w:t>
      </w:r>
      <w:r>
        <w:rPr>
          <w:b/>
          <w:highlight w:val="yellow"/>
        </w:rPr>
        <w:t xml:space="preserve">):</w:t>
      </w:r>
      <w:r>
        <w:rPr>
          <w:highlight w:val="yellow"/>
        </w:rPr>
        <w:t xml:space="preserve"> </w:t>
      </w:r>
      <w:r>
        <w:rPr>
          <w:highlight w:val="yellow"/>
        </w:rPr>
        <w:t xml:space="preserve">the initial amount is</w:t>
      </w:r>
      <w:r>
        <w:rPr>
          <w:highlight w:val="yellow"/>
        </w:rPr>
        <w:t xml:space="preserve"> </w:t>
      </w:r>
      <w:r>
        <w:rPr>
          <w:highlight w:val="yellow"/>
        </w:rPr>
        <w:t xml:space="preserve">placed in the peripheral compartment with the smaller return rate constant, so it is</w:t>
      </w:r>
      <w:r>
        <w:rPr>
          <w:highlight w:val="yellow"/>
        </w:rPr>
        <w:t xml:space="preserve"> </w:t>
      </w:r>
      <w:r>
        <w:rPr>
          <w:highlight w:val="yellow"/>
        </w:rPr>
        <w:t xml:space="preserve">released slowly into plasma, producing a delayed and attenuated</w:t>
      </w:r>
      <w:r>
        <w:rPr>
          <w:highlight w:val="yellow"/>
        </w:rPr>
        <w:t xml:space="preserve"> </w:t>
      </w:r>
      <m:oMath>
        <m:sSub>
          <m:e>
            <m:r>
              <m:t>C</m:t>
            </m:r>
          </m:e>
          <m:sub>
            <m:r>
              <m:t>m</m:t>
            </m:r>
            <m:r>
              <m:t>a</m:t>
            </m:r>
            <m:r>
              <m:t>x</m:t>
            </m:r>
          </m:sub>
        </m:sSub>
      </m:oMath>
      <w:r>
        <w:rPr>
          <w:highlight w:val="yellow"/>
        </w:rPr>
        <w:t xml:space="preserve">.</w:t>
      </w:r>
    </w:p>
    <w:p>
      <w:pPr>
        <w:numPr>
          <w:ilvl w:val="0"/>
          <w:numId w:val="1003"/>
        </w:numPr>
        <w:pStyle w:val="Compact"/>
      </w:pPr>
      <w:r>
        <w:rPr>
          <w:b/>
          <w:highlight w:val="yellow"/>
        </w:rPr>
        <w:t xml:space="preserve">Vessel-rich-tissue start (labelled</w:t>
      </w:r>
      <w:r>
        <w:rPr>
          <w:b/>
          <w:highlight w:val="yellow"/>
        </w:rPr>
        <w:t xml:space="preserve"> </w:t>
      </w:r>
      <w:r>
        <w:rPr>
          <w:b/>
          <w:highlight w:val="yellow"/>
        </w:rPr>
        <w:t xml:space="preserve">“</w:t>
      </w:r>
      <w:r>
        <w:rPr>
          <w:b/>
          <w:highlight w:val="yellow"/>
        </w:rPr>
        <w:t xml:space="preserve">failed / vascular-rich block</w:t>
      </w:r>
      <w:r>
        <w:rPr>
          <w:b/>
          <w:highlight w:val="yellow"/>
        </w:rPr>
        <w:t xml:space="preserve">”</w:t>
      </w:r>
      <w:r>
        <w:rPr>
          <w:b/>
          <w:highlight w:val="yellow"/>
        </w:rPr>
        <w:t xml:space="preserve">):</w:t>
      </w:r>
      <w:r>
        <w:rPr>
          <w:highlight w:val="yellow"/>
        </w:rPr>
        <w:t xml:space="preserve"> </w:t>
      </w:r>
      <w:r>
        <w:rPr>
          <w:highlight w:val="yellow"/>
        </w:rPr>
        <w:t xml:space="preserve">the initial</w:t>
      </w:r>
      <w:r>
        <w:rPr>
          <w:highlight w:val="yellow"/>
        </w:rPr>
        <w:t xml:space="preserve"> </w:t>
      </w:r>
      <w:r>
        <w:rPr>
          <w:highlight w:val="yellow"/>
        </w:rPr>
        <w:t xml:space="preserve">amount is placed in the peripheral compartment with the faster return, producing an</w:t>
      </w:r>
      <w:r>
        <w:rPr>
          <w:highlight w:val="yellow"/>
        </w:rPr>
        <w:t xml:space="preserve"> </w:t>
      </w:r>
      <w:r>
        <w:rPr>
          <w:highlight w:val="yellow"/>
        </w:rPr>
        <w:t xml:space="preserve">earlier and higher</w:t>
      </w:r>
      <w:r>
        <w:rPr>
          <w:highlight w:val="yellow"/>
        </w:rPr>
        <w:t xml:space="preserve"> </w:t>
      </w:r>
      <m:oMath>
        <m:sSub>
          <m:e>
            <m:r>
              <m:t>C</m:t>
            </m:r>
          </m:e>
          <m:sub>
            <m:r>
              <m:t>m</m:t>
            </m:r>
            <m:r>
              <m:t>a</m:t>
            </m:r>
            <m:r>
              <m:t>x</m:t>
            </m:r>
          </m:sub>
        </m:sSub>
      </m:oMath>
      <w:r>
        <w:rPr>
          <w:highlight w:val="yellow"/>
        </w:rPr>
        <w:t xml:space="preserve"> </w:t>
      </w:r>
      <w:r>
        <w:rPr>
          <w:highlight w:val="yellow"/>
        </w:rPr>
        <w:t xml:space="preserve">approaching intravenous-like kinetics.</w:t>
      </w:r>
    </w:p>
    <w:p>
      <w:pPr>
        <w:numPr>
          <w:ilvl w:val="0"/>
          <w:numId w:val="1003"/>
        </w:numPr>
        <w:pStyle w:val="Compact"/>
      </w:pPr>
      <w:r>
        <w:rPr>
          <w:b/>
          <w:highlight w:val="yellow"/>
        </w:rPr>
        <w:t xml:space="preserve">Plasma start (intravascular injection):</w:t>
      </w:r>
      <w:r>
        <w:rPr>
          <w:highlight w:val="yellow"/>
        </w:rPr>
        <w:t xml:space="preserve"> </w:t>
      </w:r>
      <w:r>
        <w:rPr>
          <w:highlight w:val="yellow"/>
        </w:rPr>
        <w:t xml:space="preserve">equivalent to an intravenous bolus, with</w:t>
      </w:r>
      <w:r>
        <w:rPr>
          <w:highlight w:val="yellow"/>
        </w:rPr>
        <w:t xml:space="preserve"> </w:t>
      </w:r>
      <w:r>
        <w:rPr>
          <w:highlight w:val="yellow"/>
        </w:rPr>
        <w:t xml:space="preserve">an immediate high</w:t>
      </w:r>
      <w:r>
        <w:rPr>
          <w:highlight w:val="yellow"/>
        </w:rPr>
        <w:t xml:space="preserve"> </w:t>
      </w:r>
      <m:oMath>
        <m:sSub>
          <m:e>
            <m:r>
              <m:t>C</m:t>
            </m:r>
          </m:e>
          <m:sub>
            <m:r>
              <m:t>m</m:t>
            </m:r>
            <m:r>
              <m:t>a</m:t>
            </m:r>
            <m:r>
              <m:t>x</m:t>
            </m:r>
          </m:sub>
        </m:sSub>
      </m:oMath>
      <w:r>
        <w:rPr>
          <w:highlight w:val="yellow"/>
        </w:rPr>
        <w:t xml:space="preserve">.</w:t>
      </w:r>
    </w:p>
    <w:p>
      <w:pPr>
        <w:numPr>
          <w:ilvl w:val="0"/>
          <w:numId w:val="1003"/>
        </w:numPr>
        <w:pStyle w:val="Compact"/>
      </w:pPr>
      <w:r>
        <w:rPr>
          <w:b/>
          <w:highlight w:val="yellow"/>
        </w:rPr>
        <w:t xml:space="preserve">Depot start (fascial plane / infiltration / epidural):</w:t>
      </w:r>
      <w:r>
        <w:rPr>
          <w:highlight w:val="yellow"/>
        </w:rPr>
        <w:t xml:space="preserve"> </w:t>
      </w:r>
      <w:r>
        <w:rPr>
          <w:highlight w:val="yellow"/>
        </w:rPr>
        <w:t xml:space="preserve">first-order absorption into</w:t>
      </w:r>
      <w:r>
        <w:rPr>
          <w:highlight w:val="yellow"/>
        </w:rPr>
        <w:t xml:space="preserve"> </w:t>
      </w:r>
      <w:r>
        <w:rPr>
          <w:highlight w:val="yellow"/>
        </w:rPr>
        <w:t xml:space="preserve">plasma through the depot rate constant</w:t>
      </w:r>
      <w:r>
        <w:rPr>
          <w:highlight w:val="yellow"/>
        </w:rPr>
        <w:t xml:space="preserve"> </w:t>
      </w:r>
      <m:oMath>
        <m:sSub>
          <m:e>
            <m:r>
              <m:t>k</m:t>
            </m:r>
          </m:e>
          <m:sub>
            <m:r>
              <m:t>a</m:t>
            </m:r>
          </m:sub>
        </m:sSub>
      </m:oMath>
      <w:r>
        <w:rPr>
          <w:highlight w:val="yellow"/>
        </w:rPr>
        <w:t xml:space="preserve">.</w:t>
      </w:r>
    </w:p>
    <w:p>
      <w:pPr>
        <w:pStyle w:val="FirstParagraph"/>
      </w:pPr>
      <w:r>
        <w:rPr>
          <w:highlight w:val="yellow"/>
        </w:rPr>
        <w:t xml:space="preserve">An important caveat, raised in review and which we make explicit here: the peripheral</w:t>
      </w:r>
      <w:r>
        <w:rPr>
          <w:highlight w:val="yellow"/>
        </w:rPr>
        <w:t xml:space="preserve"> </w:t>
      </w:r>
      <w:r>
        <w:rPr>
          <w:highlight w:val="yellow"/>
        </w:rPr>
        <w:t xml:space="preserve">compartments V2 and V3 of a mammillary model are</w:t>
      </w:r>
      <w:r>
        <w:rPr>
          <w:highlight w:val="yellow"/>
        </w:rPr>
        <w:t xml:space="preserve"> </w:t>
      </w:r>
      <w:r>
        <w:rPr>
          <w:i/>
          <w:highlight w:val="yellow"/>
        </w:rPr>
        <w:t xml:space="preserve">lumped, fitted</w:t>
      </w:r>
      <w:r>
        <w:rPr>
          <w:highlight w:val="yellow"/>
        </w:rPr>
        <w:t xml:space="preserve"> </w:t>
      </w:r>
      <w:r>
        <w:rPr>
          <w:highlight w:val="yellow"/>
        </w:rPr>
        <w:t xml:space="preserve">compartments, not</w:t>
      </w:r>
      <w:r>
        <w:rPr>
          <w:highlight w:val="yellow"/>
        </w:rPr>
        <w:t xml:space="preserve"> </w:t>
      </w:r>
      <w:r>
        <w:rPr>
          <w:highlight w:val="yellow"/>
        </w:rPr>
        <w:t xml:space="preserve">literal anatomical spaces. They therefore cannot be equated in a one-to-one fashion with</w:t>
      </w:r>
      <w:r>
        <w:rPr>
          <w:highlight w:val="yellow"/>
        </w:rPr>
        <w:t xml:space="preserve"> </w:t>
      </w:r>
      <w:r>
        <w:rPr>
          <w:highlight w:val="yellow"/>
        </w:rPr>
        <w:t xml:space="preserve">“</w:t>
      </w:r>
      <w:r>
        <w:rPr>
          <w:highlight w:val="yellow"/>
        </w:rPr>
        <w:t xml:space="preserve">vessel-rich tissue</w:t>
      </w:r>
      <w:r>
        <w:rPr>
          <w:highlight w:val="yellow"/>
        </w:rPr>
        <w:t xml:space="preserve">”</w:t>
      </w:r>
      <w:r>
        <w:rPr>
          <w:highlight w:val="yellow"/>
        </w:rPr>
        <w:t xml:space="preserve">,</w:t>
      </w:r>
      <w:r>
        <w:rPr>
          <w:highlight w:val="yellow"/>
        </w:rPr>
        <w:t xml:space="preserve"> </w:t>
      </w:r>
      <w:r>
        <w:rPr>
          <w:highlight w:val="yellow"/>
        </w:rPr>
        <w:t xml:space="preserve">“</w:t>
      </w:r>
      <w:r>
        <w:rPr>
          <w:highlight w:val="yellow"/>
        </w:rPr>
        <w:t xml:space="preserve">vessel-poor tissue</w:t>
      </w:r>
      <w:r>
        <w:rPr>
          <w:highlight w:val="yellow"/>
        </w:rPr>
        <w:t xml:space="preserve">”</w:t>
      </w:r>
      <w:r>
        <w:rPr>
          <w:highlight w:val="yellow"/>
        </w:rPr>
        <w:t xml:space="preserve">, a</w:t>
      </w:r>
      <w:r>
        <w:rPr>
          <w:highlight w:val="yellow"/>
        </w:rPr>
        <w:t xml:space="preserve"> </w:t>
      </w:r>
      <w:r>
        <w:rPr>
          <w:highlight w:val="yellow"/>
        </w:rPr>
        <w:t xml:space="preserve">“</w:t>
      </w:r>
      <w:r>
        <w:rPr>
          <w:highlight w:val="yellow"/>
        </w:rPr>
        <w:t xml:space="preserve">successful</w:t>
      </w:r>
      <w:r>
        <w:rPr>
          <w:highlight w:val="yellow"/>
        </w:rPr>
        <w:t xml:space="preserve">”</w:t>
      </w:r>
      <w:r>
        <w:rPr>
          <w:highlight w:val="yellow"/>
        </w:rPr>
        <w:t xml:space="preserve"> </w:t>
      </w:r>
      <w:r>
        <w:rPr>
          <w:highlight w:val="yellow"/>
        </w:rPr>
        <w:t xml:space="preserve">or</w:t>
      </w:r>
      <w:r>
        <w:rPr>
          <w:highlight w:val="yellow"/>
        </w:rPr>
        <w:t xml:space="preserve"> </w:t>
      </w:r>
      <w:r>
        <w:rPr>
          <w:highlight w:val="yellow"/>
        </w:rPr>
        <w:t xml:space="preserve">“</w:t>
      </w:r>
      <w:r>
        <w:rPr>
          <w:highlight w:val="yellow"/>
        </w:rPr>
        <w:t xml:space="preserve">failed</w:t>
      </w:r>
      <w:r>
        <w:rPr>
          <w:highlight w:val="yellow"/>
        </w:rPr>
        <w:t xml:space="preserve">”</w:t>
      </w:r>
      <w:r>
        <w:rPr>
          <w:highlight w:val="yellow"/>
        </w:rPr>
        <w:t xml:space="preserve"> </w:t>
      </w:r>
      <w:r>
        <w:rPr>
          <w:highlight w:val="yellow"/>
        </w:rPr>
        <w:t xml:space="preserve">block, or a</w:t>
      </w:r>
      <w:r>
        <w:rPr>
          <w:highlight w:val="yellow"/>
        </w:rPr>
        <w:t xml:space="preserve"> </w:t>
      </w:r>
      <w:r>
        <w:rPr>
          <w:highlight w:val="yellow"/>
        </w:rPr>
        <w:t xml:space="preserve">“</w:t>
      </w:r>
      <w:r>
        <w:rPr>
          <w:highlight w:val="yellow"/>
        </w:rPr>
        <w:t xml:space="preserve">fascial plane</w:t>
      </w:r>
      <w:r>
        <w:rPr>
          <w:highlight w:val="yellow"/>
        </w:rPr>
        <w:t xml:space="preserve">”</w:t>
      </w:r>
      <w:r>
        <w:rPr>
          <w:highlight w:val="yellow"/>
        </w:rPr>
        <w:t xml:space="preserve"> </w:t>
      </w:r>
      <w:r>
        <w:rPr>
          <w:highlight w:val="yellow"/>
        </w:rPr>
        <w:t xml:space="preserve">without independent validation. The scenario labels are used as</w:t>
      </w:r>
      <w:r>
        <w:rPr>
          <w:highlight w:val="yellow"/>
        </w:rPr>
        <w:t xml:space="preserve"> </w:t>
      </w:r>
      <w:r>
        <w:rPr>
          <w:highlight w:val="yellow"/>
        </w:rPr>
        <w:t xml:space="preserve">convenient shorthand for distinct initial-condition/absorption regimes; the empirical</w:t>
      </w:r>
      <w:r>
        <w:rPr>
          <w:highlight w:val="yellow"/>
        </w:rPr>
        <w:t xml:space="preserve"> </w:t>
      </w:r>
      <w:r>
        <w:rPr>
          <w:highlight w:val="yellow"/>
        </w:rPr>
        <w:t xml:space="preserve">question of whether they reproduce real plasma concentrations is addressed in §3.3.</w:t>
      </w:r>
    </w:p>
    <w:p>
      <w:pPr>
        <w:pStyle w:val="Heading2"/>
      </w:pPr>
      <w:bookmarkStart w:id="25" w:name="context-sensitive-maximum-dose"/>
      <w:r>
        <w:t xml:space="preserve">1.3 Context-sensitive maximum dose</w:t>
      </w:r>
      <w:bookmarkEnd w:id="25"/>
    </w:p>
    <w:p>
      <w:pPr>
        <w:pStyle w:val="FirstParagraph"/>
      </w:pPr>
      <w:r>
        <w:t xml:space="preserve">We propose that yoshika enables exploration of a</w:t>
      </w:r>
      <w:r>
        <w:t xml:space="preserve"> </w:t>
      </w:r>
      <w:r>
        <w:rPr>
          <w:i/>
        </w:rPr>
        <w:t xml:space="preserve">context-sensitive maximum dose</w:t>
      </w:r>
      <w:r>
        <w:t xml:space="preserve"> </w:t>
      </w:r>
      <w:r>
        <w:t xml:space="preserve">concept for local anesthetics, analogous to the context-sensitive half-time that</w:t>
      </w:r>
      <w:r>
        <w:t xml:space="preserve"> </w:t>
      </w:r>
      <w:r>
        <w:t xml:space="preserve">transformed understanding of intravenous drug offset</w:t>
      </w:r>
      <w:r>
        <w:t xml:space="preserve"> </w:t>
      </w:r>
      <w:r>
        <w:t xml:space="preserve">[5]</w:t>
      </w:r>
      <w:r>
        <w:t xml:space="preserve">. Under this</w:t>
      </w:r>
      <w:r>
        <w:t xml:space="preserve"> </w:t>
      </w:r>
      <w:r>
        <w:t xml:space="preserve">framework, the effective maximum safe dose is not a single fixed value but varies</w:t>
      </w:r>
      <w:r>
        <w:t xml:space="preserve"> </w:t>
      </w:r>
      <w:r>
        <w:t xml:space="preserve">with the clinical scenario (Table 1).</w:t>
      </w:r>
    </w:p>
    <w:p>
      <w:pPr>
        <w:pStyle w:val="Caption"/>
        <w:keepNext/>
        <w:spacing w:before="180" w:after="60"/>
        <w:jc w:val="left"/>
      </w:pPr>
      <w:r>
        <w:rPr>
          <w:b w:val="0"/>
          <w:i/>
          <w:sz w:val="18"/>
        </w:rPr>
        <w:t>Table 1. Proposed context-sensitive maximum dose framework.</w:t>
      </w:r>
    </w:p>
    <w:tbl>
      <w:tblPr>
        <w:tblW w:type="auto" w:w="0"/>
        <w:jc w:val="center"/>
        <w:tblLayout w:type="fixed"/>
        <w:tblLook w:firstColumn="1" w:firstRow="1" w:lastColumn="0" w:lastRow="0" w:noHBand="0" w:noVBand="1" w:val="04A0"/>
        <w:tblLayout w:type="fixed"/>
      </w:tblPr>
      <w:tblGrid>
        <w:gridCol w:w="2340"/>
        <w:gridCol w:w="2340"/>
        <w:gridCol w:w="2340"/>
        <w:gridCol w:w="2340"/>
      </w:tblGrid>
      <w:tr>
        <w:trPr>
          <w:tblHeader w:val="true"/>
          <w:cantSplit/>
        </w:trPr>
        <w:tc>
          <w:tcPr>
            <w:tcW w:type="dxa" w:w="1944"/>
            <w:vAlign w:val="center"/>
          </w:tcPr>
          <w:p>
            <w:pPr>
              <w:spacing w:before="0" w:after="0" w:line="240" w:lineRule="auto"/>
              <w:jc w:val="left"/>
            </w:pPr>
            <w:r>
              <w:rPr>
                <w:highlight w:val="yellow"/>
              </w:rPr>
            </w:r>
            <w:r>
              <w:rPr>
                <w:b/>
                <w:i w:val="0"/>
                <w:sz w:val="18"/>
                <w:highlight w:val="yellow"/>
              </w:rPr>
              <w:t>Scenario</w:t>
            </w:r>
          </w:p>
        </w:tc>
        <w:tc>
          <w:tcPr>
            <w:tcW w:type="dxa" w:w="2232"/>
            <w:vAlign w:val="center"/>
          </w:tcPr>
          <w:p>
            <w:pPr>
              <w:spacing w:before="0" w:after="0" w:line="240" w:lineRule="auto"/>
              <w:jc w:val="center"/>
            </w:pPr>
            <w:r>
              <w:rPr>
                <w:highlight w:val="yellow"/>
              </w:rPr>
            </w:r>
            <w:r>
              <w:rPr>
                <w:b/>
                <w:i w:val="0"/>
                <w:sz w:val="18"/>
                <w:highlight w:val="yellow"/>
              </w:rPr>
              <w:t>Initial Compartment</w:t>
            </w:r>
          </w:p>
        </w:tc>
        <w:tc>
          <w:tcPr>
            <w:tcW w:type="dxa" w:w="1800"/>
            <w:vAlign w:val="center"/>
          </w:tcPr>
          <w:p>
            <w:pPr>
              <w:spacing w:before="0" w:after="0" w:line="240" w:lineRule="auto"/>
              <w:jc w:val="center"/>
            </w:pPr>
            <w:r>
              <w:rPr>
                <w:highlight w:val="yellow"/>
              </w:rPr>
            </w:r>
            <w:r>
              <w:rPr>
                <w:b/>
                <w:i w:val="0"/>
                <w:sz w:val="18"/>
                <w:highlight w:val="yellow"/>
              </w:rPr>
              <w:t>Expected C</w:t>
            </w:r>
            <w:r>
              <w:rPr>
                <w:b/>
                <w:i w:val="0"/>
                <w:sz w:val="18"/>
                <w:highlight w:val="yellow"/>
                <w:vertAlign w:val="subscript"/>
              </w:rPr>
              <w:t>max</w:t>
            </w:r>
          </w:p>
        </w:tc>
        <w:tc>
          <w:tcPr>
            <w:tcW w:type="dxa" w:w="3096"/>
            <w:vAlign w:val="center"/>
          </w:tcPr>
          <w:p>
            <w:pPr>
              <w:spacing w:before="0" w:after="0" w:line="240" w:lineRule="auto"/>
              <w:jc w:val="center"/>
            </w:pPr>
            <w:r>
              <w:rPr>
                <w:highlight w:val="yellow"/>
              </w:rPr>
            </w:r>
            <w:r>
              <w:rPr>
                <w:b/>
                <w:i w:val="0"/>
                <w:sz w:val="18"/>
                <w:highlight w:val="yellow"/>
              </w:rPr>
              <w:t>Dose Implication</w:t>
            </w:r>
          </w:p>
        </w:tc>
      </w:tr>
      <w:tr>
        <w:trPr>
          <w:cantSplit/>
        </w:trPr>
        <w:tc>
          <w:tcPr>
            <w:tcW w:type="dxa" w:w="1944"/>
            <w:vAlign w:val="center"/>
          </w:tcPr>
          <w:p>
            <w:pPr>
              <w:spacing w:before="0" w:after="0" w:line="240" w:lineRule="auto"/>
              <w:jc w:val="left"/>
            </w:pPr>
            <w:r>
              <w:rPr>
                <w:highlight w:val="yellow"/>
              </w:rPr>
            </w:r>
            <w:r>
              <w:rPr>
                <w:b w:val="0"/>
                <w:i w:val="0"/>
                <w:sz w:val="18"/>
                <w:highlight w:val="yellow"/>
              </w:rPr>
              <w:t>Successful block</w:t>
            </w:r>
          </w:p>
        </w:tc>
        <w:tc>
          <w:tcPr>
            <w:tcW w:type="dxa" w:w="2232"/>
            <w:vAlign w:val="center"/>
          </w:tcPr>
          <w:p>
            <w:pPr>
              <w:spacing w:before="0" w:after="0" w:line="240" w:lineRule="auto"/>
              <w:jc w:val="center"/>
            </w:pPr>
            <w:r>
              <w:rPr>
                <w:highlight w:val="yellow"/>
              </w:rPr>
            </w:r>
            <w:r>
              <w:rPr>
                <w:b w:val="0"/>
                <w:i w:val="0"/>
                <w:sz w:val="18"/>
                <w:highlight w:val="yellow"/>
              </w:rPr>
              <w:t>BPT (V3)</w:t>
            </w:r>
          </w:p>
        </w:tc>
        <w:tc>
          <w:tcPr>
            <w:tcW w:type="dxa" w:w="1800"/>
            <w:vAlign w:val="center"/>
          </w:tcPr>
          <w:p>
            <w:pPr>
              <w:spacing w:before="0" w:after="0" w:line="240" w:lineRule="auto"/>
              <w:jc w:val="center"/>
            </w:pPr>
            <w:r>
              <w:rPr>
                <w:highlight w:val="yellow"/>
              </w:rPr>
            </w:r>
            <w:r>
              <w:rPr>
                <w:b w:val="0"/>
                <w:i w:val="0"/>
                <w:sz w:val="18"/>
                <w:highlight w:val="yellow"/>
              </w:rPr>
              <w:t>Low, delayed</w:t>
            </w:r>
          </w:p>
        </w:tc>
        <w:tc>
          <w:tcPr>
            <w:tcW w:type="dxa" w:w="3096"/>
            <w:vAlign w:val="center"/>
          </w:tcPr>
          <w:p>
            <w:pPr>
              <w:spacing w:before="0" w:after="0" w:line="240" w:lineRule="auto"/>
              <w:jc w:val="center"/>
            </w:pPr>
            <w:r>
              <w:rPr>
                <w:highlight w:val="yellow"/>
              </w:rPr>
            </w:r>
            <w:r>
              <w:rPr>
                <w:b w:val="0"/>
                <w:i w:val="0"/>
                <w:sz w:val="18"/>
                <w:highlight w:val="yellow"/>
              </w:rPr>
              <w:t>Higher dose may be safe</w:t>
            </w:r>
          </w:p>
        </w:tc>
      </w:tr>
      <w:tr>
        <w:trPr>
          <w:cantSplit/>
        </w:trPr>
        <w:tc>
          <w:tcPr>
            <w:tcW w:type="dxa" w:w="1944"/>
            <w:vAlign w:val="center"/>
          </w:tcPr>
          <w:p>
            <w:pPr>
              <w:spacing w:before="0" w:after="0" w:line="240" w:lineRule="auto"/>
              <w:jc w:val="left"/>
            </w:pPr>
            <w:r>
              <w:rPr>
                <w:highlight w:val="yellow"/>
              </w:rPr>
            </w:r>
            <w:r>
              <w:rPr>
                <w:b w:val="0"/>
                <w:i w:val="0"/>
                <w:sz w:val="18"/>
                <w:highlight w:val="yellow"/>
              </w:rPr>
              <w:t>Partial block</w:t>
            </w:r>
          </w:p>
        </w:tc>
        <w:tc>
          <w:tcPr>
            <w:tcW w:type="dxa" w:w="2232"/>
            <w:vAlign w:val="center"/>
          </w:tcPr>
          <w:p>
            <w:pPr>
              <w:spacing w:before="0" w:after="0" w:line="240" w:lineRule="auto"/>
              <w:jc w:val="center"/>
            </w:pPr>
            <w:r>
              <w:rPr>
                <w:highlight w:val="yellow"/>
              </w:rPr>
            </w:r>
            <w:r>
              <w:rPr>
                <w:b w:val="0"/>
                <w:i w:val="0"/>
                <w:sz w:val="18"/>
                <w:highlight w:val="yellow"/>
              </w:rPr>
              <w:t>Mixed (BPT + BRT)</w:t>
            </w:r>
          </w:p>
        </w:tc>
        <w:tc>
          <w:tcPr>
            <w:tcW w:type="dxa" w:w="1800"/>
            <w:vAlign w:val="center"/>
          </w:tcPr>
          <w:p>
            <w:pPr>
              <w:spacing w:before="0" w:after="0" w:line="240" w:lineRule="auto"/>
              <w:jc w:val="center"/>
            </w:pPr>
            <w:r>
              <w:rPr>
                <w:highlight w:val="yellow"/>
              </w:rPr>
            </w:r>
            <w:r>
              <w:rPr>
                <w:b w:val="0"/>
                <w:i w:val="0"/>
                <w:sz w:val="18"/>
                <w:highlight w:val="yellow"/>
              </w:rPr>
              <w:t>Intermediate</w:t>
            </w:r>
          </w:p>
        </w:tc>
        <w:tc>
          <w:tcPr>
            <w:tcW w:type="dxa" w:w="3096"/>
            <w:vAlign w:val="center"/>
          </w:tcPr>
          <w:p>
            <w:pPr>
              <w:spacing w:before="0" w:after="0" w:line="240" w:lineRule="auto"/>
              <w:jc w:val="center"/>
            </w:pPr>
            <w:r>
              <w:rPr>
                <w:highlight w:val="yellow"/>
              </w:rPr>
            </w:r>
            <w:r>
              <w:rPr>
                <w:b w:val="0"/>
                <w:i w:val="0"/>
                <w:sz w:val="18"/>
                <w:highlight w:val="yellow"/>
              </w:rPr>
              <w:t>Standard limit applies</w:t>
            </w:r>
          </w:p>
        </w:tc>
      </w:tr>
      <w:tr>
        <w:trPr>
          <w:cantSplit/>
        </w:trPr>
        <w:tc>
          <w:tcPr>
            <w:tcW w:type="dxa" w:w="1944"/>
            <w:vAlign w:val="center"/>
          </w:tcPr>
          <w:p>
            <w:pPr>
              <w:spacing w:before="0" w:after="0" w:line="240" w:lineRule="auto"/>
              <w:jc w:val="left"/>
            </w:pPr>
            <w:r>
              <w:rPr>
                <w:highlight w:val="yellow"/>
              </w:rPr>
            </w:r>
            <w:r>
              <w:rPr>
                <w:b w:val="0"/>
                <w:i w:val="0"/>
                <w:sz w:val="18"/>
                <w:highlight w:val="yellow"/>
              </w:rPr>
              <w:t>Failed block</w:t>
            </w:r>
          </w:p>
        </w:tc>
        <w:tc>
          <w:tcPr>
            <w:tcW w:type="dxa" w:w="2232"/>
            <w:vAlign w:val="center"/>
          </w:tcPr>
          <w:p>
            <w:pPr>
              <w:spacing w:before="0" w:after="0" w:line="240" w:lineRule="auto"/>
              <w:jc w:val="center"/>
            </w:pPr>
            <w:r>
              <w:rPr>
                <w:highlight w:val="yellow"/>
              </w:rPr>
            </w:r>
            <w:r>
              <w:rPr>
                <w:b w:val="0"/>
                <w:i w:val="0"/>
                <w:sz w:val="18"/>
                <w:highlight w:val="yellow"/>
              </w:rPr>
              <w:t>BRT (V2)</w:t>
            </w:r>
          </w:p>
        </w:tc>
        <w:tc>
          <w:tcPr>
            <w:tcW w:type="dxa" w:w="1800"/>
            <w:vAlign w:val="center"/>
          </w:tcPr>
          <w:p>
            <w:pPr>
              <w:spacing w:before="0" w:after="0" w:line="240" w:lineRule="auto"/>
              <w:jc w:val="center"/>
            </w:pPr>
            <w:r>
              <w:rPr>
                <w:highlight w:val="yellow"/>
              </w:rPr>
            </w:r>
            <w:r>
              <w:rPr>
                <w:b w:val="0"/>
                <w:i w:val="0"/>
                <w:sz w:val="18"/>
                <w:highlight w:val="yellow"/>
              </w:rPr>
              <w:t>Moderate-high, early</w:t>
            </w:r>
          </w:p>
        </w:tc>
        <w:tc>
          <w:tcPr>
            <w:tcW w:type="dxa" w:w="3096"/>
            <w:vAlign w:val="center"/>
          </w:tcPr>
          <w:p>
            <w:pPr>
              <w:spacing w:before="0" w:after="0" w:line="240" w:lineRule="auto"/>
              <w:jc w:val="center"/>
            </w:pPr>
            <w:r>
              <w:rPr>
                <w:highlight w:val="yellow"/>
              </w:rPr>
            </w:r>
            <w:r>
              <w:rPr>
                <w:b w:val="0"/>
                <w:i w:val="0"/>
                <w:sz w:val="18"/>
                <w:highlight w:val="yellow"/>
              </w:rPr>
              <w:t>Lower dose may be needed</w:t>
            </w:r>
          </w:p>
        </w:tc>
      </w:tr>
      <w:tr>
        <w:trPr>
          <w:cantSplit/>
        </w:trPr>
        <w:tc>
          <w:tcPr>
            <w:tcW w:type="dxa" w:w="1944"/>
            <w:vAlign w:val="center"/>
          </w:tcPr>
          <w:p>
            <w:pPr>
              <w:spacing w:before="0" w:after="0" w:line="240" w:lineRule="auto"/>
              <w:jc w:val="left"/>
            </w:pPr>
            <w:r>
              <w:rPr>
                <w:highlight w:val="yellow"/>
              </w:rPr>
            </w:r>
            <w:r>
              <w:rPr>
                <w:b w:val="0"/>
                <w:i w:val="0"/>
                <w:sz w:val="18"/>
                <w:highlight w:val="yellow"/>
              </w:rPr>
              <w:t>Intravascular injection</w:t>
            </w:r>
          </w:p>
        </w:tc>
        <w:tc>
          <w:tcPr>
            <w:tcW w:type="dxa" w:w="2232"/>
            <w:vAlign w:val="center"/>
          </w:tcPr>
          <w:p>
            <w:pPr>
              <w:spacing w:before="0" w:after="0" w:line="240" w:lineRule="auto"/>
              <w:jc w:val="center"/>
            </w:pPr>
            <w:r>
              <w:rPr>
                <w:highlight w:val="yellow"/>
              </w:rPr>
            </w:r>
            <w:r>
              <w:rPr>
                <w:b w:val="0"/>
                <w:i w:val="0"/>
                <w:sz w:val="18"/>
                <w:highlight w:val="yellow"/>
              </w:rPr>
              <w:t>Plasma (V1)</w:t>
            </w:r>
          </w:p>
        </w:tc>
        <w:tc>
          <w:tcPr>
            <w:tcW w:type="dxa" w:w="1800"/>
            <w:vAlign w:val="center"/>
          </w:tcPr>
          <w:p>
            <w:pPr>
              <w:spacing w:before="0" w:after="0" w:line="240" w:lineRule="auto"/>
              <w:jc w:val="center"/>
            </w:pPr>
            <w:r>
              <w:rPr>
                <w:highlight w:val="yellow"/>
              </w:rPr>
            </w:r>
            <w:r>
              <w:rPr>
                <w:b w:val="0"/>
                <w:i w:val="0"/>
                <w:sz w:val="18"/>
                <w:highlight w:val="yellow"/>
              </w:rPr>
              <w:t>Very high, immediate</w:t>
            </w:r>
          </w:p>
        </w:tc>
        <w:tc>
          <w:tcPr>
            <w:tcW w:type="dxa" w:w="3096"/>
            <w:vAlign w:val="center"/>
          </w:tcPr>
          <w:p>
            <w:pPr>
              <w:spacing w:before="0" w:after="0" w:line="240" w:lineRule="auto"/>
              <w:jc w:val="center"/>
            </w:pPr>
            <w:r>
              <w:rPr>
                <w:highlight w:val="yellow"/>
              </w:rPr>
            </w:r>
            <w:r>
              <w:rPr>
                <w:b w:val="0"/>
                <w:i w:val="0"/>
                <w:sz w:val="18"/>
                <w:highlight w:val="yellow"/>
              </w:rPr>
              <w:t>Traditional IV limits apply</w:t>
            </w:r>
          </w:p>
        </w:tc>
      </w:tr>
      <w:tr>
        <w:trPr>
          <w:cantSplit/>
        </w:trPr>
        <w:tc>
          <w:tcPr>
            <w:tcW w:type="dxa" w:w="1944"/>
            <w:vAlign w:val="center"/>
          </w:tcPr>
          <w:p>
            <w:pPr>
              <w:spacing w:before="0" w:after="0" w:line="240" w:lineRule="auto"/>
              <w:jc w:val="left"/>
            </w:pPr>
            <w:r>
              <w:rPr>
                <w:highlight w:val="yellow"/>
              </w:rPr>
            </w:r>
            <w:r>
              <w:rPr>
                <w:b w:val="0"/>
                <w:i w:val="0"/>
                <w:sz w:val="18"/>
                <w:highlight w:val="yellow"/>
              </w:rPr>
              <w:t>Epidural</w:t>
            </w:r>
          </w:p>
        </w:tc>
        <w:tc>
          <w:tcPr>
            <w:tcW w:type="dxa" w:w="2232"/>
            <w:vAlign w:val="center"/>
          </w:tcPr>
          <w:p>
            <w:pPr>
              <w:spacing w:before="0" w:after="0" w:line="240" w:lineRule="auto"/>
              <w:jc w:val="center"/>
            </w:pPr>
            <w:r>
              <w:rPr>
                <w:highlight w:val="yellow"/>
              </w:rPr>
            </w:r>
            <w:r>
              <w:rPr>
                <w:b w:val="0"/>
                <w:i w:val="0"/>
                <w:sz w:val="18"/>
                <w:highlight w:val="yellow"/>
              </w:rPr>
              <w:t>Depot (multi-pathway)</w:t>
            </w:r>
          </w:p>
        </w:tc>
        <w:tc>
          <w:tcPr>
            <w:tcW w:type="dxa" w:w="1800"/>
            <w:vAlign w:val="center"/>
          </w:tcPr>
          <w:p>
            <w:pPr>
              <w:spacing w:before="0" w:after="0" w:line="240" w:lineRule="auto"/>
              <w:jc w:val="center"/>
            </w:pPr>
            <w:r>
              <w:rPr>
                <w:highlight w:val="yellow"/>
              </w:rPr>
            </w:r>
            <w:r>
              <w:rPr>
                <w:b w:val="0"/>
                <w:i w:val="0"/>
                <w:sz w:val="18"/>
                <w:highlight w:val="yellow"/>
              </w:rPr>
              <w:t>Intermediate, delayed</w:t>
            </w:r>
          </w:p>
        </w:tc>
        <w:tc>
          <w:tcPr>
            <w:tcW w:type="dxa" w:w="3096"/>
            <w:vAlign w:val="center"/>
          </w:tcPr>
          <w:p>
            <w:pPr>
              <w:spacing w:before="0" w:after="0" w:line="240" w:lineRule="auto"/>
              <w:jc w:val="center"/>
            </w:pPr>
            <w:r>
              <w:rPr>
                <w:highlight w:val="yellow"/>
              </w:rPr>
            </w:r>
            <w:r>
              <w:rPr>
                <w:b w:val="0"/>
                <w:i w:val="0"/>
                <w:sz w:val="18"/>
                <w:highlight w:val="yellow"/>
              </w:rPr>
              <w:t>Depot model approximation</w:t>
            </w:r>
          </w:p>
        </w:tc>
      </w:tr>
    </w:tbl>
    <w:p>
      <w:pPr>
        <w:pStyle w:val="BodyText"/>
      </w:pPr>
      <w:r>
        <w:rPr>
          <w:highlight w:val="yellow"/>
        </w:rPr>
        <w:t xml:space="preserve">This framework offers a possible pharmacokinetic rationale for the empirical observation</w:t>
      </w:r>
      <w:r>
        <w:rPr>
          <w:highlight w:val="yellow"/>
        </w:rPr>
        <w:t xml:space="preserve"> </w:t>
      </w:r>
      <w:r>
        <w:rPr>
          <w:highlight w:val="yellow"/>
        </w:rPr>
        <w:t xml:space="preserve">that LAST is relatively rare despite frequent exceeding of traditional mg/kg dose limits in</w:t>
      </w:r>
      <w:r>
        <w:rPr>
          <w:highlight w:val="yellow"/>
        </w:rPr>
        <w:t xml:space="preserve"> </w:t>
      </w:r>
      <w:r>
        <w:rPr>
          <w:highlight w:val="yellow"/>
        </w:rPr>
        <w:t xml:space="preserve">regional anesthesia practice</w:t>
      </w:r>
      <w:r>
        <w:rPr>
          <w:highlight w:val="yellow"/>
        </w:rPr>
        <w:t xml:space="preserve"> </w:t>
      </w:r>
      <w:r>
        <w:rPr>
          <w:highlight w:val="yellow"/>
        </w:rPr>
        <w:t xml:space="preserve">[3]</w:t>
      </w:r>
      <w:r>
        <w:rPr>
          <w:highlight w:val="yellow"/>
        </w:rPr>
        <w:t xml:space="preserve">. If the slow-release (vessel-poor-tissue)</w:t>
      </w:r>
      <w:r>
        <w:rPr>
          <w:highlight w:val="yellow"/>
        </w:rPr>
        <w:t xml:space="preserve"> </w:t>
      </w:r>
      <w:r>
        <w:rPr>
          <w:highlight w:val="yellow"/>
        </w:rPr>
        <w:t xml:space="preserve">scenario approximates a successful block, it would be consistent with the observation that</w:t>
      </w:r>
      <w:r>
        <w:rPr>
          <w:highlight w:val="yellow"/>
        </w:rPr>
        <w:t xml:space="preserve"> </w:t>
      </w:r>
      <w:r>
        <w:rPr>
          <w:highlight w:val="yellow"/>
        </w:rPr>
        <w:t xml:space="preserve">doses above traditional limits are often tolerated. We stress that this remains a hypothesis</w:t>
      </w:r>
      <w:r>
        <w:rPr>
          <w:highlight w:val="yellow"/>
        </w:rPr>
        <w:t xml:space="preserve"> </w:t>
      </w:r>
      <w:r>
        <w:rPr>
          <w:highlight w:val="yellow"/>
        </w:rPr>
        <w:t xml:space="preserve">to be tested prospectively rather than a demonstrated result.</w:t>
      </w:r>
    </w:p>
    <w:p>
      <w:pPr>
        <w:pStyle w:val="Heading2"/>
      </w:pPr>
      <w:bookmarkStart w:id="26" w:name="Xec7da8902f0c3c92b1a7c68848d9ac003ac5227"/>
      <w:r>
        <w:t xml:space="preserve">1.4 Implications for anesthesia information management systems</w:t>
      </w:r>
      <w:bookmarkEnd w:id="26"/>
    </w:p>
    <w:p>
      <w:pPr>
        <w:pStyle w:val="FirstParagraph"/>
      </w:pPr>
      <w:r>
        <w:t xml:space="preserve">Modern anesthesia information management systems (AIMS) increasingly incorporate</w:t>
      </w:r>
      <w:r>
        <w:t xml:space="preserve"> </w:t>
      </w:r>
      <w:r>
        <w:t xml:space="preserve">real-time PKPD displays for intravenous agents (e.g., propofol, remifentanil)</w:t>
      </w:r>
      <w:r>
        <w:t xml:space="preserve"> </w:t>
      </w:r>
      <w:r>
        <w:t xml:space="preserve">using standard three-compartment models that assume central compartment input</w:t>
      </w:r>
      <w:r>
        <w:t xml:space="preserve"> </w:t>
      </w:r>
      <w:r>
        <w:t xml:space="preserve">[1]</w:t>
      </w:r>
      <w:r>
        <w:t xml:space="preserve">. When the same AIMS tracks local anesthetic doses administered via</w:t>
      </w:r>
      <w:r>
        <w:t xml:space="preserve"> </w:t>
      </w:r>
      <w:r>
        <w:t xml:space="preserve">regional techniques, the underlying PK model remains unchanged, producing</w:t>
      </w:r>
      <w:r>
        <w:t xml:space="preserve"> </w:t>
      </w:r>
      <w:r>
        <w:t xml:space="preserve">predictions based on IV kinetics that may significantly overestimate peak plasma</w:t>
      </w:r>
      <w:r>
        <w:t xml:space="preserve"> </w:t>
      </w:r>
      <w:r>
        <w:t xml:space="preserve">concentrations after successful regional blocks.</w:t>
      </w:r>
    </w:p>
    <w:p>
      <w:pPr>
        <w:pStyle w:val="BodyText"/>
      </w:pPr>
      <w:r>
        <w:t xml:space="preserve">yoshika demonstrates that route-adaptive PKPD simulation—adjusting the initial</w:t>
      </w:r>
      <w:r>
        <w:t xml:space="preserve"> </w:t>
      </w:r>
      <w:r>
        <w:t xml:space="preserve">compartment based on the documented administration route—is computationally</w:t>
      </w:r>
      <w:r>
        <w:t xml:space="preserve"> </w:t>
      </w:r>
      <w:r>
        <w:t xml:space="preserve">straightforward and can be integrated into existing AIMS infrastructure. The</w:t>
      </w:r>
      <w:r>
        <w:t xml:space="preserve"> </w:t>
      </w:r>
      <w:r>
        <w:t xml:space="preserve">mathematical framework (depot-augmented compartment models with first-order</w:t>
      </w:r>
      <w:r>
        <w:t xml:space="preserve"> </w:t>
      </w:r>
      <w:r>
        <w:t xml:space="preserve">absorption) is well-established and computationally inexpensive. The principal</w:t>
      </w:r>
      <w:r>
        <w:t xml:space="preserve"> </w:t>
      </w:r>
      <w:r>
        <w:t xml:space="preserve">barrier to implementation is not technical but conceptual: the recognition that</w:t>
      </w:r>
      <w:r>
        <w:t xml:space="preserve"> </w:t>
      </w:r>
      <w:r>
        <w:t xml:space="preserve">a single pharmacokinetic model cannot adequately describe drug behavior across</w:t>
      </w:r>
      <w:r>
        <w:t xml:space="preserve"> </w:t>
      </w:r>
      <w:r>
        <w:t xml:space="preserve">fundamentally different routes of administration.</w:t>
      </w:r>
    </w:p>
    <w:p>
      <w:pPr>
        <w:pStyle w:val="Heading2"/>
      </w:pPr>
      <w:bookmarkStart w:id="27" w:name="X0f8416cb1d3442ce92f7117648bd735c3bce773"/>
      <w:r>
        <w:rPr>
          <w:highlight w:val="yellow"/>
        </w:rPr>
        <w:t xml:space="preserve">1.5 Why the initial compartment matters for fascial plane blocks</w:t>
      </w:r>
      <w:bookmarkEnd w:id="27"/>
    </w:p>
    <w:p>
      <w:pPr>
        <w:pStyle w:val="FirstParagraph"/>
      </w:pPr>
      <w:r>
        <w:rPr>
          <w:highlight w:val="yellow"/>
        </w:rPr>
        <w:t xml:space="preserve">Conventional PK simulators (e.g., STANPUMP, Tivatrainer, or similar model-based</w:t>
      </w:r>
      <w:r>
        <w:rPr>
          <w:highlight w:val="yellow"/>
        </w:rPr>
        <w:t xml:space="preserve"> </w:t>
      </w:r>
      <w:r>
        <w:rPr>
          <w:highlight w:val="yellow"/>
        </w:rPr>
        <w:t xml:space="preserve">infusion tools) are constrained to model drug entry via the central plasma compartment</w:t>
      </w:r>
      <w:r>
        <w:rPr>
          <w:highlight w:val="yellow"/>
        </w:rPr>
        <w:t xml:space="preserve"> </w:t>
      </w:r>
      <w:r>
        <w:rPr>
          <w:highlight w:val="yellow"/>
        </w:rPr>
        <w:t xml:space="preserve">(V1), equivalent to intravenous bolus injection. For local anesthetic infiltration</w:t>
      </w:r>
      <w:r>
        <w:rPr>
          <w:highlight w:val="yellow"/>
        </w:rPr>
        <w:t xml:space="preserve"> </w:t>
      </w:r>
      <w:r>
        <w:rPr>
          <w:highlight w:val="yellow"/>
        </w:rPr>
        <w:t xml:space="preserve">and fascial plane blocks, this assumption is physiologically inappropriate: drug is deposited</w:t>
      </w:r>
      <w:r>
        <w:rPr>
          <w:highlight w:val="yellow"/>
        </w:rPr>
        <w:t xml:space="preserve"> </w:t>
      </w:r>
      <w:r>
        <w:rPr>
          <w:highlight w:val="yellow"/>
        </w:rPr>
        <w:t xml:space="preserve">into tissue (fascial planes, subcutaneous tissue) and absorbed over time, rather than</w:t>
      </w:r>
      <w:r>
        <w:rPr>
          <w:highlight w:val="yellow"/>
        </w:rPr>
        <w:t xml:space="preserve"> </w:t>
      </w:r>
      <w:r>
        <w:rPr>
          <w:highlight w:val="yellow"/>
        </w:rPr>
        <w:t xml:space="preserve">entering the bloodstream instantaneously. The distinguishing feature of yoshika is the</w:t>
      </w:r>
      <w:r>
        <w:rPr>
          <w:highlight w:val="yellow"/>
        </w:rPr>
        <w:t xml:space="preserve"> </w:t>
      </w:r>
      <w:r>
        <w:rPr>
          <w:highlight w:val="yellow"/>
        </w:rPr>
        <w:t xml:space="preserve">ability to select an initial compartment intended to represent the documented route of</w:t>
      </w:r>
      <w:r>
        <w:rPr>
          <w:highlight w:val="yellow"/>
        </w:rPr>
        <w:t xml:space="preserve"> </w:t>
      </w:r>
      <w:r>
        <w:rPr>
          <w:highlight w:val="yellow"/>
        </w:rPr>
        <w:t xml:space="preserve">administration.</w:t>
      </w:r>
    </w:p>
    <w:p>
      <w:pPr>
        <w:pStyle w:val="BodyText"/>
      </w:pPr>
      <w:r>
        <w:rPr>
          <w:highlight w:val="yellow"/>
        </w:rPr>
        <w:t xml:space="preserve">Importantly, the inter-compartmental rate constants (</w:t>
      </w:r>
      <m:oMath>
        <m:sSub>
          <m:e>
            <m:r>
              <m:t>k</m:t>
            </m:r>
          </m:e>
          <m:sub>
            <m:r>
              <m:t>12</m:t>
            </m:r>
          </m:sub>
        </m:sSub>
      </m:oMath>
      <w:r>
        <w:rPr>
          <w:highlight w:val="yellow"/>
        </w:rPr>
        <w:t xml:space="preserve">,</w:t>
      </w:r>
      <w:r>
        <w:rPr>
          <w:highlight w:val="yellow"/>
        </w:rPr>
        <w:t xml:space="preserve"> </w:t>
      </w:r>
      <m:oMath>
        <m:sSub>
          <m:e>
            <m:r>
              <m:t>k</m:t>
            </m:r>
          </m:e>
          <m:sub>
            <m:r>
              <m:t>21</m:t>
            </m:r>
          </m:sub>
        </m:sSub>
      </m:oMath>
      <w:r>
        <w:rPr>
          <w:highlight w:val="yellow"/>
        </w:rPr>
        <w:t xml:space="preserve">,</w:t>
      </w:r>
      <w:r>
        <w:rPr>
          <w:highlight w:val="yellow"/>
        </w:rPr>
        <w:t xml:space="preserve"> </w:t>
      </w:r>
      <m:oMath>
        <m:sSub>
          <m:e>
            <m:r>
              <m:t>k</m:t>
            </m:r>
          </m:e>
          <m:sub>
            <m:r>
              <m:t>13</m:t>
            </m:r>
          </m:sub>
        </m:sSub>
      </m:oMath>
      <w:r>
        <w:rPr>
          <w:highlight w:val="yellow"/>
        </w:rPr>
        <w:t xml:space="preserve">,</w:t>
      </w:r>
      <w:r>
        <w:rPr>
          <w:highlight w:val="yellow"/>
        </w:rPr>
        <w:t xml:space="preserve"> </w:t>
      </w:r>
      <m:oMath>
        <m:sSub>
          <m:e>
            <m:r>
              <m:t>k</m:t>
            </m:r>
          </m:e>
          <m:sub>
            <m:r>
              <m:t>31</m:t>
            </m:r>
          </m:sub>
        </m:sSub>
      </m:oMath>
      <w:r>
        <w:rPr>
          <w:highlight w:val="yellow"/>
        </w:rPr>
        <w:t xml:space="preserve">,</w:t>
      </w:r>
      <w:r>
        <w:rPr>
          <w:highlight w:val="yellow"/>
        </w:rPr>
        <w:t xml:space="preserve"> </w:t>
      </w:r>
      <m:oMath>
        <m:sSub>
          <m:e>
            <m:r>
              <m:t>k</m:t>
            </m:r>
          </m:e>
          <m:sub>
            <m:r>
              <m:t>10</m:t>
            </m:r>
          </m:sub>
        </m:sSub>
      </m:oMath>
      <w:r>
        <w:rPr>
          <w:highlight w:val="yellow"/>
        </w:rPr>
        <w:t xml:space="preserve">) are shared across all simulation scenarios. The only difference</w:t>
      </w:r>
      <w:r>
        <w:rPr>
          <w:highlight w:val="yellow"/>
        </w:rPr>
        <w:t xml:space="preserve"> </w:t>
      </w:r>
      <w:r>
        <w:rPr>
          <w:highlight w:val="yellow"/>
        </w:rPr>
        <w:t xml:space="preserve">between the traditional and yoshika models is which compartment receives the drug at</w:t>
      </w:r>
      <w:r>
        <w:rPr>
          <w:highlight w:val="yellow"/>
        </w:rPr>
        <w:t xml:space="preserve"> </w:t>
      </w:r>
      <m:oMath>
        <m:r>
          <m:t>t</m:t>
        </m:r>
        <m:r>
          <m:t>=</m:t>
        </m:r>
        <m:r>
          <m:t>0</m:t>
        </m:r>
      </m:oMath>
      <w:r>
        <w:rPr>
          <w:highlight w:val="yellow"/>
        </w:rPr>
        <w:t xml:space="preserve">. This single change in initial conditions produces substantially different</w:t>
      </w:r>
      <w:r>
        <w:rPr>
          <w:highlight w:val="yellow"/>
        </w:rPr>
        <w:t xml:space="preserve"> </w:t>
      </w:r>
      <w:r>
        <w:rPr>
          <w:highlight w:val="yellow"/>
        </w:rPr>
        <w:t xml:space="preserve">predictions, which we present in detail in §3.2:</w:t>
      </w:r>
    </w:p>
    <w:p>
      <w:pPr>
        <w:numPr>
          <w:ilvl w:val="0"/>
          <w:numId w:val="1004"/>
        </w:numPr>
        <w:pStyle w:val="Compact"/>
      </w:pPr>
      <m:oMath>
        <m:sSub>
          <m:e>
            <m:r>
              <m:t>C</m:t>
            </m:r>
          </m:e>
          <m:sub>
            <m:r>
              <m:t>m</m:t>
            </m:r>
            <m:r>
              <m:t>a</m:t>
            </m:r>
            <m:r>
              <m:t>x</m:t>
            </m:r>
          </m:sub>
        </m:sSub>
      </m:oMath>
      <w:r>
        <w:rPr>
          <w:b/>
          <w:highlight w:val="yellow"/>
        </w:rPr>
        <w:t xml:space="preserve"> </w:t>
      </w:r>
      <w:r>
        <w:rPr>
          <w:b/>
          <w:highlight w:val="yellow"/>
        </w:rPr>
        <w:t xml:space="preserve">magnitude:</w:t>
      </w:r>
      <w:r>
        <w:rPr>
          <w:highlight w:val="yellow"/>
        </w:rPr>
        <w:t xml:space="preserve"> </w:t>
      </w:r>
      <w:r>
        <w:rPr>
          <w:highlight w:val="yellow"/>
        </w:rPr>
        <w:t xml:space="preserve">The intravenous-input model predicts</w:t>
      </w:r>
      <w:r>
        <w:rPr>
          <w:highlight w:val="yellow"/>
        </w:rPr>
        <w:t xml:space="preserve"> </w:t>
      </w:r>
      <m:oMath>
        <m:sSub>
          <m:e>
            <m:r>
              <m:t>C</m:t>
            </m:r>
          </m:e>
          <m:sub>
            <m:r>
              <m:t>m</m:t>
            </m:r>
            <m:r>
              <m:t>a</m:t>
            </m:r>
            <m:r>
              <m:t>x</m:t>
            </m:r>
          </m:sub>
        </m:sSub>
      </m:oMath>
      <w:r>
        <w:rPr>
          <w:highlight w:val="yellow"/>
        </w:rPr>
        <w:t xml:space="preserve"> </w:t>
      </w:r>
      <w:r>
        <w:rPr>
          <w:highlight w:val="yellow"/>
        </w:rPr>
        <w:t xml:space="preserve">of 11–17 mg/L for standard doses, far exceeding toxicity thresholds.</w:t>
      </w:r>
      <w:r>
        <w:rPr>
          <w:highlight w:val="yellow"/>
        </w:rPr>
        <w:t xml:space="preserve"> </w:t>
      </w:r>
      <w:r>
        <w:rPr>
          <w:highlight w:val="yellow"/>
        </w:rPr>
        <w:t xml:space="preserve">Such concentrations are not consistent with the plasma concentrations reported after</w:t>
      </w:r>
      <w:r>
        <w:rPr>
          <w:highlight w:val="yellow"/>
        </w:rPr>
        <w:t xml:space="preserve"> </w:t>
      </w:r>
      <w:r>
        <w:rPr>
          <w:highlight w:val="yellow"/>
        </w:rPr>
        <w:t xml:space="preserve">fascial plane blocks or infiltration, which are typically a few mg/L (§3.3).</w:t>
      </w:r>
      <w:r>
        <w:rPr>
          <w:highlight w:val="yellow"/>
        </w:rPr>
        <w:t xml:space="preserve"> </w:t>
      </w:r>
      <w:r>
        <w:rPr>
          <w:highlight w:val="yellow"/>
        </w:rPr>
        <w:t xml:space="preserve">yoshika’s depot model predicts</w:t>
      </w:r>
      <w:r>
        <w:rPr>
          <w:highlight w:val="yellow"/>
        </w:rPr>
        <w:t xml:space="preserve"> </w:t>
      </w:r>
      <m:oMath>
        <m:sSub>
          <m:e>
            <m:r>
              <m:t>C</m:t>
            </m:r>
          </m:e>
          <m:sub>
            <m:r>
              <m:t>m</m:t>
            </m:r>
            <m:r>
              <m:t>a</m:t>
            </m:r>
            <m:r>
              <m:t>x</m:t>
            </m:r>
          </m:sub>
        </m:sSub>
      </m:oMath>
      <w:r>
        <w:rPr>
          <w:highlight w:val="yellow"/>
        </w:rPr>
        <w:t xml:space="preserve"> </w:t>
      </w:r>
      <w:r>
        <w:rPr>
          <w:highlight w:val="yellow"/>
        </w:rPr>
        <w:t xml:space="preserve">of 2–4 mg/L, closer to the range reported</w:t>
      </w:r>
      <w:r>
        <w:rPr>
          <w:highlight w:val="yellow"/>
        </w:rPr>
        <w:t xml:space="preserve"> </w:t>
      </w:r>
      <w:r>
        <w:rPr>
          <w:highlight w:val="yellow"/>
        </w:rPr>
        <w:t xml:space="preserve">in published pharmacokinetic studies.</w:t>
      </w:r>
    </w:p>
    <w:p>
      <w:pPr>
        <w:numPr>
          <w:ilvl w:val="0"/>
          <w:numId w:val="1004"/>
        </w:numPr>
        <w:pStyle w:val="Compact"/>
      </w:pPr>
      <m:oMath>
        <m:sSub>
          <m:e>
            <m:r>
              <m:t>T</m:t>
            </m:r>
          </m:e>
          <m:sub>
            <m:r>
              <m:t>m</m:t>
            </m:r>
            <m:r>
              <m:t>a</m:t>
            </m:r>
            <m:r>
              <m:t>x</m:t>
            </m:r>
          </m:sub>
        </m:sSub>
      </m:oMath>
      <w:r>
        <w:rPr>
          <w:b/>
          <w:highlight w:val="yellow"/>
        </w:rPr>
        <w:t xml:space="preserve"> </w:t>
      </w:r>
      <w:r>
        <w:rPr>
          <w:b/>
          <w:highlight w:val="yellow"/>
        </w:rPr>
        <w:t xml:space="preserve">timing:</w:t>
      </w:r>
      <w:r>
        <w:rPr>
          <w:highlight w:val="yellow"/>
        </w:rPr>
        <w:t xml:space="preserve"> </w:t>
      </w:r>
      <w:r>
        <w:rPr>
          <w:highlight w:val="yellow"/>
        </w:rPr>
        <w:t xml:space="preserve">The intravenous-input model predicts</w:t>
      </w:r>
      <w:r>
        <w:rPr>
          <w:highlight w:val="yellow"/>
        </w:rPr>
        <w:t xml:space="preserve"> </w:t>
      </w:r>
      <m:oMath>
        <m:sSub>
          <m:e>
            <m:r>
              <m:t>T</m:t>
            </m:r>
          </m:e>
          <m:sub>
            <m:r>
              <m:t>m</m:t>
            </m:r>
            <m:r>
              <m:t>a</m:t>
            </m:r>
            <m:r>
              <m:t>x</m:t>
            </m:r>
          </m:sub>
        </m:sSub>
        <m:r>
          <m:t>=</m:t>
        </m:r>
        <m:r>
          <m:t>0</m:t>
        </m:r>
      </m:oMath>
      <w:r>
        <w:rPr>
          <w:highlight w:val="yellow"/>
        </w:rPr>
        <w:t xml:space="preserve"> </w:t>
      </w:r>
      <w:r>
        <w:rPr>
          <w:highlight w:val="yellow"/>
        </w:rPr>
        <w:t xml:space="preserve">(instantaneous peak) for all drugs. yoshika’s depot model predicts a delayed</w:t>
      </w:r>
      <w:r>
        <w:rPr>
          <w:highlight w:val="yellow"/>
        </w:rPr>
        <w:t xml:space="preserve"> </w:t>
      </w:r>
      <m:oMath>
        <m:sSub>
          <m:e>
            <m:r>
              <m:t>T</m:t>
            </m:r>
          </m:e>
          <m:sub>
            <m:r>
              <m:t>m</m:t>
            </m:r>
            <m:r>
              <m:t>a</m:t>
            </m:r>
            <m:r>
              <m:t>x</m:t>
            </m:r>
          </m:sub>
        </m:sSub>
      </m:oMath>
      <w:r>
        <w:rPr>
          <w:highlight w:val="yellow"/>
        </w:rPr>
        <w:t xml:space="preserve"> </w:t>
      </w:r>
      <w:r>
        <w:rPr>
          <w:highlight w:val="yellow"/>
        </w:rPr>
        <w:t xml:space="preserve">(of order 10–40 minutes depending on the assumed absorption rate), and the</w:t>
      </w:r>
      <w:r>
        <w:rPr>
          <w:highlight w:val="yellow"/>
        </w:rPr>
        <w:t xml:space="preserve"> </w:t>
      </w:r>
      <w:r>
        <w:rPr>
          <w:highlight w:val="yellow"/>
        </w:rPr>
        <w:t xml:space="preserve">vessel-poor-tissue scenario predicts a still later peak. Published studies likewise</w:t>
      </w:r>
      <w:r>
        <w:rPr>
          <w:highlight w:val="yellow"/>
        </w:rPr>
        <w:t xml:space="preserve"> </w:t>
      </w:r>
      <w:r>
        <w:rPr>
          <w:highlight w:val="yellow"/>
        </w:rPr>
        <w:t xml:space="preserve">report peaks tens of minutes after injection rather than at</w:t>
      </w:r>
      <w:r>
        <w:rPr>
          <w:highlight w:val="yellow"/>
        </w:rPr>
        <w:t xml:space="preserve"> </w:t>
      </w:r>
      <m:oMath>
        <m:r>
          <m:t>t</m:t>
        </m:r>
        <m:r>
          <m:t>=</m:t>
        </m:r>
        <m:r>
          <m:t>0</m:t>
        </m:r>
      </m:oMath>
      <w:r>
        <w:rPr>
          <w:highlight w:val="yellow"/>
        </w:rPr>
        <w:t xml:space="preserve"> </w:t>
      </w:r>
      <w:r>
        <w:rPr>
          <w:highlight w:val="yellow"/>
        </w:rPr>
        <w:t xml:space="preserve">(§3.3), so the</w:t>
      </w:r>
      <w:r>
        <w:rPr>
          <w:highlight w:val="yellow"/>
        </w:rPr>
        <w:t xml:space="preserve"> </w:t>
      </w:r>
      <w:r>
        <w:rPr>
          <w:highlight w:val="yellow"/>
        </w:rPr>
        <w:t xml:space="preserve">delayed peak is the more plausible representation of the period during which plasma</w:t>
      </w:r>
      <w:r>
        <w:rPr>
          <w:highlight w:val="yellow"/>
        </w:rPr>
        <w:t xml:space="preserve"> </w:t>
      </w:r>
      <w:r>
        <w:rPr>
          <w:highlight w:val="yellow"/>
        </w:rPr>
        <w:t xml:space="preserve">concentration is rising.</w:t>
      </w:r>
    </w:p>
    <w:p>
      <w:pPr>
        <w:pStyle w:val="FirstParagraph"/>
      </w:pPr>
      <w:r>
        <w:rPr>
          <w:highlight w:val="yellow"/>
        </w:rPr>
        <w:t xml:space="preserve">For fascial plane blocks used in ambulatory surgery, this suggests two practical points.</w:t>
      </w:r>
      <w:r>
        <w:rPr>
          <w:highlight w:val="yellow"/>
        </w:rPr>
        <w:t xml:space="preserve"> </w:t>
      </w:r>
      <w:r>
        <w:rPr>
          <w:highlight w:val="yellow"/>
        </w:rPr>
        <w:t xml:space="preserve">First, the intravenous-input model may be misleading in predicting supratoxic</w:t>
      </w:r>
      <w:r>
        <w:rPr>
          <w:highlight w:val="yellow"/>
        </w:rPr>
        <w:t xml:space="preserve"> </w:t>
      </w:r>
      <m:oMath>
        <m:sSub>
          <m:e>
            <m:r>
              <m:t>C</m:t>
            </m:r>
          </m:e>
          <m:sub>
            <m:r>
              <m:t>m</m:t>
            </m:r>
            <m:r>
              <m:t>a</m:t>
            </m:r>
            <m:r>
              <m:t>x</m:t>
            </m:r>
          </m:sub>
        </m:sSub>
      </m:oMath>
      <w:r>
        <w:rPr>
          <w:highlight w:val="yellow"/>
        </w:rPr>
        <w:t xml:space="preserve"> </w:t>
      </w:r>
      <w:r>
        <w:rPr>
          <w:highlight w:val="yellow"/>
        </w:rPr>
        <w:t xml:space="preserve">values that are not observed clinically after non-intravenous administration.</w:t>
      </w:r>
      <w:r>
        <w:rPr>
          <w:highlight w:val="yellow"/>
        </w:rPr>
        <w:t xml:space="preserve"> </w:t>
      </w:r>
      <w:r>
        <w:rPr>
          <w:highlight w:val="yellow"/>
        </w:rPr>
        <w:t xml:space="preserve">Second, it provides no information about when the peak occurs, because it assumes the</w:t>
      </w:r>
      <w:r>
        <w:rPr>
          <w:highlight w:val="yellow"/>
        </w:rPr>
        <w:t xml:space="preserve"> </w:t>
      </w:r>
      <w:r>
        <w:rPr>
          <w:highlight w:val="yellow"/>
        </w:rPr>
        <w:t xml:space="preserve">peak has already passed at</w:t>
      </w:r>
      <w:r>
        <w:rPr>
          <w:highlight w:val="yellow"/>
        </w:rPr>
        <w:t xml:space="preserve"> </w:t>
      </w:r>
      <m:oMath>
        <m:r>
          <m:t>t</m:t>
        </m:r>
        <m:r>
          <m:t>=</m:t>
        </m:r>
        <m:r>
          <m:t>0</m:t>
        </m:r>
      </m:oMath>
      <w:r>
        <w:rPr>
          <w:highlight w:val="yellow"/>
        </w:rPr>
        <w:t xml:space="preserve">. A route-aware simulation instead points to a</w:t>
      </w:r>
      <w:r>
        <w:rPr>
          <w:highlight w:val="yellow"/>
        </w:rPr>
        <w:t xml:space="preserve"> </w:t>
      </w:r>
      <w:r>
        <w:rPr>
          <w:highlight w:val="yellow"/>
        </w:rPr>
        <w:t xml:space="preserve">later monitoring window based on the documented route of administration (§3.2).</w:t>
      </w:r>
    </w:p>
    <w:p>
      <w:pPr>
        <w:pStyle w:val="BodyText"/>
      </w:pPr>
      <w:r>
        <w:rPr>
          <w:highlight w:val="yellow"/>
        </w:rPr>
        <w:t xml:space="preserve">When the depot-model</w:t>
      </w:r>
      <w:r>
        <w:rPr>
          <w:highlight w:val="yellow"/>
        </w:rPr>
        <w:t xml:space="preserve"> </w:t>
      </w:r>
      <m:oMath>
        <m:sSub>
          <m:e>
            <m:r>
              <m:t>C</m:t>
            </m:r>
          </m:e>
          <m:sub>
            <m:r>
              <m:t>m</m:t>
            </m:r>
            <m:r>
              <m:t>a</m:t>
            </m:r>
            <m:r>
              <m:t>x</m:t>
            </m:r>
          </m:sub>
        </m:sSub>
      </m:oMath>
      <w:r>
        <w:rPr>
          <w:highlight w:val="yellow"/>
        </w:rPr>
        <w:t xml:space="preserve"> </w:t>
      </w:r>
      <w:r>
        <w:rPr>
          <w:highlight w:val="yellow"/>
        </w:rPr>
        <w:t xml:space="preserve">approaches toxicity thresholds—for example, in</w:t>
      </w:r>
      <w:r>
        <w:rPr>
          <w:highlight w:val="yellow"/>
        </w:rPr>
        <w:t xml:space="preserve"> </w:t>
      </w:r>
      <w:r>
        <w:rPr>
          <w:highlight w:val="yellow"/>
        </w:rPr>
        <w:t xml:space="preserve">simulations with ropivacaine 150 mg and bupivacaine 150 mg the predicted</w:t>
      </w:r>
      <w:r>
        <w:rPr>
          <w:highlight w:val="yellow"/>
        </w:rPr>
        <w:t xml:space="preserve"> </w:t>
      </w:r>
      <m:oMath>
        <m:sSub>
          <m:e>
            <m:r>
              <m:t>C</m:t>
            </m:r>
          </m:e>
          <m:sub>
            <m:r>
              <m:t>m</m:t>
            </m:r>
            <m:r>
              <m:t>a</m:t>
            </m:r>
            <m:r>
              <m:t>x</m:t>
            </m:r>
          </m:sub>
        </m:sSub>
      </m:oMath>
      <w:r>
        <w:rPr>
          <w:highlight w:val="yellow"/>
        </w:rPr>
        <w:t xml:space="preserve"> </w:t>
      </w:r>
      <w:r>
        <w:rPr>
          <w:highlight w:val="yellow"/>
        </w:rPr>
        <w:t xml:space="preserve">can</w:t>
      </w:r>
      <w:r>
        <w:rPr>
          <w:highlight w:val="yellow"/>
        </w:rPr>
        <w:t xml:space="preserve"> </w:t>
      </w:r>
      <w:r>
        <w:rPr>
          <w:highlight w:val="yellow"/>
        </w:rPr>
        <w:t xml:space="preserve">approach or exceed the central nervous system (CNS) threshold at higher assumed absorption rates—the delayed</w:t>
      </w:r>
      <w:r>
        <w:rPr>
          <w:highlight w:val="yellow"/>
        </w:rPr>
        <w:t xml:space="preserve"> </w:t>
      </w:r>
      <m:oMath>
        <m:sSub>
          <m:e>
            <m:r>
              <m:t>T</m:t>
            </m:r>
          </m:e>
          <m:sub>
            <m:r>
              <m:t>m</m:t>
            </m:r>
            <m:r>
              <m:t>a</m:t>
            </m:r>
            <m:r>
              <m:t>x</m:t>
            </m:r>
          </m:sub>
        </m:sSub>
      </m:oMath>
      <w:r>
        <w:rPr>
          <w:highlight w:val="yellow"/>
        </w:rPr>
        <w:t xml:space="preserve"> </w:t>
      </w:r>
      <w:r>
        <w:rPr>
          <w:highlight w:val="yellow"/>
        </w:rPr>
        <w:t xml:space="preserve">becomes potentially relevant, suggesting monitoring beyond the first minutes</w:t>
      </w:r>
      <w:r>
        <w:rPr>
          <w:highlight w:val="yellow"/>
        </w:rPr>
        <w:t xml:space="preserve"> </w:t>
      </w:r>
      <w:r>
        <w:rPr>
          <w:highlight w:val="yellow"/>
        </w:rPr>
        <w:t xml:space="preserve">after injection. These remain model-based hypotheses that require prospective</w:t>
      </w:r>
      <w:r>
        <w:rPr>
          <w:highlight w:val="yellow"/>
        </w:rPr>
        <w:t xml:space="preserve"> </w:t>
      </w:r>
      <w:r>
        <w:rPr>
          <w:highlight w:val="yellow"/>
        </w:rPr>
        <w:t xml:space="preserve">confirmation.</w:t>
      </w:r>
    </w:p>
    <w:p>
      <w:pPr>
        <w:pStyle w:val="BodyText"/>
      </w:pPr>
      <w:r>
        <w:rPr>
          <w:highlight w:val="yellow"/>
        </w:rPr>
        <w:t xml:space="preserve">Modelling a route-appropriate initial compartment is therefore proposed not as a</w:t>
      </w:r>
      <w:r>
        <w:rPr>
          <w:highlight w:val="yellow"/>
        </w:rPr>
        <w:t xml:space="preserve"> </w:t>
      </w:r>
      <w:r>
        <w:rPr>
          <w:highlight w:val="yellow"/>
        </w:rPr>
        <w:t xml:space="preserve">clinically proven method but as a more plausible starting point than the</w:t>
      </w:r>
      <w:r>
        <w:rPr>
          <w:highlight w:val="yellow"/>
        </w:rPr>
        <w:t xml:space="preserve"> </w:t>
      </w:r>
      <w:r>
        <w:rPr>
          <w:highlight w:val="yellow"/>
        </w:rPr>
        <w:t xml:space="preserve">intravenous-input assumption for exploring the systemic behaviour of regional</w:t>
      </w:r>
      <w:r>
        <w:rPr>
          <w:highlight w:val="yellow"/>
        </w:rPr>
        <w:t xml:space="preserve"> </w:t>
      </w:r>
      <w:r>
        <w:rPr>
          <w:highlight w:val="yellow"/>
        </w:rPr>
        <w:t xml:space="preserve">anesthesia techniques in which drug does not enter plasma directly</w:t>
      </w:r>
      <w:r>
        <w:rPr>
          <w:highlight w:val="yellow"/>
        </w:rPr>
        <w:t xml:space="preserve"> </w:t>
      </w:r>
      <w:r>
        <w:rPr>
          <w:highlight w:val="yellow"/>
        </w:rPr>
        <w:t xml:space="preserve">[6–8]</w:t>
      </w:r>
      <w:r>
        <w:rPr>
          <w:highlight w:val="yellow"/>
        </w:rPr>
        <w:t xml:space="preserve">.</w:t>
      </w:r>
    </w:p>
    <w:p>
      <w:pPr>
        <w:pStyle w:val="Heading1"/>
      </w:pPr>
      <w:bookmarkStart w:id="28" w:name="software-architecture-and-design"/>
      <w:r>
        <w:t xml:space="preserve">2. Software architecture and design</w:t>
      </w:r>
      <w:bookmarkEnd w:id="28"/>
    </w:p>
    <w:p>
      <w:pPr>
        <w:pStyle w:val="Heading2"/>
      </w:pPr>
      <w:bookmarkStart w:id="29" w:name="package-structure"/>
      <w:r>
        <w:t xml:space="preserve">2.1 Package structure</w:t>
      </w:r>
      <w:bookmarkEnd w:id="29"/>
    </w:p>
    <w:p>
      <w:pPr>
        <w:pStyle w:val="FirstParagraph"/>
      </w:pPr>
      <w:r>
        <w:t xml:space="preserve">yoshika is structured as a modular Python package with the following components:</w:t>
      </w:r>
    </w:p>
    <w:p>
      <w:pPr>
        <w:numPr>
          <w:ilvl w:val="0"/>
          <w:numId w:val="1005"/>
        </w:numPr>
        <w:pStyle w:val="Compact"/>
      </w:pPr>
      <w:r>
        <w:rPr>
          <w:b/>
        </w:rPr>
        <w:t xml:space="preserve">compartments</w:t>
      </w:r>
      <w:r>
        <w:t xml:space="preserve">: Compartment definitions (</w:t>
      </w:r>
      <w:r>
        <w:rPr>
          <w:rStyle w:val="VerbatimChar"/>
        </w:rPr>
        <w:t xml:space="preserve">PLASMA</w:t>
      </w:r>
      <w:r>
        <w:t xml:space="preserve">,</w:t>
      </w:r>
      <w:r>
        <w:t xml:space="preserve"> </w:t>
      </w:r>
      <w:r>
        <w:rPr>
          <w:rStyle w:val="VerbatimChar"/>
        </w:rPr>
        <w:t xml:space="preserve">BRT</w:t>
      </w:r>
      <w:r>
        <w:t xml:space="preserve">,</w:t>
      </w:r>
      <w:r>
        <w:t xml:space="preserve"> </w:t>
      </w:r>
      <w:r>
        <w:rPr>
          <w:rStyle w:val="VerbatimChar"/>
        </w:rPr>
        <w:t xml:space="preserve">BPT</w:t>
      </w:r>
      <w:r>
        <w:t xml:space="preserve">,</w:t>
      </w:r>
      <w:r>
        <w:t xml:space="preserve"> </w:t>
      </w:r>
      <w:r>
        <w:rPr>
          <w:rStyle w:val="VerbatimChar"/>
        </w:rPr>
        <w:t xml:space="preserve">DEPOT</w:t>
      </w:r>
      <w:r>
        <w:t xml:space="preserve">) and initial condition logic.</w:t>
      </w:r>
    </w:p>
    <w:p>
      <w:pPr>
        <w:numPr>
          <w:ilvl w:val="0"/>
          <w:numId w:val="1005"/>
        </w:numPr>
        <w:pStyle w:val="Compact"/>
      </w:pPr>
      <w:r>
        <w:rPr>
          <w:b/>
        </w:rPr>
        <w:t xml:space="preserve">drugs</w:t>
      </w:r>
      <w:r>
        <w:t xml:space="preserve">: Drug parameter database with four built-in local anesthetics (lidocaine, bupivacaine, ropivacaine, levobupivacaine) and custom drug support.</w:t>
      </w:r>
    </w:p>
    <w:p>
      <w:pPr>
        <w:numPr>
          <w:ilvl w:val="0"/>
          <w:numId w:val="1005"/>
        </w:numPr>
        <w:pStyle w:val="Compact"/>
      </w:pPr>
      <w:r>
        <w:rPr>
          <w:b/>
          <w:highlight w:val="yellow"/>
        </w:rPr>
        <w:t xml:space="preserve">model</w:t>
      </w:r>
      <w:r>
        <w:rPr>
          <w:highlight w:val="yellow"/>
        </w:rPr>
        <w:t xml:space="preserve">: Three-compartment PK ordinary differential equation (ODE) model solved with SciPy’s</w:t>
      </w:r>
      <w:r>
        <w:rPr>
          <w:highlight w:val="yellow"/>
        </w:rPr>
        <w:t xml:space="preserve"> </w:t>
      </w:r>
      <w:r>
        <w:rPr>
          <w:rStyle w:val="VerbatimChar"/>
          <w:highlight w:val="yellow"/>
        </w:rPr>
        <w:t xml:space="preserve">solve_ivp</w:t>
      </w:r>
      <w:r>
        <w:rPr>
          <w:highlight w:val="yellow"/>
        </w:rPr>
        <w:t xml:space="preserve"> </w:t>
      </w:r>
      <w:r>
        <w:rPr>
          <w:highlight w:val="yellow"/>
        </w:rPr>
        <w:t xml:space="preserve">(RK45 method)</w:t>
      </w:r>
      <w:r>
        <w:rPr>
          <w:highlight w:val="yellow"/>
        </w:rPr>
        <w:t xml:space="preserve"> </w:t>
      </w:r>
      <w:r>
        <w:rPr>
          <w:highlight w:val="yellow"/>
        </w:rPr>
        <w:t xml:space="preserve">[9]</w:t>
      </w:r>
      <w:r>
        <w:rPr>
          <w:highlight w:val="yellow"/>
        </w:rPr>
        <w:t xml:space="preserve">.</w:t>
      </w:r>
    </w:p>
    <w:p>
      <w:pPr>
        <w:numPr>
          <w:ilvl w:val="0"/>
          <w:numId w:val="1005"/>
        </w:numPr>
        <w:pStyle w:val="Compact"/>
      </w:pPr>
      <w:r>
        <w:rPr>
          <w:b/>
        </w:rPr>
        <w:t xml:space="preserve">pd</w:t>
      </w:r>
      <w:r>
        <w:t xml:space="preserve">: Pharmacodynamic models (Emax, sigmoid Emax, effect-site equilibration).</w:t>
      </w:r>
    </w:p>
    <w:p>
      <w:pPr>
        <w:numPr>
          <w:ilvl w:val="0"/>
          <w:numId w:val="1005"/>
        </w:numPr>
        <w:pStyle w:val="Compact"/>
      </w:pPr>
      <w:r>
        <w:rPr>
          <w:b/>
        </w:rPr>
        <w:t xml:space="preserve">simulator</w:t>
      </w:r>
      <w:r>
        <w:t xml:space="preserve">: High-level API for single simulations and multi-scenario comparison.</w:t>
      </w:r>
    </w:p>
    <w:p>
      <w:pPr>
        <w:numPr>
          <w:ilvl w:val="0"/>
          <w:numId w:val="1005"/>
        </w:numPr>
        <w:pStyle w:val="Compact"/>
      </w:pPr>
      <w:r>
        <w:rPr>
          <w:b/>
        </w:rPr>
        <w:t xml:space="preserve">plotting</w:t>
      </w:r>
      <w:r>
        <w:t xml:space="preserve">: Matplotlib-based visualization utilities for concentration-time curves, effect profiles, and comparison plots.</w:t>
      </w:r>
    </w:p>
    <w:p>
      <w:pPr>
        <w:numPr>
          <w:ilvl w:val="0"/>
          <w:numId w:val="1005"/>
        </w:numPr>
        <w:pStyle w:val="Compact"/>
      </w:pPr>
      <w:r>
        <w:rPr>
          <w:b/>
          <w:highlight w:val="yellow"/>
        </w:rPr>
        <w:t xml:space="preserve">utils</w:t>
      </w:r>
      <w:r>
        <w:rPr>
          <w:highlight w:val="yellow"/>
        </w:rPr>
        <w:t xml:space="preserve">: Utility functions for area under the curve (AUC) calculation, half-life estimation, and unit conversion.</w:t>
      </w:r>
    </w:p>
    <w:p>
      <w:pPr>
        <w:pStyle w:val="FirstParagraph"/>
      </w:pPr>
      <w:r>
        <w:t xml:space="preserve">The package follows a clean separation of concerns: the PK model (ODE system) is independent of the PD model, and both are independent of the drug parameter database. This design allows users to substitute custom drug parameters, modify the PD model, or extend the compartment structure without affecting other components.</w:t>
      </w:r>
    </w:p>
    <w:p>
      <w:pPr>
        <w:pStyle w:val="Heading2"/>
      </w:pPr>
      <w:bookmarkStart w:id="30" w:name="software-functionalities"/>
      <w:r>
        <w:t xml:space="preserve">2.2 Software functionalities</w:t>
      </w:r>
      <w:bookmarkEnd w:id="30"/>
    </w:p>
    <w:p>
      <w:pPr>
        <w:pStyle w:val="Heading3"/>
      </w:pPr>
      <w:bookmarkStart w:id="31" w:name="pharmacokinetic-model"/>
      <w:r>
        <w:t xml:space="preserve">2.2.1 Pharmacokinetic model</w:t>
      </w:r>
      <w:bookmarkEnd w:id="31"/>
    </w:p>
    <w:p>
      <w:pPr>
        <w:pStyle w:val="FirstParagraph"/>
      </w:pPr>
      <w:r>
        <w:rPr>
          <w:highlight w:val="yellow"/>
        </w:rPr>
        <w:t xml:space="preserve">yoshika implements a standard three-compartment mammillary PK model with an optional depot</w:t>
      </w:r>
      <w:r>
        <w:rPr>
          <w:highlight w:val="yellow"/>
        </w:rPr>
        <w:t xml:space="preserve"> </w:t>
      </w:r>
      <w:r>
        <w:rPr>
          <w:highlight w:val="yellow"/>
        </w:rPr>
        <w:t xml:space="preserve">compartment. The system of ODEs is:</w:t>
      </w:r>
    </w:p>
    <w:p>
      <w:pPr>
        <w:pStyle w:val="BodyText"/>
      </w:pPr>
      <m:oMathPara>
        <m:oMathParaPr>
          <m:jc m:val="center"/>
        </m:oMathParaPr>
        <m:oMath>
          <m:f>
            <m:fPr>
              <m:type m:val="bar"/>
            </m:fPr>
            <m:num>
              <m:r>
                <m:t>d</m:t>
              </m:r>
              <m:sSub>
                <m:e>
                  <m:r>
                    <m:t>A</m:t>
                  </m:r>
                </m:e>
                <m:sub>
                  <m:r>
                    <m:t>d</m:t>
                  </m:r>
                  <m:r>
                    <m:t>e</m:t>
                  </m:r>
                  <m:r>
                    <m:t>p</m:t>
                  </m:r>
                  <m:r>
                    <m:t>o</m:t>
                  </m:r>
                  <m:r>
                    <m:t>t</m:t>
                  </m:r>
                </m:sub>
              </m:sSub>
            </m:num>
            <m:den>
              <m:r>
                <m:t>d</m:t>
              </m:r>
              <m:r>
                <m:t>t</m:t>
              </m:r>
            </m:den>
          </m:f>
          <m:r>
            <m:t>=</m:t>
          </m:r>
          <m:r>
            <m:t>−</m:t>
          </m:r>
          <m:sSub>
            <m:e>
              <m:r>
                <m:t>k</m:t>
              </m:r>
            </m:e>
            <m:sub>
              <m:r>
                <m:t>a</m:t>
              </m:r>
            </m:sub>
          </m:sSub>
          <m:r>
            <m:t>⋅</m:t>
          </m:r>
          <m:sSub>
            <m:e>
              <m:r>
                <m:t>A</m:t>
              </m:r>
            </m:e>
            <m:sub>
              <m:r>
                <m:t>d</m:t>
              </m:r>
              <m:r>
                <m:t>e</m:t>
              </m:r>
              <m:r>
                <m:t>p</m:t>
              </m:r>
              <m:r>
                <m:t>o</m:t>
              </m:r>
              <m:r>
                <m:t>t</m:t>
              </m:r>
            </m:sub>
          </m:sSub>
        </m:oMath>
      </m:oMathPara>
    </w:p>
    <w:p>
      <w:pPr>
        <w:pStyle w:val="FirstParagraph"/>
      </w:pPr>
      <m:oMathPara>
        <m:oMathParaPr>
          <m:jc m:val="center"/>
        </m:oMathParaPr>
        <m:oMath>
          <m:f>
            <m:fPr>
              <m:type m:val="bar"/>
            </m:fPr>
            <m:num>
              <m:r>
                <m:t>d</m:t>
              </m:r>
              <m:sSub>
                <m:e>
                  <m:r>
                    <m:t>A</m:t>
                  </m:r>
                </m:e>
                <m:sub>
                  <m:r>
                    <m:t>1</m:t>
                  </m:r>
                </m:sub>
              </m:sSub>
            </m:num>
            <m:den>
              <m:r>
                <m:t>d</m:t>
              </m:r>
              <m:r>
                <m:t>t</m:t>
              </m:r>
            </m:den>
          </m:f>
          <m:r>
            <m:t>=</m:t>
          </m:r>
          <m:sSub>
            <m:e>
              <m:r>
                <m:t>k</m:t>
              </m:r>
            </m:e>
            <m:sub>
              <m:r>
                <m:t>a</m:t>
              </m:r>
            </m:sub>
          </m:sSub>
          <m:r>
            <m:t>⋅</m:t>
          </m:r>
          <m:sSub>
            <m:e>
              <m:r>
                <m:t>A</m:t>
              </m:r>
            </m:e>
            <m:sub>
              <m:r>
                <m:t>d</m:t>
              </m:r>
              <m:r>
                <m:t>e</m:t>
              </m:r>
              <m:r>
                <m:t>p</m:t>
              </m:r>
              <m:r>
                <m:t>o</m:t>
              </m:r>
              <m:r>
                <m:t>t</m:t>
              </m:r>
            </m:sub>
          </m:sSub>
          <m:r>
            <m:t>−</m:t>
          </m:r>
          <m:r>
            <m:t>(</m:t>
          </m:r>
          <m:sSub>
            <m:e>
              <m:r>
                <m:t>k</m:t>
              </m:r>
            </m:e>
            <m:sub>
              <m:r>
                <m:t>10</m:t>
              </m:r>
            </m:sub>
          </m:sSub>
          <m:r>
            <m:t>+</m:t>
          </m:r>
          <m:sSub>
            <m:e>
              <m:r>
                <m:t>k</m:t>
              </m:r>
            </m:e>
            <m:sub>
              <m:r>
                <m:t>12</m:t>
              </m:r>
            </m:sub>
          </m:sSub>
          <m:r>
            <m:t>+</m:t>
          </m:r>
          <m:sSub>
            <m:e>
              <m:r>
                <m:t>k</m:t>
              </m:r>
            </m:e>
            <m:sub>
              <m:r>
                <m:t>13</m:t>
              </m:r>
            </m:sub>
          </m:sSub>
          <m:r>
            <m:t>)</m:t>
          </m:r>
          <m:r>
            <m:t>⋅</m:t>
          </m:r>
          <m:sSub>
            <m:e>
              <m:r>
                <m:t>A</m:t>
              </m:r>
            </m:e>
            <m:sub>
              <m:r>
                <m:t>1</m:t>
              </m:r>
            </m:sub>
          </m:sSub>
          <m:r>
            <m:t>+</m:t>
          </m:r>
          <m:sSub>
            <m:e>
              <m:r>
                <m:t>k</m:t>
              </m:r>
            </m:e>
            <m:sub>
              <m:r>
                <m:t>21</m:t>
              </m:r>
            </m:sub>
          </m:sSub>
          <m:r>
            <m:t>⋅</m:t>
          </m:r>
          <m:sSub>
            <m:e>
              <m:r>
                <m:t>A</m:t>
              </m:r>
            </m:e>
            <m:sub>
              <m:r>
                <m:t>2</m:t>
              </m:r>
            </m:sub>
          </m:sSub>
          <m:r>
            <m:t>+</m:t>
          </m:r>
          <m:sSub>
            <m:e>
              <m:r>
                <m:t>k</m:t>
              </m:r>
            </m:e>
            <m:sub>
              <m:r>
                <m:t>31</m:t>
              </m:r>
            </m:sub>
          </m:sSub>
          <m:r>
            <m:t>⋅</m:t>
          </m:r>
          <m:sSub>
            <m:e>
              <m:r>
                <m:t>A</m:t>
              </m:r>
            </m:e>
            <m:sub>
              <m:r>
                <m:t>3</m:t>
              </m:r>
            </m:sub>
          </m:sSub>
        </m:oMath>
      </m:oMathPara>
    </w:p>
    <w:p>
      <w:pPr>
        <w:pStyle w:val="FirstParagraph"/>
      </w:pPr>
      <m:oMathPara>
        <m:oMathParaPr>
          <m:jc m:val="center"/>
        </m:oMathParaPr>
        <m:oMath>
          <m:f>
            <m:fPr>
              <m:type m:val="bar"/>
            </m:fPr>
            <m:num>
              <m:r>
                <m:t>d</m:t>
              </m:r>
              <m:sSub>
                <m:e>
                  <m:r>
                    <m:t>A</m:t>
                  </m:r>
                </m:e>
                <m:sub>
                  <m:r>
                    <m:t>2</m:t>
                  </m:r>
                </m:sub>
              </m:sSub>
            </m:num>
            <m:den>
              <m:r>
                <m:t>d</m:t>
              </m:r>
              <m:r>
                <m:t>t</m:t>
              </m:r>
            </m:den>
          </m:f>
          <m:r>
            <m:t>=</m:t>
          </m:r>
          <m:sSub>
            <m:e>
              <m:r>
                <m:t>k</m:t>
              </m:r>
            </m:e>
            <m:sub>
              <m:r>
                <m:t>12</m:t>
              </m:r>
            </m:sub>
          </m:sSub>
          <m:r>
            <m:t>⋅</m:t>
          </m:r>
          <m:sSub>
            <m:e>
              <m:r>
                <m:t>A</m:t>
              </m:r>
            </m:e>
            <m:sub>
              <m:r>
                <m:t>1</m:t>
              </m:r>
            </m:sub>
          </m:sSub>
          <m:r>
            <m:t>−</m:t>
          </m:r>
          <m:sSub>
            <m:e>
              <m:r>
                <m:t>k</m:t>
              </m:r>
            </m:e>
            <m:sub>
              <m:r>
                <m:t>21</m:t>
              </m:r>
            </m:sub>
          </m:sSub>
          <m:r>
            <m:t>⋅</m:t>
          </m:r>
          <m:sSub>
            <m:e>
              <m:r>
                <m:t>A</m:t>
              </m:r>
            </m:e>
            <m:sub>
              <m:r>
                <m:t>2</m:t>
              </m:r>
            </m:sub>
          </m:sSub>
        </m:oMath>
      </m:oMathPara>
    </w:p>
    <w:p>
      <w:pPr>
        <w:pStyle w:val="FirstParagraph"/>
      </w:pPr>
      <m:oMathPara>
        <m:oMathParaPr>
          <m:jc m:val="center"/>
        </m:oMathParaPr>
        <m:oMath>
          <m:f>
            <m:fPr>
              <m:type m:val="bar"/>
            </m:fPr>
            <m:num>
              <m:r>
                <m:t>d</m:t>
              </m:r>
              <m:sSub>
                <m:e>
                  <m:r>
                    <m:t>A</m:t>
                  </m:r>
                </m:e>
                <m:sub>
                  <m:r>
                    <m:t>3</m:t>
                  </m:r>
                </m:sub>
              </m:sSub>
            </m:num>
            <m:den>
              <m:r>
                <m:t>d</m:t>
              </m:r>
              <m:r>
                <m:t>t</m:t>
              </m:r>
            </m:den>
          </m:f>
          <m:r>
            <m:t>=</m:t>
          </m:r>
          <m:sSub>
            <m:e>
              <m:r>
                <m:t>k</m:t>
              </m:r>
            </m:e>
            <m:sub>
              <m:r>
                <m:t>13</m:t>
              </m:r>
            </m:sub>
          </m:sSub>
          <m:r>
            <m:t>⋅</m:t>
          </m:r>
          <m:sSub>
            <m:e>
              <m:r>
                <m:t>A</m:t>
              </m:r>
            </m:e>
            <m:sub>
              <m:r>
                <m:t>1</m:t>
              </m:r>
            </m:sub>
          </m:sSub>
          <m:r>
            <m:t>−</m:t>
          </m:r>
          <m:sSub>
            <m:e>
              <m:r>
                <m:t>k</m:t>
              </m:r>
            </m:e>
            <m:sub>
              <m:r>
                <m:t>31</m:t>
              </m:r>
            </m:sub>
          </m:sSub>
          <m:r>
            <m:t>⋅</m:t>
          </m:r>
          <m:sSub>
            <m:e>
              <m:r>
                <m:t>A</m:t>
              </m:r>
            </m:e>
            <m:sub>
              <m:r>
                <m:t>3</m:t>
              </m:r>
            </m:sub>
          </m:sSub>
        </m:oMath>
      </m:oMathPara>
    </w:p>
    <w:p>
      <w:pPr>
        <w:pStyle w:val="FirstParagraph"/>
      </w:pPr>
      <w:r>
        <w:rPr>
          <w:highlight w:val="yellow"/>
        </w:rPr>
        <w:t xml:space="preserve">where</w:t>
      </w:r>
      <w:r>
        <w:rPr>
          <w:highlight w:val="yellow"/>
        </w:rPr>
        <w:t xml:space="preserve"> </w:t>
      </w:r>
      <m:oMath>
        <m:sSub>
          <m:e>
            <m:r>
              <m:t>A</m:t>
            </m:r>
          </m:e>
          <m:sub>
            <m:r>
              <m:t>1</m:t>
            </m:r>
          </m:sub>
        </m:sSub>
      </m:oMath>
      <w:r>
        <w:rPr>
          <w:highlight w:val="yellow"/>
        </w:rPr>
        <w:t xml:space="preserve">,</w:t>
      </w:r>
      <w:r>
        <w:rPr>
          <w:highlight w:val="yellow"/>
        </w:rPr>
        <w:t xml:space="preserve"> </w:t>
      </w:r>
      <m:oMath>
        <m:sSub>
          <m:e>
            <m:r>
              <m:t>A</m:t>
            </m:r>
          </m:e>
          <m:sub>
            <m:r>
              <m:t>2</m:t>
            </m:r>
          </m:sub>
        </m:sSub>
      </m:oMath>
      <w:r>
        <w:rPr>
          <w:highlight w:val="yellow"/>
        </w:rPr>
        <w:t xml:space="preserve">,</w:t>
      </w:r>
      <w:r>
        <w:rPr>
          <w:highlight w:val="yellow"/>
        </w:rPr>
        <w:t xml:space="preserve"> </w:t>
      </w:r>
      <m:oMath>
        <m:sSub>
          <m:e>
            <m:r>
              <m:t>A</m:t>
            </m:r>
          </m:e>
          <m:sub>
            <m:r>
              <m:t>3</m:t>
            </m:r>
          </m:sub>
        </m:sSub>
      </m:oMath>
      <w:r>
        <w:rPr>
          <w:highlight w:val="yellow"/>
        </w:rPr>
        <w:t xml:space="preserve"> </w:t>
      </w:r>
      <w:r>
        <w:rPr>
          <w:highlight w:val="yellow"/>
        </w:rPr>
        <w:t xml:space="preserve">are drug amounts in plasma (V1), vessel-rich tissue (V2/BRT), and</w:t>
      </w:r>
      <w:r>
        <w:rPr>
          <w:highlight w:val="yellow"/>
        </w:rPr>
        <w:t xml:space="preserve"> </w:t>
      </w:r>
      <w:r>
        <w:rPr>
          <w:highlight w:val="yellow"/>
        </w:rPr>
        <w:t xml:space="preserve">vessel-poor tissue (V3/BPT), respectively;</w:t>
      </w:r>
      <w:r>
        <w:rPr>
          <w:highlight w:val="yellow"/>
        </w:rPr>
        <w:t xml:space="preserve"> </w:t>
      </w:r>
      <m:oMath>
        <m:sSub>
          <m:e>
            <m:r>
              <m:t>A</m:t>
            </m:r>
          </m:e>
          <m:sub>
            <m:r>
              <m:t>d</m:t>
            </m:r>
            <m:r>
              <m:t>e</m:t>
            </m:r>
            <m:r>
              <m:t>p</m:t>
            </m:r>
            <m:r>
              <m:t>o</m:t>
            </m:r>
            <m:r>
              <m:t>t</m:t>
            </m:r>
          </m:sub>
        </m:sSub>
      </m:oMath>
      <w:r>
        <w:rPr>
          <w:highlight w:val="yellow"/>
        </w:rPr>
        <w:t xml:space="preserve"> </w:t>
      </w:r>
      <w:r>
        <w:rPr>
          <w:highlight w:val="yellow"/>
        </w:rPr>
        <w:t xml:space="preserve">is the amount in the depot compartment;</w:t>
      </w:r>
      <w:r>
        <w:rPr>
          <w:highlight w:val="yellow"/>
        </w:rPr>
        <w:t xml:space="preserve"> </w:t>
      </w:r>
      <m:oMath>
        <m:sSub>
          <m:e>
            <m:r>
              <m:t>k</m:t>
            </m:r>
          </m:e>
          <m:sub>
            <m:r>
              <m:t>10</m:t>
            </m:r>
          </m:sub>
        </m:sSub>
      </m:oMath>
      <w:r>
        <w:rPr>
          <w:highlight w:val="yellow"/>
        </w:rPr>
        <w:t xml:space="preserve"> </w:t>
      </w:r>
      <w:r>
        <w:rPr>
          <w:highlight w:val="yellow"/>
        </w:rPr>
        <w:t xml:space="preserve">is the elimination rate constant;</w:t>
      </w:r>
      <w:r>
        <w:rPr>
          <w:highlight w:val="yellow"/>
        </w:rPr>
        <w:t xml:space="preserve"> </w:t>
      </w:r>
      <m:oMath>
        <m:sSub>
          <m:e>
            <m:r>
              <m:t>k</m:t>
            </m:r>
          </m:e>
          <m:sub>
            <m:r>
              <m:t>12</m:t>
            </m:r>
          </m:sub>
        </m:sSub>
      </m:oMath>
      <w:r>
        <w:rPr>
          <w:highlight w:val="yellow"/>
        </w:rPr>
        <w:t xml:space="preserve">,</w:t>
      </w:r>
      <w:r>
        <w:rPr>
          <w:highlight w:val="yellow"/>
        </w:rPr>
        <w:t xml:space="preserve"> </w:t>
      </w:r>
      <m:oMath>
        <m:sSub>
          <m:e>
            <m:r>
              <m:t>k</m:t>
            </m:r>
          </m:e>
          <m:sub>
            <m:r>
              <m:t>21</m:t>
            </m:r>
          </m:sub>
        </m:sSub>
      </m:oMath>
      <w:r>
        <w:rPr>
          <w:highlight w:val="yellow"/>
        </w:rPr>
        <w:t xml:space="preserve">,</w:t>
      </w:r>
      <w:r>
        <w:rPr>
          <w:highlight w:val="yellow"/>
        </w:rPr>
        <w:t xml:space="preserve"> </w:t>
      </w:r>
      <m:oMath>
        <m:sSub>
          <m:e>
            <m:r>
              <m:t>k</m:t>
            </m:r>
          </m:e>
          <m:sub>
            <m:r>
              <m:t>13</m:t>
            </m:r>
          </m:sub>
        </m:sSub>
      </m:oMath>
      <w:r>
        <w:rPr>
          <w:highlight w:val="yellow"/>
        </w:rPr>
        <w:t xml:space="preserve">,</w:t>
      </w:r>
      <w:r>
        <w:rPr>
          <w:highlight w:val="yellow"/>
        </w:rPr>
        <w:t xml:space="preserve"> </w:t>
      </w:r>
      <m:oMath>
        <m:sSub>
          <m:e>
            <m:r>
              <m:t>k</m:t>
            </m:r>
          </m:e>
          <m:sub>
            <m:r>
              <m:t>31</m:t>
            </m:r>
          </m:sub>
        </m:sSub>
      </m:oMath>
      <w:r>
        <w:rPr>
          <w:highlight w:val="yellow"/>
        </w:rPr>
        <w:t xml:space="preserve"> </w:t>
      </w:r>
      <w:r>
        <w:rPr>
          <w:highlight w:val="yellow"/>
        </w:rPr>
        <w:t xml:space="preserve">are</w:t>
      </w:r>
      <w:r>
        <w:rPr>
          <w:highlight w:val="yellow"/>
        </w:rPr>
        <w:t xml:space="preserve"> </w:t>
      </w:r>
      <w:r>
        <w:rPr>
          <w:highlight w:val="yellow"/>
        </w:rPr>
        <w:t xml:space="preserve">intercompartmental transfer rate constants; and</w:t>
      </w:r>
      <w:r>
        <w:rPr>
          <w:highlight w:val="yellow"/>
        </w:rPr>
        <w:t xml:space="preserve"> </w:t>
      </w:r>
      <m:oMath>
        <m:sSub>
          <m:e>
            <m:r>
              <m:t>k</m:t>
            </m:r>
          </m:e>
          <m:sub>
            <m:r>
              <m:t>a</m:t>
            </m:r>
          </m:sub>
        </m:sSub>
      </m:oMath>
      <w:r>
        <w:rPr>
          <w:highlight w:val="yellow"/>
        </w:rPr>
        <w:t xml:space="preserve"> </w:t>
      </w:r>
      <w:r>
        <w:rPr>
          <w:highlight w:val="yellow"/>
        </w:rPr>
        <w:t xml:space="preserve">is the absorption rate constant from the depot.</w:t>
      </w:r>
    </w:p>
    <w:p>
      <w:pPr>
        <w:pStyle w:val="DefinitionTerm"/>
      </w:pPr>
      <w:r>
        <w:t xml:space="preserve">The initial conditions are set according to the selected compartment (Table 2):</w:t>
      </w:r>
    </w:p>
    <w:p>
      <w:pPr>
        <w:pStyle w:val="Caption"/>
        <w:keepNext/>
        <w:spacing w:before="180" w:after="60"/>
        <w:jc w:val="left"/>
      </w:pPr>
      <w:r>
        <w:rPr>
          <w:b w:val="0"/>
          <w:i/>
          <w:sz w:val="18"/>
        </w:rPr>
        <w:t>Table 2. Initial conditions for each selectable compartment.</w:t>
      </w:r>
    </w:p>
    <w:tbl>
      <w:tblPr>
        <w:tblW w:type="auto" w:w="0"/>
        <w:jc w:val="center"/>
        <w:tblLayout w:type="fixed"/>
        <w:tblLook w:firstColumn="1" w:firstRow="1" w:lastColumn="0" w:lastRow="0" w:noHBand="0" w:noVBand="1" w:val="04A0"/>
        <w:tblLayout w:type="fixed"/>
      </w:tblPr>
      <w:tblGrid>
        <w:gridCol w:w="1872"/>
        <w:gridCol w:w="1872"/>
        <w:gridCol w:w="1872"/>
        <w:gridCol w:w="1872"/>
        <w:gridCol w:w="1872"/>
      </w:tblGrid>
      <w:tr>
        <w:trPr>
          <w:tblHeader w:val="true"/>
          <w:cantSplit/>
        </w:trPr>
        <w:tc>
          <w:tcPr>
            <w:tcW w:type="dxa" w:w="3528"/>
            <w:vAlign w:val="center"/>
          </w:tcPr>
          <w:p>
            <w:pPr>
              <w:spacing w:before="0" w:after="0" w:line="240" w:lineRule="auto"/>
              <w:jc w:val="left"/>
            </w:pPr>
            <w:r>
              <w:rPr>
                <w:highlight w:val="yellow"/>
              </w:rPr>
            </w:r>
            <w:r>
              <w:rPr>
                <w:b/>
                <w:i w:val="0"/>
                <w:sz w:val="18"/>
                <w:highlight w:val="yellow"/>
              </w:rPr>
              <w:t>Initial Compartment</w:t>
            </w:r>
          </w:p>
        </w:tc>
        <w:tc>
          <w:tcPr>
            <w:tcW w:type="dxa" w:w="1368"/>
            <w:vAlign w:val="center"/>
          </w:tcPr>
          <w:p>
            <w:pPr>
              <w:spacing w:before="0" w:after="0" w:line="240" w:lineRule="auto"/>
              <w:jc w:val="center"/>
            </w:pPr>
            <w:r>
              <w:rPr>
                <w:highlight w:val="yellow"/>
              </w:rPr>
            </w:r>
            <w:r>
              <w:rPr>
                <w:b/>
                <w:i w:val="0"/>
                <w:sz w:val="18"/>
                <w:highlight w:val="yellow"/>
              </w:rPr>
              <w:t>A</w:t>
            </w:r>
            <w:r>
              <w:rPr>
                <w:b/>
                <w:i w:val="0"/>
                <w:sz w:val="18"/>
                <w:highlight w:val="yellow"/>
                <w:vertAlign w:val="subscript"/>
              </w:rPr>
              <w:t>depot</w:t>
            </w:r>
            <w:r>
              <w:rPr>
                <w:b/>
                <w:i w:val="0"/>
                <w:sz w:val="18"/>
                <w:highlight w:val="yellow"/>
              </w:rPr>
              <w:t>(0)</w:t>
            </w:r>
          </w:p>
        </w:tc>
        <w:tc>
          <w:tcPr>
            <w:tcW w:type="dxa" w:w="1368"/>
            <w:vAlign w:val="center"/>
          </w:tcPr>
          <w:p>
            <w:pPr>
              <w:spacing w:before="0" w:after="0" w:line="240" w:lineRule="auto"/>
              <w:jc w:val="center"/>
            </w:pPr>
            <w:r>
              <w:rPr>
                <w:highlight w:val="yellow"/>
              </w:rPr>
            </w:r>
            <w:r>
              <w:rPr>
                <w:b/>
                <w:i w:val="0"/>
                <w:sz w:val="18"/>
                <w:highlight w:val="yellow"/>
              </w:rPr>
              <w:t>A</w:t>
            </w:r>
            <w:r>
              <w:rPr>
                <w:b/>
                <w:i w:val="0"/>
                <w:sz w:val="18"/>
                <w:highlight w:val="yellow"/>
                <w:vertAlign w:val="subscript"/>
              </w:rPr>
              <w:t>1</w:t>
            </w:r>
            <w:r>
              <w:rPr>
                <w:b/>
                <w:i w:val="0"/>
                <w:sz w:val="18"/>
                <w:highlight w:val="yellow"/>
              </w:rPr>
              <w:t>(0)</w:t>
            </w:r>
          </w:p>
        </w:tc>
        <w:tc>
          <w:tcPr>
            <w:tcW w:type="dxa" w:w="1368"/>
            <w:vAlign w:val="center"/>
          </w:tcPr>
          <w:p>
            <w:pPr>
              <w:spacing w:before="0" w:after="0" w:line="240" w:lineRule="auto"/>
              <w:jc w:val="center"/>
            </w:pPr>
            <w:r>
              <w:rPr>
                <w:highlight w:val="yellow"/>
              </w:rPr>
            </w:r>
            <w:r>
              <w:rPr>
                <w:b/>
                <w:i w:val="0"/>
                <w:sz w:val="18"/>
                <w:highlight w:val="yellow"/>
              </w:rPr>
              <w:t>A</w:t>
            </w:r>
            <w:r>
              <w:rPr>
                <w:b/>
                <w:i w:val="0"/>
                <w:sz w:val="18"/>
                <w:highlight w:val="yellow"/>
                <w:vertAlign w:val="subscript"/>
              </w:rPr>
              <w:t>2</w:t>
            </w:r>
            <w:r>
              <w:rPr>
                <w:b/>
                <w:i w:val="0"/>
                <w:sz w:val="18"/>
                <w:highlight w:val="yellow"/>
              </w:rPr>
              <w:t>(0)</w:t>
            </w:r>
          </w:p>
        </w:tc>
        <w:tc>
          <w:tcPr>
            <w:tcW w:type="dxa" w:w="1368"/>
            <w:vAlign w:val="center"/>
          </w:tcPr>
          <w:p>
            <w:pPr>
              <w:spacing w:before="0" w:after="0" w:line="240" w:lineRule="auto"/>
              <w:jc w:val="center"/>
            </w:pPr>
            <w:r>
              <w:rPr>
                <w:highlight w:val="yellow"/>
              </w:rPr>
            </w:r>
            <w:r>
              <w:rPr>
                <w:b/>
                <w:i w:val="0"/>
                <w:sz w:val="18"/>
                <w:highlight w:val="yellow"/>
              </w:rPr>
              <w:t>A</w:t>
            </w:r>
            <w:r>
              <w:rPr>
                <w:b/>
                <w:i w:val="0"/>
                <w:sz w:val="18"/>
                <w:highlight w:val="yellow"/>
                <w:vertAlign w:val="subscript"/>
              </w:rPr>
              <w:t>3</w:t>
            </w:r>
            <w:r>
              <w:rPr>
                <w:b/>
                <w:i w:val="0"/>
                <w:sz w:val="18"/>
                <w:highlight w:val="yellow"/>
              </w:rPr>
              <w:t>(0)</w:t>
            </w:r>
          </w:p>
        </w:tc>
      </w:tr>
      <w:tr>
        <w:trPr>
          <w:cantSplit/>
        </w:trPr>
        <w:tc>
          <w:tcPr>
            <w:tcW w:type="dxa" w:w="3528"/>
            <w:vAlign w:val="center"/>
          </w:tcPr>
          <w:p>
            <w:pPr>
              <w:spacing w:before="0" w:after="0" w:line="240" w:lineRule="auto"/>
              <w:jc w:val="left"/>
            </w:pPr>
            <w:r>
              <w:rPr>
                <w:highlight w:val="yellow"/>
              </w:rPr>
            </w:r>
            <w:r>
              <w:rPr>
                <w:b w:val="0"/>
                <w:i w:val="0"/>
                <w:sz w:val="18"/>
                <w:highlight w:val="yellow"/>
              </w:rPr>
              <w:t>Plasma (IV)</w:t>
            </w:r>
          </w:p>
        </w:tc>
        <w:tc>
          <w:tcPr>
            <w:tcW w:type="dxa" w:w="1368"/>
            <w:vAlign w:val="center"/>
          </w:tcPr>
          <w:p>
            <w:pPr>
              <w:spacing w:before="0" w:after="0" w:line="240" w:lineRule="auto"/>
              <w:jc w:val="center"/>
            </w:pPr>
            <w:r>
              <w:rPr>
                <w:highlight w:val="yellow"/>
              </w:rPr>
            </w:r>
            <w:r>
              <w:rPr>
                <w:b w:val="0"/>
                <w:i w:val="0"/>
                <w:sz w:val="18"/>
                <w:highlight w:val="yellow"/>
              </w:rPr>
              <w:t>0</w:t>
            </w:r>
          </w:p>
        </w:tc>
        <w:tc>
          <w:tcPr>
            <w:tcW w:type="dxa" w:w="1368"/>
            <w:vAlign w:val="center"/>
          </w:tcPr>
          <w:p>
            <w:pPr>
              <w:spacing w:before="0" w:after="0" w:line="240" w:lineRule="auto"/>
              <w:jc w:val="center"/>
            </w:pPr>
            <w:r>
              <w:rPr>
                <w:highlight w:val="yellow"/>
              </w:rPr>
            </w:r>
            <w:r>
              <w:rPr>
                <w:b w:val="0"/>
                <w:i w:val="0"/>
                <w:sz w:val="18"/>
                <w:highlight w:val="yellow"/>
              </w:rPr>
              <w:t>Dose</w:t>
            </w:r>
          </w:p>
        </w:tc>
        <w:tc>
          <w:tcPr>
            <w:tcW w:type="dxa" w:w="1368"/>
            <w:vAlign w:val="center"/>
          </w:tcPr>
          <w:p>
            <w:pPr>
              <w:spacing w:before="0" w:after="0" w:line="240" w:lineRule="auto"/>
              <w:jc w:val="center"/>
            </w:pPr>
            <w:r>
              <w:rPr>
                <w:highlight w:val="yellow"/>
              </w:rPr>
            </w:r>
            <w:r>
              <w:rPr>
                <w:b w:val="0"/>
                <w:i w:val="0"/>
                <w:sz w:val="18"/>
                <w:highlight w:val="yellow"/>
              </w:rPr>
              <w:t>0</w:t>
            </w:r>
          </w:p>
        </w:tc>
        <w:tc>
          <w:tcPr>
            <w:tcW w:type="dxa" w:w="1368"/>
            <w:vAlign w:val="center"/>
          </w:tcPr>
          <w:p>
            <w:pPr>
              <w:spacing w:before="0" w:after="0" w:line="240" w:lineRule="auto"/>
              <w:jc w:val="center"/>
            </w:pPr>
            <w:r>
              <w:rPr>
                <w:highlight w:val="yellow"/>
              </w:rPr>
            </w:r>
            <w:r>
              <w:rPr>
                <w:b w:val="0"/>
                <w:i w:val="0"/>
                <w:sz w:val="18"/>
                <w:highlight w:val="yellow"/>
              </w:rPr>
              <w:t>0</w:t>
            </w:r>
          </w:p>
        </w:tc>
      </w:tr>
      <w:tr>
        <w:trPr>
          <w:cantSplit/>
        </w:trPr>
        <w:tc>
          <w:tcPr>
            <w:tcW w:type="dxa" w:w="3528"/>
            <w:vAlign w:val="center"/>
          </w:tcPr>
          <w:p>
            <w:pPr>
              <w:spacing w:before="0" w:after="0" w:line="240" w:lineRule="auto"/>
              <w:jc w:val="left"/>
            </w:pPr>
            <w:r>
              <w:rPr>
                <w:highlight w:val="yellow"/>
              </w:rPr>
            </w:r>
            <w:r>
              <w:rPr>
                <w:b w:val="0"/>
                <w:i w:val="0"/>
                <w:sz w:val="18"/>
                <w:highlight w:val="yellow"/>
              </w:rPr>
              <w:t>BRT (failed block)</w:t>
            </w:r>
          </w:p>
        </w:tc>
        <w:tc>
          <w:tcPr>
            <w:tcW w:type="dxa" w:w="1368"/>
            <w:vAlign w:val="center"/>
          </w:tcPr>
          <w:p>
            <w:pPr>
              <w:spacing w:before="0" w:after="0" w:line="240" w:lineRule="auto"/>
              <w:jc w:val="center"/>
            </w:pPr>
            <w:r>
              <w:rPr>
                <w:highlight w:val="yellow"/>
              </w:rPr>
            </w:r>
            <w:r>
              <w:rPr>
                <w:b w:val="0"/>
                <w:i w:val="0"/>
                <w:sz w:val="18"/>
                <w:highlight w:val="yellow"/>
              </w:rPr>
              <w:t>0</w:t>
            </w:r>
          </w:p>
        </w:tc>
        <w:tc>
          <w:tcPr>
            <w:tcW w:type="dxa" w:w="1368"/>
            <w:vAlign w:val="center"/>
          </w:tcPr>
          <w:p>
            <w:pPr>
              <w:spacing w:before="0" w:after="0" w:line="240" w:lineRule="auto"/>
              <w:jc w:val="center"/>
            </w:pPr>
            <w:r>
              <w:rPr>
                <w:highlight w:val="yellow"/>
              </w:rPr>
            </w:r>
            <w:r>
              <w:rPr>
                <w:b w:val="0"/>
                <w:i w:val="0"/>
                <w:sz w:val="18"/>
                <w:highlight w:val="yellow"/>
              </w:rPr>
              <w:t>0</w:t>
            </w:r>
          </w:p>
        </w:tc>
        <w:tc>
          <w:tcPr>
            <w:tcW w:type="dxa" w:w="1368"/>
            <w:vAlign w:val="center"/>
          </w:tcPr>
          <w:p>
            <w:pPr>
              <w:spacing w:before="0" w:after="0" w:line="240" w:lineRule="auto"/>
              <w:jc w:val="center"/>
            </w:pPr>
            <w:r>
              <w:rPr>
                <w:highlight w:val="yellow"/>
              </w:rPr>
            </w:r>
            <w:r>
              <w:rPr>
                <w:b w:val="0"/>
                <w:i w:val="0"/>
                <w:sz w:val="18"/>
                <w:highlight w:val="yellow"/>
              </w:rPr>
              <w:t>Dose</w:t>
            </w:r>
          </w:p>
        </w:tc>
        <w:tc>
          <w:tcPr>
            <w:tcW w:type="dxa" w:w="1368"/>
            <w:vAlign w:val="center"/>
          </w:tcPr>
          <w:p>
            <w:pPr>
              <w:spacing w:before="0" w:after="0" w:line="240" w:lineRule="auto"/>
              <w:jc w:val="center"/>
            </w:pPr>
            <w:r>
              <w:rPr>
                <w:highlight w:val="yellow"/>
              </w:rPr>
            </w:r>
            <w:r>
              <w:rPr>
                <w:b w:val="0"/>
                <w:i w:val="0"/>
                <w:sz w:val="18"/>
                <w:highlight w:val="yellow"/>
              </w:rPr>
              <w:t>0</w:t>
            </w:r>
          </w:p>
        </w:tc>
      </w:tr>
      <w:tr>
        <w:trPr>
          <w:cantSplit/>
        </w:trPr>
        <w:tc>
          <w:tcPr>
            <w:tcW w:type="dxa" w:w="3528"/>
            <w:vAlign w:val="center"/>
          </w:tcPr>
          <w:p>
            <w:pPr>
              <w:spacing w:before="0" w:after="0" w:line="240" w:lineRule="auto"/>
              <w:jc w:val="left"/>
            </w:pPr>
            <w:r>
              <w:rPr>
                <w:highlight w:val="yellow"/>
              </w:rPr>
            </w:r>
            <w:r>
              <w:rPr>
                <w:b w:val="0"/>
                <w:i w:val="0"/>
                <w:sz w:val="18"/>
                <w:highlight w:val="yellow"/>
              </w:rPr>
              <w:t>BPT (successful block)</w:t>
            </w:r>
          </w:p>
        </w:tc>
        <w:tc>
          <w:tcPr>
            <w:tcW w:type="dxa" w:w="1368"/>
            <w:vAlign w:val="center"/>
          </w:tcPr>
          <w:p>
            <w:pPr>
              <w:spacing w:before="0" w:after="0" w:line="240" w:lineRule="auto"/>
              <w:jc w:val="center"/>
            </w:pPr>
            <w:r>
              <w:rPr>
                <w:highlight w:val="yellow"/>
              </w:rPr>
            </w:r>
            <w:r>
              <w:rPr>
                <w:b w:val="0"/>
                <w:i w:val="0"/>
                <w:sz w:val="18"/>
                <w:highlight w:val="yellow"/>
              </w:rPr>
              <w:t>0</w:t>
            </w:r>
          </w:p>
        </w:tc>
        <w:tc>
          <w:tcPr>
            <w:tcW w:type="dxa" w:w="1368"/>
            <w:vAlign w:val="center"/>
          </w:tcPr>
          <w:p>
            <w:pPr>
              <w:spacing w:before="0" w:after="0" w:line="240" w:lineRule="auto"/>
              <w:jc w:val="center"/>
            </w:pPr>
            <w:r>
              <w:rPr>
                <w:highlight w:val="yellow"/>
              </w:rPr>
            </w:r>
            <w:r>
              <w:rPr>
                <w:b w:val="0"/>
                <w:i w:val="0"/>
                <w:sz w:val="18"/>
                <w:highlight w:val="yellow"/>
              </w:rPr>
              <w:t>0</w:t>
            </w:r>
          </w:p>
        </w:tc>
        <w:tc>
          <w:tcPr>
            <w:tcW w:type="dxa" w:w="1368"/>
            <w:vAlign w:val="center"/>
          </w:tcPr>
          <w:p>
            <w:pPr>
              <w:spacing w:before="0" w:after="0" w:line="240" w:lineRule="auto"/>
              <w:jc w:val="center"/>
            </w:pPr>
            <w:r>
              <w:rPr>
                <w:highlight w:val="yellow"/>
              </w:rPr>
            </w:r>
            <w:r>
              <w:rPr>
                <w:b w:val="0"/>
                <w:i w:val="0"/>
                <w:sz w:val="18"/>
                <w:highlight w:val="yellow"/>
              </w:rPr>
              <w:t>0</w:t>
            </w:r>
          </w:p>
        </w:tc>
        <w:tc>
          <w:tcPr>
            <w:tcW w:type="dxa" w:w="1368"/>
            <w:vAlign w:val="center"/>
          </w:tcPr>
          <w:p>
            <w:pPr>
              <w:spacing w:before="0" w:after="0" w:line="240" w:lineRule="auto"/>
              <w:jc w:val="center"/>
            </w:pPr>
            <w:r>
              <w:rPr>
                <w:highlight w:val="yellow"/>
              </w:rPr>
            </w:r>
            <w:r>
              <w:rPr>
                <w:b w:val="0"/>
                <w:i w:val="0"/>
                <w:sz w:val="18"/>
                <w:highlight w:val="yellow"/>
              </w:rPr>
              <w:t>Dose</w:t>
            </w:r>
          </w:p>
        </w:tc>
      </w:tr>
      <w:tr>
        <w:trPr>
          <w:cantSplit/>
        </w:trPr>
        <w:tc>
          <w:tcPr>
            <w:tcW w:type="dxa" w:w="3528"/>
            <w:vAlign w:val="center"/>
          </w:tcPr>
          <w:p>
            <w:pPr>
              <w:spacing w:before="0" w:after="0" w:line="240" w:lineRule="auto"/>
              <w:jc w:val="left"/>
            </w:pPr>
            <w:r>
              <w:rPr>
                <w:highlight w:val="yellow"/>
              </w:rPr>
            </w:r>
            <w:r>
              <w:rPr>
                <w:b w:val="0"/>
                <w:i w:val="0"/>
                <w:sz w:val="18"/>
                <w:highlight w:val="yellow"/>
              </w:rPr>
              <w:t>Depot (fascial plane)</w:t>
            </w:r>
          </w:p>
        </w:tc>
        <w:tc>
          <w:tcPr>
            <w:tcW w:type="dxa" w:w="1368"/>
            <w:vAlign w:val="center"/>
          </w:tcPr>
          <w:p>
            <w:pPr>
              <w:spacing w:before="0" w:after="0" w:line="240" w:lineRule="auto"/>
              <w:jc w:val="center"/>
            </w:pPr>
            <w:r>
              <w:rPr>
                <w:highlight w:val="yellow"/>
              </w:rPr>
            </w:r>
            <w:r>
              <w:rPr>
                <w:b w:val="0"/>
                <w:i w:val="0"/>
                <w:sz w:val="18"/>
                <w:highlight w:val="yellow"/>
              </w:rPr>
              <w:t>Dose</w:t>
            </w:r>
          </w:p>
        </w:tc>
        <w:tc>
          <w:tcPr>
            <w:tcW w:type="dxa" w:w="1368"/>
            <w:vAlign w:val="center"/>
          </w:tcPr>
          <w:p>
            <w:pPr>
              <w:spacing w:before="0" w:after="0" w:line="240" w:lineRule="auto"/>
              <w:jc w:val="center"/>
            </w:pPr>
            <w:r>
              <w:rPr>
                <w:highlight w:val="yellow"/>
              </w:rPr>
            </w:r>
            <w:r>
              <w:rPr>
                <w:b w:val="0"/>
                <w:i w:val="0"/>
                <w:sz w:val="18"/>
                <w:highlight w:val="yellow"/>
              </w:rPr>
              <w:t>0</w:t>
            </w:r>
          </w:p>
        </w:tc>
        <w:tc>
          <w:tcPr>
            <w:tcW w:type="dxa" w:w="1368"/>
            <w:vAlign w:val="center"/>
          </w:tcPr>
          <w:p>
            <w:pPr>
              <w:spacing w:before="0" w:after="0" w:line="240" w:lineRule="auto"/>
              <w:jc w:val="center"/>
            </w:pPr>
            <w:r>
              <w:rPr>
                <w:highlight w:val="yellow"/>
              </w:rPr>
            </w:r>
            <w:r>
              <w:rPr>
                <w:b w:val="0"/>
                <w:i w:val="0"/>
                <w:sz w:val="18"/>
                <w:highlight w:val="yellow"/>
              </w:rPr>
              <w:t>0</w:t>
            </w:r>
          </w:p>
        </w:tc>
        <w:tc>
          <w:tcPr>
            <w:tcW w:type="dxa" w:w="1368"/>
            <w:vAlign w:val="center"/>
          </w:tcPr>
          <w:p>
            <w:pPr>
              <w:spacing w:before="0" w:after="0" w:line="240" w:lineRule="auto"/>
              <w:jc w:val="center"/>
            </w:pPr>
            <w:r>
              <w:rPr>
                <w:highlight w:val="yellow"/>
              </w:rPr>
            </w:r>
            <w:r>
              <w:rPr>
                <w:b w:val="0"/>
                <w:i w:val="0"/>
                <w:sz w:val="18"/>
                <w:highlight w:val="yellow"/>
              </w:rPr>
              <w:t>0</w:t>
            </w:r>
          </w:p>
        </w:tc>
      </w:tr>
    </w:tbl>
    <w:p>
      <w:pPr>
        <w:pStyle w:val="FirstParagraph"/>
      </w:pPr>
      <w:r>
        <w:rPr>
          <w:highlight w:val="yellow"/>
        </w:rPr>
        <w:t xml:space="preserve">The ODEs are solved numerically using</w:t>
      </w:r>
      <w:r>
        <w:rPr>
          <w:highlight w:val="yellow"/>
        </w:rPr>
        <w:t xml:space="preserve"> </w:t>
      </w:r>
      <w:r>
        <w:rPr>
          <w:rStyle w:val="VerbatimChar"/>
          <w:highlight w:val="yellow"/>
        </w:rPr>
        <w:t xml:space="preserve">scipy.integrate.solve_ivp</w:t>
      </w:r>
      <w:r>
        <w:rPr>
          <w:highlight w:val="yellow"/>
        </w:rPr>
        <w:t xml:space="preserve"> </w:t>
      </w:r>
      <w:r>
        <w:rPr>
          <w:highlight w:val="yellow"/>
        </w:rPr>
        <w:t xml:space="preserve">with the RK45 method</w:t>
      </w:r>
      <w:r>
        <w:rPr>
          <w:highlight w:val="yellow"/>
        </w:rPr>
        <w:t xml:space="preserve"> </w:t>
      </w:r>
      <w:r>
        <w:rPr>
          <w:highlight w:val="yellow"/>
        </w:rPr>
        <w:t xml:space="preserve">(explicit Runge-Kutta of order 5(4), Dormand-Prince)</w:t>
      </w:r>
      <w:r>
        <w:rPr>
          <w:highlight w:val="yellow"/>
        </w:rPr>
        <w:t xml:space="preserve"> </w:t>
      </w:r>
      <w:r>
        <w:rPr>
          <w:highlight w:val="yellow"/>
        </w:rPr>
        <w:t xml:space="preserve">[9]</w:t>
      </w:r>
      <w:r>
        <w:rPr>
          <w:highlight w:val="yellow"/>
        </w:rPr>
        <w:t xml:space="preserve">. Concentrations are</w:t>
      </w:r>
      <w:r>
        <w:rPr>
          <w:highlight w:val="yellow"/>
        </w:rPr>
        <w:t xml:space="preserve"> </w:t>
      </w:r>
      <w:r>
        <w:rPr>
          <w:highlight w:val="yellow"/>
        </w:rPr>
        <w:t xml:space="preserve">computed as</w:t>
      </w:r>
      <w:r>
        <w:rPr>
          <w:highlight w:val="yellow"/>
        </w:rPr>
        <w:t xml:space="preserve"> </w:t>
      </w:r>
      <m:oMath>
        <m:sSub>
          <m:e>
            <m:r>
              <m:t>C</m:t>
            </m:r>
          </m:e>
          <m:sub>
            <m:r>
              <m:t>i</m:t>
            </m:r>
          </m:sub>
        </m:sSub>
        <m:r>
          <m:t>=</m:t>
        </m:r>
        <m:sSub>
          <m:e>
            <m:r>
              <m:t>A</m:t>
            </m:r>
          </m:e>
          <m:sub>
            <m:r>
              <m:t>i</m:t>
            </m:r>
          </m:sub>
        </m:sSub>
        <m:r>
          <m:t>/</m:t>
        </m:r>
        <m:sSub>
          <m:e>
            <m:r>
              <m:t>V</m:t>
            </m:r>
          </m:e>
          <m:sub>
            <m:r>
              <m:t>i</m:t>
            </m:r>
          </m:sub>
        </m:sSub>
      </m:oMath>
      <w:r>
        <w:rPr>
          <w:highlight w:val="yellow"/>
        </w:rPr>
        <w:t xml:space="preserve"> </w:t>
      </w:r>
      <w:r>
        <w:rPr>
          <w:highlight w:val="yellow"/>
        </w:rPr>
        <w:t xml:space="preserve">at each time point.</w:t>
      </w:r>
    </w:p>
    <w:p>
      <w:pPr>
        <w:pStyle w:val="Heading3"/>
      </w:pPr>
      <w:bookmarkStart w:id="32" w:name="pharmacodynamic-model"/>
      <w:r>
        <w:t xml:space="preserve">2.2.2 Pharmacodynamic model</w:t>
      </w:r>
      <w:bookmarkEnd w:id="32"/>
    </w:p>
    <w:p>
      <w:pPr>
        <w:pStyle w:val="FirstParagraph"/>
      </w:pPr>
      <w:r>
        <w:t xml:space="preserve">yoshika includes an effect-site compartment linked to the central compartment via a</w:t>
      </w:r>
      <w:r>
        <w:t xml:space="preserve"> </w:t>
      </w:r>
      <w:r>
        <w:t xml:space="preserve">first-order rate constant</w:t>
      </w:r>
      <w:r>
        <w:t xml:space="preserve"> </w:t>
      </w:r>
      <m:oMath>
        <m:sSub>
          <m:e>
            <m:r>
              <m:t>k</m:t>
            </m:r>
          </m:e>
          <m:sub>
            <m:r>
              <m:t>e</m:t>
            </m:r>
            <m:r>
              <m:t>0</m:t>
            </m:r>
          </m:sub>
        </m:sSub>
      </m:oMath>
      <w:r>
        <w:t xml:space="preserve">:</w:t>
      </w:r>
    </w:p>
    <w:p>
      <w:pPr>
        <w:pStyle w:val="BodyText"/>
      </w:pPr>
      <m:oMathPara>
        <m:oMathParaPr>
          <m:jc m:val="center"/>
        </m:oMathParaPr>
        <m:oMath>
          <m:f>
            <m:fPr>
              <m:type m:val="bar"/>
            </m:fPr>
            <m:num>
              <m:r>
                <m:t>d</m:t>
              </m:r>
              <m:sSub>
                <m:e>
                  <m:r>
                    <m:t>C</m:t>
                  </m:r>
                </m:e>
                <m:sub>
                  <m:r>
                    <m:t>e</m:t>
                  </m:r>
                </m:sub>
              </m:sSub>
            </m:num>
            <m:den>
              <m:r>
                <m:t>d</m:t>
              </m:r>
              <m:r>
                <m:t>t</m:t>
              </m:r>
            </m:den>
          </m:f>
          <m:r>
            <m:t>=</m:t>
          </m:r>
          <m:sSub>
            <m:e>
              <m:r>
                <m:t>k</m:t>
              </m:r>
            </m:e>
            <m:sub>
              <m:r>
                <m:t>e</m:t>
              </m:r>
              <m:r>
                <m:t>0</m:t>
              </m:r>
            </m:sub>
          </m:sSub>
          <m:r>
            <m:t>⋅</m:t>
          </m:r>
          <m:r>
            <m:t>(</m:t>
          </m:r>
          <m:sSub>
            <m:e>
              <m:r>
                <m:t>C</m:t>
              </m:r>
            </m:e>
            <m:sub>
              <m:r>
                <m:t>p</m:t>
              </m:r>
            </m:sub>
          </m:sSub>
          <m:r>
            <m:t>−</m:t>
          </m:r>
          <m:sSub>
            <m:e>
              <m:r>
                <m:t>C</m:t>
              </m:r>
            </m:e>
            <m:sub>
              <m:r>
                <m:t>e</m:t>
              </m:r>
            </m:sub>
          </m:sSub>
          <m:r>
            <m:t>)</m:t>
          </m:r>
        </m:oMath>
      </m:oMathPara>
    </w:p>
    <w:p>
      <w:pPr>
        <w:pStyle w:val="FirstParagraph"/>
      </w:pPr>
      <w:r>
        <w:t xml:space="preserve">where</w:t>
      </w:r>
      <w:r>
        <w:t xml:space="preserve"> </w:t>
      </w:r>
      <m:oMath>
        <m:sSub>
          <m:e>
            <m:r>
              <m:t>C</m:t>
            </m:r>
          </m:e>
          <m:sub>
            <m:r>
              <m:t>e</m:t>
            </m:r>
          </m:sub>
        </m:sSub>
      </m:oMath>
      <w:r>
        <w:t xml:space="preserve"> </w:t>
      </w:r>
      <w:r>
        <w:t xml:space="preserve">is the effect-site concentration and</w:t>
      </w:r>
      <w:r>
        <w:t xml:space="preserve"> </w:t>
      </w:r>
      <m:oMath>
        <m:sSub>
          <m:e>
            <m:r>
              <m:t>C</m:t>
            </m:r>
          </m:e>
          <m:sub>
            <m:r>
              <m:t>p</m:t>
            </m:r>
          </m:sub>
        </m:sSub>
      </m:oMath>
      <w:r>
        <w:t xml:space="preserve"> </w:t>
      </w:r>
      <w:r>
        <w:t xml:space="preserve">is the plasma concentration.</w:t>
      </w:r>
      <w:r>
        <w:t xml:space="preserve"> </w:t>
      </w:r>
      <w:r>
        <w:t xml:space="preserve">The drug effect is computed using a sigmoid Emax model:</w:t>
      </w:r>
    </w:p>
    <w:p>
      <w:pPr>
        <w:pStyle w:val="BodyText"/>
      </w:pPr>
      <m:oMathPara>
        <m:oMathParaPr>
          <m:jc m:val="center"/>
        </m:oMathParaPr>
        <m:oMath>
          <m:r>
            <m:t>E</m:t>
          </m:r>
          <m:r>
            <m:t>=</m:t>
          </m:r>
          <m:sSub>
            <m:e>
              <m:r>
                <m:t>E</m:t>
              </m:r>
            </m:e>
            <m:sub>
              <m:r>
                <m:t>m</m:t>
              </m:r>
              <m:r>
                <m:t>a</m:t>
              </m:r>
              <m:r>
                <m:t>x</m:t>
              </m:r>
            </m:sub>
          </m:sSub>
          <m:r>
            <m:t>⋅</m:t>
          </m:r>
          <m:f>
            <m:fPr>
              <m:type m:val="bar"/>
            </m:fPr>
            <m:num>
              <m:sSubSup>
                <m:e>
                  <m:r>
                    <m:t>C</m:t>
                  </m:r>
                </m:e>
                <m:sub>
                  <m:r>
                    <m:t>e</m:t>
                  </m:r>
                </m:sub>
                <m:sup>
                  <m:r>
                    <m:t>γ</m:t>
                  </m:r>
                </m:sup>
              </m:sSubSup>
            </m:num>
            <m:den>
              <m:r>
                <m:t>E</m:t>
              </m:r>
              <m:sSubSup>
                <m:e>
                  <m:r>
                    <m:t>C</m:t>
                  </m:r>
                </m:e>
                <m:sub>
                  <m:r>
                    <m:t>50</m:t>
                  </m:r>
                </m:sub>
                <m:sup>
                  <m:r>
                    <m:t>γ</m:t>
                  </m:r>
                </m:sup>
              </m:sSubSup>
              <m:r>
                <m:t>+</m:t>
              </m:r>
              <m:sSubSup>
                <m:e>
                  <m:r>
                    <m:t>C</m:t>
                  </m:r>
                </m:e>
                <m:sub>
                  <m:r>
                    <m:t>e</m:t>
                  </m:r>
                </m:sub>
                <m:sup>
                  <m:r>
                    <m:t>γ</m:t>
                  </m:r>
                </m:sup>
              </m:sSubSup>
            </m:den>
          </m:f>
        </m:oMath>
      </m:oMathPara>
    </w:p>
    <w:p>
      <w:pPr>
        <w:pStyle w:val="Heading3"/>
      </w:pPr>
      <w:bookmarkStart w:id="33" w:name="drug-database"/>
      <w:r>
        <w:t xml:space="preserve">2.2.3 Drug database</w:t>
      </w:r>
      <w:bookmarkEnd w:id="33"/>
    </w:p>
    <w:p>
      <w:pPr>
        <w:pStyle w:val="FirstParagraph"/>
      </w:pPr>
      <w:r>
        <w:rPr>
          <w:highlight w:val="yellow"/>
        </w:rPr>
        <w:t xml:space="preserve">The package includes pharmacokinetic parameters for four commonly used local anesthetics:</w:t>
      </w:r>
      <w:r>
        <w:rPr>
          <w:highlight w:val="yellow"/>
        </w:rPr>
        <w:t xml:space="preserve"> </w:t>
      </w:r>
      <w:r>
        <w:rPr>
          <w:highlight w:val="yellow"/>
        </w:rPr>
        <w:t xml:space="preserve">lidocaine, bupivacaine, ropivacaine, and levobupivacaine</w:t>
      </w:r>
      <w:r>
        <w:rPr>
          <w:highlight w:val="yellow"/>
        </w:rPr>
        <w:t xml:space="preserve"> </w:t>
      </w:r>
      <w:r>
        <w:rPr>
          <w:highlight w:val="yellow"/>
        </w:rPr>
        <w:t xml:space="preserve">[10,11]</w:t>
      </w:r>
      <w:r>
        <w:rPr>
          <w:highlight w:val="yellow"/>
        </w:rPr>
        <w:t xml:space="preserve">. Parameters</w:t>
      </w:r>
      <w:r>
        <w:rPr>
          <w:highlight w:val="yellow"/>
        </w:rPr>
        <w:t xml:space="preserve"> </w:t>
      </w:r>
      <w:r>
        <w:rPr>
          <w:highlight w:val="yellow"/>
        </w:rPr>
        <w:t xml:space="preserve">include compartment volumes (</w:t>
      </w:r>
      <m:oMath>
        <m:sSub>
          <m:e>
            <m:r>
              <m:t>V</m:t>
            </m:r>
          </m:e>
          <m:sub>
            <m:r>
              <m:t>1</m:t>
            </m:r>
          </m:sub>
        </m:sSub>
      </m:oMath>
      <w:r>
        <w:rPr>
          <w:highlight w:val="yellow"/>
        </w:rPr>
        <w:t xml:space="preserve">,</w:t>
      </w:r>
      <w:r>
        <w:rPr>
          <w:highlight w:val="yellow"/>
        </w:rPr>
        <w:t xml:space="preserve"> </w:t>
      </w:r>
      <m:oMath>
        <m:sSub>
          <m:e>
            <m:r>
              <m:t>V</m:t>
            </m:r>
          </m:e>
          <m:sub>
            <m:r>
              <m:t>2</m:t>
            </m:r>
          </m:sub>
        </m:sSub>
      </m:oMath>
      <w:r>
        <w:rPr>
          <w:highlight w:val="yellow"/>
        </w:rPr>
        <w:t xml:space="preserve">,</w:t>
      </w:r>
      <w:r>
        <w:rPr>
          <w:highlight w:val="yellow"/>
        </w:rPr>
        <w:t xml:space="preserve"> </w:t>
      </w:r>
      <m:oMath>
        <m:sSub>
          <m:e>
            <m:r>
              <m:t>V</m:t>
            </m:r>
          </m:e>
          <m:sub>
            <m:r>
              <m:t>3</m:t>
            </m:r>
          </m:sub>
        </m:sSub>
      </m:oMath>
      <w:r>
        <w:rPr>
          <w:highlight w:val="yellow"/>
        </w:rPr>
        <w:t xml:space="preserve">), clearances (</w:t>
      </w:r>
      <m:oMath>
        <m:r>
          <m:t>C</m:t>
        </m:r>
        <m:r>
          <m:t>L</m:t>
        </m:r>
      </m:oMath>
      <w:r>
        <w:rPr>
          <w:highlight w:val="yellow"/>
        </w:rPr>
        <w:t xml:space="preserve">,</w:t>
      </w:r>
      <w:r>
        <w:rPr>
          <w:highlight w:val="yellow"/>
        </w:rPr>
        <w:t xml:space="preserve"> </w:t>
      </w:r>
      <m:oMath>
        <m:sSub>
          <m:e>
            <m:r>
              <m:t>Q</m:t>
            </m:r>
          </m:e>
          <m:sub>
            <m:r>
              <m:t>2</m:t>
            </m:r>
          </m:sub>
        </m:sSub>
      </m:oMath>
      <w:r>
        <w:rPr>
          <w:highlight w:val="yellow"/>
        </w:rPr>
        <w:t xml:space="preserve">,</w:t>
      </w:r>
      <w:r>
        <w:rPr>
          <w:highlight w:val="yellow"/>
        </w:rPr>
        <w:t xml:space="preserve"> </w:t>
      </w:r>
      <m:oMath>
        <m:sSub>
          <m:e>
            <m:r>
              <m:t>Q</m:t>
            </m:r>
          </m:e>
          <m:sub>
            <m:r>
              <m:t>3</m:t>
            </m:r>
          </m:sub>
        </m:sSub>
      </m:oMath>
      <w:r>
        <w:rPr>
          <w:highlight w:val="yellow"/>
        </w:rPr>
        <w:t xml:space="preserve">), effect-site</w:t>
      </w:r>
      <w:r>
        <w:rPr>
          <w:highlight w:val="yellow"/>
        </w:rPr>
        <w:t xml:space="preserve"> </w:t>
      </w:r>
      <w:r>
        <w:rPr>
          <w:highlight w:val="yellow"/>
        </w:rPr>
        <w:t xml:space="preserve">equilibration rate (</w:t>
      </w:r>
      <m:oMath>
        <m:sSub>
          <m:e>
            <m:r>
              <m:t>k</m:t>
            </m:r>
          </m:e>
          <m:sub>
            <m:r>
              <m:t>e</m:t>
            </m:r>
            <m:r>
              <m:t>0</m:t>
            </m:r>
          </m:sub>
        </m:sSub>
      </m:oMath>
      <w:r>
        <w:rPr>
          <w:highlight w:val="yellow"/>
        </w:rPr>
        <w:t xml:space="preserve">),</w:t>
      </w:r>
      <w:r>
        <w:rPr>
          <w:highlight w:val="yellow"/>
        </w:rPr>
        <w:t xml:space="preserve"> </w:t>
      </w:r>
      <m:oMath>
        <m:r>
          <m:t>E</m:t>
        </m:r>
        <m:sSub>
          <m:e>
            <m:r>
              <m:t>C</m:t>
            </m:r>
          </m:e>
          <m:sub>
            <m:r>
              <m:t>50</m:t>
            </m:r>
          </m:sub>
        </m:sSub>
      </m:oMath>
      <w:r>
        <w:rPr>
          <w:highlight w:val="yellow"/>
        </w:rPr>
        <w:t xml:space="preserve">, Hill coefficient (</w:t>
      </w:r>
      <m:oMath>
        <m:r>
          <m:t>γ</m:t>
        </m:r>
      </m:oMath>
      <w:r>
        <w:rPr>
          <w:highlight w:val="yellow"/>
        </w:rPr>
        <w:t xml:space="preserve">), protein binding fraction,</w:t>
      </w:r>
      <w:r>
        <w:rPr>
          <w:highlight w:val="yellow"/>
        </w:rPr>
        <w:t xml:space="preserve"> </w:t>
      </w:r>
      <w:r>
        <w:rPr>
          <w:highlight w:val="yellow"/>
        </w:rPr>
        <w:t xml:space="preserve">and toxicity thresholds for CNS and cardiovascular (CV) systems. The complete built-in parameter</w:t>
      </w:r>
      <w:r>
        <w:rPr>
          <w:highlight w:val="yellow"/>
        </w:rPr>
        <w:t xml:space="preserve"> </w:t>
      </w:r>
      <w:r>
        <w:rPr>
          <w:highlight w:val="yellow"/>
        </w:rPr>
        <w:t xml:space="preserve">set, with units and literature sources, is given in Table 3. All disposition</w:t>
      </w:r>
      <w:r>
        <w:rPr>
          <w:highlight w:val="yellow"/>
        </w:rPr>
        <w:t xml:space="preserve"> </w:t>
      </w:r>
      <w:r>
        <w:rPr>
          <w:highlight w:val="yellow"/>
        </w:rPr>
        <w:t xml:space="preserve">parameters are derived from intravenous or systemic pharmacokinetic studies; this provenance</w:t>
      </w:r>
      <w:r>
        <w:rPr>
          <w:highlight w:val="yellow"/>
        </w:rPr>
        <w:t xml:space="preserve"> </w:t>
      </w:r>
      <w:r>
        <w:rPr>
          <w:highlight w:val="yellow"/>
        </w:rPr>
        <w:t xml:space="preserve">is central to the validation and limitations discussed in §3.3 and §4. Users can also define</w:t>
      </w:r>
      <w:r>
        <w:rPr>
          <w:highlight w:val="yellow"/>
        </w:rPr>
        <w:t xml:space="preserve"> </w:t>
      </w:r>
      <w:r>
        <w:rPr>
          <w:highlight w:val="yellow"/>
        </w:rPr>
        <w:t xml:space="preserve">custom drug parameters via the</w:t>
      </w:r>
      <w:r>
        <w:rPr>
          <w:highlight w:val="yellow"/>
        </w:rPr>
        <w:t xml:space="preserve"> </w:t>
      </w:r>
      <w:r>
        <w:rPr>
          <w:rStyle w:val="VerbatimChar"/>
          <w:highlight w:val="yellow"/>
        </w:rPr>
        <w:t xml:space="preserve">DrugLibrary.add_custom()</w:t>
      </w:r>
      <w:r>
        <w:rPr>
          <w:highlight w:val="yellow"/>
        </w:rPr>
        <w:t xml:space="preserve"> </w:t>
      </w:r>
      <w:r>
        <w:rPr>
          <w:highlight w:val="yellow"/>
        </w:rPr>
        <w:t xml:space="preserve">API.</w:t>
      </w:r>
    </w:p>
    <w:p>
      <w:pPr>
        <w:pStyle w:val="Caption"/>
        <w:keepNext/>
        <w:spacing w:before="180" w:after="60"/>
        <w:jc w:val="left"/>
      </w:pPr>
      <w:r>
        <w:rPr>
          <w:b w:val="0"/>
          <w:i/>
          <w:sz w:val="18"/>
          <w:highlight w:val="yellow"/>
        </w:rPr>
        <w:t>Table 3. Built-in drug parameters with units and sources. Rate constants used internally are derived as k</w:t>
      </w:r>
      <w:r>
        <w:rPr>
          <w:b w:val="0"/>
          <w:i/>
          <w:sz w:val="18"/>
          <w:highlight w:val="yellow"/>
          <w:vertAlign w:val="subscript"/>
        </w:rPr>
        <w:t>10</w:t>
      </w:r>
      <w:r>
        <w:rPr>
          <w:b w:val="0"/>
          <w:i/>
          <w:sz w:val="18"/>
          <w:highlight w:val="yellow"/>
        </w:rPr>
        <w:t>=CL/V</w:t>
      </w:r>
      <w:r>
        <w:rPr>
          <w:b w:val="0"/>
          <w:i/>
          <w:sz w:val="18"/>
          <w:highlight w:val="yellow"/>
          <w:vertAlign w:val="subscript"/>
        </w:rPr>
        <w:t>1</w:t>
      </w:r>
      <w:r>
        <w:rPr>
          <w:b w:val="0"/>
          <w:i/>
          <w:sz w:val="18"/>
          <w:highlight w:val="yellow"/>
        </w:rPr>
        <w:t>, k</w:t>
      </w:r>
      <w:r>
        <w:rPr>
          <w:b w:val="0"/>
          <w:i/>
          <w:sz w:val="18"/>
          <w:highlight w:val="yellow"/>
          <w:vertAlign w:val="subscript"/>
        </w:rPr>
        <w:t>12</w:t>
      </w:r>
      <w:r>
        <w:rPr>
          <w:b w:val="0"/>
          <w:i/>
          <w:sz w:val="18"/>
          <w:highlight w:val="yellow"/>
        </w:rPr>
        <w:t>=Q</w:t>
      </w:r>
      <w:r>
        <w:rPr>
          <w:b w:val="0"/>
          <w:i/>
          <w:sz w:val="18"/>
          <w:highlight w:val="yellow"/>
          <w:vertAlign w:val="subscript"/>
        </w:rPr>
        <w:t>2</w:t>
      </w:r>
      <w:r>
        <w:rPr>
          <w:b w:val="0"/>
          <w:i/>
          <w:sz w:val="18"/>
          <w:highlight w:val="yellow"/>
        </w:rPr>
        <w:t>/V</w:t>
      </w:r>
      <w:r>
        <w:rPr>
          <w:b w:val="0"/>
          <w:i/>
          <w:sz w:val="18"/>
          <w:highlight w:val="yellow"/>
          <w:vertAlign w:val="subscript"/>
        </w:rPr>
        <w:t>1</w:t>
      </w:r>
      <w:r>
        <w:rPr>
          <w:b w:val="0"/>
          <w:i/>
          <w:sz w:val="18"/>
          <w:highlight w:val="yellow"/>
        </w:rPr>
        <w:t>, k</w:t>
      </w:r>
      <w:r>
        <w:rPr>
          <w:b w:val="0"/>
          <w:i/>
          <w:sz w:val="18"/>
          <w:highlight w:val="yellow"/>
          <w:vertAlign w:val="subscript"/>
        </w:rPr>
        <w:t>21</w:t>
      </w:r>
      <w:r>
        <w:rPr>
          <w:b w:val="0"/>
          <w:i/>
          <w:sz w:val="18"/>
          <w:highlight w:val="yellow"/>
        </w:rPr>
        <w:t>=Q</w:t>
      </w:r>
      <w:r>
        <w:rPr>
          <w:b w:val="0"/>
          <w:i/>
          <w:sz w:val="18"/>
          <w:highlight w:val="yellow"/>
          <w:vertAlign w:val="subscript"/>
        </w:rPr>
        <w:t>2</w:t>
      </w:r>
      <w:r>
        <w:rPr>
          <w:b w:val="0"/>
          <w:i/>
          <w:sz w:val="18"/>
          <w:highlight w:val="yellow"/>
        </w:rPr>
        <w:t>/V</w:t>
      </w:r>
      <w:r>
        <w:rPr>
          <w:b w:val="0"/>
          <w:i/>
          <w:sz w:val="18"/>
          <w:highlight w:val="yellow"/>
          <w:vertAlign w:val="subscript"/>
        </w:rPr>
        <w:t>2</w:t>
      </w:r>
      <w:r>
        <w:rPr>
          <w:b w:val="0"/>
          <w:i/>
          <w:sz w:val="18"/>
          <w:highlight w:val="yellow"/>
        </w:rPr>
        <w:t>, k</w:t>
      </w:r>
      <w:r>
        <w:rPr>
          <w:b w:val="0"/>
          <w:i/>
          <w:sz w:val="18"/>
          <w:highlight w:val="yellow"/>
          <w:vertAlign w:val="subscript"/>
        </w:rPr>
        <w:t>13</w:t>
      </w:r>
      <w:r>
        <w:rPr>
          <w:b w:val="0"/>
          <w:i/>
          <w:sz w:val="18"/>
          <w:highlight w:val="yellow"/>
        </w:rPr>
        <w:t>=Q</w:t>
      </w:r>
      <w:r>
        <w:rPr>
          <w:b w:val="0"/>
          <w:i/>
          <w:sz w:val="18"/>
          <w:highlight w:val="yellow"/>
          <w:vertAlign w:val="subscript"/>
        </w:rPr>
        <w:t>3</w:t>
      </w:r>
      <w:r>
        <w:rPr>
          <w:b w:val="0"/>
          <w:i/>
          <w:sz w:val="18"/>
          <w:highlight w:val="yellow"/>
        </w:rPr>
        <w:t>/V</w:t>
      </w:r>
      <w:r>
        <w:rPr>
          <w:b w:val="0"/>
          <w:i/>
          <w:sz w:val="18"/>
          <w:highlight w:val="yellow"/>
          <w:vertAlign w:val="subscript"/>
        </w:rPr>
        <w:t>1</w:t>
      </w:r>
      <w:r>
        <w:rPr>
          <w:b w:val="0"/>
          <w:i/>
          <w:sz w:val="18"/>
          <w:highlight w:val="yellow"/>
        </w:rPr>
        <w:t>, and k</w:t>
      </w:r>
      <w:r>
        <w:rPr>
          <w:b w:val="0"/>
          <w:i/>
          <w:sz w:val="18"/>
          <w:highlight w:val="yellow"/>
          <w:vertAlign w:val="subscript"/>
        </w:rPr>
        <w:t>31</w:t>
      </w:r>
      <w:r>
        <w:rPr>
          <w:b w:val="0"/>
          <w:i/>
          <w:sz w:val="18"/>
          <w:highlight w:val="yellow"/>
        </w:rPr>
        <w:t>=Q</w:t>
      </w:r>
      <w:r>
        <w:rPr>
          <w:b w:val="0"/>
          <w:i/>
          <w:sz w:val="18"/>
          <w:highlight w:val="yellow"/>
          <w:vertAlign w:val="subscript"/>
        </w:rPr>
        <w:t>3</w:t>
      </w:r>
      <w:r>
        <w:rPr>
          <w:b w:val="0"/>
          <w:i/>
          <w:sz w:val="18"/>
          <w:highlight w:val="yellow"/>
        </w:rPr>
        <w:t>/V</w:t>
      </w:r>
      <w:r>
        <w:rPr>
          <w:b w:val="0"/>
          <w:i/>
          <w:sz w:val="18"/>
          <w:highlight w:val="yellow"/>
          <w:vertAlign w:val="subscript"/>
        </w:rPr>
        <w:t>3</w:t>
      </w:r>
      <w:r>
        <w:rPr>
          <w:b w:val="0"/>
          <w:i/>
          <w:sz w:val="18"/>
          <w:highlight w:val="yellow"/>
        </w:rPr>
        <w:t>.</w:t>
      </w:r>
    </w:p>
    <w:tbl>
      <w:tblPr>
        <w:tblW w:type="auto" w:w="0"/>
        <w:jc w:val="center"/>
        <w:tblLayout w:type="fixed"/>
        <w:tblLook w:firstColumn="1" w:firstRow="1" w:lastColumn="0" w:lastRow="0" w:noHBand="0" w:noVBand="1" w:val="04A0"/>
        <w:tblLayout w:type="fixed"/>
      </w:tblPr>
      <w:tblGrid>
        <w:gridCol w:w="1872"/>
        <w:gridCol w:w="1872"/>
        <w:gridCol w:w="1872"/>
        <w:gridCol w:w="1872"/>
        <w:gridCol w:w="1872"/>
      </w:tblGrid>
      <w:tr>
        <w:trPr>
          <w:tblHeader w:val="true"/>
          <w:cantSplit/>
        </w:trPr>
        <w:tc>
          <w:tcPr>
            <w:tcW w:type="dxa" w:w="3240"/>
            <w:vAlign w:val="center"/>
          </w:tcPr>
          <w:p>
            <w:pPr>
              <w:spacing w:before="0" w:after="0" w:line="240" w:lineRule="auto"/>
              <w:jc w:val="left"/>
            </w:pPr>
            <w:r>
              <w:rPr>
                <w:highlight w:val="yellow"/>
              </w:rPr>
            </w:r>
            <w:r>
              <w:rPr>
                <w:b/>
                <w:i w:val="0"/>
                <w:sz w:val="16"/>
                <w:highlight w:val="yellow"/>
              </w:rPr>
              <w:t>Parameter (unit)</w:t>
            </w:r>
          </w:p>
        </w:tc>
        <w:tc>
          <w:tcPr>
            <w:tcW w:type="dxa" w:w="1296"/>
            <w:vAlign w:val="center"/>
          </w:tcPr>
          <w:p>
            <w:pPr>
              <w:spacing w:before="0" w:after="0" w:line="240" w:lineRule="auto"/>
              <w:jc w:val="center"/>
            </w:pPr>
            <w:r>
              <w:rPr>
                <w:highlight w:val="yellow"/>
              </w:rPr>
            </w:r>
            <w:r>
              <w:rPr>
                <w:b/>
                <w:i w:val="0"/>
                <w:sz w:val="16"/>
                <w:highlight w:val="yellow"/>
              </w:rPr>
              <w:t>Lidocaine</w:t>
            </w:r>
          </w:p>
        </w:tc>
        <w:tc>
          <w:tcPr>
            <w:tcW w:type="dxa" w:w="1512"/>
            <w:vAlign w:val="center"/>
          </w:tcPr>
          <w:p>
            <w:pPr>
              <w:spacing w:before="0" w:after="0" w:line="240" w:lineRule="auto"/>
              <w:jc w:val="center"/>
            </w:pPr>
            <w:r>
              <w:rPr>
                <w:highlight w:val="yellow"/>
              </w:rPr>
            </w:r>
            <w:r>
              <w:rPr>
                <w:b/>
                <w:i w:val="0"/>
                <w:sz w:val="16"/>
                <w:highlight w:val="yellow"/>
              </w:rPr>
              <w:t>Bupivacaine</w:t>
            </w:r>
          </w:p>
        </w:tc>
        <w:tc>
          <w:tcPr>
            <w:tcW w:type="dxa" w:w="1440"/>
            <w:vAlign w:val="center"/>
          </w:tcPr>
          <w:p>
            <w:pPr>
              <w:spacing w:before="0" w:after="0" w:line="240" w:lineRule="auto"/>
              <w:jc w:val="center"/>
            </w:pPr>
            <w:r>
              <w:rPr>
                <w:highlight w:val="yellow"/>
              </w:rPr>
            </w:r>
            <w:r>
              <w:rPr>
                <w:b/>
                <w:i w:val="0"/>
                <w:sz w:val="16"/>
                <w:highlight w:val="yellow"/>
              </w:rPr>
              <w:t>Ropivacaine</w:t>
            </w:r>
          </w:p>
        </w:tc>
        <w:tc>
          <w:tcPr>
            <w:tcW w:type="dxa" w:w="1800"/>
            <w:vAlign w:val="center"/>
          </w:tcPr>
          <w:p>
            <w:pPr>
              <w:spacing w:before="0" w:after="0" w:line="240" w:lineRule="auto"/>
              <w:jc w:val="center"/>
            </w:pPr>
            <w:r>
              <w:rPr>
                <w:highlight w:val="yellow"/>
              </w:rPr>
            </w:r>
            <w:r>
              <w:rPr>
                <w:b/>
                <w:i w:val="0"/>
                <w:sz w:val="16"/>
                <w:highlight w:val="yellow"/>
              </w:rPr>
              <w:t>Levobupivacaine</w:t>
            </w:r>
          </w:p>
        </w:tc>
      </w:tr>
      <w:tr>
        <w:trPr>
          <w:cantSplit/>
        </w:trPr>
        <w:tc>
          <w:tcPr>
            <w:tcW w:type="dxa" w:w="3240"/>
            <w:vAlign w:val="center"/>
          </w:tcPr>
          <w:p>
            <w:pPr>
              <w:spacing w:before="0" w:after="0" w:line="240" w:lineRule="auto"/>
              <w:jc w:val="left"/>
            </w:pPr>
            <w:r>
              <w:rPr>
                <w:highlight w:val="yellow"/>
              </w:rPr>
            </w:r>
            <w:r>
              <w:rPr>
                <w:b w:val="0"/>
                <w:i w:val="0"/>
                <w:sz w:val="16"/>
                <w:highlight w:val="yellow"/>
              </w:rPr>
              <w:t>V</w:t>
            </w:r>
            <w:r>
              <w:rPr>
                <w:b w:val="0"/>
                <w:i w:val="0"/>
                <w:sz w:val="16"/>
                <w:highlight w:val="yellow"/>
                <w:vertAlign w:val="subscript"/>
              </w:rPr>
              <w:t>1</w:t>
            </w:r>
            <w:r>
              <w:rPr>
                <w:b w:val="0"/>
                <w:i w:val="0"/>
                <w:sz w:val="16"/>
                <w:highlight w:val="yellow"/>
              </w:rPr>
              <w:t xml:space="preserve"> (L)</w:t>
            </w:r>
          </w:p>
        </w:tc>
        <w:tc>
          <w:tcPr>
            <w:tcW w:type="dxa" w:w="1296"/>
            <w:vAlign w:val="center"/>
          </w:tcPr>
          <w:p>
            <w:pPr>
              <w:spacing w:before="0" w:after="0" w:line="240" w:lineRule="auto"/>
              <w:jc w:val="center"/>
            </w:pPr>
            <w:r>
              <w:rPr>
                <w:highlight w:val="yellow"/>
              </w:rPr>
            </w:r>
            <w:r>
              <w:rPr>
                <w:b w:val="0"/>
                <w:i w:val="0"/>
                <w:sz w:val="16"/>
                <w:highlight w:val="yellow"/>
              </w:rPr>
              <w:t>12.0</w:t>
            </w:r>
          </w:p>
        </w:tc>
        <w:tc>
          <w:tcPr>
            <w:tcW w:type="dxa" w:w="1512"/>
            <w:vAlign w:val="center"/>
          </w:tcPr>
          <w:p>
            <w:pPr>
              <w:spacing w:before="0" w:after="0" w:line="240" w:lineRule="auto"/>
              <w:jc w:val="center"/>
            </w:pPr>
            <w:r>
              <w:rPr>
                <w:highlight w:val="yellow"/>
              </w:rPr>
            </w:r>
            <w:r>
              <w:rPr>
                <w:b w:val="0"/>
                <w:i w:val="0"/>
                <w:sz w:val="16"/>
                <w:highlight w:val="yellow"/>
              </w:rPr>
              <w:t>8.9</w:t>
            </w:r>
          </w:p>
        </w:tc>
        <w:tc>
          <w:tcPr>
            <w:tcW w:type="dxa" w:w="1440"/>
            <w:vAlign w:val="center"/>
          </w:tcPr>
          <w:p>
            <w:pPr>
              <w:spacing w:before="0" w:after="0" w:line="240" w:lineRule="auto"/>
              <w:jc w:val="center"/>
            </w:pPr>
            <w:r>
              <w:rPr>
                <w:highlight w:val="yellow"/>
              </w:rPr>
            </w:r>
            <w:r>
              <w:rPr>
                <w:b w:val="0"/>
                <w:i w:val="0"/>
                <w:sz w:val="16"/>
                <w:highlight w:val="yellow"/>
              </w:rPr>
              <w:t>10.2</w:t>
            </w:r>
          </w:p>
        </w:tc>
        <w:tc>
          <w:tcPr>
            <w:tcW w:type="dxa" w:w="1800"/>
            <w:vAlign w:val="center"/>
          </w:tcPr>
          <w:p>
            <w:pPr>
              <w:spacing w:before="0" w:after="0" w:line="240" w:lineRule="auto"/>
              <w:jc w:val="center"/>
            </w:pPr>
            <w:r>
              <w:rPr>
                <w:highlight w:val="yellow"/>
              </w:rPr>
            </w:r>
            <w:r>
              <w:rPr>
                <w:b w:val="0"/>
                <w:i w:val="0"/>
                <w:sz w:val="16"/>
                <w:highlight w:val="yellow"/>
              </w:rPr>
              <w:t>9.5</w:t>
            </w:r>
          </w:p>
        </w:tc>
      </w:tr>
      <w:tr>
        <w:trPr>
          <w:cantSplit/>
        </w:trPr>
        <w:tc>
          <w:tcPr>
            <w:tcW w:type="dxa" w:w="3240"/>
            <w:vAlign w:val="center"/>
          </w:tcPr>
          <w:p>
            <w:pPr>
              <w:spacing w:before="0" w:after="0" w:line="240" w:lineRule="auto"/>
              <w:jc w:val="left"/>
            </w:pPr>
            <w:r>
              <w:rPr>
                <w:highlight w:val="yellow"/>
              </w:rPr>
            </w:r>
            <w:r>
              <w:rPr>
                <w:b w:val="0"/>
                <w:i w:val="0"/>
                <w:sz w:val="16"/>
                <w:highlight w:val="yellow"/>
              </w:rPr>
              <w:t>V</w:t>
            </w:r>
            <w:r>
              <w:rPr>
                <w:b w:val="0"/>
                <w:i w:val="0"/>
                <w:sz w:val="16"/>
                <w:highlight w:val="yellow"/>
                <w:vertAlign w:val="subscript"/>
              </w:rPr>
              <w:t>2</w:t>
            </w:r>
            <w:r>
              <w:rPr>
                <w:b w:val="0"/>
                <w:i w:val="0"/>
                <w:sz w:val="16"/>
                <w:highlight w:val="yellow"/>
              </w:rPr>
              <w:t xml:space="preserve"> (L)</w:t>
            </w:r>
          </w:p>
        </w:tc>
        <w:tc>
          <w:tcPr>
            <w:tcW w:type="dxa" w:w="1296"/>
            <w:vAlign w:val="center"/>
          </w:tcPr>
          <w:p>
            <w:pPr>
              <w:spacing w:before="0" w:after="0" w:line="240" w:lineRule="auto"/>
              <w:jc w:val="center"/>
            </w:pPr>
            <w:r>
              <w:rPr>
                <w:highlight w:val="yellow"/>
              </w:rPr>
            </w:r>
            <w:r>
              <w:rPr>
                <w:b w:val="0"/>
                <w:i w:val="0"/>
                <w:sz w:val="16"/>
                <w:highlight w:val="yellow"/>
              </w:rPr>
              <w:t>26.0</w:t>
            </w:r>
          </w:p>
        </w:tc>
        <w:tc>
          <w:tcPr>
            <w:tcW w:type="dxa" w:w="1512"/>
            <w:vAlign w:val="center"/>
          </w:tcPr>
          <w:p>
            <w:pPr>
              <w:spacing w:before="0" w:after="0" w:line="240" w:lineRule="auto"/>
              <w:jc w:val="center"/>
            </w:pPr>
            <w:r>
              <w:rPr>
                <w:highlight w:val="yellow"/>
              </w:rPr>
            </w:r>
            <w:r>
              <w:rPr>
                <w:b w:val="0"/>
                <w:i w:val="0"/>
                <w:sz w:val="16"/>
                <w:highlight w:val="yellow"/>
              </w:rPr>
              <w:t>22.6</w:t>
            </w:r>
          </w:p>
        </w:tc>
        <w:tc>
          <w:tcPr>
            <w:tcW w:type="dxa" w:w="1440"/>
            <w:vAlign w:val="center"/>
          </w:tcPr>
          <w:p>
            <w:pPr>
              <w:spacing w:before="0" w:after="0" w:line="240" w:lineRule="auto"/>
              <w:jc w:val="center"/>
            </w:pPr>
            <w:r>
              <w:rPr>
                <w:highlight w:val="yellow"/>
              </w:rPr>
            </w:r>
            <w:r>
              <w:rPr>
                <w:b w:val="0"/>
                <w:i w:val="0"/>
                <w:sz w:val="16"/>
                <w:highlight w:val="yellow"/>
              </w:rPr>
              <w:t>18.5</w:t>
            </w:r>
          </w:p>
        </w:tc>
        <w:tc>
          <w:tcPr>
            <w:tcW w:type="dxa" w:w="1800"/>
            <w:vAlign w:val="center"/>
          </w:tcPr>
          <w:p>
            <w:pPr>
              <w:spacing w:before="0" w:after="0" w:line="240" w:lineRule="auto"/>
              <w:jc w:val="center"/>
            </w:pPr>
            <w:r>
              <w:rPr>
                <w:highlight w:val="yellow"/>
              </w:rPr>
            </w:r>
            <w:r>
              <w:rPr>
                <w:b w:val="0"/>
                <w:i w:val="0"/>
                <w:sz w:val="16"/>
                <w:highlight w:val="yellow"/>
              </w:rPr>
              <w:t>24.0</w:t>
            </w:r>
          </w:p>
        </w:tc>
      </w:tr>
      <w:tr>
        <w:trPr>
          <w:cantSplit/>
        </w:trPr>
        <w:tc>
          <w:tcPr>
            <w:tcW w:type="dxa" w:w="3240"/>
            <w:vAlign w:val="center"/>
          </w:tcPr>
          <w:p>
            <w:pPr>
              <w:spacing w:before="0" w:after="0" w:line="240" w:lineRule="auto"/>
              <w:jc w:val="left"/>
            </w:pPr>
            <w:r>
              <w:rPr>
                <w:highlight w:val="yellow"/>
              </w:rPr>
            </w:r>
            <w:r>
              <w:rPr>
                <w:b w:val="0"/>
                <w:i w:val="0"/>
                <w:sz w:val="16"/>
                <w:highlight w:val="yellow"/>
              </w:rPr>
              <w:t>V</w:t>
            </w:r>
            <w:r>
              <w:rPr>
                <w:b w:val="0"/>
                <w:i w:val="0"/>
                <w:sz w:val="16"/>
                <w:highlight w:val="yellow"/>
                <w:vertAlign w:val="subscript"/>
              </w:rPr>
              <w:t>3</w:t>
            </w:r>
            <w:r>
              <w:rPr>
                <w:b w:val="0"/>
                <w:i w:val="0"/>
                <w:sz w:val="16"/>
                <w:highlight w:val="yellow"/>
              </w:rPr>
              <w:t xml:space="preserve"> (L)</w:t>
            </w:r>
          </w:p>
        </w:tc>
        <w:tc>
          <w:tcPr>
            <w:tcW w:type="dxa" w:w="1296"/>
            <w:vAlign w:val="center"/>
          </w:tcPr>
          <w:p>
            <w:pPr>
              <w:spacing w:before="0" w:after="0" w:line="240" w:lineRule="auto"/>
              <w:jc w:val="center"/>
            </w:pPr>
            <w:r>
              <w:rPr>
                <w:highlight w:val="yellow"/>
              </w:rPr>
            </w:r>
            <w:r>
              <w:rPr>
                <w:b w:val="0"/>
                <w:i w:val="0"/>
                <w:sz w:val="16"/>
                <w:highlight w:val="yellow"/>
              </w:rPr>
              <w:t>41.0</w:t>
            </w:r>
          </w:p>
        </w:tc>
        <w:tc>
          <w:tcPr>
            <w:tcW w:type="dxa" w:w="1512"/>
            <w:vAlign w:val="center"/>
          </w:tcPr>
          <w:p>
            <w:pPr>
              <w:spacing w:before="0" w:after="0" w:line="240" w:lineRule="auto"/>
              <w:jc w:val="center"/>
            </w:pPr>
            <w:r>
              <w:rPr>
                <w:highlight w:val="yellow"/>
              </w:rPr>
            </w:r>
            <w:r>
              <w:rPr>
                <w:b w:val="0"/>
                <w:i w:val="0"/>
                <w:sz w:val="16"/>
                <w:highlight w:val="yellow"/>
              </w:rPr>
              <w:t>51.3</w:t>
            </w:r>
          </w:p>
        </w:tc>
        <w:tc>
          <w:tcPr>
            <w:tcW w:type="dxa" w:w="1440"/>
            <w:vAlign w:val="center"/>
          </w:tcPr>
          <w:p>
            <w:pPr>
              <w:spacing w:before="0" w:after="0" w:line="240" w:lineRule="auto"/>
              <w:jc w:val="center"/>
            </w:pPr>
            <w:r>
              <w:rPr>
                <w:highlight w:val="yellow"/>
              </w:rPr>
            </w:r>
            <w:r>
              <w:rPr>
                <w:b w:val="0"/>
                <w:i w:val="0"/>
                <w:sz w:val="16"/>
                <w:highlight w:val="yellow"/>
              </w:rPr>
              <w:t>62.0</w:t>
            </w:r>
          </w:p>
        </w:tc>
        <w:tc>
          <w:tcPr>
            <w:tcW w:type="dxa" w:w="1800"/>
            <w:vAlign w:val="center"/>
          </w:tcPr>
          <w:p>
            <w:pPr>
              <w:spacing w:before="0" w:after="0" w:line="240" w:lineRule="auto"/>
              <w:jc w:val="center"/>
            </w:pPr>
            <w:r>
              <w:rPr>
                <w:highlight w:val="yellow"/>
              </w:rPr>
            </w:r>
            <w:r>
              <w:rPr>
                <w:b w:val="0"/>
                <w:i w:val="0"/>
                <w:sz w:val="16"/>
                <w:highlight w:val="yellow"/>
              </w:rPr>
              <w:t>48.0</w:t>
            </w:r>
          </w:p>
        </w:tc>
      </w:tr>
      <w:tr>
        <w:trPr>
          <w:cantSplit/>
        </w:trPr>
        <w:tc>
          <w:tcPr>
            <w:tcW w:type="dxa" w:w="3240"/>
            <w:vAlign w:val="center"/>
          </w:tcPr>
          <w:p>
            <w:pPr>
              <w:spacing w:before="0" w:after="0" w:line="240" w:lineRule="auto"/>
              <w:jc w:val="left"/>
            </w:pPr>
            <w:r>
              <w:rPr>
                <w:highlight w:val="yellow"/>
              </w:rPr>
            </w:r>
            <w:r>
              <w:rPr>
                <w:b w:val="0"/>
                <w:i w:val="0"/>
                <w:sz w:val="16"/>
                <w:highlight w:val="yellow"/>
              </w:rPr>
              <w:t>CL (L min</w:t>
            </w:r>
            <w:r>
              <w:rPr>
                <w:b w:val="0"/>
                <w:i w:val="0"/>
                <w:sz w:val="16"/>
                <w:highlight w:val="yellow"/>
                <w:vertAlign w:val="superscript"/>
              </w:rPr>
              <w:t>−1</w:t>
            </w:r>
            <w:r>
              <w:rPr>
                <w:b w:val="0"/>
                <w:i w:val="0"/>
                <w:sz w:val="16"/>
                <w:highlight w:val="yellow"/>
              </w:rPr>
              <w:t>)</w:t>
            </w:r>
          </w:p>
        </w:tc>
        <w:tc>
          <w:tcPr>
            <w:tcW w:type="dxa" w:w="1296"/>
            <w:vAlign w:val="center"/>
          </w:tcPr>
          <w:p>
            <w:pPr>
              <w:spacing w:before="0" w:after="0" w:line="240" w:lineRule="auto"/>
              <w:jc w:val="center"/>
            </w:pPr>
            <w:r>
              <w:rPr>
                <w:highlight w:val="yellow"/>
              </w:rPr>
            </w:r>
            <w:r>
              <w:rPr>
                <w:b w:val="0"/>
                <w:i w:val="0"/>
                <w:sz w:val="16"/>
                <w:highlight w:val="yellow"/>
              </w:rPr>
              <w:t>0.64</w:t>
            </w:r>
          </w:p>
        </w:tc>
        <w:tc>
          <w:tcPr>
            <w:tcW w:type="dxa" w:w="1512"/>
            <w:vAlign w:val="center"/>
          </w:tcPr>
          <w:p>
            <w:pPr>
              <w:spacing w:before="0" w:after="0" w:line="240" w:lineRule="auto"/>
              <w:jc w:val="center"/>
            </w:pPr>
            <w:r>
              <w:rPr>
                <w:highlight w:val="yellow"/>
              </w:rPr>
            </w:r>
            <w:r>
              <w:rPr>
                <w:b w:val="0"/>
                <w:i w:val="0"/>
                <w:sz w:val="16"/>
                <w:highlight w:val="yellow"/>
              </w:rPr>
              <w:t>0.47</w:t>
            </w:r>
          </w:p>
        </w:tc>
        <w:tc>
          <w:tcPr>
            <w:tcW w:type="dxa" w:w="1440"/>
            <w:vAlign w:val="center"/>
          </w:tcPr>
          <w:p>
            <w:pPr>
              <w:spacing w:before="0" w:after="0" w:line="240" w:lineRule="auto"/>
              <w:jc w:val="center"/>
            </w:pPr>
            <w:r>
              <w:rPr>
                <w:highlight w:val="yellow"/>
              </w:rPr>
            </w:r>
            <w:r>
              <w:rPr>
                <w:b w:val="0"/>
                <w:i w:val="0"/>
                <w:sz w:val="16"/>
                <w:highlight w:val="yellow"/>
              </w:rPr>
              <w:t>0.44</w:t>
            </w:r>
          </w:p>
        </w:tc>
        <w:tc>
          <w:tcPr>
            <w:tcW w:type="dxa" w:w="1800"/>
            <w:vAlign w:val="center"/>
          </w:tcPr>
          <w:p>
            <w:pPr>
              <w:spacing w:before="0" w:after="0" w:line="240" w:lineRule="auto"/>
              <w:jc w:val="center"/>
            </w:pPr>
            <w:r>
              <w:rPr>
                <w:highlight w:val="yellow"/>
              </w:rPr>
            </w:r>
            <w:r>
              <w:rPr>
                <w:b w:val="0"/>
                <w:i w:val="0"/>
                <w:sz w:val="16"/>
                <w:highlight w:val="yellow"/>
              </w:rPr>
              <w:t>0.50</w:t>
            </w:r>
          </w:p>
        </w:tc>
      </w:tr>
      <w:tr>
        <w:trPr>
          <w:cantSplit/>
        </w:trPr>
        <w:tc>
          <w:tcPr>
            <w:tcW w:type="dxa" w:w="3240"/>
            <w:vAlign w:val="center"/>
          </w:tcPr>
          <w:p>
            <w:pPr>
              <w:spacing w:before="0" w:after="0" w:line="240" w:lineRule="auto"/>
              <w:jc w:val="left"/>
            </w:pPr>
            <w:r>
              <w:rPr>
                <w:highlight w:val="yellow"/>
              </w:rPr>
            </w:r>
            <w:r>
              <w:rPr>
                <w:b w:val="0"/>
                <w:i w:val="0"/>
                <w:sz w:val="16"/>
                <w:highlight w:val="yellow"/>
              </w:rPr>
              <w:t>Q</w:t>
            </w:r>
            <w:r>
              <w:rPr>
                <w:b w:val="0"/>
                <w:i w:val="0"/>
                <w:sz w:val="16"/>
                <w:highlight w:val="yellow"/>
                <w:vertAlign w:val="subscript"/>
              </w:rPr>
              <w:t>2</w:t>
            </w:r>
            <w:r>
              <w:rPr>
                <w:b w:val="0"/>
                <w:i w:val="0"/>
                <w:sz w:val="16"/>
                <w:highlight w:val="yellow"/>
              </w:rPr>
              <w:t xml:space="preserve"> (L min</w:t>
            </w:r>
            <w:r>
              <w:rPr>
                <w:b w:val="0"/>
                <w:i w:val="0"/>
                <w:sz w:val="16"/>
                <w:highlight w:val="yellow"/>
                <w:vertAlign w:val="superscript"/>
              </w:rPr>
              <w:t>−1</w:t>
            </w:r>
            <w:r>
              <w:rPr>
                <w:b w:val="0"/>
                <w:i w:val="0"/>
                <w:sz w:val="16"/>
                <w:highlight w:val="yellow"/>
              </w:rPr>
              <w:t>)</w:t>
            </w:r>
          </w:p>
        </w:tc>
        <w:tc>
          <w:tcPr>
            <w:tcW w:type="dxa" w:w="1296"/>
            <w:vAlign w:val="center"/>
          </w:tcPr>
          <w:p>
            <w:pPr>
              <w:spacing w:before="0" w:after="0" w:line="240" w:lineRule="auto"/>
              <w:jc w:val="center"/>
            </w:pPr>
            <w:r>
              <w:rPr>
                <w:highlight w:val="yellow"/>
              </w:rPr>
            </w:r>
            <w:r>
              <w:rPr>
                <w:b w:val="0"/>
                <w:i w:val="0"/>
                <w:sz w:val="16"/>
                <w:highlight w:val="yellow"/>
              </w:rPr>
              <w:t>0.81</w:t>
            </w:r>
          </w:p>
        </w:tc>
        <w:tc>
          <w:tcPr>
            <w:tcW w:type="dxa" w:w="1512"/>
            <w:vAlign w:val="center"/>
          </w:tcPr>
          <w:p>
            <w:pPr>
              <w:spacing w:before="0" w:after="0" w:line="240" w:lineRule="auto"/>
              <w:jc w:val="center"/>
            </w:pPr>
            <w:r>
              <w:rPr>
                <w:highlight w:val="yellow"/>
              </w:rPr>
            </w:r>
            <w:r>
              <w:rPr>
                <w:b w:val="0"/>
                <w:i w:val="0"/>
                <w:sz w:val="16"/>
                <w:highlight w:val="yellow"/>
              </w:rPr>
              <w:t>0.60</w:t>
            </w:r>
          </w:p>
        </w:tc>
        <w:tc>
          <w:tcPr>
            <w:tcW w:type="dxa" w:w="1440"/>
            <w:vAlign w:val="center"/>
          </w:tcPr>
          <w:p>
            <w:pPr>
              <w:spacing w:before="0" w:after="0" w:line="240" w:lineRule="auto"/>
              <w:jc w:val="center"/>
            </w:pPr>
            <w:r>
              <w:rPr>
                <w:highlight w:val="yellow"/>
              </w:rPr>
            </w:r>
            <w:r>
              <w:rPr>
                <w:b w:val="0"/>
                <w:i w:val="0"/>
                <w:sz w:val="16"/>
                <w:highlight w:val="yellow"/>
              </w:rPr>
              <w:t>0.52</w:t>
            </w:r>
          </w:p>
        </w:tc>
        <w:tc>
          <w:tcPr>
            <w:tcW w:type="dxa" w:w="1800"/>
            <w:vAlign w:val="center"/>
          </w:tcPr>
          <w:p>
            <w:pPr>
              <w:spacing w:before="0" w:after="0" w:line="240" w:lineRule="auto"/>
              <w:jc w:val="center"/>
            </w:pPr>
            <w:r>
              <w:rPr>
                <w:highlight w:val="yellow"/>
              </w:rPr>
            </w:r>
            <w:r>
              <w:rPr>
                <w:b w:val="0"/>
                <w:i w:val="0"/>
                <w:sz w:val="16"/>
                <w:highlight w:val="yellow"/>
              </w:rPr>
              <w:t>0.55</w:t>
            </w:r>
          </w:p>
        </w:tc>
      </w:tr>
      <w:tr>
        <w:trPr>
          <w:cantSplit/>
        </w:trPr>
        <w:tc>
          <w:tcPr>
            <w:tcW w:type="dxa" w:w="3240"/>
            <w:vAlign w:val="center"/>
          </w:tcPr>
          <w:p>
            <w:pPr>
              <w:spacing w:before="0" w:after="0" w:line="240" w:lineRule="auto"/>
              <w:jc w:val="left"/>
            </w:pPr>
            <w:r>
              <w:rPr>
                <w:highlight w:val="yellow"/>
              </w:rPr>
            </w:r>
            <w:r>
              <w:rPr>
                <w:b w:val="0"/>
                <w:i w:val="0"/>
                <w:sz w:val="16"/>
                <w:highlight w:val="yellow"/>
              </w:rPr>
              <w:t>Q</w:t>
            </w:r>
            <w:r>
              <w:rPr>
                <w:b w:val="0"/>
                <w:i w:val="0"/>
                <w:sz w:val="16"/>
                <w:highlight w:val="yellow"/>
                <w:vertAlign w:val="subscript"/>
              </w:rPr>
              <w:t>3</w:t>
            </w:r>
            <w:r>
              <w:rPr>
                <w:b w:val="0"/>
                <w:i w:val="0"/>
                <w:sz w:val="16"/>
                <w:highlight w:val="yellow"/>
              </w:rPr>
              <w:t xml:space="preserve"> (L min</w:t>
            </w:r>
            <w:r>
              <w:rPr>
                <w:b w:val="0"/>
                <w:i w:val="0"/>
                <w:sz w:val="16"/>
                <w:highlight w:val="yellow"/>
                <w:vertAlign w:val="superscript"/>
              </w:rPr>
              <w:t>−1</w:t>
            </w:r>
            <w:r>
              <w:rPr>
                <w:b w:val="0"/>
                <w:i w:val="0"/>
                <w:sz w:val="16"/>
                <w:highlight w:val="yellow"/>
              </w:rPr>
              <w:t>)</w:t>
            </w:r>
          </w:p>
        </w:tc>
        <w:tc>
          <w:tcPr>
            <w:tcW w:type="dxa" w:w="1296"/>
            <w:vAlign w:val="center"/>
          </w:tcPr>
          <w:p>
            <w:pPr>
              <w:spacing w:before="0" w:after="0" w:line="240" w:lineRule="auto"/>
              <w:jc w:val="center"/>
            </w:pPr>
            <w:r>
              <w:rPr>
                <w:highlight w:val="yellow"/>
              </w:rPr>
            </w:r>
            <w:r>
              <w:rPr>
                <w:b w:val="0"/>
                <w:i w:val="0"/>
                <w:sz w:val="16"/>
                <w:highlight w:val="yellow"/>
              </w:rPr>
              <w:t>0.26</w:t>
            </w:r>
          </w:p>
        </w:tc>
        <w:tc>
          <w:tcPr>
            <w:tcW w:type="dxa" w:w="1512"/>
            <w:vAlign w:val="center"/>
          </w:tcPr>
          <w:p>
            <w:pPr>
              <w:spacing w:before="0" w:after="0" w:line="240" w:lineRule="auto"/>
              <w:jc w:val="center"/>
            </w:pPr>
            <w:r>
              <w:rPr>
                <w:highlight w:val="yellow"/>
              </w:rPr>
            </w:r>
            <w:r>
              <w:rPr>
                <w:b w:val="0"/>
                <w:i w:val="0"/>
                <w:sz w:val="16"/>
                <w:highlight w:val="yellow"/>
              </w:rPr>
              <w:t>0.17</w:t>
            </w:r>
          </w:p>
        </w:tc>
        <w:tc>
          <w:tcPr>
            <w:tcW w:type="dxa" w:w="1440"/>
            <w:vAlign w:val="center"/>
          </w:tcPr>
          <w:p>
            <w:pPr>
              <w:spacing w:before="0" w:after="0" w:line="240" w:lineRule="auto"/>
              <w:jc w:val="center"/>
            </w:pPr>
            <w:r>
              <w:rPr>
                <w:highlight w:val="yellow"/>
              </w:rPr>
            </w:r>
            <w:r>
              <w:rPr>
                <w:b w:val="0"/>
                <w:i w:val="0"/>
                <w:sz w:val="16"/>
                <w:highlight w:val="yellow"/>
              </w:rPr>
              <w:t>0.18</w:t>
            </w:r>
          </w:p>
        </w:tc>
        <w:tc>
          <w:tcPr>
            <w:tcW w:type="dxa" w:w="1800"/>
            <w:vAlign w:val="center"/>
          </w:tcPr>
          <w:p>
            <w:pPr>
              <w:spacing w:before="0" w:after="0" w:line="240" w:lineRule="auto"/>
              <w:jc w:val="center"/>
            </w:pPr>
            <w:r>
              <w:rPr>
                <w:highlight w:val="yellow"/>
              </w:rPr>
            </w:r>
            <w:r>
              <w:rPr>
                <w:b w:val="0"/>
                <w:i w:val="0"/>
                <w:sz w:val="16"/>
                <w:highlight w:val="yellow"/>
              </w:rPr>
              <w:t>0.16</w:t>
            </w:r>
          </w:p>
        </w:tc>
      </w:tr>
      <w:tr>
        <w:trPr>
          <w:cantSplit/>
        </w:trPr>
        <w:tc>
          <w:tcPr>
            <w:tcW w:type="dxa" w:w="3240"/>
            <w:vAlign w:val="center"/>
          </w:tcPr>
          <w:p>
            <w:pPr>
              <w:spacing w:before="0" w:after="0" w:line="240" w:lineRule="auto"/>
              <w:jc w:val="left"/>
            </w:pPr>
            <w:r>
              <w:rPr>
                <w:highlight w:val="yellow"/>
              </w:rPr>
            </w:r>
            <w:r>
              <w:rPr>
                <w:b w:val="0"/>
                <w:i w:val="0"/>
                <w:sz w:val="16"/>
                <w:highlight w:val="yellow"/>
              </w:rPr>
              <w:t>k</w:t>
            </w:r>
            <w:r>
              <w:rPr>
                <w:b w:val="0"/>
                <w:i w:val="0"/>
                <w:sz w:val="16"/>
                <w:highlight w:val="yellow"/>
                <w:vertAlign w:val="subscript"/>
              </w:rPr>
              <w:t>e0</w:t>
            </w:r>
            <w:r>
              <w:rPr>
                <w:b w:val="0"/>
                <w:i w:val="0"/>
                <w:sz w:val="16"/>
                <w:highlight w:val="yellow"/>
              </w:rPr>
              <w:t xml:space="preserve"> (min</w:t>
            </w:r>
            <w:r>
              <w:rPr>
                <w:b w:val="0"/>
                <w:i w:val="0"/>
                <w:sz w:val="16"/>
                <w:highlight w:val="yellow"/>
                <w:vertAlign w:val="superscript"/>
              </w:rPr>
              <w:t>−1</w:t>
            </w:r>
            <w:r>
              <w:rPr>
                <w:b w:val="0"/>
                <w:i w:val="0"/>
                <w:sz w:val="16"/>
                <w:highlight w:val="yellow"/>
              </w:rPr>
              <w:t>)</w:t>
            </w:r>
          </w:p>
        </w:tc>
        <w:tc>
          <w:tcPr>
            <w:tcW w:type="dxa" w:w="1296"/>
            <w:vAlign w:val="center"/>
          </w:tcPr>
          <w:p>
            <w:pPr>
              <w:spacing w:before="0" w:after="0" w:line="240" w:lineRule="auto"/>
              <w:jc w:val="center"/>
            </w:pPr>
            <w:r>
              <w:rPr>
                <w:highlight w:val="yellow"/>
              </w:rPr>
            </w:r>
            <w:r>
              <w:rPr>
                <w:b w:val="0"/>
                <w:i w:val="0"/>
                <w:sz w:val="16"/>
                <w:highlight w:val="yellow"/>
              </w:rPr>
              <w:t>0.12</w:t>
            </w:r>
          </w:p>
        </w:tc>
        <w:tc>
          <w:tcPr>
            <w:tcW w:type="dxa" w:w="1512"/>
            <w:vAlign w:val="center"/>
          </w:tcPr>
          <w:p>
            <w:pPr>
              <w:spacing w:before="0" w:after="0" w:line="240" w:lineRule="auto"/>
              <w:jc w:val="center"/>
            </w:pPr>
            <w:r>
              <w:rPr>
                <w:highlight w:val="yellow"/>
              </w:rPr>
            </w:r>
            <w:r>
              <w:rPr>
                <w:b w:val="0"/>
                <w:i w:val="0"/>
                <w:sz w:val="16"/>
                <w:highlight w:val="yellow"/>
              </w:rPr>
              <w:t>0.077</w:t>
            </w:r>
          </w:p>
        </w:tc>
        <w:tc>
          <w:tcPr>
            <w:tcW w:type="dxa" w:w="1440"/>
            <w:vAlign w:val="center"/>
          </w:tcPr>
          <w:p>
            <w:pPr>
              <w:spacing w:before="0" w:after="0" w:line="240" w:lineRule="auto"/>
              <w:jc w:val="center"/>
            </w:pPr>
            <w:r>
              <w:rPr>
                <w:highlight w:val="yellow"/>
              </w:rPr>
            </w:r>
            <w:r>
              <w:rPr>
                <w:b w:val="0"/>
                <w:i w:val="0"/>
                <w:sz w:val="16"/>
                <w:highlight w:val="yellow"/>
              </w:rPr>
              <w:t>0.065</w:t>
            </w:r>
          </w:p>
        </w:tc>
        <w:tc>
          <w:tcPr>
            <w:tcW w:type="dxa" w:w="1800"/>
            <w:vAlign w:val="center"/>
          </w:tcPr>
          <w:p>
            <w:pPr>
              <w:spacing w:before="0" w:after="0" w:line="240" w:lineRule="auto"/>
              <w:jc w:val="center"/>
            </w:pPr>
            <w:r>
              <w:rPr>
                <w:highlight w:val="yellow"/>
              </w:rPr>
            </w:r>
            <w:r>
              <w:rPr>
                <w:b w:val="0"/>
                <w:i w:val="0"/>
                <w:sz w:val="16"/>
                <w:highlight w:val="yellow"/>
              </w:rPr>
              <w:t>0.075</w:t>
            </w:r>
          </w:p>
        </w:tc>
      </w:tr>
      <w:tr>
        <w:trPr>
          <w:cantSplit/>
        </w:trPr>
        <w:tc>
          <w:tcPr>
            <w:tcW w:type="dxa" w:w="3240"/>
            <w:vAlign w:val="center"/>
          </w:tcPr>
          <w:p>
            <w:pPr>
              <w:spacing w:before="0" w:after="0" w:line="240" w:lineRule="auto"/>
              <w:jc w:val="left"/>
            </w:pPr>
            <w:r>
              <w:rPr>
                <w:highlight w:val="yellow"/>
              </w:rPr>
            </w:r>
            <w:r>
              <w:rPr>
                <w:b w:val="0"/>
                <w:i w:val="0"/>
                <w:sz w:val="16"/>
                <w:highlight w:val="yellow"/>
              </w:rPr>
              <w:t>k</w:t>
            </w:r>
            <w:r>
              <w:rPr>
                <w:b w:val="0"/>
                <w:i w:val="0"/>
                <w:sz w:val="16"/>
                <w:highlight w:val="yellow"/>
                <w:vertAlign w:val="subscript"/>
              </w:rPr>
              <w:t>a</w:t>
            </w:r>
            <w:r>
              <w:rPr>
                <w:b w:val="0"/>
                <w:i w:val="0"/>
                <w:sz w:val="16"/>
                <w:highlight w:val="yellow"/>
              </w:rPr>
              <w:t xml:space="preserve"> depot default (min</w:t>
            </w:r>
            <w:r>
              <w:rPr>
                <w:b w:val="0"/>
                <w:i w:val="0"/>
                <w:sz w:val="16"/>
                <w:highlight w:val="yellow"/>
                <w:vertAlign w:val="superscript"/>
              </w:rPr>
              <w:t>−1</w:t>
            </w:r>
            <w:r>
              <w:rPr>
                <w:b w:val="0"/>
                <w:i w:val="0"/>
                <w:sz w:val="16"/>
                <w:highlight w:val="yellow"/>
              </w:rPr>
              <w:t>)</w:t>
            </w:r>
          </w:p>
        </w:tc>
        <w:tc>
          <w:tcPr>
            <w:tcW w:type="dxa" w:w="1296"/>
            <w:vAlign w:val="center"/>
          </w:tcPr>
          <w:p>
            <w:pPr>
              <w:spacing w:before="0" w:after="0" w:line="240" w:lineRule="auto"/>
              <w:jc w:val="center"/>
            </w:pPr>
            <w:r>
              <w:rPr>
                <w:highlight w:val="yellow"/>
              </w:rPr>
            </w:r>
            <w:r>
              <w:rPr>
                <w:b w:val="0"/>
                <w:i w:val="0"/>
                <w:sz w:val="16"/>
                <w:highlight w:val="yellow"/>
              </w:rPr>
              <w:t>0.06</w:t>
            </w:r>
          </w:p>
        </w:tc>
        <w:tc>
          <w:tcPr>
            <w:tcW w:type="dxa" w:w="1512"/>
            <w:vAlign w:val="center"/>
          </w:tcPr>
          <w:p>
            <w:pPr>
              <w:spacing w:before="0" w:after="0" w:line="240" w:lineRule="auto"/>
              <w:jc w:val="center"/>
            </w:pPr>
            <w:r>
              <w:rPr>
                <w:highlight w:val="yellow"/>
              </w:rPr>
            </w:r>
            <w:r>
              <w:rPr>
                <w:b w:val="0"/>
                <w:i w:val="0"/>
                <w:sz w:val="16"/>
                <w:highlight w:val="yellow"/>
              </w:rPr>
              <w:t>0.04</w:t>
            </w:r>
          </w:p>
        </w:tc>
        <w:tc>
          <w:tcPr>
            <w:tcW w:type="dxa" w:w="1440"/>
            <w:vAlign w:val="center"/>
          </w:tcPr>
          <w:p>
            <w:pPr>
              <w:spacing w:before="0" w:after="0" w:line="240" w:lineRule="auto"/>
              <w:jc w:val="center"/>
            </w:pPr>
            <w:r>
              <w:rPr>
                <w:highlight w:val="yellow"/>
              </w:rPr>
            </w:r>
            <w:r>
              <w:rPr>
                <w:b w:val="0"/>
                <w:i w:val="0"/>
                <w:sz w:val="16"/>
                <w:highlight w:val="yellow"/>
              </w:rPr>
              <w:t>0.045</w:t>
            </w:r>
          </w:p>
        </w:tc>
        <w:tc>
          <w:tcPr>
            <w:tcW w:type="dxa" w:w="1800"/>
            <w:vAlign w:val="center"/>
          </w:tcPr>
          <w:p>
            <w:pPr>
              <w:spacing w:before="0" w:after="0" w:line="240" w:lineRule="auto"/>
              <w:jc w:val="center"/>
            </w:pPr>
            <w:r>
              <w:rPr>
                <w:highlight w:val="yellow"/>
              </w:rPr>
            </w:r>
            <w:r>
              <w:rPr>
                <w:b w:val="0"/>
                <w:i w:val="0"/>
                <w:sz w:val="16"/>
                <w:highlight w:val="yellow"/>
              </w:rPr>
              <w:t>0.042</w:t>
            </w:r>
          </w:p>
        </w:tc>
      </w:tr>
      <w:tr>
        <w:trPr>
          <w:cantSplit/>
        </w:trPr>
        <w:tc>
          <w:tcPr>
            <w:tcW w:type="dxa" w:w="3240"/>
            <w:vAlign w:val="center"/>
          </w:tcPr>
          <w:p>
            <w:pPr>
              <w:spacing w:before="0" w:after="0" w:line="240" w:lineRule="auto"/>
              <w:jc w:val="left"/>
            </w:pPr>
            <w:r>
              <w:rPr>
                <w:highlight w:val="yellow"/>
              </w:rPr>
            </w:r>
            <w:r>
              <w:rPr>
                <w:b w:val="0"/>
                <w:i w:val="0"/>
                <w:sz w:val="16"/>
                <w:highlight w:val="yellow"/>
              </w:rPr>
              <w:t>EC</w:t>
            </w:r>
            <w:r>
              <w:rPr>
                <w:b w:val="0"/>
                <w:i w:val="0"/>
                <w:sz w:val="16"/>
                <w:highlight w:val="yellow"/>
                <w:vertAlign w:val="subscript"/>
              </w:rPr>
              <w:t>50</w:t>
            </w:r>
            <w:r>
              <w:rPr>
                <w:b w:val="0"/>
                <w:i w:val="0"/>
                <w:sz w:val="16"/>
                <w:highlight w:val="yellow"/>
              </w:rPr>
              <w:t xml:space="preserve"> (mg L</w:t>
            </w:r>
            <w:r>
              <w:rPr>
                <w:b w:val="0"/>
                <w:i w:val="0"/>
                <w:sz w:val="16"/>
                <w:highlight w:val="yellow"/>
                <w:vertAlign w:val="superscript"/>
              </w:rPr>
              <w:t>−1</w:t>
            </w:r>
            <w:r>
              <w:rPr>
                <w:b w:val="0"/>
                <w:i w:val="0"/>
                <w:sz w:val="16"/>
                <w:highlight w:val="yellow"/>
              </w:rPr>
              <w:t>)</w:t>
            </w:r>
          </w:p>
        </w:tc>
        <w:tc>
          <w:tcPr>
            <w:tcW w:type="dxa" w:w="1296"/>
            <w:vAlign w:val="center"/>
          </w:tcPr>
          <w:p>
            <w:pPr>
              <w:spacing w:before="0" w:after="0" w:line="240" w:lineRule="auto"/>
              <w:jc w:val="center"/>
            </w:pPr>
            <w:r>
              <w:rPr>
                <w:highlight w:val="yellow"/>
              </w:rPr>
            </w:r>
            <w:r>
              <w:rPr>
                <w:b w:val="0"/>
                <w:i w:val="0"/>
                <w:sz w:val="16"/>
                <w:highlight w:val="yellow"/>
              </w:rPr>
              <w:t>3.0</w:t>
            </w:r>
          </w:p>
        </w:tc>
        <w:tc>
          <w:tcPr>
            <w:tcW w:type="dxa" w:w="1512"/>
            <w:vAlign w:val="center"/>
          </w:tcPr>
          <w:p>
            <w:pPr>
              <w:spacing w:before="0" w:after="0" w:line="240" w:lineRule="auto"/>
              <w:jc w:val="center"/>
            </w:pPr>
            <w:r>
              <w:rPr>
                <w:highlight w:val="yellow"/>
              </w:rPr>
            </w:r>
            <w:r>
              <w:rPr>
                <w:b w:val="0"/>
                <w:i w:val="0"/>
                <w:sz w:val="16"/>
                <w:highlight w:val="yellow"/>
              </w:rPr>
              <w:t>0.5</w:t>
            </w:r>
          </w:p>
        </w:tc>
        <w:tc>
          <w:tcPr>
            <w:tcW w:type="dxa" w:w="1440"/>
            <w:vAlign w:val="center"/>
          </w:tcPr>
          <w:p>
            <w:pPr>
              <w:spacing w:before="0" w:after="0" w:line="240" w:lineRule="auto"/>
              <w:jc w:val="center"/>
            </w:pPr>
            <w:r>
              <w:rPr>
                <w:highlight w:val="yellow"/>
              </w:rPr>
            </w:r>
            <w:r>
              <w:rPr>
                <w:b w:val="0"/>
                <w:i w:val="0"/>
                <w:sz w:val="16"/>
                <w:highlight w:val="yellow"/>
              </w:rPr>
              <w:t>0.8</w:t>
            </w:r>
          </w:p>
        </w:tc>
        <w:tc>
          <w:tcPr>
            <w:tcW w:type="dxa" w:w="1800"/>
            <w:vAlign w:val="center"/>
          </w:tcPr>
          <w:p>
            <w:pPr>
              <w:spacing w:before="0" w:after="0" w:line="240" w:lineRule="auto"/>
              <w:jc w:val="center"/>
            </w:pPr>
            <w:r>
              <w:rPr>
                <w:highlight w:val="yellow"/>
              </w:rPr>
            </w:r>
            <w:r>
              <w:rPr>
                <w:b w:val="0"/>
                <w:i w:val="0"/>
                <w:sz w:val="16"/>
                <w:highlight w:val="yellow"/>
              </w:rPr>
              <w:t>0.6</w:t>
            </w:r>
          </w:p>
        </w:tc>
      </w:tr>
      <w:tr>
        <w:trPr>
          <w:cantSplit/>
        </w:trPr>
        <w:tc>
          <w:tcPr>
            <w:tcW w:type="dxa" w:w="3240"/>
            <w:vAlign w:val="center"/>
          </w:tcPr>
          <w:p>
            <w:pPr>
              <w:spacing w:before="0" w:after="0" w:line="240" w:lineRule="auto"/>
              <w:jc w:val="left"/>
            </w:pPr>
            <w:r>
              <w:rPr>
                <w:highlight w:val="yellow"/>
              </w:rPr>
            </w:r>
            <w:r>
              <w:rPr>
                <w:b w:val="0"/>
                <w:i w:val="0"/>
                <w:sz w:val="16"/>
                <w:highlight w:val="yellow"/>
              </w:rPr>
              <w:t>γ (Hill, dimensionless)</w:t>
            </w:r>
          </w:p>
        </w:tc>
        <w:tc>
          <w:tcPr>
            <w:tcW w:type="dxa" w:w="1296"/>
            <w:vAlign w:val="center"/>
          </w:tcPr>
          <w:p>
            <w:pPr>
              <w:spacing w:before="0" w:after="0" w:line="240" w:lineRule="auto"/>
              <w:jc w:val="center"/>
            </w:pPr>
            <w:r>
              <w:rPr>
                <w:highlight w:val="yellow"/>
              </w:rPr>
            </w:r>
            <w:r>
              <w:rPr>
                <w:b w:val="0"/>
                <w:i w:val="0"/>
                <w:sz w:val="16"/>
                <w:highlight w:val="yellow"/>
              </w:rPr>
              <w:t>2.0</w:t>
            </w:r>
          </w:p>
        </w:tc>
        <w:tc>
          <w:tcPr>
            <w:tcW w:type="dxa" w:w="1512"/>
            <w:vAlign w:val="center"/>
          </w:tcPr>
          <w:p>
            <w:pPr>
              <w:spacing w:before="0" w:after="0" w:line="240" w:lineRule="auto"/>
              <w:jc w:val="center"/>
            </w:pPr>
            <w:r>
              <w:rPr>
                <w:highlight w:val="yellow"/>
              </w:rPr>
            </w:r>
            <w:r>
              <w:rPr>
                <w:b w:val="0"/>
                <w:i w:val="0"/>
                <w:sz w:val="16"/>
                <w:highlight w:val="yellow"/>
              </w:rPr>
              <w:t>3.0</w:t>
            </w:r>
          </w:p>
        </w:tc>
        <w:tc>
          <w:tcPr>
            <w:tcW w:type="dxa" w:w="1440"/>
            <w:vAlign w:val="center"/>
          </w:tcPr>
          <w:p>
            <w:pPr>
              <w:spacing w:before="0" w:after="0" w:line="240" w:lineRule="auto"/>
              <w:jc w:val="center"/>
            </w:pPr>
            <w:r>
              <w:rPr>
                <w:highlight w:val="yellow"/>
              </w:rPr>
            </w:r>
            <w:r>
              <w:rPr>
                <w:b w:val="0"/>
                <w:i w:val="0"/>
                <w:sz w:val="16"/>
                <w:highlight w:val="yellow"/>
              </w:rPr>
              <w:t>2.5</w:t>
            </w:r>
          </w:p>
        </w:tc>
        <w:tc>
          <w:tcPr>
            <w:tcW w:type="dxa" w:w="1800"/>
            <w:vAlign w:val="center"/>
          </w:tcPr>
          <w:p>
            <w:pPr>
              <w:spacing w:before="0" w:after="0" w:line="240" w:lineRule="auto"/>
              <w:jc w:val="center"/>
            </w:pPr>
            <w:r>
              <w:rPr>
                <w:highlight w:val="yellow"/>
              </w:rPr>
            </w:r>
            <w:r>
              <w:rPr>
                <w:b w:val="0"/>
                <w:i w:val="0"/>
                <w:sz w:val="16"/>
                <w:highlight w:val="yellow"/>
              </w:rPr>
              <w:t>2.8</w:t>
            </w:r>
          </w:p>
        </w:tc>
      </w:tr>
      <w:tr>
        <w:trPr>
          <w:cantSplit/>
        </w:trPr>
        <w:tc>
          <w:tcPr>
            <w:tcW w:type="dxa" w:w="3240"/>
            <w:vAlign w:val="center"/>
          </w:tcPr>
          <w:p>
            <w:pPr>
              <w:spacing w:before="0" w:after="0" w:line="240" w:lineRule="auto"/>
              <w:jc w:val="left"/>
            </w:pPr>
            <w:r>
              <w:rPr>
                <w:highlight w:val="yellow"/>
              </w:rPr>
            </w:r>
            <w:r>
              <w:rPr>
                <w:b w:val="0"/>
                <w:i w:val="0"/>
                <w:sz w:val="16"/>
                <w:highlight w:val="yellow"/>
              </w:rPr>
              <w:t>CNS toxic threshold (mg L</w:t>
            </w:r>
            <w:r>
              <w:rPr>
                <w:b w:val="0"/>
                <w:i w:val="0"/>
                <w:sz w:val="16"/>
                <w:highlight w:val="yellow"/>
                <w:vertAlign w:val="superscript"/>
              </w:rPr>
              <w:t>−1</w:t>
            </w:r>
            <w:r>
              <w:rPr>
                <w:b w:val="0"/>
                <w:i w:val="0"/>
                <w:sz w:val="16"/>
                <w:highlight w:val="yellow"/>
              </w:rPr>
              <w:t>)</w:t>
            </w:r>
          </w:p>
        </w:tc>
        <w:tc>
          <w:tcPr>
            <w:tcW w:type="dxa" w:w="1296"/>
            <w:vAlign w:val="center"/>
          </w:tcPr>
          <w:p>
            <w:pPr>
              <w:spacing w:before="0" w:after="0" w:line="240" w:lineRule="auto"/>
              <w:jc w:val="center"/>
            </w:pPr>
            <w:r>
              <w:rPr>
                <w:highlight w:val="yellow"/>
              </w:rPr>
            </w:r>
            <w:r>
              <w:rPr>
                <w:b w:val="0"/>
                <w:i w:val="0"/>
                <w:sz w:val="16"/>
                <w:highlight w:val="yellow"/>
              </w:rPr>
              <w:t>5.0</w:t>
            </w:r>
          </w:p>
        </w:tc>
        <w:tc>
          <w:tcPr>
            <w:tcW w:type="dxa" w:w="1512"/>
            <w:vAlign w:val="center"/>
          </w:tcPr>
          <w:p>
            <w:pPr>
              <w:spacing w:before="0" w:after="0" w:line="240" w:lineRule="auto"/>
              <w:jc w:val="center"/>
            </w:pPr>
            <w:r>
              <w:rPr>
                <w:highlight w:val="yellow"/>
              </w:rPr>
            </w:r>
            <w:r>
              <w:rPr>
                <w:b w:val="0"/>
                <w:i w:val="0"/>
                <w:sz w:val="16"/>
                <w:highlight w:val="yellow"/>
              </w:rPr>
              <w:t>2.0</w:t>
            </w:r>
          </w:p>
        </w:tc>
        <w:tc>
          <w:tcPr>
            <w:tcW w:type="dxa" w:w="1440"/>
            <w:vAlign w:val="center"/>
          </w:tcPr>
          <w:p>
            <w:pPr>
              <w:spacing w:before="0" w:after="0" w:line="240" w:lineRule="auto"/>
              <w:jc w:val="center"/>
            </w:pPr>
            <w:r>
              <w:rPr>
                <w:highlight w:val="yellow"/>
              </w:rPr>
            </w:r>
            <w:r>
              <w:rPr>
                <w:b w:val="0"/>
                <w:i w:val="0"/>
                <w:sz w:val="16"/>
                <w:highlight w:val="yellow"/>
              </w:rPr>
              <w:t>2.2</w:t>
            </w:r>
          </w:p>
        </w:tc>
        <w:tc>
          <w:tcPr>
            <w:tcW w:type="dxa" w:w="1800"/>
            <w:vAlign w:val="center"/>
          </w:tcPr>
          <w:p>
            <w:pPr>
              <w:spacing w:before="0" w:after="0" w:line="240" w:lineRule="auto"/>
              <w:jc w:val="center"/>
            </w:pPr>
            <w:r>
              <w:rPr>
                <w:highlight w:val="yellow"/>
              </w:rPr>
            </w:r>
            <w:r>
              <w:rPr>
                <w:b w:val="0"/>
                <w:i w:val="0"/>
                <w:sz w:val="16"/>
                <w:highlight w:val="yellow"/>
              </w:rPr>
              <w:t>2.5</w:t>
            </w:r>
          </w:p>
        </w:tc>
      </w:tr>
      <w:tr>
        <w:trPr>
          <w:cantSplit/>
        </w:trPr>
        <w:tc>
          <w:tcPr>
            <w:tcW w:type="dxa" w:w="3240"/>
            <w:vAlign w:val="center"/>
          </w:tcPr>
          <w:p>
            <w:pPr>
              <w:spacing w:before="0" w:after="0" w:line="240" w:lineRule="auto"/>
              <w:jc w:val="left"/>
            </w:pPr>
            <w:r>
              <w:rPr>
                <w:highlight w:val="yellow"/>
              </w:rPr>
            </w:r>
            <w:r>
              <w:rPr>
                <w:b w:val="0"/>
                <w:i w:val="0"/>
                <w:sz w:val="16"/>
                <w:highlight w:val="yellow"/>
              </w:rPr>
              <w:t>CV toxic threshold (mg L</w:t>
            </w:r>
            <w:r>
              <w:rPr>
                <w:b w:val="0"/>
                <w:i w:val="0"/>
                <w:sz w:val="16"/>
                <w:highlight w:val="yellow"/>
                <w:vertAlign w:val="superscript"/>
              </w:rPr>
              <w:t>−1</w:t>
            </w:r>
            <w:r>
              <w:rPr>
                <w:b w:val="0"/>
                <w:i w:val="0"/>
                <w:sz w:val="16"/>
                <w:highlight w:val="yellow"/>
              </w:rPr>
              <w:t>)</w:t>
            </w:r>
          </w:p>
        </w:tc>
        <w:tc>
          <w:tcPr>
            <w:tcW w:type="dxa" w:w="1296"/>
            <w:vAlign w:val="center"/>
          </w:tcPr>
          <w:p>
            <w:pPr>
              <w:spacing w:before="0" w:after="0" w:line="240" w:lineRule="auto"/>
              <w:jc w:val="center"/>
            </w:pPr>
            <w:r>
              <w:rPr>
                <w:highlight w:val="yellow"/>
              </w:rPr>
            </w:r>
            <w:r>
              <w:rPr>
                <w:b w:val="0"/>
                <w:i w:val="0"/>
                <w:sz w:val="16"/>
                <w:highlight w:val="yellow"/>
              </w:rPr>
              <w:t>10.0</w:t>
            </w:r>
          </w:p>
        </w:tc>
        <w:tc>
          <w:tcPr>
            <w:tcW w:type="dxa" w:w="1512"/>
            <w:vAlign w:val="center"/>
          </w:tcPr>
          <w:p>
            <w:pPr>
              <w:spacing w:before="0" w:after="0" w:line="240" w:lineRule="auto"/>
              <w:jc w:val="center"/>
            </w:pPr>
            <w:r>
              <w:rPr>
                <w:highlight w:val="yellow"/>
              </w:rPr>
            </w:r>
            <w:r>
              <w:rPr>
                <w:b w:val="0"/>
                <w:i w:val="0"/>
                <w:sz w:val="16"/>
                <w:highlight w:val="yellow"/>
              </w:rPr>
              <w:t>4.0</w:t>
            </w:r>
          </w:p>
        </w:tc>
        <w:tc>
          <w:tcPr>
            <w:tcW w:type="dxa" w:w="1440"/>
            <w:vAlign w:val="center"/>
          </w:tcPr>
          <w:p>
            <w:pPr>
              <w:spacing w:before="0" w:after="0" w:line="240" w:lineRule="auto"/>
              <w:jc w:val="center"/>
            </w:pPr>
            <w:r>
              <w:rPr>
                <w:highlight w:val="yellow"/>
              </w:rPr>
            </w:r>
            <w:r>
              <w:rPr>
                <w:b w:val="0"/>
                <w:i w:val="0"/>
                <w:sz w:val="16"/>
                <w:highlight w:val="yellow"/>
              </w:rPr>
              <w:t>5.3</w:t>
            </w:r>
          </w:p>
        </w:tc>
        <w:tc>
          <w:tcPr>
            <w:tcW w:type="dxa" w:w="1800"/>
            <w:vAlign w:val="center"/>
          </w:tcPr>
          <w:p>
            <w:pPr>
              <w:spacing w:before="0" w:after="0" w:line="240" w:lineRule="auto"/>
              <w:jc w:val="center"/>
            </w:pPr>
            <w:r>
              <w:rPr>
                <w:highlight w:val="yellow"/>
              </w:rPr>
            </w:r>
            <w:r>
              <w:rPr>
                <w:b w:val="0"/>
                <w:i w:val="0"/>
                <w:sz w:val="16"/>
                <w:highlight w:val="yellow"/>
              </w:rPr>
              <w:t>5.0</w:t>
            </w:r>
          </w:p>
        </w:tc>
      </w:tr>
      <w:tr>
        <w:trPr>
          <w:cantSplit/>
        </w:trPr>
        <w:tc>
          <w:tcPr>
            <w:tcW w:type="dxa" w:w="3240"/>
            <w:vAlign w:val="center"/>
          </w:tcPr>
          <w:p>
            <w:pPr>
              <w:spacing w:before="0" w:after="0" w:line="240" w:lineRule="auto"/>
              <w:jc w:val="left"/>
            </w:pPr>
            <w:r>
              <w:rPr>
                <w:highlight w:val="yellow"/>
              </w:rPr>
            </w:r>
            <w:r>
              <w:rPr>
                <w:b w:val="0"/>
                <w:i w:val="0"/>
                <w:sz w:val="16"/>
                <w:highlight w:val="yellow"/>
              </w:rPr>
              <w:t>Protein binding (fraction)</w:t>
            </w:r>
          </w:p>
        </w:tc>
        <w:tc>
          <w:tcPr>
            <w:tcW w:type="dxa" w:w="1296"/>
            <w:vAlign w:val="center"/>
          </w:tcPr>
          <w:p>
            <w:pPr>
              <w:spacing w:before="0" w:after="0" w:line="240" w:lineRule="auto"/>
              <w:jc w:val="center"/>
            </w:pPr>
            <w:r>
              <w:rPr>
                <w:highlight w:val="yellow"/>
              </w:rPr>
            </w:r>
            <w:r>
              <w:rPr>
                <w:b w:val="0"/>
                <w:i w:val="0"/>
                <w:sz w:val="16"/>
                <w:highlight w:val="yellow"/>
              </w:rPr>
              <w:t>0.65</w:t>
            </w:r>
          </w:p>
        </w:tc>
        <w:tc>
          <w:tcPr>
            <w:tcW w:type="dxa" w:w="1512"/>
            <w:vAlign w:val="center"/>
          </w:tcPr>
          <w:p>
            <w:pPr>
              <w:spacing w:before="0" w:after="0" w:line="240" w:lineRule="auto"/>
              <w:jc w:val="center"/>
            </w:pPr>
            <w:r>
              <w:rPr>
                <w:highlight w:val="yellow"/>
              </w:rPr>
            </w:r>
            <w:r>
              <w:rPr>
                <w:b w:val="0"/>
                <w:i w:val="0"/>
                <w:sz w:val="16"/>
                <w:highlight w:val="yellow"/>
              </w:rPr>
              <w:t>0.95</w:t>
            </w:r>
          </w:p>
        </w:tc>
        <w:tc>
          <w:tcPr>
            <w:tcW w:type="dxa" w:w="1440"/>
            <w:vAlign w:val="center"/>
          </w:tcPr>
          <w:p>
            <w:pPr>
              <w:spacing w:before="0" w:after="0" w:line="240" w:lineRule="auto"/>
              <w:jc w:val="center"/>
            </w:pPr>
            <w:r>
              <w:rPr>
                <w:highlight w:val="yellow"/>
              </w:rPr>
            </w:r>
            <w:r>
              <w:rPr>
                <w:b w:val="0"/>
                <w:i w:val="0"/>
                <w:sz w:val="16"/>
                <w:highlight w:val="yellow"/>
              </w:rPr>
              <w:t>0.94</w:t>
            </w:r>
          </w:p>
        </w:tc>
        <w:tc>
          <w:tcPr>
            <w:tcW w:type="dxa" w:w="1800"/>
            <w:vAlign w:val="center"/>
          </w:tcPr>
          <w:p>
            <w:pPr>
              <w:spacing w:before="0" w:after="0" w:line="240" w:lineRule="auto"/>
              <w:jc w:val="center"/>
            </w:pPr>
            <w:r>
              <w:rPr>
                <w:highlight w:val="yellow"/>
              </w:rPr>
            </w:r>
            <w:r>
              <w:rPr>
                <w:b w:val="0"/>
                <w:i w:val="0"/>
                <w:sz w:val="16"/>
                <w:highlight w:val="yellow"/>
              </w:rPr>
              <w:t>0.97</w:t>
            </w:r>
          </w:p>
        </w:tc>
      </w:tr>
      <w:tr>
        <w:trPr>
          <w:cantSplit/>
        </w:trPr>
        <w:tc>
          <w:tcPr>
            <w:tcW w:type="dxa" w:w="3240"/>
            <w:vAlign w:val="center"/>
          </w:tcPr>
          <w:p>
            <w:pPr>
              <w:spacing w:before="0" w:after="0" w:line="240" w:lineRule="auto"/>
              <w:jc w:val="left"/>
            </w:pPr>
            <w:r>
              <w:rPr>
                <w:highlight w:val="yellow"/>
              </w:rPr>
            </w:r>
            <w:r>
              <w:rPr>
                <w:b w:val="0"/>
                <w:i w:val="0"/>
                <w:sz w:val="16"/>
                <w:highlight w:val="yellow"/>
              </w:rPr>
              <w:t>pK</w:t>
            </w:r>
            <w:r>
              <w:rPr>
                <w:b w:val="0"/>
                <w:i w:val="0"/>
                <w:sz w:val="16"/>
                <w:highlight w:val="yellow"/>
                <w:vertAlign w:val="subscript"/>
              </w:rPr>
              <w:t>a</w:t>
            </w:r>
          </w:p>
        </w:tc>
        <w:tc>
          <w:tcPr>
            <w:tcW w:type="dxa" w:w="1296"/>
            <w:vAlign w:val="center"/>
          </w:tcPr>
          <w:p>
            <w:pPr>
              <w:spacing w:before="0" w:after="0" w:line="240" w:lineRule="auto"/>
              <w:jc w:val="center"/>
            </w:pPr>
            <w:r>
              <w:rPr>
                <w:highlight w:val="yellow"/>
              </w:rPr>
            </w:r>
            <w:r>
              <w:rPr>
                <w:b w:val="0"/>
                <w:i w:val="0"/>
                <w:sz w:val="16"/>
                <w:highlight w:val="yellow"/>
              </w:rPr>
              <w:t>7.9</w:t>
            </w:r>
          </w:p>
        </w:tc>
        <w:tc>
          <w:tcPr>
            <w:tcW w:type="dxa" w:w="1512"/>
            <w:vAlign w:val="center"/>
          </w:tcPr>
          <w:p>
            <w:pPr>
              <w:spacing w:before="0" w:after="0" w:line="240" w:lineRule="auto"/>
              <w:jc w:val="center"/>
            </w:pPr>
            <w:r>
              <w:rPr>
                <w:highlight w:val="yellow"/>
              </w:rPr>
            </w:r>
            <w:r>
              <w:rPr>
                <w:b w:val="0"/>
                <w:i w:val="0"/>
                <w:sz w:val="16"/>
                <w:highlight w:val="yellow"/>
              </w:rPr>
              <w:t>8.1</w:t>
            </w:r>
          </w:p>
        </w:tc>
        <w:tc>
          <w:tcPr>
            <w:tcW w:type="dxa" w:w="1440"/>
            <w:vAlign w:val="center"/>
          </w:tcPr>
          <w:p>
            <w:pPr>
              <w:spacing w:before="0" w:after="0" w:line="240" w:lineRule="auto"/>
              <w:jc w:val="center"/>
            </w:pPr>
            <w:r>
              <w:rPr>
                <w:highlight w:val="yellow"/>
              </w:rPr>
            </w:r>
            <w:r>
              <w:rPr>
                <w:b w:val="0"/>
                <w:i w:val="0"/>
                <w:sz w:val="16"/>
                <w:highlight w:val="yellow"/>
              </w:rPr>
              <w:t>8.1</w:t>
            </w:r>
          </w:p>
        </w:tc>
        <w:tc>
          <w:tcPr>
            <w:tcW w:type="dxa" w:w="1800"/>
            <w:vAlign w:val="center"/>
          </w:tcPr>
          <w:p>
            <w:pPr>
              <w:spacing w:before="0" w:after="0" w:line="240" w:lineRule="auto"/>
              <w:jc w:val="center"/>
            </w:pPr>
            <w:r>
              <w:rPr>
                <w:highlight w:val="yellow"/>
              </w:rPr>
            </w:r>
            <w:r>
              <w:rPr>
                <w:b w:val="0"/>
                <w:i w:val="0"/>
                <w:sz w:val="16"/>
                <w:highlight w:val="yellow"/>
              </w:rPr>
              <w:t>8.1</w:t>
            </w:r>
          </w:p>
        </w:tc>
      </w:tr>
      <w:tr>
        <w:trPr>
          <w:cantSplit/>
        </w:trPr>
        <w:tc>
          <w:tcPr>
            <w:tcW w:type="dxa" w:w="3240"/>
            <w:vAlign w:val="center"/>
          </w:tcPr>
          <w:p>
            <w:pPr>
              <w:spacing w:before="0" w:after="0" w:line="240" w:lineRule="auto"/>
              <w:jc w:val="left"/>
            </w:pPr>
            <w:r>
              <w:rPr>
                <w:highlight w:val="yellow"/>
              </w:rPr>
            </w:r>
            <w:r>
              <w:rPr>
                <w:b w:val="0"/>
                <w:i w:val="0"/>
                <w:sz w:val="16"/>
                <w:highlight w:val="yellow"/>
              </w:rPr>
              <w:t>Molecular weight (g mol</w:t>
            </w:r>
            <w:r>
              <w:rPr>
                <w:b w:val="0"/>
                <w:i w:val="0"/>
                <w:sz w:val="16"/>
                <w:highlight w:val="yellow"/>
                <w:vertAlign w:val="superscript"/>
              </w:rPr>
              <w:t>−1</w:t>
            </w:r>
            <w:r>
              <w:rPr>
                <w:b w:val="0"/>
                <w:i w:val="0"/>
                <w:sz w:val="16"/>
                <w:highlight w:val="yellow"/>
              </w:rPr>
              <w:t>)</w:t>
            </w:r>
          </w:p>
        </w:tc>
        <w:tc>
          <w:tcPr>
            <w:tcW w:type="dxa" w:w="1296"/>
            <w:vAlign w:val="center"/>
          </w:tcPr>
          <w:p>
            <w:pPr>
              <w:spacing w:before="0" w:after="0" w:line="240" w:lineRule="auto"/>
              <w:jc w:val="center"/>
            </w:pPr>
            <w:r>
              <w:rPr>
                <w:highlight w:val="yellow"/>
              </w:rPr>
            </w:r>
            <w:r>
              <w:rPr>
                <w:b w:val="0"/>
                <w:i w:val="0"/>
                <w:sz w:val="16"/>
                <w:highlight w:val="yellow"/>
              </w:rPr>
              <w:t>234.3</w:t>
            </w:r>
          </w:p>
        </w:tc>
        <w:tc>
          <w:tcPr>
            <w:tcW w:type="dxa" w:w="1512"/>
            <w:vAlign w:val="center"/>
          </w:tcPr>
          <w:p>
            <w:pPr>
              <w:spacing w:before="0" w:after="0" w:line="240" w:lineRule="auto"/>
              <w:jc w:val="center"/>
            </w:pPr>
            <w:r>
              <w:rPr>
                <w:highlight w:val="yellow"/>
              </w:rPr>
            </w:r>
            <w:r>
              <w:rPr>
                <w:b w:val="0"/>
                <w:i w:val="0"/>
                <w:sz w:val="16"/>
                <w:highlight w:val="yellow"/>
              </w:rPr>
              <w:t>288.4</w:t>
            </w:r>
          </w:p>
        </w:tc>
        <w:tc>
          <w:tcPr>
            <w:tcW w:type="dxa" w:w="1440"/>
            <w:vAlign w:val="center"/>
          </w:tcPr>
          <w:p>
            <w:pPr>
              <w:spacing w:before="0" w:after="0" w:line="240" w:lineRule="auto"/>
              <w:jc w:val="center"/>
            </w:pPr>
            <w:r>
              <w:rPr>
                <w:highlight w:val="yellow"/>
              </w:rPr>
            </w:r>
            <w:r>
              <w:rPr>
                <w:b w:val="0"/>
                <w:i w:val="0"/>
                <w:sz w:val="16"/>
                <w:highlight w:val="yellow"/>
              </w:rPr>
              <w:t>274.4</w:t>
            </w:r>
          </w:p>
        </w:tc>
        <w:tc>
          <w:tcPr>
            <w:tcW w:type="dxa" w:w="1800"/>
            <w:vAlign w:val="center"/>
          </w:tcPr>
          <w:p>
            <w:pPr>
              <w:spacing w:before="0" w:after="0" w:line="240" w:lineRule="auto"/>
              <w:jc w:val="center"/>
            </w:pPr>
            <w:r>
              <w:rPr>
                <w:highlight w:val="yellow"/>
              </w:rPr>
            </w:r>
            <w:r>
              <w:rPr>
                <w:b w:val="0"/>
                <w:i w:val="0"/>
                <w:sz w:val="16"/>
                <w:highlight w:val="yellow"/>
              </w:rPr>
              <w:t>288.4</w:t>
            </w:r>
          </w:p>
        </w:tc>
      </w:tr>
    </w:tbl>
    <w:p>
      <w:pPr>
        <w:pStyle w:val="BodyText"/>
      </w:pPr>
      <w:r>
        <w:rPr>
          <w:highlight w:val="yellow"/>
        </w:rPr>
        <w:t xml:space="preserve">Disposition sources: lidocaine and bupivacaine</w:t>
      </w:r>
      <w:r>
        <w:rPr>
          <w:highlight w:val="yellow"/>
        </w:rPr>
        <w:t xml:space="preserve"> </w:t>
      </w:r>
      <w:r>
        <w:rPr>
          <w:highlight w:val="yellow"/>
        </w:rPr>
        <w:t xml:space="preserve">[10,11]</w:t>
      </w:r>
      <w:r>
        <w:rPr>
          <w:highlight w:val="yellow"/>
        </w:rPr>
        <w:t xml:space="preserve">; ropivacaine and</w:t>
      </w:r>
      <w:r>
        <w:rPr>
          <w:highlight w:val="yellow"/>
        </w:rPr>
        <w:t xml:space="preserve"> </w:t>
      </w:r>
      <w:r>
        <w:rPr>
          <w:highlight w:val="yellow"/>
        </w:rPr>
        <w:t xml:space="preserve">levobupivacaine disposition and toxicity thresholds are taken from the manufacturer and</w:t>
      </w:r>
      <w:r>
        <w:rPr>
          <w:highlight w:val="yellow"/>
        </w:rPr>
        <w:t xml:space="preserve"> </w:t>
      </w:r>
      <w:r>
        <w:rPr>
          <w:highlight w:val="yellow"/>
        </w:rPr>
        <w:t xml:space="preserve">review literature cited in the package source. Values are provided as reasonable defaults</w:t>
      </w:r>
      <w:r>
        <w:rPr>
          <w:highlight w:val="yellow"/>
        </w:rPr>
        <w:t xml:space="preserve"> </w:t>
      </w:r>
      <w:r>
        <w:rPr>
          <w:highlight w:val="yellow"/>
        </w:rPr>
        <w:t xml:space="preserve">for illustration and can be overridden by the user.</w:t>
      </w:r>
    </w:p>
    <w:p>
      <w:pPr>
        <w:pStyle w:val="Heading3"/>
      </w:pPr>
      <w:bookmarkStart w:id="34" w:name="epidural-administration-approximation"/>
      <w:r>
        <w:t xml:space="preserve">2.2.4 Epidural administration approximation</w:t>
      </w:r>
      <w:bookmarkEnd w:id="34"/>
    </w:p>
    <w:p>
      <w:pPr>
        <w:pStyle w:val="FirstParagraph"/>
      </w:pPr>
      <w:r>
        <w:t xml:space="preserve">Epidural administration can be approximated using the Depot compartment in yoshika.</w:t>
      </w:r>
      <w:r>
        <w:t xml:space="preserve"> </w:t>
      </w:r>
      <w:r>
        <w:t xml:space="preserve">In epidural anesthesia, the drug is injected into the epidural space and is absorbed</w:t>
      </w:r>
      <w:r>
        <w:t xml:space="preserve"> </w:t>
      </w:r>
      <w:r>
        <w:t xml:space="preserve">into the systemic circulation primarily through epidural venous plexus uptake, with</w:t>
      </w:r>
      <w:r>
        <w:t xml:space="preserve"> </w:t>
      </w:r>
      <w:r>
        <w:t xml:space="preserve">concurrent diffusion across the dura into the cerebrospinal fluid (CSF). This absorption</w:t>
      </w:r>
      <w:r>
        <w:t xml:space="preserve"> </w:t>
      </w:r>
      <w:r>
        <w:t xml:space="preserve">process follows approximately first-order kinetics, which is modeled by the depot</w:t>
      </w:r>
      <w:r>
        <w:t xml:space="preserve"> </w:t>
      </w:r>
      <w:r>
        <w:t xml:space="preserve">compartment’s absorption rate constant (</w:t>
      </w:r>
      <m:oMath>
        <m:sSub>
          <m:e>
            <m:r>
              <m:t>k</m:t>
            </m:r>
          </m:e>
          <m:sub>
            <m:r>
              <m:t>a</m:t>
            </m:r>
          </m:sub>
        </m:sSub>
      </m:oMath>
      <w:r>
        <w:t xml:space="preserve">). While the actual epidural pharmacokinetics</w:t>
      </w:r>
      <w:r>
        <w:t xml:space="preserve"> </w:t>
      </w:r>
      <w:r>
        <w:t xml:space="preserve">involves parallel pathways (vascular absorption, dural penetration, and epidural fat</w:t>
      </w:r>
      <w:r>
        <w:t xml:space="preserve"> </w:t>
      </w:r>
      <w:r>
        <w:t xml:space="preserve">sequestration), the depot model provides a reasonable first-order approximation of the</w:t>
      </w:r>
      <w:r>
        <w:t xml:space="preserve"> </w:t>
      </w:r>
      <w:r>
        <w:t xml:space="preserve">systemic absorption phase</w:t>
      </w:r>
      <w:r>
        <w:t xml:space="preserve"> </w:t>
      </w:r>
      <w:r>
        <w:t xml:space="preserve">[11]</w:t>
      </w:r>
      <w:r>
        <w:t xml:space="preserve">.</w:t>
      </w:r>
    </w:p>
    <w:p>
      <w:pPr>
        <w:pStyle w:val="BodyText"/>
      </w:pPr>
      <w:r>
        <w:rPr>
          <w:highlight w:val="yellow"/>
        </w:rPr>
        <w:t xml:space="preserve">Users can adjust the</w:t>
      </w:r>
      <w:r>
        <w:rPr>
          <w:highlight w:val="yellow"/>
        </w:rPr>
        <w:t xml:space="preserve"> </w:t>
      </w:r>
      <m:oMath>
        <m:sSub>
          <m:e>
            <m:r>
              <m:t>k</m:t>
            </m:r>
          </m:e>
          <m:sub>
            <m:r>
              <m:t>a</m:t>
            </m:r>
          </m:sub>
        </m:sSub>
      </m:oMath>
      <w:r>
        <w:rPr>
          <w:highlight w:val="yellow"/>
        </w:rPr>
        <w:t xml:space="preserve"> </w:t>
      </w:r>
      <w:r>
        <w:rPr>
          <w:highlight w:val="yellow"/>
        </w:rPr>
        <w:t xml:space="preserve">parameter to match published epidural absorption rates for</w:t>
      </w:r>
      <w:r>
        <w:rPr>
          <w:highlight w:val="yellow"/>
        </w:rPr>
        <w:t xml:space="preserve"> </w:t>
      </w:r>
      <w:r>
        <w:rPr>
          <w:highlight w:val="yellow"/>
        </w:rPr>
        <w:t xml:space="preserve">specific local anesthetics. For example, epidural lidocaine has a reported systemic</w:t>
      </w:r>
      <w:r>
        <w:rPr>
          <w:highlight w:val="yellow"/>
        </w:rPr>
        <w:t xml:space="preserve"> </w:t>
      </w:r>
      <w:r>
        <w:rPr>
          <w:highlight w:val="yellow"/>
        </w:rPr>
        <w:t xml:space="preserve">absorption half-life of approximately 10–20 minutes, corresponding to</w:t>
      </w:r>
      <w:r>
        <w:rPr>
          <w:highlight w:val="yellow"/>
        </w:rPr>
        <w:t xml:space="preserve"> </w:t>
      </w:r>
      <m:oMath>
        <m:sSub>
          <m:e>
            <m:r>
              <m:t>k</m:t>
            </m:r>
          </m:e>
          <m:sub>
            <m:r>
              <m:t>a</m:t>
            </m:r>
          </m:sub>
        </m:sSub>
      </m:oMath>
      <w:r>
        <w:rPr>
          <w:highlight w:val="yellow"/>
        </w:rPr>
        <w:t xml:space="preserve"> </w:t>
      </w:r>
      <w:r>
        <w:rPr>
          <w:highlight w:val="yellow"/>
        </w:rPr>
        <w:t xml:space="preserve">values of</w:t>
      </w:r>
      <w:r>
        <w:rPr>
          <w:highlight w:val="yellow"/>
        </w:rPr>
        <w:t xml:space="preserve"> </w:t>
      </w:r>
      <w:r>
        <w:rPr>
          <w:highlight w:val="yellow"/>
        </w:rPr>
        <w:t xml:space="preserve">0.035–0.069 min</w:t>
      </w:r>
      <m:oMath>
        <m:sSup>
          <m:e>
            <m:r>
              <m:t>​</m:t>
            </m:r>
          </m:e>
          <m:sup>
            <m:r>
              <m:t>−</m:t>
            </m:r>
            <m:r>
              <m:t>1</m:t>
            </m:r>
          </m:sup>
        </m:sSup>
      </m:oMath>
      <w:r>
        <w:rPr>
          <w:highlight w:val="yellow"/>
        </w:rPr>
        <w:t xml:space="preserve">.</w:t>
      </w:r>
    </w:p>
    <w:p>
      <w:pPr>
        <w:pStyle w:val="Heading3"/>
      </w:pPr>
      <w:bookmarkStart w:id="35" w:name="Xdfa05e3a0177698fb28ed7fb48cb739bbe63297"/>
      <w:r>
        <w:t xml:space="preserve">2.2.5 Limitations: spinal (intrathecal) administration</w:t>
      </w:r>
      <w:bookmarkEnd w:id="35"/>
    </w:p>
    <w:p>
      <w:pPr>
        <w:pStyle w:val="FirstParagraph"/>
      </w:pPr>
      <w:r>
        <w:t xml:space="preserve">Spinal (subarachnoid/intrathecal) administration is not modeled in the current version</w:t>
      </w:r>
      <w:r>
        <w:t xml:space="preserve"> </w:t>
      </w:r>
      <w:r>
        <w:t xml:space="preserve">of yoshika. Intrathecal injection delivers drug directly into the cerebrospinal fluid</w:t>
      </w:r>
      <w:r>
        <w:t xml:space="preserve"> </w:t>
      </w:r>
      <w:r>
        <w:t xml:space="preserve">(CSF), involving unique pharmacokinetics (CSF spread, direct spinal cord uptake, and</w:t>
      </w:r>
      <w:r>
        <w:t xml:space="preserve"> </w:t>
      </w:r>
      <w:r>
        <w:t xml:space="preserve">subsequent systemic absorption) that differ fundamentally from the peripheral compartment</w:t>
      </w:r>
      <w:r>
        <w:t xml:space="preserve"> </w:t>
      </w:r>
      <w:r>
        <w:t xml:space="preserve">model. Additionally, spinal anesthesia is predominantly a single-shot technique with</w:t>
      </w:r>
      <w:r>
        <w:t xml:space="preserve"> </w:t>
      </w:r>
      <w:r>
        <w:t xml:space="preserve">relatively small doses (e.g., bupivacaine 10–15 mg), making systemic toxicity modeling</w:t>
      </w:r>
      <w:r>
        <w:t xml:space="preserve"> </w:t>
      </w:r>
      <w:r>
        <w:t xml:space="preserve">less clinically relevant compared to larger-dose peripheral nerve blocks and epidural</w:t>
      </w:r>
      <w:r>
        <w:t xml:space="preserve"> </w:t>
      </w:r>
      <w:r>
        <w:t xml:space="preserve">techniques.</w:t>
      </w:r>
    </w:p>
    <w:p>
      <w:pPr>
        <w:pStyle w:val="Heading2"/>
      </w:pPr>
      <w:bookmarkStart w:id="36" w:name="X90c9cf9e5ac40f2db68ab79f604cd59912b964b"/>
      <w:r>
        <w:rPr>
          <w:highlight w:val="yellow"/>
        </w:rPr>
        <w:t xml:space="preserve">2.3 Availability, installation, documentation, and testing</w:t>
      </w:r>
      <w:bookmarkEnd w:id="36"/>
    </w:p>
    <w:p>
      <w:pPr>
        <w:pStyle w:val="FirstParagraph"/>
      </w:pPr>
      <w:r>
        <w:rPr>
          <w:highlight w:val="yellow"/>
        </w:rPr>
        <w:t xml:space="preserve">yoshika is released under the MIT license. The source code, documentation, and issue</w:t>
      </w:r>
      <w:r>
        <w:rPr>
          <w:highlight w:val="yellow"/>
        </w:rPr>
        <w:t xml:space="preserve"> </w:t>
      </w:r>
      <w:r>
        <w:rPr>
          <w:highlight w:val="yellow"/>
        </w:rPr>
        <w:t xml:space="preserve">tracker are hosted on a public repository, and tagged releases are archived and installable</w:t>
      </w:r>
      <w:r>
        <w:rPr>
          <w:highlight w:val="yellow"/>
        </w:rPr>
        <w:t xml:space="preserve"> </w:t>
      </w:r>
      <w:r>
        <w:rPr>
          <w:highlight w:val="yellow"/>
        </w:rPr>
        <w:t xml:space="preserve">from the Python Package Index (PyPI). The results in this paper were produced with version</w:t>
      </w:r>
      <w:r>
        <w:rPr>
          <w:highlight w:val="yellow"/>
        </w:rPr>
        <w:t xml:space="preserve"> </w:t>
      </w:r>
      <w:r>
        <w:rPr>
          <w:highlight w:val="yellow"/>
        </w:rPr>
        <w:t xml:space="preserve">0.1.0. Installation requires only a standard scientific Python stack (Python</w:t>
      </w:r>
      <w:r>
        <w:rPr>
          <w:highlight w:val="yellow"/>
        </w:rPr>
        <w:t xml:space="preserve"> </w:t>
      </w:r>
      <m:oMath>
        <m:r>
          <m:t>≥</m:t>
        </m:r>
      </m:oMath>
      <w:r>
        <w:rPr>
          <w:highlight w:val="yellow"/>
        </w:rPr>
        <w:t xml:space="preserve"> </w:t>
      </w:r>
      <w:r>
        <w:rPr>
          <w:highlight w:val="yellow"/>
        </w:rPr>
        <w:t xml:space="preserve">3.9,</w:t>
      </w:r>
      <w:r>
        <w:rPr>
          <w:highlight w:val="yellow"/>
        </w:rPr>
        <w:t xml:space="preserve"> </w:t>
      </w:r>
      <w:r>
        <w:rPr>
          <w:highlight w:val="yellow"/>
        </w:rPr>
        <w:t xml:space="preserve">NumPy, SciPy, Matplotlib) and is performed with a single command:</w:t>
      </w:r>
    </w:p>
    <w:p>
      <w:pPr>
        <w:pStyle w:val="SourceCode"/>
      </w:pPr>
      <w:r>
        <w:rPr>
          <w:rStyle w:val="VerbatimChar"/>
          <w:highlight w:val="yellow"/>
        </w:rPr>
        <w:t xml:space="preserve">pip install yoshika</w:t>
      </w:r>
    </w:p>
    <w:p>
      <w:pPr>
        <w:pStyle w:val="FirstParagraph"/>
      </w:pPr>
      <w:r>
        <w:rPr>
          <w:highlight w:val="yellow"/>
        </w:rPr>
        <w:t xml:space="preserve">The package ships with a test suite (executed with</w:t>
      </w:r>
      <w:r>
        <w:rPr>
          <w:highlight w:val="yellow"/>
        </w:rPr>
        <w:t xml:space="preserve"> </w:t>
      </w:r>
      <w:r>
        <w:rPr>
          <w:rStyle w:val="VerbatimChar"/>
          <w:highlight w:val="yellow"/>
        </w:rPr>
        <w:t xml:space="preserve">pytest</w:t>
      </w:r>
      <w:r>
        <w:rPr>
          <w:highlight w:val="yellow"/>
        </w:rPr>
        <w:t xml:space="preserve">) covering: (i) mass conservation</w:t>
      </w:r>
      <w:r>
        <w:rPr>
          <w:highlight w:val="yellow"/>
        </w:rPr>
        <w:t xml:space="preserve"> </w:t>
      </w:r>
      <w:r>
        <w:rPr>
          <w:highlight w:val="yellow"/>
        </w:rPr>
        <w:t xml:space="preserve">of the ODE system in the absence of elimination; (ii) agreement of the numerical central-compartment</w:t>
      </w:r>
      <w:r>
        <w:rPr>
          <w:highlight w:val="yellow"/>
        </w:rPr>
        <w:t xml:space="preserve"> </w:t>
      </w:r>
      <w:r>
        <w:rPr>
          <w:highlight w:val="yellow"/>
        </w:rPr>
        <w:t xml:space="preserve">solution with the closed-form one-compartment bolus solution as a limiting case; (iii) monotonic</w:t>
      </w:r>
      <w:r>
        <w:rPr>
          <w:highlight w:val="yellow"/>
        </w:rPr>
        <w:t xml:space="preserve"> </w:t>
      </w:r>
      <w:r>
        <w:rPr>
          <w:highlight w:val="yellow"/>
        </w:rPr>
        <w:t xml:space="preserve">ordering of predicted</w:t>
      </w:r>
      <w:r>
        <w:rPr>
          <w:highlight w:val="yellow"/>
        </w:rPr>
        <w:t xml:space="preserve"> </w:t>
      </w:r>
      <m:oMath>
        <m:sSub>
          <m:e>
            <m:r>
              <m:t>C</m:t>
            </m:r>
          </m:e>
          <m:sub>
            <m:r>
              <m:t>m</m:t>
            </m:r>
            <m:r>
              <m:t>a</m:t>
            </m:r>
            <m:r>
              <m:t>x</m:t>
            </m:r>
          </m:sub>
        </m:sSub>
      </m:oMath>
      <w:r>
        <w:rPr>
          <w:highlight w:val="yellow"/>
        </w:rPr>
        <w:t xml:space="preserve"> </w:t>
      </w:r>
      <w:r>
        <w:rPr>
          <w:highlight w:val="yellow"/>
        </w:rPr>
        <w:t xml:space="preserve">across initial compartments (plasma</w:t>
      </w:r>
      <w:r>
        <w:rPr>
          <w:highlight w:val="yellow"/>
        </w:rPr>
        <w:t xml:space="preserve"> </w:t>
      </w:r>
      <m:oMath>
        <m:r>
          <m:t>≥</m:t>
        </m:r>
      </m:oMath>
      <w:r>
        <w:rPr>
          <w:highlight w:val="yellow"/>
        </w:rPr>
        <w:t xml:space="preserve"> </w:t>
      </w:r>
      <w:r>
        <w:rPr>
          <w:highlight w:val="yellow"/>
        </w:rPr>
        <w:t xml:space="preserve">vessel-rich</w:t>
      </w:r>
      <w:r>
        <w:rPr>
          <w:highlight w:val="yellow"/>
        </w:rPr>
        <w:t xml:space="preserve"> </w:t>
      </w:r>
      <m:oMath>
        <m:r>
          <m:t>≥</m:t>
        </m:r>
      </m:oMath>
      <w:r>
        <w:rPr>
          <w:highlight w:val="yellow"/>
        </w:rPr>
        <w:t xml:space="preserve"> </w:t>
      </w:r>
      <w:r>
        <w:rPr>
          <w:highlight w:val="yellow"/>
        </w:rPr>
        <w:t xml:space="preserve">vessel-poor); and (iv) reproduction of the published</w:t>
      </w:r>
      <w:r>
        <w:rPr>
          <w:highlight w:val="yellow"/>
        </w:rPr>
        <w:t xml:space="preserve"> </w:t>
      </w:r>
      <m:oMath>
        <m:sSub>
          <m:e>
            <m:r>
              <m:t>C</m:t>
            </m:r>
          </m:e>
          <m:sub>
            <m:r>
              <m:t>m</m:t>
            </m:r>
            <m:r>
              <m:t>a</m:t>
            </m:r>
            <m:r>
              <m:t>x</m:t>
            </m:r>
          </m:sub>
        </m:sSub>
      </m:oMath>
      <w:r>
        <w:rPr>
          <w:highlight w:val="yellow"/>
        </w:rPr>
        <w:t xml:space="preserve">/</w:t>
      </w:r>
      <m:oMath>
        <m:sSub>
          <m:e>
            <m:r>
              <m:t>T</m:t>
            </m:r>
          </m:e>
          <m:sub>
            <m:r>
              <m:t>m</m:t>
            </m:r>
            <m:r>
              <m:t>a</m:t>
            </m:r>
            <m:r>
              <m:t>x</m:t>
            </m:r>
          </m:sub>
        </m:sSub>
      </m:oMath>
      <w:r>
        <w:rPr>
          <w:highlight w:val="yellow"/>
        </w:rPr>
        <w:t xml:space="preserve"> </w:t>
      </w:r>
      <w:r>
        <w:rPr>
          <w:highlight w:val="yellow"/>
        </w:rPr>
        <w:t xml:space="preserve">comparison in §3.3 from the</w:t>
      </w:r>
      <w:r>
        <w:rPr>
          <w:highlight w:val="yellow"/>
        </w:rPr>
        <w:t xml:space="preserve"> </w:t>
      </w:r>
      <w:r>
        <w:rPr>
          <w:highlight w:val="yellow"/>
        </w:rPr>
        <w:t xml:space="preserve">bundled reference dataset. Worked examples, including all code used to generate the figures in</w:t>
      </w:r>
      <w:r>
        <w:rPr>
          <w:highlight w:val="yellow"/>
        </w:rPr>
        <w:t xml:space="preserve"> </w:t>
      </w:r>
      <w:r>
        <w:rPr>
          <w:highlight w:val="yellow"/>
        </w:rPr>
        <w:t xml:space="preserve">this paper, are provided in the repository.</w:t>
      </w:r>
    </w:p>
    <w:p>
      <w:pPr>
        <w:pStyle w:val="Heading1"/>
      </w:pPr>
      <w:bookmarkStart w:id="37" w:name="results-and-illustrative-examples"/>
      <w:r>
        <w:t xml:space="preserve">3. Results and illustrative examples</w:t>
      </w:r>
      <w:bookmarkEnd w:id="37"/>
    </w:p>
    <w:p>
      <w:pPr>
        <w:pStyle w:val="FirstParagraph"/>
      </w:pPr>
      <w:r>
        <w:t xml:space="preserve">The following example demonstrates the core functionality of yoshika: comparing plasma</w:t>
      </w:r>
      <w:r>
        <w:t xml:space="preserve"> </w:t>
      </w:r>
      <w:r>
        <w:t xml:space="preserve">concentration profiles of bupivacaine 150 mg administered to a 70 kg patient across three</w:t>
      </w:r>
      <w:r>
        <w:t xml:space="preserve"> </w:t>
      </w:r>
      <w:r>
        <w:t xml:space="preserve">initial compartment scenarios.</w:t>
      </w:r>
    </w:p>
    <w:p>
      <w:pPr>
        <w:pStyle w:val="SourceCode"/>
      </w:pPr>
      <w:r>
        <w:rPr>
          <w:rStyle w:val="ImportTok"/>
        </w:rPr>
        <w:t xml:space="preserve">from</w:t>
      </w:r>
      <w:r>
        <w:rPr>
          <w:rStyle w:val="NormalTok"/>
        </w:rPr>
        <w:t xml:space="preserve"> yoshika </w:t>
      </w:r>
      <w:r>
        <w:rPr>
          <w:rStyle w:val="ImportTok"/>
        </w:rPr>
        <w:t xml:space="preserve">import</w:t>
      </w:r>
      <w:r>
        <w:rPr>
          <w:rStyle w:val="NormalTok"/>
        </w:rPr>
        <w:t xml:space="preserve"> Simulator, Drug, Compartment</w:t>
      </w:r>
      <w:r>
        <w:br/>
      </w:r>
      <w:r>
        <w:rPr>
          <w:rStyle w:val="ImportTok"/>
        </w:rPr>
        <w:t xml:space="preserve">from</w:t>
      </w:r>
      <w:r>
        <w:rPr>
          <w:rStyle w:val="NormalTok"/>
        </w:rPr>
        <w:t xml:space="preserve"> yoshika.plotting </w:t>
      </w:r>
      <w:r>
        <w:rPr>
          <w:rStyle w:val="ImportTok"/>
        </w:rPr>
        <w:t xml:space="preserve">import</w:t>
      </w:r>
      <w:r>
        <w:rPr>
          <w:rStyle w:val="NormalTok"/>
        </w:rPr>
        <w:t xml:space="preserve"> plot_comparison</w:t>
      </w:r>
      <w:r>
        <w:br/>
      </w:r>
      <w:r>
        <w:rPr>
          <w:rStyle w:val="ImportTok"/>
        </w:rPr>
        <w:t xml:space="preserve">from</w:t>
      </w:r>
      <w:r>
        <w:rPr>
          <w:rStyle w:val="NormalTok"/>
        </w:rPr>
        <w:t xml:space="preserve"> yoshika.drugs </w:t>
      </w:r>
      <w:r>
        <w:rPr>
          <w:rStyle w:val="ImportTok"/>
        </w:rPr>
        <w:t xml:space="preserve">import</w:t>
      </w:r>
      <w:r>
        <w:rPr>
          <w:rStyle w:val="NormalTok"/>
        </w:rPr>
        <w:t xml:space="preserve"> DrugLibrary</w:t>
      </w:r>
      <w:r>
        <w:br/>
      </w:r>
      <w:r>
        <w:br/>
      </w:r>
      <w:r>
        <w:rPr>
          <w:rStyle w:val="NormalTok"/>
        </w:rPr>
        <w:t xml:space="preserve">sim </w:t>
      </w:r>
      <w:r>
        <w:rPr>
          <w:rStyle w:val="OperatorTok"/>
        </w:rPr>
        <w:t xml:space="preserve">=</w:t>
      </w:r>
      <w:r>
        <w:rPr>
          <w:rStyle w:val="NormalTok"/>
        </w:rPr>
        <w:t xml:space="preserve"> Simulator(drug</w:t>
      </w:r>
      <w:r>
        <w:rPr>
          <w:rStyle w:val="OperatorTok"/>
        </w:rPr>
        <w:t xml:space="preserve">=</w:t>
      </w:r>
      <w:r>
        <w:rPr>
          <w:rStyle w:val="NormalTok"/>
        </w:rPr>
        <w:t xml:space="preserve">Drug.BUPIVACAINE, dose_mg</w:t>
      </w:r>
      <w:r>
        <w:rPr>
          <w:rStyle w:val="OperatorTok"/>
        </w:rPr>
        <w:t xml:space="preserve">=</w:t>
      </w:r>
      <w:r>
        <w:rPr>
          <w:rStyle w:val="DecValTok"/>
        </w:rPr>
        <w:t xml:space="preserve">150</w:t>
      </w:r>
      <w:r>
        <w:rPr>
          <w:rStyle w:val="NormalTok"/>
        </w:rPr>
        <w:t xml:space="preserve">, weight_kg</w:t>
      </w:r>
      <w:r>
        <w:rPr>
          <w:rStyle w:val="OperatorTok"/>
        </w:rPr>
        <w:t xml:space="preserve">=</w:t>
      </w:r>
      <w:r>
        <w:rPr>
          <w:rStyle w:val="DecValTok"/>
        </w:rPr>
        <w:t xml:space="preserve">70</w:t>
      </w:r>
      <w:r>
        <w:rPr>
          <w:rStyle w:val="NormalTok"/>
        </w:rPr>
        <w:t xml:space="preserve">)</w:t>
      </w:r>
      <w:r>
        <w:br/>
      </w:r>
      <w:r>
        <w:rPr>
          <w:rStyle w:val="NormalTok"/>
        </w:rPr>
        <w:t xml:space="preserve">results </w:t>
      </w:r>
      <w:r>
        <w:rPr>
          <w:rStyle w:val="OperatorTok"/>
        </w:rPr>
        <w:t xml:space="preserve">=</w:t>
      </w:r>
      <w:r>
        <w:rPr>
          <w:rStyle w:val="NormalTok"/>
        </w:rPr>
        <w:t xml:space="preserve"> sim.compare()  </w:t>
      </w:r>
      <w:r>
        <w:rPr>
          <w:rStyle w:val="CommentTok"/>
        </w:rPr>
        <w:t xml:space="preserve"># Plasma, BRT, BPT scenarios</w:t>
      </w:r>
      <w:r>
        <w:br/>
      </w:r>
      <w:r>
        <w:rPr>
          <w:rStyle w:val="NormalTok"/>
        </w:rPr>
        <w:t xml:space="preserve">table </w:t>
      </w:r>
      <w:r>
        <w:rPr>
          <w:rStyle w:val="OperatorTok"/>
        </w:rPr>
        <w:t xml:space="preserve">=</w:t>
      </w:r>
      <w:r>
        <w:rPr>
          <w:rStyle w:val="NormalTok"/>
        </w:rPr>
        <w:t xml:space="preserve"> Simulator.summary_table(results)</w:t>
      </w:r>
      <w:r>
        <w:br/>
      </w:r>
      <w:r>
        <w:rPr>
          <w:rStyle w:val="BuiltInTok"/>
        </w:rPr>
        <w:t xml:space="preserve">print</w:t>
      </w:r>
      <w:r>
        <w:rPr>
          <w:rStyle w:val="NormalTok"/>
        </w:rPr>
        <w:t xml:space="preserve">(table)</w:t>
      </w:r>
      <w:r>
        <w:br/>
      </w:r>
      <w:r>
        <w:br/>
      </w:r>
      <w:r>
        <w:rPr>
          <w:rStyle w:val="NormalTok"/>
        </w:rPr>
        <w:t xml:space="preserve">params </w:t>
      </w:r>
      <w:r>
        <w:rPr>
          <w:rStyle w:val="OperatorTok"/>
        </w:rPr>
        <w:t xml:space="preserve">=</w:t>
      </w:r>
      <w:r>
        <w:rPr>
          <w:rStyle w:val="NormalTok"/>
        </w:rPr>
        <w:t xml:space="preserve"> DrugLibrary.get(Drug.BUPIVACAINE)</w:t>
      </w:r>
      <w:r>
        <w:br/>
      </w:r>
      <w:r>
        <w:rPr>
          <w:rStyle w:val="NormalTok"/>
        </w:rPr>
        <w:t xml:space="preserve">fig, ax </w:t>
      </w:r>
      <w:r>
        <w:rPr>
          <w:rStyle w:val="OperatorTok"/>
        </w:rPr>
        <w:t xml:space="preserve">=</w:t>
      </w:r>
      <w:r>
        <w:rPr>
          <w:rStyle w:val="NormalTok"/>
        </w:rPr>
        <w:t xml:space="preserve"> plot_comparison(results, drug_params</w:t>
      </w:r>
      <w:r>
        <w:rPr>
          <w:rStyle w:val="OperatorTok"/>
        </w:rPr>
        <w:t xml:space="preserve">=</w:t>
      </w:r>
      <w:r>
        <w:rPr>
          <w:rStyle w:val="NormalTok"/>
        </w:rPr>
        <w:t xml:space="preserve">params)</w:t>
      </w:r>
      <w:r>
        <w:br/>
      </w:r>
      <w:r>
        <w:rPr>
          <w:rStyle w:val="NormalTok"/>
        </w:rPr>
        <w:t xml:space="preserve">fig.savefig(</w:t>
      </w:r>
      <w:r>
        <w:rPr>
          <w:rStyle w:val="StringTok"/>
        </w:rPr>
        <w:t xml:space="preserve">"comparison.png"</w:t>
      </w:r>
      <w:r>
        <w:rPr>
          <w:rStyle w:val="NormalTok"/>
        </w:rPr>
        <w:t xml:space="preserve">, dpi</w:t>
      </w:r>
      <w:r>
        <w:rPr>
          <w:rStyle w:val="OperatorTok"/>
        </w:rPr>
        <w:t xml:space="preserve">=</w:t>
      </w:r>
      <w:r>
        <w:rPr>
          <w:rStyle w:val="DecValTok"/>
        </w:rPr>
        <w:t xml:space="preserve">300</w:t>
      </w:r>
      <w:r>
        <w:rPr>
          <w:rStyle w:val="NormalTok"/>
        </w:rPr>
        <w:t xml:space="preserve">)</w:t>
      </w:r>
    </w:p>
    <w:p>
      <w:pPr>
        <w:pStyle w:val="FirstParagraph"/>
      </w:pPr>
      <w:r>
        <w:rPr>
          <w:highlight w:val="yellow"/>
        </w:rPr>
        <w:t xml:space="preserve">Fig. 1 shows the three-compartment model with selectable initial compartment.</w:t>
      </w:r>
    </w:p>
    <w:p>
      <w:pPr>
        <w:pStyle w:val="CaptionedFigure"/>
      </w:pPr>
      <w:r>
        <w:drawing>
          <wp:inline>
            <wp:extent cx="5334000" cy="3773453"/>
            <wp:effectExtent b="0" l="0" r="0" t="0"/>
            <wp:docPr descr="Figure 1. Three-compartment model with selectable initial compartment (plasma highlighted)." title="" id="1" name="Picture"/>
            <a:graphic>
              <a:graphicData uri="http://schemas.openxmlformats.org/drawingml/2006/picture">
                <pic:pic>
                  <pic:nvPicPr>
                    <pic:cNvPr descr="figures/fig1_compartment_diagram_plasma.png" id="0" name="Picture"/>
                    <pic:cNvPicPr>
                      <a:picLocks noChangeArrowheads="1" noChangeAspect="1"/>
                    </pic:cNvPicPr>
                  </pic:nvPicPr>
                  <pic:blipFill>
                    <a:blip r:embed="rId38"/>
                    <a:stretch>
                      <a:fillRect/>
                    </a:stretch>
                  </pic:blipFill>
                  <pic:spPr bwMode="auto">
                    <a:xfrm>
                      <a:off x="0" y="0"/>
                      <a:ext cx="5334000" cy="3773453"/>
                    </a:xfrm>
                    <a:prstGeom prst="rect">
                      <a:avLst/>
                    </a:prstGeom>
                    <a:noFill/>
                    <a:ln w="9525">
                      <a:noFill/>
                      <a:headEnd/>
                      <a:tailEnd/>
                    </a:ln>
                  </pic:spPr>
                </pic:pic>
              </a:graphicData>
            </a:graphic>
          </wp:inline>
        </w:drawing>
      </w:r>
    </w:p>
    <w:p>
      <w:pPr>
        <w:pStyle w:val="ImageCaption"/>
      </w:pPr>
      <w:r>
        <w:rPr>
          <w:b/>
          <w:highlight w:val="yellow"/>
        </w:rPr>
        <w:t xml:space="preserve">Figure 1.</w:t>
      </w:r>
      <w:r>
        <w:rPr>
          <w:highlight w:val="yellow"/>
        </w:rPr>
        <w:t xml:space="preserve"> </w:t>
      </w:r>
      <w:r>
        <w:rPr>
          <w:highlight w:val="yellow"/>
        </w:rPr>
        <w:t xml:space="preserve">Three-compartment model with selectable initial compartment (plasma highlighted).</w:t>
      </w:r>
    </w:p>
    <w:p>
      <w:pPr>
        <w:pStyle w:val="BodyText"/>
      </w:pPr>
      <w:r>
        <w:rPr>
          <w:highlight w:val="yellow"/>
        </w:rPr>
        <w:t xml:space="preserve">Fig. 2 demonstrates the differences in plasma concentration-time profiles</w:t>
      </w:r>
      <w:r>
        <w:rPr>
          <w:highlight w:val="yellow"/>
        </w:rPr>
        <w:t xml:space="preserve"> </w:t>
      </w:r>
      <w:r>
        <w:rPr>
          <w:highlight w:val="yellow"/>
        </w:rPr>
        <w:t xml:space="preserve">when bupivacaine 150 mg is administered to the same patient but with different initial</w:t>
      </w:r>
      <w:r>
        <w:rPr>
          <w:highlight w:val="yellow"/>
        </w:rPr>
        <w:t xml:space="preserve"> </w:t>
      </w:r>
      <w:r>
        <w:rPr>
          <w:highlight w:val="yellow"/>
        </w:rPr>
        <w:t xml:space="preserve">compartments. The plasma-start scenario (equivalent to IV bolus) produces the highest and earliest</w:t>
      </w:r>
      <w:r>
        <w:rPr>
          <w:highlight w:val="yellow"/>
        </w:rPr>
        <w:t xml:space="preserve"> </w:t>
      </w:r>
      <m:oMath>
        <m:sSub>
          <m:e>
            <m:r>
              <m:t>C</m:t>
            </m:r>
          </m:e>
          <m:sub>
            <m:r>
              <m:t>m</m:t>
            </m:r>
            <m:r>
              <m:t>a</m:t>
            </m:r>
            <m:r>
              <m:t>x</m:t>
            </m:r>
          </m:sub>
        </m:sSub>
      </m:oMath>
      <w:r>
        <w:rPr>
          <w:highlight w:val="yellow"/>
        </w:rPr>
        <w:t xml:space="preserve">, exceeding the CNS toxicity threshold. The BRT-start scenario (failed block) shows intermediate</w:t>
      </w:r>
      <w:r>
        <w:rPr>
          <w:highlight w:val="yellow"/>
        </w:rPr>
        <w:t xml:space="preserve"> </w:t>
      </w:r>
      <w:r>
        <w:rPr>
          <w:highlight w:val="yellow"/>
        </w:rPr>
        <w:t xml:space="preserve">kinetics, while the BPT-start scenario (successful block) produces the lowest and most delayed</w:t>
      </w:r>
      <w:r>
        <w:rPr>
          <w:highlight w:val="yellow"/>
        </w:rPr>
        <w:t xml:space="preserve"> </w:t>
      </w:r>
      <m:oMath>
        <m:sSub>
          <m:e>
            <m:r>
              <m:t>C</m:t>
            </m:r>
          </m:e>
          <m:sub>
            <m:r>
              <m:t>m</m:t>
            </m:r>
            <m:r>
              <m:t>a</m:t>
            </m:r>
            <m:r>
              <m:t>x</m:t>
            </m:r>
          </m:sub>
        </m:sSub>
      </m:oMath>
      <w:r>
        <w:rPr>
          <w:highlight w:val="yellow"/>
        </w:rPr>
        <w:t xml:space="preserve">,</w:t>
      </w:r>
      <w:r>
        <w:rPr>
          <w:highlight w:val="yellow"/>
        </w:rPr>
        <w:t xml:space="preserve"> </w:t>
      </w:r>
      <w:r>
        <w:rPr>
          <w:highlight w:val="yellow"/>
        </w:rPr>
        <w:t xml:space="preserve">remaining below toxicity thresholds throughout.</w:t>
      </w:r>
    </w:p>
    <w:p>
      <w:pPr>
        <w:pStyle w:val="CaptionedFigure"/>
      </w:pPr>
      <w:r>
        <w:drawing>
          <wp:inline>
            <wp:extent cx="5334000" cy="3089917"/>
            <wp:effectExtent b="0" l="0" r="0" t="0"/>
            <wp:docPr descr="Figure 2. Bupivacaine 150 mg – Plasma concentration by initial compartment with toxicity thresholds." title="" id="1" name="Picture"/>
            <a:graphic>
              <a:graphicData uri="http://schemas.openxmlformats.org/drawingml/2006/picture">
                <pic:pic>
                  <pic:nvPicPr>
                    <pic:cNvPr descr="figures/fig2_bupivacaine_comparison.png" id="0" name="Picture"/>
                    <pic:cNvPicPr>
                      <a:picLocks noChangeArrowheads="1" noChangeAspect="1"/>
                    </pic:cNvPicPr>
                  </pic:nvPicPr>
                  <pic:blipFill>
                    <a:blip r:embed="rId39"/>
                    <a:stretch>
                      <a:fillRect/>
                    </a:stretch>
                  </pic:blipFill>
                  <pic:spPr bwMode="auto">
                    <a:xfrm>
                      <a:off x="0" y="0"/>
                      <a:ext cx="5334000" cy="3089917"/>
                    </a:xfrm>
                    <a:prstGeom prst="rect">
                      <a:avLst/>
                    </a:prstGeom>
                    <a:noFill/>
                    <a:ln w="9525">
                      <a:noFill/>
                      <a:headEnd/>
                      <a:tailEnd/>
                    </a:ln>
                  </pic:spPr>
                </pic:pic>
              </a:graphicData>
            </a:graphic>
          </wp:inline>
        </w:drawing>
      </w:r>
    </w:p>
    <w:p>
      <w:pPr>
        <w:pStyle w:val="ImageCaption"/>
      </w:pPr>
      <w:r>
        <w:rPr>
          <w:b/>
          <w:highlight w:val="yellow"/>
        </w:rPr>
        <w:t xml:space="preserve">Figure 2.</w:t>
      </w:r>
      <w:r>
        <w:rPr>
          <w:highlight w:val="yellow"/>
        </w:rPr>
        <w:t xml:space="preserve"> </w:t>
      </w:r>
      <w:r>
        <w:rPr>
          <w:highlight w:val="yellow"/>
        </w:rPr>
        <w:t xml:space="preserve">Bupivacaine 150 mg – Plasma concentration by initial compartment with toxicity thresholds.</w:t>
      </w:r>
    </w:p>
    <w:p>
      <w:pPr>
        <w:pStyle w:val="BodyText"/>
      </w:pPr>
      <w:r>
        <w:rPr>
          <w:highlight w:val="yellow"/>
        </w:rPr>
        <w:t xml:space="preserve">Fig. 3 extends this comparison to all four local anesthetics.</w:t>
      </w:r>
    </w:p>
    <w:p>
      <w:pPr>
        <w:pStyle w:val="CaptionedFigure"/>
      </w:pPr>
      <w:r>
        <w:drawing>
          <wp:inline>
            <wp:extent cx="5334000" cy="3934288"/>
            <wp:effectExtent b="0" l="0" r="0" t="0"/>
            <wp:docPr descr="Figure 3. Plasma concentration comparison for all four local anesthetics by initial compartment." title="" id="1" name="Picture"/>
            <a:graphic>
              <a:graphicData uri="http://schemas.openxmlformats.org/drawingml/2006/picture">
                <pic:pic>
                  <pic:nvPicPr>
                    <pic:cNvPr descr="figures/fig3_all_drugs_comparison.png" id="0" name="Picture"/>
                    <pic:cNvPicPr>
                      <a:picLocks noChangeArrowheads="1" noChangeAspect="1"/>
                    </pic:cNvPicPr>
                  </pic:nvPicPr>
                  <pic:blipFill>
                    <a:blip r:embed="rId40"/>
                    <a:stretch>
                      <a:fillRect/>
                    </a:stretch>
                  </pic:blipFill>
                  <pic:spPr bwMode="auto">
                    <a:xfrm>
                      <a:off x="0" y="0"/>
                      <a:ext cx="5334000" cy="3934288"/>
                    </a:xfrm>
                    <a:prstGeom prst="rect">
                      <a:avLst/>
                    </a:prstGeom>
                    <a:noFill/>
                    <a:ln w="9525">
                      <a:noFill/>
                      <a:headEnd/>
                      <a:tailEnd/>
                    </a:ln>
                  </pic:spPr>
                </pic:pic>
              </a:graphicData>
            </a:graphic>
          </wp:inline>
        </w:drawing>
      </w:r>
    </w:p>
    <w:p>
      <w:pPr>
        <w:pStyle w:val="ImageCaption"/>
      </w:pPr>
      <w:r>
        <w:rPr>
          <w:b/>
          <w:highlight w:val="yellow"/>
        </w:rPr>
        <w:t xml:space="preserve">Figure 3.</w:t>
      </w:r>
      <w:r>
        <w:rPr>
          <w:highlight w:val="yellow"/>
        </w:rPr>
        <w:t xml:space="preserve"> </w:t>
      </w:r>
      <w:r>
        <w:rPr>
          <w:highlight w:val="yellow"/>
        </w:rPr>
        <w:t xml:space="preserve">Plasma concentration comparison for all four local anesthetics by initial compartment.</w:t>
      </w:r>
    </w:p>
    <w:p>
      <w:pPr>
        <w:pStyle w:val="BodyText"/>
      </w:pPr>
      <w:r>
        <w:rPr>
          <w:highlight w:val="yellow"/>
        </w:rPr>
        <w:t xml:space="preserve">Fig. 4 shows the effect-site concentration and pharmacodynamic response for</w:t>
      </w:r>
      <w:r>
        <w:rPr>
          <w:highlight w:val="yellow"/>
        </w:rPr>
        <w:t xml:space="preserve"> </w:t>
      </w:r>
      <w:r>
        <w:rPr>
          <w:highlight w:val="yellow"/>
        </w:rPr>
        <w:t xml:space="preserve">bupivacaine across initial compartments.</w:t>
      </w:r>
    </w:p>
    <w:p>
      <w:pPr>
        <w:pStyle w:val="CaptionedFigure"/>
      </w:pPr>
      <w:r>
        <w:drawing>
          <wp:inline>
            <wp:extent cx="5334000" cy="3089050"/>
            <wp:effectExtent b="0" l="0" r="0" t="0"/>
            <wp:docPr descr="Figure 4. Bupivacaine – Effect-site response by initial compartment." title="" id="1" name="Picture"/>
            <a:graphic>
              <a:graphicData uri="http://schemas.openxmlformats.org/drawingml/2006/picture">
                <pic:pic>
                  <pic:nvPicPr>
                    <pic:cNvPr descr="figures/fig4_bupivacaine_effect.png" id="0" name="Picture"/>
                    <pic:cNvPicPr>
                      <a:picLocks noChangeArrowheads="1" noChangeAspect="1"/>
                    </pic:cNvPicPr>
                  </pic:nvPicPr>
                  <pic:blipFill>
                    <a:blip r:embed="rId41"/>
                    <a:stretch>
                      <a:fillRect/>
                    </a:stretch>
                  </pic:blipFill>
                  <pic:spPr bwMode="auto">
                    <a:xfrm>
                      <a:off x="0" y="0"/>
                      <a:ext cx="5334000" cy="3089050"/>
                    </a:xfrm>
                    <a:prstGeom prst="rect">
                      <a:avLst/>
                    </a:prstGeom>
                    <a:noFill/>
                    <a:ln w="9525">
                      <a:noFill/>
                      <a:headEnd/>
                      <a:tailEnd/>
                    </a:ln>
                  </pic:spPr>
                </pic:pic>
              </a:graphicData>
            </a:graphic>
          </wp:inline>
        </w:drawing>
      </w:r>
    </w:p>
    <w:p>
      <w:pPr>
        <w:pStyle w:val="ImageCaption"/>
      </w:pPr>
      <w:r>
        <w:rPr>
          <w:b/>
          <w:highlight w:val="yellow"/>
        </w:rPr>
        <w:t xml:space="preserve">Figure 4.</w:t>
      </w:r>
      <w:r>
        <w:rPr>
          <w:highlight w:val="yellow"/>
        </w:rPr>
        <w:t xml:space="preserve"> </w:t>
      </w:r>
      <w:r>
        <w:rPr>
          <w:highlight w:val="yellow"/>
        </w:rPr>
        <w:t xml:space="preserve">Bupivacaine – Effect-site response by initial compartment.</w:t>
      </w:r>
    </w:p>
    <w:p>
      <w:pPr>
        <w:pStyle w:val="BodyText"/>
      </w:pPr>
      <w:r>
        <w:rPr>
          <w:highlight w:val="yellow"/>
        </w:rPr>
        <w:t xml:space="preserve">Fig. 5 shows the full compartment concentration profile for bupivacaine</w:t>
      </w:r>
      <w:r>
        <w:rPr>
          <w:highlight w:val="yellow"/>
        </w:rPr>
        <w:t xml:space="preserve"> </w:t>
      </w:r>
      <w:r>
        <w:rPr>
          <w:highlight w:val="yellow"/>
        </w:rPr>
        <w:t xml:space="preserve">from BPT.</w:t>
      </w:r>
    </w:p>
    <w:p>
      <w:pPr>
        <w:pStyle w:val="CaptionedFigure"/>
      </w:pPr>
      <w:r>
        <w:drawing>
          <wp:inline>
            <wp:extent cx="5334000" cy="3089050"/>
            <wp:effectExtent b="0" l="0" r="0" t="0"/>
            <wp:docPr descr="Figure 5. Bupivacaine 150 mg from BPT – Full compartment concentration profile." title="" id="1" name="Picture"/>
            <a:graphic>
              <a:graphicData uri="http://schemas.openxmlformats.org/drawingml/2006/picture">
                <pic:pic>
                  <pic:nvPicPr>
                    <pic:cNvPr descr="figures/fig5_bupivacaine_bpt_full.png" id="0" name="Picture"/>
                    <pic:cNvPicPr>
                      <a:picLocks noChangeArrowheads="1" noChangeAspect="1"/>
                    </pic:cNvPicPr>
                  </pic:nvPicPr>
                  <pic:blipFill>
                    <a:blip r:embed="rId42"/>
                    <a:stretch>
                      <a:fillRect/>
                    </a:stretch>
                  </pic:blipFill>
                  <pic:spPr bwMode="auto">
                    <a:xfrm>
                      <a:off x="0" y="0"/>
                      <a:ext cx="5334000" cy="3089050"/>
                    </a:xfrm>
                    <a:prstGeom prst="rect">
                      <a:avLst/>
                    </a:prstGeom>
                    <a:noFill/>
                    <a:ln w="9525">
                      <a:noFill/>
                      <a:headEnd/>
                      <a:tailEnd/>
                    </a:ln>
                  </pic:spPr>
                </pic:pic>
              </a:graphicData>
            </a:graphic>
          </wp:inline>
        </w:drawing>
      </w:r>
    </w:p>
    <w:p>
      <w:pPr>
        <w:pStyle w:val="ImageCaption"/>
      </w:pPr>
      <w:r>
        <w:rPr>
          <w:b/>
          <w:highlight w:val="yellow"/>
        </w:rPr>
        <w:t xml:space="preserve">Figure 5.</w:t>
      </w:r>
      <w:r>
        <w:rPr>
          <w:highlight w:val="yellow"/>
        </w:rPr>
        <w:t xml:space="preserve"> </w:t>
      </w:r>
      <w:r>
        <w:rPr>
          <w:highlight w:val="yellow"/>
        </w:rPr>
        <w:t xml:space="preserve">Bupivacaine 150 mg from BPT – Full compartment concentration profile.</w:t>
      </w:r>
    </w:p>
    <w:p>
      <w:pPr>
        <w:pStyle w:val="BodyText"/>
      </w:pPr>
      <w:r>
        <w:rPr>
          <w:highlight w:val="yellow"/>
        </w:rPr>
        <w:t xml:space="preserve">Fig. 6 provides a PKPD summary comparing key parameters across initial compartments.</w:t>
      </w:r>
    </w:p>
    <w:p>
      <w:pPr>
        <w:pStyle w:val="CaptionedFigure"/>
      </w:pPr>
      <w:r>
        <w:drawing>
          <wp:inline>
            <wp:extent cx="5334000" cy="1147385"/>
            <wp:effectExtent b="0" l="0" r="0" t="0"/>
            <wp:docPr descr="Figure 6. Bupivacaine 150 mg – PKPD summary by initial compartment." title="" id="1" name="Picture"/>
            <a:graphic>
              <a:graphicData uri="http://schemas.openxmlformats.org/drawingml/2006/picture">
                <pic:pic>
                  <pic:nvPicPr>
                    <pic:cNvPr descr="figures/fig6_summary_table.png" id="0" name="Picture"/>
                    <pic:cNvPicPr>
                      <a:picLocks noChangeArrowheads="1" noChangeAspect="1"/>
                    </pic:cNvPicPr>
                  </pic:nvPicPr>
                  <pic:blipFill>
                    <a:blip r:embed="rId43"/>
                    <a:stretch>
                      <a:fillRect/>
                    </a:stretch>
                  </pic:blipFill>
                  <pic:spPr bwMode="auto">
                    <a:xfrm>
                      <a:off x="0" y="0"/>
                      <a:ext cx="5334000" cy="1147385"/>
                    </a:xfrm>
                    <a:prstGeom prst="rect">
                      <a:avLst/>
                    </a:prstGeom>
                    <a:noFill/>
                    <a:ln w="9525">
                      <a:noFill/>
                      <a:headEnd/>
                      <a:tailEnd/>
                    </a:ln>
                  </pic:spPr>
                </pic:pic>
              </a:graphicData>
            </a:graphic>
          </wp:inline>
        </w:drawing>
      </w:r>
    </w:p>
    <w:p>
      <w:pPr>
        <w:pStyle w:val="ImageCaption"/>
      </w:pPr>
      <w:r>
        <w:rPr>
          <w:b/>
          <w:highlight w:val="yellow"/>
        </w:rPr>
        <w:t xml:space="preserve">Figure 6.</w:t>
      </w:r>
      <w:r>
        <w:rPr>
          <w:highlight w:val="yellow"/>
        </w:rPr>
        <w:t xml:space="preserve"> </w:t>
      </w:r>
      <w:r>
        <w:rPr>
          <w:highlight w:val="yellow"/>
        </w:rPr>
        <w:t xml:space="preserve">Bupivacaine 150 mg – PKPD summary by initial compartment.</w:t>
      </w:r>
    </w:p>
    <w:p>
      <w:pPr>
        <w:pStyle w:val="Heading2"/>
      </w:pPr>
      <w:bookmarkStart w:id="44" w:name="X1bcb4cb9a1e45f687aebfb18758dd706ce27d96"/>
      <w:r>
        <w:rPr>
          <w:highlight w:val="yellow"/>
        </w:rPr>
        <w:t xml:space="preserve">3.2 Illustrative comparison: intravenous-input model vs route-aware scenarios</w:t>
      </w:r>
      <w:bookmarkEnd w:id="44"/>
    </w:p>
    <w:p>
      <w:pPr>
        <w:pStyle w:val="FirstParagraph"/>
      </w:pPr>
      <w:r>
        <w:rPr>
          <w:highlight w:val="yellow"/>
        </w:rPr>
        <w:t xml:space="preserve">Conventional PK simulators are constrained to assume intravenous entry</w:t>
      </w:r>
      <w:r>
        <w:rPr>
          <w:highlight w:val="yellow"/>
        </w:rPr>
        <w:t xml:space="preserve"> </w:t>
      </w:r>
      <w:r>
        <w:rPr>
          <w:highlight w:val="yellow"/>
        </w:rPr>
        <w:t xml:space="preserve">(Compartment.PLASMA). For fascial plane blocks and infiltration, yoshika instead lets</w:t>
      </w:r>
      <w:r>
        <w:rPr>
          <w:highlight w:val="yellow"/>
        </w:rPr>
        <w:t xml:space="preserve"> </w:t>
      </w:r>
      <w:r>
        <w:rPr>
          <w:highlight w:val="yellow"/>
        </w:rPr>
        <w:t xml:space="preserve">the user select a route-aware initial compartment (Compartment.DEPOT for</w:t>
      </w:r>
      <w:r>
        <w:rPr>
          <w:highlight w:val="yellow"/>
        </w:rPr>
        <w:t xml:space="preserve"> </w:t>
      </w:r>
      <w:r>
        <w:rPr>
          <w:highlight w:val="yellow"/>
        </w:rPr>
        <w:t xml:space="preserve">fascial plane / infiltration, Compartment.BPT for the vessel-poor-tissue /</w:t>
      </w:r>
      <w:r>
        <w:rPr>
          <w:highlight w:val="yellow"/>
        </w:rPr>
        <w:t xml:space="preserve"> </w:t>
      </w:r>
      <w:r>
        <w:rPr>
          <w:highlight w:val="yellow"/>
        </w:rPr>
        <w:t xml:space="preserve">“</w:t>
      </w:r>
      <w:r>
        <w:rPr>
          <w:highlight w:val="yellow"/>
        </w:rPr>
        <w:t xml:space="preserve">successful</w:t>
      </w:r>
      <w:r>
        <w:rPr>
          <w:highlight w:val="yellow"/>
        </w:rPr>
        <w:t xml:space="preserve"> </w:t>
      </w:r>
      <w:r>
        <w:rPr>
          <w:highlight w:val="yellow"/>
        </w:rPr>
        <w:t xml:space="preserve">block</w:t>
      </w:r>
      <w:r>
        <w:rPr>
          <w:highlight w:val="yellow"/>
        </w:rPr>
        <w:t xml:space="preserve">”</w:t>
      </w:r>
      <w:r>
        <w:rPr>
          <w:highlight w:val="yellow"/>
        </w:rPr>
        <w:t xml:space="preserve"> </w:t>
      </w:r>
      <w:r>
        <w:rPr>
          <w:highlight w:val="yellow"/>
        </w:rPr>
        <w:t xml:space="preserve">scenario). The rate constants are identical across all scenarios; only the initial</w:t>
      </w:r>
      <w:r>
        <w:rPr>
          <w:highlight w:val="yellow"/>
        </w:rPr>
        <w:t xml:space="preserve"> </w:t>
      </w:r>
      <w:r>
        <w:rPr>
          <w:highlight w:val="yellow"/>
        </w:rPr>
        <w:t xml:space="preserve">conditions differ. The values below are illustrative simulation outputs, not measured or</w:t>
      </w:r>
      <w:r>
        <w:rPr>
          <w:highlight w:val="yellow"/>
        </w:rPr>
        <w:t xml:space="preserve"> </w:t>
      </w:r>
      <w:r>
        <w:rPr>
          <w:highlight w:val="yellow"/>
        </w:rPr>
        <w:t xml:space="preserve">clinically proven predictions; §3.3 compares them against published data.</w:t>
      </w:r>
    </w:p>
    <w:p>
      <w:pPr>
        <w:pStyle w:val="SourceCode"/>
      </w:pPr>
      <w:r>
        <w:rPr>
          <w:rStyle w:val="ImportTok"/>
          <w:highlight w:val="yellow"/>
        </w:rPr>
        <w:t xml:space="preserve">from</w:t>
      </w:r>
      <w:r>
        <w:rPr>
          <w:rStyle w:val="NormalTok"/>
          <w:highlight w:val="yellow"/>
        </w:rPr>
        <w:t xml:space="preserve"> yoshika </w:t>
      </w:r>
      <w:r>
        <w:rPr>
          <w:rStyle w:val="ImportTok"/>
          <w:highlight w:val="yellow"/>
        </w:rPr>
        <w:t xml:space="preserve">import</w:t>
      </w:r>
      <w:r>
        <w:rPr>
          <w:rStyle w:val="NormalTok"/>
          <w:highlight w:val="yellow"/>
        </w:rPr>
        <w:t xml:space="preserve"> Compartment, Drug</w:t>
      </w:r>
      <w:r>
        <w:rPr>
          <w:highlight w:val="yellow"/>
        </w:rPr>
        <w:br/>
      </w:r>
      <w:r>
        <w:rPr>
          <w:rStyle w:val="ImportTok"/>
          <w:highlight w:val="yellow"/>
        </w:rPr>
        <w:t xml:space="preserve">from</w:t>
      </w:r>
      <w:r>
        <w:rPr>
          <w:rStyle w:val="NormalTok"/>
          <w:highlight w:val="yellow"/>
        </w:rPr>
        <w:t xml:space="preserve"> yoshika.drugs </w:t>
      </w:r>
      <w:r>
        <w:rPr>
          <w:rStyle w:val="ImportTok"/>
          <w:highlight w:val="yellow"/>
        </w:rPr>
        <w:t xml:space="preserve">import</w:t>
      </w:r>
      <w:r>
        <w:rPr>
          <w:rStyle w:val="NormalTok"/>
          <w:highlight w:val="yellow"/>
        </w:rPr>
        <w:t xml:space="preserve"> DrugLibrary</w:t>
      </w:r>
      <w:r>
        <w:rPr>
          <w:highlight w:val="yellow"/>
        </w:rPr>
        <w:br/>
      </w:r>
      <w:r>
        <w:rPr>
          <w:rStyle w:val="ImportTok"/>
          <w:highlight w:val="yellow"/>
        </w:rPr>
        <w:t xml:space="preserve">from</w:t>
      </w:r>
      <w:r>
        <w:rPr>
          <w:rStyle w:val="NormalTok"/>
          <w:highlight w:val="yellow"/>
        </w:rPr>
        <w:t xml:space="preserve"> yoshika.model </w:t>
      </w:r>
      <w:r>
        <w:rPr>
          <w:rStyle w:val="ImportTok"/>
          <w:highlight w:val="yellow"/>
        </w:rPr>
        <w:t xml:space="preserve">import</w:t>
      </w:r>
      <w:r>
        <w:rPr>
          <w:rStyle w:val="NormalTok"/>
          <w:highlight w:val="yellow"/>
        </w:rPr>
        <w:t xml:space="preserve"> PKModel</w:t>
      </w:r>
      <w:r>
        <w:rPr>
          <w:highlight w:val="yellow"/>
        </w:rPr>
        <w:br/>
      </w:r>
      <w:r>
        <w:rPr>
          <w:highlight w:val="yellow"/>
        </w:rPr>
        <w:br/>
      </w:r>
      <w:r>
        <w:rPr>
          <w:rStyle w:val="NormalTok"/>
          <w:highlight w:val="yellow"/>
        </w:rPr>
        <w:t xml:space="preserve">params </w:t>
      </w:r>
      <w:r>
        <w:rPr>
          <w:rStyle w:val="OperatorTok"/>
          <w:highlight w:val="yellow"/>
        </w:rPr>
        <w:t xml:space="preserve">=</w:t>
      </w:r>
      <w:r>
        <w:rPr>
          <w:rStyle w:val="NormalTok"/>
          <w:highlight w:val="yellow"/>
        </w:rPr>
        <w:t xml:space="preserve"> DrugLibrary.get(Drug.BUPIVACAINE)</w:t>
      </w:r>
      <w:r>
        <w:rPr>
          <w:highlight w:val="yellow"/>
        </w:rPr>
        <w:br/>
      </w:r>
      <w:r>
        <w:rPr>
          <w:highlight w:val="yellow"/>
        </w:rPr>
        <w:br/>
      </w:r>
      <w:r>
        <w:rPr>
          <w:rStyle w:val="CommentTok"/>
          <w:highlight w:val="yellow"/>
        </w:rPr>
        <w:t xml:space="preserve"># Conventional: forced IV entry (V1/plasma) — inappropriate for fascial plane block</w:t>
      </w:r>
      <w:r>
        <w:rPr>
          <w:highlight w:val="yellow"/>
        </w:rPr>
        <w:br/>
      </w:r>
      <w:r>
        <w:rPr>
          <w:rStyle w:val="NormalTok"/>
          <w:highlight w:val="yellow"/>
        </w:rPr>
        <w:t xml:space="preserve">pk_iv </w:t>
      </w:r>
      <w:r>
        <w:rPr>
          <w:rStyle w:val="OperatorTok"/>
          <w:highlight w:val="yellow"/>
        </w:rPr>
        <w:t xml:space="preserve">=</w:t>
      </w:r>
      <w:r>
        <w:rPr>
          <w:rStyle w:val="NormalTok"/>
          <w:highlight w:val="yellow"/>
        </w:rPr>
        <w:t xml:space="preserve"> PKModel(</w:t>
      </w:r>
      <w:r>
        <w:rPr>
          <w:highlight w:val="yellow"/>
        </w:rPr>
        <w:br/>
      </w:r>
      <w:r>
        <w:rPr>
          <w:rStyle w:val="NormalTok"/>
          <w:highlight w:val="yellow"/>
        </w:rPr>
        <w:t xml:space="preserve">    drug_params</w:t>
      </w:r>
      <w:r>
        <w:rPr>
          <w:rStyle w:val="OperatorTok"/>
          <w:highlight w:val="yellow"/>
        </w:rPr>
        <w:t xml:space="preserve">=</w:t>
      </w:r>
      <w:r>
        <w:rPr>
          <w:rStyle w:val="NormalTok"/>
          <w:highlight w:val="yellow"/>
        </w:rPr>
        <w:t xml:space="preserve">params, dose_mg</w:t>
      </w:r>
      <w:r>
        <w:rPr>
          <w:rStyle w:val="OperatorTok"/>
          <w:highlight w:val="yellow"/>
        </w:rPr>
        <w:t xml:space="preserve">=</w:t>
      </w:r>
      <w:r>
        <w:rPr>
          <w:rStyle w:val="DecValTok"/>
          <w:highlight w:val="yellow"/>
        </w:rPr>
        <w:t xml:space="preserve">150</w:t>
      </w:r>
      <w:r>
        <w:rPr>
          <w:rStyle w:val="NormalTok"/>
          <w:highlight w:val="yellow"/>
        </w:rPr>
        <w:t xml:space="preserve">,</w:t>
      </w:r>
      <w:r>
        <w:rPr>
          <w:highlight w:val="yellow"/>
        </w:rPr>
        <w:br/>
      </w:r>
      <w:r>
        <w:rPr>
          <w:rStyle w:val="NormalTok"/>
          <w:highlight w:val="yellow"/>
        </w:rPr>
        <w:t xml:space="preserve">    initial_compartment</w:t>
      </w:r>
      <w:r>
        <w:rPr>
          <w:rStyle w:val="OperatorTok"/>
          <w:highlight w:val="yellow"/>
        </w:rPr>
        <w:t xml:space="preserve">=</w:t>
      </w:r>
      <w:r>
        <w:rPr>
          <w:rStyle w:val="NormalTok"/>
          <w:highlight w:val="yellow"/>
        </w:rPr>
        <w:t xml:space="preserve">Compartment.PLASMA</w:t>
      </w:r>
      <w:r>
        <w:rPr>
          <w:highlight w:val="yellow"/>
        </w:rPr>
        <w:br/>
      </w:r>
      <w:r>
        <w:rPr>
          <w:rStyle w:val="NormalTok"/>
          <w:highlight w:val="yellow"/>
        </w:rPr>
        <w:t xml:space="preserve">).solve(duration_min</w:t>
      </w:r>
      <w:r>
        <w:rPr>
          <w:rStyle w:val="OperatorTok"/>
          <w:highlight w:val="yellow"/>
        </w:rPr>
        <w:t xml:space="preserve">=</w:t>
      </w:r>
      <w:r>
        <w:rPr>
          <w:rStyle w:val="DecValTok"/>
          <w:highlight w:val="yellow"/>
        </w:rPr>
        <w:t xml:space="preserve">480</w:t>
      </w:r>
      <w:r>
        <w:rPr>
          <w:rStyle w:val="NormalTok"/>
          <w:highlight w:val="yellow"/>
        </w:rPr>
        <w:t xml:space="preserve">)</w:t>
      </w:r>
      <w:r>
        <w:rPr>
          <w:highlight w:val="yellow"/>
        </w:rPr>
        <w:br/>
      </w:r>
      <w:r>
        <w:rPr>
          <w:highlight w:val="yellow"/>
        </w:rPr>
        <w:br/>
      </w:r>
      <w:r>
        <w:rPr>
          <w:rStyle w:val="CommentTok"/>
          <w:highlight w:val="yellow"/>
        </w:rPr>
        <w:t xml:space="preserve"># yoshika: fascial plane block deposits drug in depot compartment</w:t>
      </w:r>
      <w:r>
        <w:rPr>
          <w:highlight w:val="yellow"/>
        </w:rPr>
        <w:br/>
      </w:r>
      <w:r>
        <w:rPr>
          <w:rStyle w:val="NormalTok"/>
          <w:highlight w:val="yellow"/>
        </w:rPr>
        <w:t xml:space="preserve">pk_depot </w:t>
      </w:r>
      <w:r>
        <w:rPr>
          <w:rStyle w:val="OperatorTok"/>
          <w:highlight w:val="yellow"/>
        </w:rPr>
        <w:t xml:space="preserve">=</w:t>
      </w:r>
      <w:r>
        <w:rPr>
          <w:rStyle w:val="NormalTok"/>
          <w:highlight w:val="yellow"/>
        </w:rPr>
        <w:t xml:space="preserve"> PKModel(</w:t>
      </w:r>
      <w:r>
        <w:rPr>
          <w:highlight w:val="yellow"/>
        </w:rPr>
        <w:br/>
      </w:r>
      <w:r>
        <w:rPr>
          <w:rStyle w:val="NormalTok"/>
          <w:highlight w:val="yellow"/>
        </w:rPr>
        <w:t xml:space="preserve">    drug_params</w:t>
      </w:r>
      <w:r>
        <w:rPr>
          <w:rStyle w:val="OperatorTok"/>
          <w:highlight w:val="yellow"/>
        </w:rPr>
        <w:t xml:space="preserve">=</w:t>
      </w:r>
      <w:r>
        <w:rPr>
          <w:rStyle w:val="NormalTok"/>
          <w:highlight w:val="yellow"/>
        </w:rPr>
        <w:t xml:space="preserve">params, dose_mg</w:t>
      </w:r>
      <w:r>
        <w:rPr>
          <w:rStyle w:val="OperatorTok"/>
          <w:highlight w:val="yellow"/>
        </w:rPr>
        <w:t xml:space="preserve">=</w:t>
      </w:r>
      <w:r>
        <w:rPr>
          <w:rStyle w:val="DecValTok"/>
          <w:highlight w:val="yellow"/>
        </w:rPr>
        <w:t xml:space="preserve">150</w:t>
      </w:r>
      <w:r>
        <w:rPr>
          <w:rStyle w:val="NormalTok"/>
          <w:highlight w:val="yellow"/>
        </w:rPr>
        <w:t xml:space="preserve">,</w:t>
      </w:r>
      <w:r>
        <w:rPr>
          <w:highlight w:val="yellow"/>
        </w:rPr>
        <w:br/>
      </w:r>
      <w:r>
        <w:rPr>
          <w:rStyle w:val="NormalTok"/>
          <w:highlight w:val="yellow"/>
        </w:rPr>
        <w:t xml:space="preserve">    initial_compartment</w:t>
      </w:r>
      <w:r>
        <w:rPr>
          <w:rStyle w:val="OperatorTok"/>
          <w:highlight w:val="yellow"/>
        </w:rPr>
        <w:t xml:space="preserve">=</w:t>
      </w:r>
      <w:r>
        <w:rPr>
          <w:rStyle w:val="NormalTok"/>
          <w:highlight w:val="yellow"/>
        </w:rPr>
        <w:t xml:space="preserve">Compartment.DEPOT</w:t>
      </w:r>
      <w:r>
        <w:rPr>
          <w:highlight w:val="yellow"/>
        </w:rPr>
        <w:br/>
      </w:r>
      <w:r>
        <w:rPr>
          <w:rStyle w:val="NormalTok"/>
          <w:highlight w:val="yellow"/>
        </w:rPr>
        <w:t xml:space="preserve">).solve(duration_min</w:t>
      </w:r>
      <w:r>
        <w:rPr>
          <w:rStyle w:val="OperatorTok"/>
          <w:highlight w:val="yellow"/>
        </w:rPr>
        <w:t xml:space="preserve">=</w:t>
      </w:r>
      <w:r>
        <w:rPr>
          <w:rStyle w:val="DecValTok"/>
          <w:highlight w:val="yellow"/>
        </w:rPr>
        <w:t xml:space="preserve">480</w:t>
      </w:r>
      <w:r>
        <w:rPr>
          <w:rStyle w:val="NormalTok"/>
          <w:highlight w:val="yellow"/>
        </w:rPr>
        <w:t xml:space="preserve">)</w:t>
      </w:r>
      <w:r>
        <w:rPr>
          <w:highlight w:val="yellow"/>
        </w:rPr>
        <w:br/>
      </w:r>
      <w:r>
        <w:rPr>
          <w:highlight w:val="yellow"/>
        </w:rPr>
        <w:br/>
      </w:r>
      <w:r>
        <w:rPr>
          <w:rStyle w:val="BuiltInTok"/>
          <w:highlight w:val="yellow"/>
        </w:rPr>
        <w:t xml:space="preserve">print</w:t>
      </w:r>
      <w:r>
        <w:rPr>
          <w:rStyle w:val="NormalTok"/>
          <w:highlight w:val="yellow"/>
        </w:rPr>
        <w:t xml:space="preserve">(</w:t>
      </w:r>
      <w:r>
        <w:rPr>
          <w:rStyle w:val="SpecialStringTok"/>
          <w:highlight w:val="yellow"/>
        </w:rPr>
        <w:t xml:space="preserve">f"Traditional (IV): Cmax=</w:t>
      </w:r>
      <w:r>
        <w:rPr>
          <w:rStyle w:val="SpecialCharTok"/>
          <w:highlight w:val="yellow"/>
        </w:rPr>
        <w:t xml:space="preserve">{</w:t>
      </w:r>
      <w:r>
        <w:rPr>
          <w:rStyle w:val="NormalTok"/>
          <w:highlight w:val="yellow"/>
        </w:rPr>
        <w:t xml:space="preserve">pk_iv</w:t>
      </w:r>
      <w:r>
        <w:rPr>
          <w:rStyle w:val="SpecialCharTok"/>
          <w:highlight w:val="yellow"/>
        </w:rPr>
        <w:t xml:space="preserve">.</w:t>
      </w:r>
      <w:r>
        <w:rPr>
          <w:rStyle w:val="NormalTok"/>
          <w:highlight w:val="yellow"/>
        </w:rPr>
        <w:t xml:space="preserve">peak_plasma_concentration</w:t>
      </w:r>
      <w:r>
        <w:rPr>
          <w:rStyle w:val="SpecialCharTok"/>
          <w:highlight w:val="yellow"/>
        </w:rPr>
        <w:t xml:space="preserve">:.2f}</w:t>
      </w:r>
      <w:r>
        <w:rPr>
          <w:rStyle w:val="SpecialStringTok"/>
          <w:highlight w:val="yellow"/>
        </w:rPr>
        <w:t xml:space="preserve"> mg/L, "</w:t>
      </w:r>
      <w:r>
        <w:rPr>
          <w:highlight w:val="yellow"/>
        </w:rPr>
        <w:br/>
      </w:r>
      <w:r>
        <w:rPr>
          <w:rStyle w:val="NormalTok"/>
          <w:highlight w:val="yellow"/>
        </w:rPr>
        <w:t xml:space="preserve">      </w:t>
      </w:r>
      <w:r>
        <w:rPr>
          <w:rStyle w:val="SpecialStringTok"/>
          <w:highlight w:val="yellow"/>
        </w:rPr>
        <w:t xml:space="preserve">f"Tmax=</w:t>
      </w:r>
      <w:r>
        <w:rPr>
          <w:rStyle w:val="SpecialCharTok"/>
          <w:highlight w:val="yellow"/>
        </w:rPr>
        <w:t xml:space="preserve">{</w:t>
      </w:r>
      <w:r>
        <w:rPr>
          <w:rStyle w:val="NormalTok"/>
          <w:highlight w:val="yellow"/>
        </w:rPr>
        <w:t xml:space="preserve">pk_iv</w:t>
      </w:r>
      <w:r>
        <w:rPr>
          <w:rStyle w:val="SpecialCharTok"/>
          <w:highlight w:val="yellow"/>
        </w:rPr>
        <w:t xml:space="preserve">.</w:t>
      </w:r>
      <w:r>
        <w:rPr>
          <w:rStyle w:val="NormalTok"/>
          <w:highlight w:val="yellow"/>
        </w:rPr>
        <w:t xml:space="preserve">time_to_peak</w:t>
      </w:r>
      <w:r>
        <w:rPr>
          <w:rStyle w:val="SpecialCharTok"/>
          <w:highlight w:val="yellow"/>
        </w:rPr>
        <w:t xml:space="preserve">:.0f}</w:t>
      </w:r>
      <w:r>
        <w:rPr>
          <w:rStyle w:val="SpecialStringTok"/>
          <w:highlight w:val="yellow"/>
        </w:rPr>
        <w:t xml:space="preserve"> min"</w:t>
      </w:r>
      <w:r>
        <w:rPr>
          <w:rStyle w:val="NormalTok"/>
          <w:highlight w:val="yellow"/>
        </w:rPr>
        <w:t xml:space="preserve">)</w:t>
      </w:r>
      <w:r>
        <w:rPr>
          <w:highlight w:val="yellow"/>
        </w:rPr>
        <w:br/>
      </w:r>
      <w:r>
        <w:rPr>
          <w:rStyle w:val="BuiltInTok"/>
          <w:highlight w:val="yellow"/>
        </w:rPr>
        <w:t xml:space="preserve">print</w:t>
      </w:r>
      <w:r>
        <w:rPr>
          <w:rStyle w:val="NormalTok"/>
          <w:highlight w:val="yellow"/>
        </w:rPr>
        <w:t xml:space="preserve">(</w:t>
      </w:r>
      <w:r>
        <w:rPr>
          <w:rStyle w:val="SpecialStringTok"/>
          <w:highlight w:val="yellow"/>
        </w:rPr>
        <w:t xml:space="preserve">f"yoshika (Depot):  Cmax=</w:t>
      </w:r>
      <w:r>
        <w:rPr>
          <w:rStyle w:val="SpecialCharTok"/>
          <w:highlight w:val="yellow"/>
        </w:rPr>
        <w:t xml:space="preserve">{</w:t>
      </w:r>
      <w:r>
        <w:rPr>
          <w:rStyle w:val="NormalTok"/>
          <w:highlight w:val="yellow"/>
        </w:rPr>
        <w:t xml:space="preserve">pk_depot</w:t>
      </w:r>
      <w:r>
        <w:rPr>
          <w:rStyle w:val="SpecialCharTok"/>
          <w:highlight w:val="yellow"/>
        </w:rPr>
        <w:t xml:space="preserve">.</w:t>
      </w:r>
      <w:r>
        <w:rPr>
          <w:rStyle w:val="NormalTok"/>
          <w:highlight w:val="yellow"/>
        </w:rPr>
        <w:t xml:space="preserve">peak_plasma_concentration</w:t>
      </w:r>
      <w:r>
        <w:rPr>
          <w:rStyle w:val="SpecialCharTok"/>
          <w:highlight w:val="yellow"/>
        </w:rPr>
        <w:t xml:space="preserve">:.2f}</w:t>
      </w:r>
      <w:r>
        <w:rPr>
          <w:rStyle w:val="SpecialStringTok"/>
          <w:highlight w:val="yellow"/>
        </w:rPr>
        <w:t xml:space="preserve"> mg/L, "</w:t>
      </w:r>
      <w:r>
        <w:rPr>
          <w:highlight w:val="yellow"/>
        </w:rPr>
        <w:br/>
      </w:r>
      <w:r>
        <w:rPr>
          <w:rStyle w:val="NormalTok"/>
          <w:highlight w:val="yellow"/>
        </w:rPr>
        <w:t xml:space="preserve">      </w:t>
      </w:r>
      <w:r>
        <w:rPr>
          <w:rStyle w:val="SpecialStringTok"/>
          <w:highlight w:val="yellow"/>
        </w:rPr>
        <w:t xml:space="preserve">f"Tmax=</w:t>
      </w:r>
      <w:r>
        <w:rPr>
          <w:rStyle w:val="SpecialCharTok"/>
          <w:highlight w:val="yellow"/>
        </w:rPr>
        <w:t xml:space="preserve">{</w:t>
      </w:r>
      <w:r>
        <w:rPr>
          <w:rStyle w:val="NormalTok"/>
          <w:highlight w:val="yellow"/>
        </w:rPr>
        <w:t xml:space="preserve">pk_depot</w:t>
      </w:r>
      <w:r>
        <w:rPr>
          <w:rStyle w:val="SpecialCharTok"/>
          <w:highlight w:val="yellow"/>
        </w:rPr>
        <w:t xml:space="preserve">.</w:t>
      </w:r>
      <w:r>
        <w:rPr>
          <w:rStyle w:val="NormalTok"/>
          <w:highlight w:val="yellow"/>
        </w:rPr>
        <w:t xml:space="preserve">time_to_peak</w:t>
      </w:r>
      <w:r>
        <w:rPr>
          <w:rStyle w:val="SpecialCharTok"/>
          <w:highlight w:val="yellow"/>
        </w:rPr>
        <w:t xml:space="preserve">:.0f}</w:t>
      </w:r>
      <w:r>
        <w:rPr>
          <w:rStyle w:val="SpecialStringTok"/>
          <w:highlight w:val="yellow"/>
        </w:rPr>
        <w:t xml:space="preserve"> min"</w:t>
      </w:r>
      <w:r>
        <w:rPr>
          <w:rStyle w:val="NormalTok"/>
          <w:highlight w:val="yellow"/>
        </w:rPr>
        <w:t xml:space="preserve">)</w:t>
      </w:r>
      <w:r>
        <w:rPr>
          <w:highlight w:val="yellow"/>
        </w:rPr>
        <w:br/>
      </w:r>
      <w:r>
        <w:rPr>
          <w:rStyle w:val="CommentTok"/>
          <w:highlight w:val="yellow"/>
        </w:rPr>
        <w:t xml:space="preserve"># Conventional (IV): Cmax=16.85 mg/L, Tmax=0 min   &lt;- likely overstated for depot route</w:t>
      </w:r>
      <w:r>
        <w:rPr>
          <w:highlight w:val="yellow"/>
        </w:rPr>
        <w:br/>
      </w:r>
      <w:r>
        <w:rPr>
          <w:rStyle w:val="CommentTok"/>
          <w:highlight w:val="yellow"/>
        </w:rPr>
        <w:t xml:space="preserve"># yoshika (Depot):  Cmax=3.10 mg/L,  Tmax=14 min   &lt;- plausible for fascial plane</w:t>
      </w:r>
    </w:p>
    <w:p>
      <w:pPr>
        <w:pStyle w:val="FirstParagraph"/>
      </w:pPr>
      <w:r>
        <w:rPr>
          <w:highlight w:val="yellow"/>
        </w:rPr>
        <w:t xml:space="preserve">Fig. 7 shows the predicted plasma concentration–time</w:t>
      </w:r>
      <w:r>
        <w:rPr>
          <w:highlight w:val="yellow"/>
        </w:rPr>
        <w:t xml:space="preserve"> </w:t>
      </w:r>
      <w:r>
        <w:rPr>
          <w:highlight w:val="yellow"/>
        </w:rPr>
        <w:t xml:space="preserve">profiles for four fascial plane block / infiltration scenarios. The</w:t>
      </w:r>
      <w:r>
        <w:rPr>
          <w:highlight w:val="yellow"/>
        </w:rPr>
        <w:t xml:space="preserve"> </w:t>
      </w:r>
      <w:r>
        <w:rPr>
          <w:highlight w:val="yellow"/>
        </w:rPr>
        <w:t xml:space="preserve">intravenous-input model (red curves) predicts instantaneous supratoxic</w:t>
      </w:r>
      <w:r>
        <w:rPr>
          <w:highlight w:val="yellow"/>
        </w:rPr>
        <w:t xml:space="preserve"> </w:t>
      </w:r>
      <m:oMath>
        <m:sSub>
          <m:e>
            <m:r>
              <m:t>C</m:t>
            </m:r>
          </m:e>
          <m:sub>
            <m:r>
              <m:t>m</m:t>
            </m:r>
            <m:r>
              <m:t>a</m:t>
            </m:r>
            <m:r>
              <m:t>x</m:t>
            </m:r>
          </m:sub>
        </m:sSub>
      </m:oMath>
      <w:r>
        <w:rPr>
          <w:highlight w:val="yellow"/>
        </w:rPr>
        <w:t xml:space="preserve"> </w:t>
      </w:r>
      <w:r>
        <w:rPr>
          <w:highlight w:val="yellow"/>
        </w:rPr>
        <w:t xml:space="preserve">values</w:t>
      </w:r>
      <w:r>
        <w:rPr>
          <w:highlight w:val="yellow"/>
        </w:rPr>
        <w:t xml:space="preserve"> </w:t>
      </w:r>
      <w:r>
        <w:rPr>
          <w:highlight w:val="yellow"/>
        </w:rPr>
        <w:t xml:space="preserve">(11–17 mg/L) that are not consistent with the concentrations reported after non-intravenous</w:t>
      </w:r>
      <w:r>
        <w:rPr>
          <w:highlight w:val="yellow"/>
        </w:rPr>
        <w:t xml:space="preserve"> </w:t>
      </w:r>
      <w:r>
        <w:rPr>
          <w:highlight w:val="yellow"/>
        </w:rPr>
        <w:t xml:space="preserve">administration (§3.3). yoshika’s depot model (blue curves) predicts a first-order absorption</w:t>
      </w:r>
      <w:r>
        <w:rPr>
          <w:highlight w:val="yellow"/>
        </w:rPr>
        <w:t xml:space="preserve"> </w:t>
      </w:r>
      <w:r>
        <w:rPr>
          <w:highlight w:val="yellow"/>
        </w:rPr>
        <w:t xml:space="preserve">profile with</w:t>
      </w:r>
      <w:r>
        <w:rPr>
          <w:highlight w:val="yellow"/>
        </w:rPr>
        <w:t xml:space="preserve"> </w:t>
      </w:r>
      <m:oMath>
        <m:sSub>
          <m:e>
            <m:r>
              <m:t>C</m:t>
            </m:r>
          </m:e>
          <m:sub>
            <m:r>
              <m:t>m</m:t>
            </m:r>
            <m:r>
              <m:t>a</m:t>
            </m:r>
            <m:r>
              <m:t>x</m:t>
            </m:r>
          </m:sub>
        </m:sSub>
      </m:oMath>
      <w:r>
        <w:rPr>
          <w:highlight w:val="yellow"/>
        </w:rPr>
        <w:t xml:space="preserve"> </w:t>
      </w:r>
      <w:r>
        <w:rPr>
          <w:highlight w:val="yellow"/>
        </w:rPr>
        <w:t xml:space="preserve">of 2–4 mg/L peaking at 12–16 minutes (for the default absorption</w:t>
      </w:r>
      <w:r>
        <w:rPr>
          <w:highlight w:val="yellow"/>
        </w:rPr>
        <w:t xml:space="preserve"> </w:t>
      </w:r>
      <w:r>
        <w:rPr>
          <w:highlight w:val="yellow"/>
        </w:rPr>
        <w:t xml:space="preserve">rates). The vessel-poor-tissue scenario (green dashed curves) yields</w:t>
      </w:r>
      <w:r>
        <w:rPr>
          <w:highlight w:val="yellow"/>
        </w:rPr>
        <w:t xml:space="preserve"> </w:t>
      </w:r>
      <m:oMath>
        <m:sSub>
          <m:e>
            <m:r>
              <m:t>C</m:t>
            </m:r>
          </m:e>
          <m:sub>
            <m:r>
              <m:t>m</m:t>
            </m:r>
            <m:r>
              <m:t>a</m:t>
            </m:r>
            <m:r>
              <m:t>x</m:t>
            </m:r>
          </m:sub>
        </m:sSub>
      </m:oMath>
      <w:r>
        <w:rPr>
          <w:highlight w:val="yellow"/>
        </w:rPr>
        <w:t xml:space="preserve"> </w:t>
      </w:r>
      <w:r>
        <w:rPr>
          <w:highlight w:val="yellow"/>
        </w:rPr>
        <w:t xml:space="preserve">of 0.35–0.85</w:t>
      </w:r>
      <w:r>
        <w:rPr>
          <w:highlight w:val="yellow"/>
        </w:rPr>
        <w:t xml:space="preserve"> </w:t>
      </w:r>
      <w:r>
        <w:rPr>
          <w:highlight w:val="yellow"/>
        </w:rPr>
        <w:t xml:space="preserve">mg/L peaking substantially later.</w:t>
      </w:r>
    </w:p>
    <w:p>
      <w:pPr>
        <w:pStyle w:val="CaptionedFigure"/>
      </w:pPr>
      <w:r>
        <w:drawing>
          <wp:inline>
            <wp:extent cx="5334000" cy="3819138"/>
            <wp:effectExtent b="0" l="0" r="0" t="0"/>
            <wp:docPr descr="Figure 7. Plasma concentration–time curves: intravenous-input model (red) vs yoshika fascial plane/depot (blue) and vessel-poor-tissue/BPT (green dashed) for four day-surgery scenarios. Green shading = in-hospital monitoring (0–2 h). Dashed lines = CNS and CV toxicity thresholds. Rate constants are shared; only the initial compartment differs." title="" id="1" name="Picture"/>
            <a:graphic>
              <a:graphicData uri="http://schemas.openxmlformats.org/drawingml/2006/picture">
                <pic:pic>
                  <pic:nvPicPr>
                    <pic:cNvPr descr="figures/fig7_safety_panel.png" id="0" name="Picture"/>
                    <pic:cNvPicPr>
                      <a:picLocks noChangeArrowheads="1" noChangeAspect="1"/>
                    </pic:cNvPicPr>
                  </pic:nvPicPr>
                  <pic:blipFill>
                    <a:blip r:embed="rId45"/>
                    <a:stretch>
                      <a:fillRect/>
                    </a:stretch>
                  </pic:blipFill>
                  <pic:spPr bwMode="auto">
                    <a:xfrm>
                      <a:off x="0" y="0"/>
                      <a:ext cx="5334000" cy="3819138"/>
                    </a:xfrm>
                    <a:prstGeom prst="rect">
                      <a:avLst/>
                    </a:prstGeom>
                    <a:noFill/>
                    <a:ln w="9525">
                      <a:noFill/>
                      <a:headEnd/>
                      <a:tailEnd/>
                    </a:ln>
                  </pic:spPr>
                </pic:pic>
              </a:graphicData>
            </a:graphic>
          </wp:inline>
        </w:drawing>
      </w:r>
    </w:p>
    <w:p>
      <w:pPr>
        <w:pStyle w:val="ImageCaption"/>
      </w:pPr>
      <w:r>
        <w:rPr>
          <w:b/>
          <w:highlight w:val="yellow"/>
        </w:rPr>
        <w:t xml:space="preserve">Figure 7.</w:t>
      </w:r>
      <w:r>
        <w:rPr>
          <w:highlight w:val="yellow"/>
        </w:rPr>
        <w:t xml:space="preserve"> </w:t>
      </w:r>
      <w:r>
        <w:rPr>
          <w:highlight w:val="yellow"/>
        </w:rPr>
        <w:t xml:space="preserve">Plasma concentration–time curves: intravenous-input model (red) vs yoshika fascial plane/depot (blue) and vessel-poor-tissue/BPT (green dashed) for four day-surgery scenarios. Green shading = in-hospital monitoring (0–2 h). Dashed lines = CNS and CV toxicity thresholds. Rate constants are shared; only the initial compartment differs.</w:t>
      </w:r>
    </w:p>
    <w:p>
      <w:pPr>
        <w:pStyle w:val="BodyText"/>
      </w:pPr>
      <w:r>
        <w:rPr>
          <w:highlight w:val="yellow"/>
        </w:rPr>
        <w:t xml:space="preserve">Fig. 8 compares</w:t>
      </w:r>
      <w:r>
        <w:rPr>
          <w:highlight w:val="yellow"/>
        </w:rPr>
        <w:t xml:space="preserve"> </w:t>
      </w:r>
      <m:oMath>
        <m:sSub>
          <m:e>
            <m:r>
              <m:t>T</m:t>
            </m:r>
          </m:e>
          <m:sub>
            <m:r>
              <m:t>m</m:t>
            </m:r>
            <m:r>
              <m:t>a</m:t>
            </m:r>
            <m:r>
              <m:t>x</m:t>
            </m:r>
          </m:sub>
        </m:sSub>
      </m:oMath>
      <w:r>
        <w:rPr>
          <w:highlight w:val="yellow"/>
        </w:rPr>
        <w:t xml:space="preserve"> </w:t>
      </w:r>
      <w:r>
        <w:rPr>
          <w:highlight w:val="yellow"/>
        </w:rPr>
        <w:t xml:space="preserve">across models and drugs.</w:t>
      </w:r>
      <w:r>
        <w:rPr>
          <w:highlight w:val="yellow"/>
        </w:rPr>
        <w:t xml:space="preserve"> </w:t>
      </w:r>
      <w:r>
        <w:rPr>
          <w:highlight w:val="yellow"/>
        </w:rPr>
        <w:t xml:space="preserve">The intravenous-input model invariably predicts</w:t>
      </w:r>
      <w:r>
        <w:rPr>
          <w:highlight w:val="yellow"/>
        </w:rPr>
        <w:t xml:space="preserve"> </w:t>
      </w:r>
      <m:oMath>
        <m:sSub>
          <m:e>
            <m:r>
              <m:t>T</m:t>
            </m:r>
          </m:e>
          <m:sub>
            <m:r>
              <m:t>m</m:t>
            </m:r>
            <m:r>
              <m:t>a</m:t>
            </m:r>
            <m:r>
              <m:t>x</m:t>
            </m:r>
          </m:sub>
        </m:sSub>
        <m:r>
          <m:t>=</m:t>
        </m:r>
        <m:r>
          <m:t>0</m:t>
        </m:r>
      </m:oMath>
      <w:r>
        <w:rPr>
          <w:highlight w:val="yellow"/>
        </w:rPr>
        <w:t xml:space="preserve">—providing no</w:t>
      </w:r>
      <w:r>
        <w:rPr>
          <w:highlight w:val="yellow"/>
        </w:rPr>
        <w:t xml:space="preserve"> </w:t>
      </w:r>
      <w:r>
        <w:rPr>
          <w:highlight w:val="yellow"/>
        </w:rPr>
        <w:t xml:space="preserve">information about when a peak would occur. yoshika’s depot model</w:t>
      </w:r>
      <w:r>
        <w:rPr>
          <w:highlight w:val="yellow"/>
        </w:rPr>
        <w:t xml:space="preserve"> </w:t>
      </w:r>
      <w:r>
        <w:rPr>
          <w:highlight w:val="yellow"/>
        </w:rPr>
        <w:t xml:space="preserve">yields</w:t>
      </w:r>
      <w:r>
        <w:rPr>
          <w:highlight w:val="yellow"/>
        </w:rPr>
        <w:t xml:space="preserve"> </w:t>
      </w:r>
      <m:oMath>
        <m:sSub>
          <m:e>
            <m:r>
              <m:t>T</m:t>
            </m:r>
          </m:e>
          <m:sub>
            <m:r>
              <m:t>m</m:t>
            </m:r>
            <m:r>
              <m:t>a</m:t>
            </m:r>
            <m:r>
              <m:t>x</m:t>
            </m:r>
          </m:sub>
        </m:sSub>
      </m:oMath>
      <w:r>
        <w:rPr>
          <w:highlight w:val="yellow"/>
        </w:rPr>
        <w:t xml:space="preserve"> </w:t>
      </w:r>
      <w:r>
        <w:rPr>
          <w:highlight w:val="yellow"/>
        </w:rPr>
        <w:t xml:space="preserve">of 12–16 minutes for the default absorption rates, while the</w:t>
      </w:r>
      <w:r>
        <w:rPr>
          <w:highlight w:val="yellow"/>
        </w:rPr>
        <w:t xml:space="preserve"> </w:t>
      </w:r>
      <w:r>
        <w:rPr>
          <w:highlight w:val="yellow"/>
        </w:rPr>
        <w:t xml:space="preserve">vessel-poor-tissue scenario yields much later peaks.</w:t>
      </w:r>
    </w:p>
    <w:p>
      <w:pPr>
        <w:pStyle w:val="CaptionedFigure"/>
      </w:pPr>
      <w:r>
        <w:drawing>
          <wp:inline>
            <wp:extent cx="5334000" cy="3160888"/>
            <wp:effectExtent b="0" l="0" r="0" t="0"/>
            <wp:docPr descr="Figure 8. Time to peak plasma concentration (T_{max}) by model and drug/dose. The intravenous-input model predicts T_{max} = 0 for all drugs (IV assumption). The depot scenario yields T_{max} at 12–16 min and the vessel-poor-tissue scenario at 72–119 min (default absorption rates). Horizontal lines = discharge (120 min) and extended monitoring (240 min). Simulation outputs, not measured values." title="" id="1" name="Picture"/>
            <a:graphic>
              <a:graphicData uri="http://schemas.openxmlformats.org/drawingml/2006/picture">
                <pic:pic>
                  <pic:nvPicPr>
                    <pic:cNvPr descr="figures/fig8_tmax_comparison.png" id="0" name="Picture"/>
                    <pic:cNvPicPr>
                      <a:picLocks noChangeArrowheads="1" noChangeAspect="1"/>
                    </pic:cNvPicPr>
                  </pic:nvPicPr>
                  <pic:blipFill>
                    <a:blip r:embed="rId46"/>
                    <a:stretch>
                      <a:fillRect/>
                    </a:stretch>
                  </pic:blipFill>
                  <pic:spPr bwMode="auto">
                    <a:xfrm>
                      <a:off x="0" y="0"/>
                      <a:ext cx="5334000" cy="3160888"/>
                    </a:xfrm>
                    <a:prstGeom prst="rect">
                      <a:avLst/>
                    </a:prstGeom>
                    <a:noFill/>
                    <a:ln w="9525">
                      <a:noFill/>
                      <a:headEnd/>
                      <a:tailEnd/>
                    </a:ln>
                  </pic:spPr>
                </pic:pic>
              </a:graphicData>
            </a:graphic>
          </wp:inline>
        </w:drawing>
      </w:r>
    </w:p>
    <w:p>
      <w:pPr>
        <w:pStyle w:val="ImageCaption"/>
      </w:pPr>
      <w:r>
        <w:rPr>
          <w:b/>
          <w:highlight w:val="yellow"/>
        </w:rPr>
        <w:t xml:space="preserve">Figure 8.</w:t>
      </w:r>
      <w:r>
        <w:rPr>
          <w:highlight w:val="yellow"/>
        </w:rPr>
        <w:t xml:space="preserve"> </w:t>
      </w:r>
      <w:r>
        <w:rPr>
          <w:highlight w:val="yellow"/>
        </w:rPr>
        <w:t xml:space="preserve">Time to peak plasma concentration (</w:t>
      </w:r>
      <m:oMath>
        <m:sSub>
          <m:e>
            <m:r>
              <m:t>T</m:t>
            </m:r>
          </m:e>
          <m:sub>
            <m:r>
              <m:t>m</m:t>
            </m:r>
            <m:r>
              <m:t>a</m:t>
            </m:r>
            <m:r>
              <m:t>x</m:t>
            </m:r>
          </m:sub>
        </m:sSub>
      </m:oMath>
      <w:r>
        <w:rPr>
          <w:highlight w:val="yellow"/>
        </w:rPr>
        <w:t xml:space="preserve">) by model and drug/dose. The intravenous-input model predicts</w:t>
      </w:r>
      <w:r>
        <w:rPr>
          <w:highlight w:val="yellow"/>
        </w:rPr>
        <w:t xml:space="preserve"> </w:t>
      </w:r>
      <m:oMath>
        <m:sSub>
          <m:e>
            <m:r>
              <m:t>T</m:t>
            </m:r>
          </m:e>
          <m:sub>
            <m:r>
              <m:t>m</m:t>
            </m:r>
            <m:r>
              <m:t>a</m:t>
            </m:r>
            <m:r>
              <m:t>x</m:t>
            </m:r>
          </m:sub>
        </m:sSub>
        <m:r>
          <m:t>=</m:t>
        </m:r>
        <m:r>
          <m:t>0</m:t>
        </m:r>
      </m:oMath>
      <w:r>
        <w:rPr>
          <w:highlight w:val="yellow"/>
        </w:rPr>
        <w:t xml:space="preserve"> </w:t>
      </w:r>
      <w:r>
        <w:rPr>
          <w:highlight w:val="yellow"/>
        </w:rPr>
        <w:t xml:space="preserve">for all drugs (IV assumption). The depot scenario yields</w:t>
      </w:r>
      <w:r>
        <w:rPr>
          <w:highlight w:val="yellow"/>
        </w:rPr>
        <w:t xml:space="preserve"> </w:t>
      </w:r>
      <m:oMath>
        <m:sSub>
          <m:e>
            <m:r>
              <m:t>T</m:t>
            </m:r>
          </m:e>
          <m:sub>
            <m:r>
              <m:t>m</m:t>
            </m:r>
            <m:r>
              <m:t>a</m:t>
            </m:r>
            <m:r>
              <m:t>x</m:t>
            </m:r>
          </m:sub>
        </m:sSub>
      </m:oMath>
      <w:r>
        <w:rPr>
          <w:highlight w:val="yellow"/>
        </w:rPr>
        <w:t xml:space="preserve"> </w:t>
      </w:r>
      <w:r>
        <w:rPr>
          <w:highlight w:val="yellow"/>
        </w:rPr>
        <w:t xml:space="preserve">at 12–16 min and the vessel-poor-tissue scenario at 72–119 min (default absorption rates). Horizontal lines = discharge (120 min) and extended monitoring (240 min). Simulation outputs, not measured values.</w:t>
      </w:r>
    </w:p>
    <w:p>
      <w:pPr>
        <w:pStyle w:val="BodyText"/>
      </w:pPr>
      <w:r>
        <w:rPr>
          <w:highlight w:val="yellow"/>
        </w:rPr>
        <w:t xml:space="preserve">Fig. 9 maps</w:t>
      </w:r>
      <w:r>
        <w:rPr>
          <w:highlight w:val="yellow"/>
        </w:rPr>
        <w:t xml:space="preserve"> </w:t>
      </w:r>
      <m:oMath>
        <m:sSub>
          <m:e>
            <m:r>
              <m:t>T</m:t>
            </m:r>
          </m:e>
          <m:sub>
            <m:r>
              <m:t>m</m:t>
            </m:r>
            <m:r>
              <m:t>a</m:t>
            </m:r>
            <m:r>
              <m:t>x</m:t>
            </m:r>
          </m:sub>
        </m:sSub>
      </m:oMath>
      <w:r>
        <w:rPr>
          <w:highlight w:val="yellow"/>
        </w:rPr>
        <w:t xml:space="preserve"> </w:t>
      </w:r>
      <w:r>
        <w:rPr>
          <w:highlight w:val="yellow"/>
        </w:rPr>
        <w:t xml:space="preserve">onto a clinical timeline relative</w:t>
      </w:r>
      <w:r>
        <w:rPr>
          <w:highlight w:val="yellow"/>
        </w:rPr>
        <w:t xml:space="preserve"> </w:t>
      </w:r>
      <w:r>
        <w:rPr>
          <w:highlight w:val="yellow"/>
        </w:rPr>
        <w:t xml:space="preserve">to typical day-surgery discharge (2 hours). Grey bars represent the in-hospital</w:t>
      </w:r>
      <w:r>
        <w:rPr>
          <w:highlight w:val="yellow"/>
        </w:rPr>
        <w:t xml:space="preserve"> </w:t>
      </w:r>
      <w:r>
        <w:rPr>
          <w:highlight w:val="yellow"/>
        </w:rPr>
        <w:t xml:space="preserve">monitoring period. The intravenous-input model’s</w:t>
      </w:r>
      <w:r>
        <w:rPr>
          <w:highlight w:val="yellow"/>
        </w:rPr>
        <w:t xml:space="preserve"> </w:t>
      </w:r>
      <m:oMath>
        <m:sSub>
          <m:e>
            <m:r>
              <m:t>T</m:t>
            </m:r>
          </m:e>
          <m:sub>
            <m:r>
              <m:t>m</m:t>
            </m:r>
            <m:r>
              <m:t>a</m:t>
            </m:r>
            <m:r>
              <m:t>x</m:t>
            </m:r>
          </m:sub>
        </m:sSub>
        <m:r>
          <m:t>=</m:t>
        </m:r>
        <m:r>
          <m:t>0</m:t>
        </m:r>
      </m:oMath>
      <w:r>
        <w:rPr>
          <w:highlight w:val="yellow"/>
        </w:rPr>
        <w:t xml:space="preserve"> </w:t>
      </w:r>
      <w:r>
        <w:rPr>
          <w:highlight w:val="yellow"/>
        </w:rPr>
        <w:t xml:space="preserve">implies the peak is over</w:t>
      </w:r>
      <w:r>
        <w:rPr>
          <w:highlight w:val="yellow"/>
        </w:rPr>
        <w:t xml:space="preserve"> </w:t>
      </w:r>
      <w:r>
        <w:rPr>
          <w:highlight w:val="yellow"/>
        </w:rPr>
        <w:t xml:space="preserve">immediately, whereas a route-aware simulation points to a later window</w:t>
      </w:r>
      <w:r>
        <w:rPr>
          <w:highlight w:val="yellow"/>
        </w:rPr>
        <w:t xml:space="preserve"> </w:t>
      </w:r>
      <w:r>
        <w:rPr>
          <w:highlight w:val="yellow"/>
        </w:rPr>
        <w:t xml:space="preserve">during which plasma concentration is still rising.</w:t>
      </w:r>
    </w:p>
    <w:p>
      <w:pPr>
        <w:pStyle w:val="CaptionedFigure"/>
      </w:pPr>
      <w:r>
        <w:drawing>
          <wp:inline>
            <wp:extent cx="5334000" cy="3088577"/>
            <wp:effectExtent b="0" l="0" r="0" t="0"/>
            <wp:docPr descr="Figure 9. Monitoring window: when does C_{max} occur relative to discharge? Diamond markers = T_{max} under each model. The intravenous-input model (red) places the peak at t = 0. The route-aware scenarios place the simulated peak later, in the fascial plane and vessel-poor-tissue cases. Simulation scenarios, not clinically proven predictions." title="" id="1" name="Picture"/>
            <a:graphic>
              <a:graphicData uri="http://schemas.openxmlformats.org/drawingml/2006/picture">
                <pic:pic>
                  <pic:nvPicPr>
                    <pic:cNvPr descr="figures/fig9_monitoring_timeline.png" id="0" name="Picture"/>
                    <pic:cNvPicPr>
                      <a:picLocks noChangeArrowheads="1" noChangeAspect="1"/>
                    </pic:cNvPicPr>
                  </pic:nvPicPr>
                  <pic:blipFill>
                    <a:blip r:embed="rId47"/>
                    <a:stretch>
                      <a:fillRect/>
                    </a:stretch>
                  </pic:blipFill>
                  <pic:spPr bwMode="auto">
                    <a:xfrm>
                      <a:off x="0" y="0"/>
                      <a:ext cx="5334000" cy="3088577"/>
                    </a:xfrm>
                    <a:prstGeom prst="rect">
                      <a:avLst/>
                    </a:prstGeom>
                    <a:noFill/>
                    <a:ln w="9525">
                      <a:noFill/>
                      <a:headEnd/>
                      <a:tailEnd/>
                    </a:ln>
                  </pic:spPr>
                </pic:pic>
              </a:graphicData>
            </a:graphic>
          </wp:inline>
        </w:drawing>
      </w:r>
    </w:p>
    <w:p>
      <w:pPr>
        <w:pStyle w:val="ImageCaption"/>
      </w:pPr>
      <w:r>
        <w:rPr>
          <w:b/>
          <w:highlight w:val="yellow"/>
        </w:rPr>
        <w:t xml:space="preserve">Figure 9.</w:t>
      </w:r>
      <w:r>
        <w:rPr>
          <w:highlight w:val="yellow"/>
        </w:rPr>
        <w:t xml:space="preserve"> </w:t>
      </w:r>
      <w:r>
        <w:rPr>
          <w:highlight w:val="yellow"/>
        </w:rPr>
        <w:t xml:space="preserve">Monitoring window: when does</w:t>
      </w:r>
      <w:r>
        <w:rPr>
          <w:highlight w:val="yellow"/>
        </w:rPr>
        <w:t xml:space="preserve"> </w:t>
      </w:r>
      <m:oMath>
        <m:sSub>
          <m:e>
            <m:r>
              <m:t>C</m:t>
            </m:r>
          </m:e>
          <m:sub>
            <m:r>
              <m:t>m</m:t>
            </m:r>
            <m:r>
              <m:t>a</m:t>
            </m:r>
            <m:r>
              <m:t>x</m:t>
            </m:r>
          </m:sub>
        </m:sSub>
      </m:oMath>
      <w:r>
        <w:rPr>
          <w:highlight w:val="yellow"/>
        </w:rPr>
        <w:t xml:space="preserve"> </w:t>
      </w:r>
      <w:r>
        <w:rPr>
          <w:highlight w:val="yellow"/>
        </w:rPr>
        <w:t xml:space="preserve">occur relative to discharge? Diamond markers =</w:t>
      </w:r>
      <w:r>
        <w:rPr>
          <w:highlight w:val="yellow"/>
        </w:rPr>
        <w:t xml:space="preserve"> </w:t>
      </w:r>
      <m:oMath>
        <m:sSub>
          <m:e>
            <m:r>
              <m:t>T</m:t>
            </m:r>
          </m:e>
          <m:sub>
            <m:r>
              <m:t>m</m:t>
            </m:r>
            <m:r>
              <m:t>a</m:t>
            </m:r>
            <m:r>
              <m:t>x</m:t>
            </m:r>
          </m:sub>
        </m:sSub>
      </m:oMath>
      <w:r>
        <w:rPr>
          <w:highlight w:val="yellow"/>
        </w:rPr>
        <w:t xml:space="preserve"> </w:t>
      </w:r>
      <w:r>
        <w:rPr>
          <w:highlight w:val="yellow"/>
        </w:rPr>
        <w:t xml:space="preserve">under each model. The intravenous-input model (red) places the peak at</w:t>
      </w:r>
      <w:r>
        <w:rPr>
          <w:highlight w:val="yellow"/>
        </w:rPr>
        <w:t xml:space="preserve"> </w:t>
      </w:r>
      <m:oMath>
        <m:r>
          <m:t>t</m:t>
        </m:r>
        <m:r>
          <m:t>=</m:t>
        </m:r>
        <m:r>
          <m:t>0</m:t>
        </m:r>
      </m:oMath>
      <w:r>
        <w:rPr>
          <w:highlight w:val="yellow"/>
        </w:rPr>
        <w:t xml:space="preserve">. The route-aware scenarios place the simulated peak later, in the fascial plane and vessel-poor-tissue cases. Simulation scenarios, not clinically proven predictions.</w:t>
      </w:r>
    </w:p>
    <w:p>
      <w:pPr>
        <w:pStyle w:val="BodyText"/>
      </w:pPr>
      <w:r>
        <w:rPr>
          <w:highlight w:val="yellow"/>
        </w:rPr>
        <w:t xml:space="preserve">Fig. 10 compares</w:t>
      </w:r>
      <w:r>
        <w:rPr>
          <w:highlight w:val="yellow"/>
        </w:rPr>
        <w:t xml:space="preserve"> </w:t>
      </w:r>
      <m:oMath>
        <m:sSub>
          <m:e>
            <m:r>
              <m:t>C</m:t>
            </m:r>
          </m:e>
          <m:sub>
            <m:r>
              <m:t>m</m:t>
            </m:r>
            <m:r>
              <m:t>a</m:t>
            </m:r>
            <m:r>
              <m:t>x</m:t>
            </m:r>
          </m:sub>
        </m:sSub>
      </m:oMath>
      <w:r>
        <w:rPr>
          <w:highlight w:val="yellow"/>
        </w:rPr>
        <w:t xml:space="preserve"> </w:t>
      </w:r>
      <w:r>
        <w:rPr>
          <w:highlight w:val="yellow"/>
        </w:rPr>
        <w:t xml:space="preserve">against CNS and cardiovascular</w:t>
      </w:r>
      <w:r>
        <w:rPr>
          <w:highlight w:val="yellow"/>
        </w:rPr>
        <w:t xml:space="preserve"> </w:t>
      </w:r>
      <w:r>
        <w:rPr>
          <w:highlight w:val="yellow"/>
        </w:rPr>
        <w:t xml:space="preserve">toxicity thresholds. The intravenous-input model’s overestimation is</w:t>
      </w:r>
      <w:r>
        <w:rPr>
          <w:highlight w:val="yellow"/>
        </w:rPr>
        <w:t xml:space="preserve"> </w:t>
      </w:r>
      <w:r>
        <w:rPr>
          <w:highlight w:val="yellow"/>
        </w:rPr>
        <w:t xml:space="preserve">apparent: predicted</w:t>
      </w:r>
      <w:r>
        <w:rPr>
          <w:highlight w:val="yellow"/>
        </w:rPr>
        <w:t xml:space="preserve"> </w:t>
      </w:r>
      <m:oMath>
        <m:sSub>
          <m:e>
            <m:r>
              <m:t>C</m:t>
            </m:r>
          </m:e>
          <m:sub>
            <m:r>
              <m:t>m</m:t>
            </m:r>
            <m:r>
              <m:t>a</m:t>
            </m:r>
            <m:r>
              <m:t>x</m:t>
            </m:r>
          </m:sub>
        </m:sSub>
      </m:oMath>
      <w:r>
        <w:rPr>
          <w:highlight w:val="yellow"/>
        </w:rPr>
        <w:t xml:space="preserve"> </w:t>
      </w:r>
      <w:r>
        <w:rPr>
          <w:highlight w:val="yellow"/>
        </w:rPr>
        <w:t xml:space="preserve">values exceed even the CV toxicity threshold for all</w:t>
      </w:r>
      <w:r>
        <w:rPr>
          <w:highlight w:val="yellow"/>
        </w:rPr>
        <w:t xml:space="preserve"> </w:t>
      </w:r>
      <w:r>
        <w:rPr>
          <w:highlight w:val="yellow"/>
        </w:rPr>
        <w:t xml:space="preserve">drugs, whereas the depot model shows</w:t>
      </w:r>
      <w:r>
        <w:rPr>
          <w:highlight w:val="yellow"/>
        </w:rPr>
        <w:t xml:space="preserve"> </w:t>
      </w:r>
      <m:oMath>
        <m:sSub>
          <m:e>
            <m:r>
              <m:t>C</m:t>
            </m:r>
          </m:e>
          <m:sub>
            <m:r>
              <m:t>m</m:t>
            </m:r>
            <m:r>
              <m:t>a</m:t>
            </m:r>
            <m:r>
              <m:t>x</m:t>
            </m:r>
          </m:sub>
        </m:sSub>
      </m:oMath>
      <w:r>
        <w:rPr>
          <w:highlight w:val="yellow"/>
        </w:rPr>
        <w:t xml:space="preserve"> </w:t>
      </w:r>
      <w:r>
        <w:rPr>
          <w:highlight w:val="yellow"/>
        </w:rPr>
        <w:t xml:space="preserve">near or below the CNS threshold.</w:t>
      </w:r>
    </w:p>
    <w:p>
      <w:pPr>
        <w:pStyle w:val="CaptionedFigure"/>
      </w:pPr>
      <w:r>
        <w:drawing>
          <wp:inline>
            <wp:extent cx="5334000" cy="3161953"/>
            <wp:effectExtent b="0" l="0" r="0" t="0"/>
            <wp:docPr descr="Figure 10. Peak plasma concentration (C_{max}) vs toxicity thresholds. The intravenous-input model predicts C_{max} well above the thresholds for non-intravenous routes; the depot and vessel-poor-tissue scenarios predict lower values closer to those reported in published studies (§3.3). Simulation outputs." title="" id="1" name="Picture"/>
            <a:graphic>
              <a:graphicData uri="http://schemas.openxmlformats.org/drawingml/2006/picture">
                <pic:pic>
                  <pic:nvPicPr>
                    <pic:cNvPr descr="figures/fig10_cmax_toxicity.png" id="0" name="Picture"/>
                    <pic:cNvPicPr>
                      <a:picLocks noChangeArrowheads="1" noChangeAspect="1"/>
                    </pic:cNvPicPr>
                  </pic:nvPicPr>
                  <pic:blipFill>
                    <a:blip r:embed="rId48"/>
                    <a:stretch>
                      <a:fillRect/>
                    </a:stretch>
                  </pic:blipFill>
                  <pic:spPr bwMode="auto">
                    <a:xfrm>
                      <a:off x="0" y="0"/>
                      <a:ext cx="5334000" cy="3161953"/>
                    </a:xfrm>
                    <a:prstGeom prst="rect">
                      <a:avLst/>
                    </a:prstGeom>
                    <a:noFill/>
                    <a:ln w="9525">
                      <a:noFill/>
                      <a:headEnd/>
                      <a:tailEnd/>
                    </a:ln>
                  </pic:spPr>
                </pic:pic>
              </a:graphicData>
            </a:graphic>
          </wp:inline>
        </w:drawing>
      </w:r>
    </w:p>
    <w:p>
      <w:pPr>
        <w:pStyle w:val="ImageCaption"/>
      </w:pPr>
      <w:r>
        <w:rPr>
          <w:b/>
          <w:highlight w:val="yellow"/>
        </w:rPr>
        <w:t xml:space="preserve">Figure 10.</w:t>
      </w:r>
      <w:r>
        <w:rPr>
          <w:highlight w:val="yellow"/>
        </w:rPr>
        <w:t xml:space="preserve"> </w:t>
      </w:r>
      <w:r>
        <w:rPr>
          <w:highlight w:val="yellow"/>
        </w:rPr>
        <w:t xml:space="preserve">Peak plasma concentration (</w:t>
      </w:r>
      <m:oMath>
        <m:sSub>
          <m:e>
            <m:r>
              <m:t>C</m:t>
            </m:r>
          </m:e>
          <m:sub>
            <m:r>
              <m:t>m</m:t>
            </m:r>
            <m:r>
              <m:t>a</m:t>
            </m:r>
            <m:r>
              <m:t>x</m:t>
            </m:r>
          </m:sub>
        </m:sSub>
      </m:oMath>
      <w:r>
        <w:rPr>
          <w:highlight w:val="yellow"/>
        </w:rPr>
        <w:t xml:space="preserve">) vs toxicity thresholds. The intravenous-input model predicts</w:t>
      </w:r>
      <w:r>
        <w:rPr>
          <w:highlight w:val="yellow"/>
        </w:rPr>
        <w:t xml:space="preserve"> </w:t>
      </w:r>
      <m:oMath>
        <m:sSub>
          <m:e>
            <m:r>
              <m:t>C</m:t>
            </m:r>
          </m:e>
          <m:sub>
            <m:r>
              <m:t>m</m:t>
            </m:r>
            <m:r>
              <m:t>a</m:t>
            </m:r>
            <m:r>
              <m:t>x</m:t>
            </m:r>
          </m:sub>
        </m:sSub>
      </m:oMath>
      <w:r>
        <w:rPr>
          <w:highlight w:val="yellow"/>
        </w:rPr>
        <w:t xml:space="preserve"> </w:t>
      </w:r>
      <w:r>
        <w:rPr>
          <w:highlight w:val="yellow"/>
        </w:rPr>
        <w:t xml:space="preserve">well above the thresholds for non-intravenous routes; the depot and vessel-poor-tissue scenarios predict lower values closer to those reported in published studies (§3.3). Simulation outputs.</w:t>
      </w:r>
    </w:p>
    <w:p>
      <w:pPr>
        <w:pStyle w:val="BodyText"/>
      </w:pPr>
      <w:r>
        <w:rPr>
          <w:highlight w:val="yellow"/>
        </w:rPr>
        <w:t xml:space="preserve">Fig. 11 summarizes these simulations, noting that the</w:t>
      </w:r>
      <w:r>
        <w:rPr>
          <w:highlight w:val="yellow"/>
        </w:rPr>
        <w:t xml:space="preserve"> </w:t>
      </w:r>
      <w:r>
        <w:rPr>
          <w:highlight w:val="yellow"/>
        </w:rPr>
        <w:t xml:space="preserve">depot model can predict</w:t>
      </w:r>
      <w:r>
        <w:rPr>
          <w:highlight w:val="yellow"/>
        </w:rPr>
        <w:t xml:space="preserve"> </w:t>
      </w:r>
      <m:oMath>
        <m:sSub>
          <m:e>
            <m:r>
              <m:t>C</m:t>
            </m:r>
          </m:e>
          <m:sub>
            <m:r>
              <m:t>m</m:t>
            </m:r>
            <m:r>
              <m:t>a</m:t>
            </m:r>
            <m:r>
              <m:t>x</m:t>
            </m:r>
          </m:sub>
        </m:sSub>
      </m:oMath>
      <w:r>
        <w:rPr>
          <w:highlight w:val="yellow"/>
        </w:rPr>
        <w:t xml:space="preserve"> </w:t>
      </w:r>
      <w:r>
        <w:rPr>
          <w:highlight w:val="yellow"/>
        </w:rPr>
        <w:t xml:space="preserve">near or above the CNS threshold for ropivacaine 150 mg and</w:t>
      </w:r>
      <w:r>
        <w:rPr>
          <w:highlight w:val="yellow"/>
        </w:rPr>
        <w:t xml:space="preserve"> </w:t>
      </w:r>
      <w:r>
        <w:rPr>
          <w:highlight w:val="yellow"/>
        </w:rPr>
        <w:t xml:space="preserve">bupivacaine 100–150 mg—model-based signals that, if borne out, would warrant</w:t>
      </w:r>
      <w:r>
        <w:rPr>
          <w:highlight w:val="yellow"/>
        </w:rPr>
        <w:t xml:space="preserve"> </w:t>
      </w:r>
      <w:r>
        <w:rPr>
          <w:highlight w:val="yellow"/>
        </w:rPr>
        <w:t xml:space="preserve">monitoring through</w:t>
      </w:r>
      <w:r>
        <w:rPr>
          <w:highlight w:val="yellow"/>
        </w:rPr>
        <w:t xml:space="preserve"> </w:t>
      </w:r>
      <m:oMath>
        <m:sSub>
          <m:e>
            <m:r>
              <m:t>T</m:t>
            </m:r>
          </m:e>
          <m:sub>
            <m:r>
              <m:t>m</m:t>
            </m:r>
            <m:r>
              <m:t>a</m:t>
            </m:r>
            <m:r>
              <m:t>x</m:t>
            </m:r>
          </m:sub>
        </m:sSub>
      </m:oMath>
      <w:r>
        <w:rPr>
          <w:highlight w:val="yellow"/>
        </w:rPr>
        <w:t xml:space="preserve">.</w:t>
      </w:r>
    </w:p>
    <w:p>
      <w:pPr>
        <w:pStyle w:val="CaptionedFigure"/>
      </w:pPr>
      <w:r>
        <w:drawing>
          <wp:inline>
            <wp:extent cx="5334000" cy="1875214"/>
            <wp:effectExtent b="0" l="0" r="0" t="0"/>
            <wp:docPr descr="Figure 11. Safety summary: rate constants shared across all models; only initial compartment differs. Red cells = C_{max} exceeds CNS threshold or T_{max} exceeds discharge time. Pink rows = intravenous-input; blue = fascial plane (depot); green = vessel-poor-tissue (BPT)." title="" id="1" name="Picture"/>
            <a:graphic>
              <a:graphicData uri="http://schemas.openxmlformats.org/drawingml/2006/picture">
                <pic:pic>
                  <pic:nvPicPr>
                    <pic:cNvPr descr="figures/fig11_safety_summary_table.png" id="0" name="Picture"/>
                    <pic:cNvPicPr>
                      <a:picLocks noChangeArrowheads="1" noChangeAspect="1"/>
                    </pic:cNvPicPr>
                  </pic:nvPicPr>
                  <pic:blipFill>
                    <a:blip r:embed="rId49"/>
                    <a:stretch>
                      <a:fillRect/>
                    </a:stretch>
                  </pic:blipFill>
                  <pic:spPr bwMode="auto">
                    <a:xfrm>
                      <a:off x="0" y="0"/>
                      <a:ext cx="5334000" cy="1875214"/>
                    </a:xfrm>
                    <a:prstGeom prst="rect">
                      <a:avLst/>
                    </a:prstGeom>
                    <a:noFill/>
                    <a:ln w="9525">
                      <a:noFill/>
                      <a:headEnd/>
                      <a:tailEnd/>
                    </a:ln>
                  </pic:spPr>
                </pic:pic>
              </a:graphicData>
            </a:graphic>
          </wp:inline>
        </w:drawing>
      </w:r>
    </w:p>
    <w:p>
      <w:pPr>
        <w:pStyle w:val="ImageCaption"/>
      </w:pPr>
      <w:r>
        <w:rPr>
          <w:b/>
          <w:highlight w:val="yellow"/>
        </w:rPr>
        <w:t xml:space="preserve">Figure 11.</w:t>
      </w:r>
      <w:r>
        <w:rPr>
          <w:highlight w:val="yellow"/>
        </w:rPr>
        <w:t xml:space="preserve"> </w:t>
      </w:r>
      <w:r>
        <w:rPr>
          <w:highlight w:val="yellow"/>
        </w:rPr>
        <w:t xml:space="preserve">Safety summary: rate constants shared across all models; only initial compartment differs. Red cells =</w:t>
      </w:r>
      <w:r>
        <w:rPr>
          <w:highlight w:val="yellow"/>
        </w:rPr>
        <w:t xml:space="preserve"> </w:t>
      </w:r>
      <m:oMath>
        <m:sSub>
          <m:e>
            <m:r>
              <m:t>C</m:t>
            </m:r>
          </m:e>
          <m:sub>
            <m:r>
              <m:t>m</m:t>
            </m:r>
            <m:r>
              <m:t>a</m:t>
            </m:r>
            <m:r>
              <m:t>x</m:t>
            </m:r>
          </m:sub>
        </m:sSub>
      </m:oMath>
      <w:r>
        <w:rPr>
          <w:highlight w:val="yellow"/>
        </w:rPr>
        <w:t xml:space="preserve"> </w:t>
      </w:r>
      <w:r>
        <w:rPr>
          <w:highlight w:val="yellow"/>
        </w:rPr>
        <w:t xml:space="preserve">exceeds CNS threshold or</w:t>
      </w:r>
      <w:r>
        <w:rPr>
          <w:highlight w:val="yellow"/>
        </w:rPr>
        <w:t xml:space="preserve"> </w:t>
      </w:r>
      <m:oMath>
        <m:sSub>
          <m:e>
            <m:r>
              <m:t>T</m:t>
            </m:r>
          </m:e>
          <m:sub>
            <m:r>
              <m:t>m</m:t>
            </m:r>
            <m:r>
              <m:t>a</m:t>
            </m:r>
            <m:r>
              <m:t>x</m:t>
            </m:r>
          </m:sub>
        </m:sSub>
      </m:oMath>
      <w:r>
        <w:rPr>
          <w:highlight w:val="yellow"/>
        </w:rPr>
        <w:t xml:space="preserve"> </w:t>
      </w:r>
      <w:r>
        <w:rPr>
          <w:highlight w:val="yellow"/>
        </w:rPr>
        <w:t xml:space="preserve">exceeds discharge time. Pink rows = intravenous-input; blue = fascial plane (depot); green = vessel-poor-tissue (BPT).</w:t>
      </w:r>
    </w:p>
    <w:p>
      <w:pPr>
        <w:pStyle w:val="Heading2"/>
      </w:pPr>
      <w:bookmarkStart w:id="50" w:name="Xd8360ace41fdf8cc83ace946df0836e8101b9b8"/>
      <w:r>
        <w:rPr>
          <w:highlight w:val="yellow"/>
        </w:rPr>
        <w:t xml:space="preserve">3.3 External validation against published plasma concentration data</w:t>
      </w:r>
      <w:bookmarkEnd w:id="50"/>
    </w:p>
    <w:p>
      <w:pPr>
        <w:pStyle w:val="FirstParagraph"/>
      </w:pPr>
      <w:r>
        <w:rPr>
          <w:highlight w:val="yellow"/>
        </w:rPr>
        <w:t xml:space="preserve">The illustrative outputs above raise an empirical question central to this work: can a</w:t>
      </w:r>
      <w:r>
        <w:rPr>
          <w:highlight w:val="yellow"/>
        </w:rPr>
        <w:t xml:space="preserve"> </w:t>
      </w:r>
      <w:r>
        <w:rPr>
          <w:highlight w:val="yellow"/>
        </w:rPr>
        <w:t xml:space="preserve">three-compartment model with disposition parameters derived from intravenous data, combined</w:t>
      </w:r>
      <w:r>
        <w:rPr>
          <w:highlight w:val="yellow"/>
        </w:rPr>
        <w:t xml:space="preserve"> </w:t>
      </w:r>
      <w:r>
        <w:rPr>
          <w:highlight w:val="yellow"/>
        </w:rPr>
        <w:t xml:space="preserve">with a first-order absorption (depot) input, reproduce plasma concentrations actually observed</w:t>
      </w:r>
      <w:r>
        <w:rPr>
          <w:highlight w:val="yellow"/>
        </w:rPr>
        <w:t xml:space="preserve"> </w:t>
      </w:r>
      <w:r>
        <w:rPr>
          <w:highlight w:val="yellow"/>
        </w:rPr>
        <w:t xml:space="preserve">after non-intravenous administration? To address the concern that the model’s clinical</w:t>
      </w:r>
      <w:r>
        <w:rPr>
          <w:highlight w:val="yellow"/>
        </w:rPr>
        <w:t xml:space="preserve"> </w:t>
      </w:r>
      <w:r>
        <w:rPr>
          <w:highlight w:val="yellow"/>
        </w:rPr>
        <w:t xml:space="preserve">interpretation is otherwise unvalidated, we compared model predictions against ten records</w:t>
      </w:r>
      <w:r>
        <w:rPr>
          <w:highlight w:val="yellow"/>
        </w:rPr>
        <w:t xml:space="preserve"> </w:t>
      </w:r>
      <w:r>
        <w:rPr>
          <w:highlight w:val="yellow"/>
        </w:rPr>
        <w:t xml:space="preserve">digitized from published clinical pharmacokinetic studies spanning intercostal blocks</w:t>
      </w:r>
      <w:r>
        <w:rPr>
          <w:highlight w:val="yellow"/>
        </w:rPr>
        <w:t xml:space="preserve"> </w:t>
      </w:r>
      <w:r>
        <w:rPr>
          <w:highlight w:val="yellow"/>
        </w:rPr>
        <w:t xml:space="preserve">[12,13]</w:t>
      </w:r>
      <w:r>
        <w:rPr>
          <w:highlight w:val="yellow"/>
        </w:rPr>
        <w:t xml:space="preserve">, fascial plane blocks (transversus abdominis plane [TAP] and rectus</w:t>
      </w:r>
      <w:r>
        <w:rPr>
          <w:highlight w:val="yellow"/>
        </w:rPr>
        <w:t xml:space="preserve"> </w:t>
      </w:r>
      <w:r>
        <w:rPr>
          <w:highlight w:val="yellow"/>
        </w:rPr>
        <w:t xml:space="preserve">sheath)</w:t>
      </w:r>
      <w:r>
        <w:rPr>
          <w:highlight w:val="yellow"/>
        </w:rPr>
        <w:t xml:space="preserve"> </w:t>
      </w:r>
      <w:r>
        <w:rPr>
          <w:highlight w:val="yellow"/>
        </w:rPr>
        <w:t xml:space="preserve">[14]</w:t>
      </w:r>
      <w:r>
        <w:rPr>
          <w:highlight w:val="yellow"/>
        </w:rPr>
        <w:t xml:space="preserve">, peripheral nerve blocks (brachial and axillary plexus)</w:t>
      </w:r>
      <w:r>
        <w:rPr>
          <w:highlight w:val="yellow"/>
        </w:rPr>
        <w:t xml:space="preserve"> </w:t>
      </w:r>
      <w:r>
        <w:rPr>
          <w:highlight w:val="yellow"/>
        </w:rPr>
        <w:t xml:space="preserve">[15,16]</w:t>
      </w:r>
      <w:r>
        <w:rPr>
          <w:highlight w:val="yellow"/>
        </w:rPr>
        <w:t xml:space="preserve">, and epidural administration</w:t>
      </w:r>
      <w:r>
        <w:rPr>
          <w:highlight w:val="yellow"/>
        </w:rPr>
        <w:t xml:space="preserve"> </w:t>
      </w:r>
      <w:r>
        <w:rPr>
          <w:highlight w:val="yellow"/>
        </w:rPr>
        <w:t xml:space="preserve">[17]</w:t>
      </w:r>
      <w:r>
        <w:rPr>
          <w:highlight w:val="yellow"/>
        </w:rPr>
        <w:t xml:space="preserve">, covering</w:t>
      </w:r>
      <w:r>
        <w:rPr>
          <w:highlight w:val="yellow"/>
        </w:rPr>
        <w:t xml:space="preserve"> </w:t>
      </w:r>
      <w:r>
        <w:rPr>
          <w:highlight w:val="yellow"/>
        </w:rPr>
        <w:t xml:space="preserve">ropivacaine, bupivacaine, and lidocaine.</w:t>
      </w:r>
    </w:p>
    <w:p>
      <w:pPr>
        <w:pStyle w:val="BodyText"/>
      </w:pPr>
      <w:r>
        <w:rPr>
          <w:highlight w:val="yellow"/>
        </w:rPr>
        <w:t xml:space="preserve">For each study we used the built-in disposition parameters unchanged and calibrated only the</w:t>
      </w:r>
      <w:r>
        <w:rPr>
          <w:highlight w:val="yellow"/>
        </w:rPr>
        <w:t xml:space="preserve"> </w:t>
      </w:r>
      <w:r>
        <w:rPr>
          <w:highlight w:val="yellow"/>
        </w:rPr>
        <w:t xml:space="preserve">depot absorption rate constant</w:t>
      </w:r>
      <w:r>
        <w:rPr>
          <w:highlight w:val="yellow"/>
        </w:rPr>
        <w:t xml:space="preserve"> </w:t>
      </w:r>
      <m:oMath>
        <m:sSub>
          <m:e>
            <m:r>
              <m:t>k</m:t>
            </m:r>
          </m:e>
          <m:sub>
            <m:r>
              <m:t>a</m:t>
            </m:r>
          </m:sub>
        </m:sSub>
      </m:oMath>
      <w:r>
        <w:rPr>
          <w:highlight w:val="yellow"/>
        </w:rPr>
        <w:t xml:space="preserve"> </w:t>
      </w:r>
      <w:r>
        <w:rPr>
          <w:highlight w:val="yellow"/>
        </w:rPr>
        <w:t xml:space="preserve">so that the predicted time-to-peak matched the reported</w:t>
      </w:r>
      <w:r>
        <w:rPr>
          <w:highlight w:val="yellow"/>
        </w:rPr>
        <w:t xml:space="preserve"> </w:t>
      </w:r>
      <m:oMath>
        <m:sSub>
          <m:e>
            <m:r>
              <m:t>T</m:t>
            </m:r>
          </m:e>
          <m:sub>
            <m:r>
              <m:t>m</m:t>
            </m:r>
            <m:r>
              <m:t>a</m:t>
            </m:r>
            <m:r>
              <m:t>x</m:t>
            </m:r>
          </m:sub>
        </m:sSub>
      </m:oMath>
      <w:r>
        <w:rPr>
          <w:highlight w:val="yellow"/>
        </w:rPr>
        <w:t xml:space="preserve"> </w:t>
      </w:r>
      <w:r>
        <w:rPr>
          <w:highlight w:val="yellow"/>
        </w:rPr>
        <w:t xml:space="preserve">(a single degree of freedom per study, reflecting that absorption rate is the</w:t>
      </w:r>
      <w:r>
        <w:rPr>
          <w:highlight w:val="yellow"/>
        </w:rPr>
        <w:t xml:space="preserve"> </w:t>
      </w:r>
      <w:r>
        <w:rPr>
          <w:highlight w:val="yellow"/>
        </w:rPr>
        <w:t xml:space="preserve">route- and site-specific quantity not contained in intravenous disposition data). We then</w:t>
      </w:r>
      <w:r>
        <w:rPr>
          <w:highlight w:val="yellow"/>
        </w:rPr>
        <w:t xml:space="preserve"> </w:t>
      </w:r>
      <w:r>
        <w:rPr>
          <w:highlight w:val="yellow"/>
        </w:rPr>
        <w:t xml:space="preserve">compared the predicted peak concentration</w:t>
      </w:r>
      <w:r>
        <w:rPr>
          <w:highlight w:val="yellow"/>
        </w:rPr>
        <w:t xml:space="preserve"> </w:t>
      </w:r>
      <m:oMath>
        <m:sSub>
          <m:e>
            <m:r>
              <m:t>C</m:t>
            </m:r>
          </m:e>
          <m:sub>
            <m:r>
              <m:t>m</m:t>
            </m:r>
            <m:r>
              <m:t>a</m:t>
            </m:r>
            <m:r>
              <m:t>x</m:t>
            </m:r>
          </m:sub>
        </m:sSub>
      </m:oMath>
      <w:r>
        <w:rPr>
          <w:highlight w:val="yellow"/>
        </w:rPr>
        <w:t xml:space="preserve"> </w:t>
      </w:r>
      <w:r>
        <w:rPr>
          <w:highlight w:val="yellow"/>
        </w:rPr>
        <w:t xml:space="preserve">against the observed value, and contrasted</w:t>
      </w:r>
      <w:r>
        <w:rPr>
          <w:highlight w:val="yellow"/>
        </w:rPr>
        <w:t xml:space="preserve"> </w:t>
      </w:r>
      <w:r>
        <w:rPr>
          <w:highlight w:val="yellow"/>
        </w:rPr>
        <w:t xml:space="preserve">this with the intravenous-input (</w:t>
      </w:r>
      <w:r>
        <w:rPr>
          <w:highlight w:val="yellow"/>
        </w:rPr>
        <w:t xml:space="preserve">“</w:t>
      </w:r>
      <w:r>
        <w:rPr>
          <w:highlight w:val="yellow"/>
        </w:rPr>
        <w:t xml:space="preserve">IV-forced</w:t>
      </w:r>
      <w:r>
        <w:rPr>
          <w:highlight w:val="yellow"/>
        </w:rPr>
        <w:t xml:space="preserve">”</w:t>
      </w:r>
      <w:r>
        <w:rPr>
          <w:highlight w:val="yellow"/>
        </w:rPr>
        <w:t xml:space="preserve">) baseline in which the whole dose is placed in</w:t>
      </w:r>
      <w:r>
        <w:rPr>
          <w:highlight w:val="yellow"/>
        </w:rPr>
        <w:t xml:space="preserve"> </w:t>
      </w:r>
      <w:r>
        <w:rPr>
          <w:highlight w:val="yellow"/>
        </w:rPr>
        <w:t xml:space="preserve">plasma at</w:t>
      </w:r>
      <w:r>
        <w:rPr>
          <w:highlight w:val="yellow"/>
        </w:rPr>
        <w:t xml:space="preserve"> </w:t>
      </w:r>
      <m:oMath>
        <m:r>
          <m:t>t</m:t>
        </m:r>
        <m:r>
          <m:t>=</m:t>
        </m:r>
        <m:r>
          <m:t>0</m:t>
        </m:r>
      </m:oMath>
      <w:r>
        <w:rPr>
          <w:highlight w:val="yellow"/>
        </w:rPr>
        <w:t xml:space="preserve">. The full record set is given in Table 4.</w:t>
      </w:r>
    </w:p>
    <w:p>
      <w:pPr>
        <w:pStyle w:val="Caption"/>
        <w:keepNext/>
        <w:spacing w:before="180" w:after="60"/>
        <w:jc w:val="left"/>
      </w:pPr>
      <w:r>
        <w:rPr>
          <w:b w:val="0"/>
          <w:i/>
          <w:sz w:val="18"/>
          <w:highlight w:val="yellow"/>
        </w:rPr>
        <w:t>Table 4. External validation against published plasma concentration data. k</w:t>
      </w:r>
      <w:r>
        <w:rPr>
          <w:b w:val="0"/>
          <w:i/>
          <w:sz w:val="18"/>
          <w:highlight w:val="yellow"/>
          <w:vertAlign w:val="subscript"/>
        </w:rPr>
        <w:t>a</w:t>
      </w:r>
      <w:r>
        <w:rPr>
          <w:b w:val="0"/>
          <w:i/>
          <w:sz w:val="18"/>
          <w:highlight w:val="yellow"/>
        </w:rPr>
        <w:t xml:space="preserve"> was calibrated to the observed T</w:t>
      </w:r>
      <w:r>
        <w:rPr>
          <w:b w:val="0"/>
          <w:i/>
          <w:sz w:val="18"/>
          <w:highlight w:val="yellow"/>
          <w:vertAlign w:val="subscript"/>
        </w:rPr>
        <w:t>max</w:t>
      </w:r>
      <w:r>
        <w:rPr>
          <w:b w:val="0"/>
          <w:i/>
          <w:sz w:val="18"/>
          <w:highlight w:val="yellow"/>
        </w:rPr>
        <w:t>; disposition parameters were unchanged. Fold error is predicted/observed C</w:t>
      </w:r>
      <w:r>
        <w:rPr>
          <w:b w:val="0"/>
          <w:i/>
          <w:sz w:val="18"/>
          <w:highlight w:val="yellow"/>
          <w:vertAlign w:val="subscript"/>
        </w:rPr>
        <w:t>max</w:t>
      </w:r>
      <w:r>
        <w:rPr>
          <w:b w:val="0"/>
          <w:i/>
          <w:sz w:val="18"/>
          <w:highlight w:val="yellow"/>
        </w:rPr>
        <w:t>. The intravenous-input baseline predicts T</w:t>
      </w:r>
      <w:r>
        <w:rPr>
          <w:b w:val="0"/>
          <w:i/>
          <w:sz w:val="18"/>
          <w:highlight w:val="yellow"/>
          <w:vertAlign w:val="subscript"/>
        </w:rPr>
        <w:t>max</w:t>
      </w:r>
      <w:r>
        <w:rPr>
          <w:b w:val="0"/>
          <w:i/>
          <w:sz w:val="18"/>
          <w:highlight w:val="yellow"/>
        </w:rPr>
        <w:t>=0 for every record.</w:t>
      </w:r>
    </w:p>
    <w:tbl>
      <w:tblPr>
        <w:tblW w:type="auto" w:w="0"/>
        <w:jc w:val="center"/>
        <w:tblLayout w:type="fixed"/>
        <w:tblLook w:firstColumn="1" w:firstRow="1" w:lastColumn="0" w:lastRow="0" w:noHBand="0" w:noVBand="1" w:val="04A0"/>
        <w:tblLayout w:type="fixed"/>
      </w:tblPr>
      <w:tblGrid>
        <w:gridCol w:w="1040"/>
        <w:gridCol w:w="1040"/>
        <w:gridCol w:w="1040"/>
        <w:gridCol w:w="1040"/>
        <w:gridCol w:w="1040"/>
        <w:gridCol w:w="1040"/>
        <w:gridCol w:w="1040"/>
        <w:gridCol w:w="1040"/>
        <w:gridCol w:w="1040"/>
      </w:tblGrid>
      <w:tr>
        <w:trPr>
          <w:tblHeader w:val="true"/>
          <w:cantSplit/>
        </w:trPr>
        <w:tc>
          <w:tcPr>
            <w:tcW w:type="dxa" w:w="1944"/>
            <w:vAlign w:val="center"/>
          </w:tcPr>
          <w:p>
            <w:pPr>
              <w:spacing w:before="0" w:after="0" w:line="240" w:lineRule="auto"/>
              <w:jc w:val="left"/>
            </w:pPr>
            <w:r>
              <w:rPr>
                <w:highlight w:val="yellow"/>
              </w:rPr>
            </w:r>
            <w:r>
              <w:rPr>
                <w:b/>
                <w:i w:val="0"/>
                <w:sz w:val="13"/>
                <w:highlight w:val="yellow"/>
              </w:rPr>
              <w:t>Study (route)</w:t>
            </w:r>
          </w:p>
        </w:tc>
        <w:tc>
          <w:tcPr>
            <w:tcW w:type="dxa" w:w="1037"/>
            <w:vAlign w:val="center"/>
          </w:tcPr>
          <w:p>
            <w:pPr>
              <w:spacing w:before="0" w:after="0" w:line="240" w:lineRule="auto"/>
              <w:jc w:val="center"/>
            </w:pPr>
            <w:r>
              <w:rPr>
                <w:highlight w:val="yellow"/>
              </w:rPr>
            </w:r>
            <w:r>
              <w:rPr>
                <w:b/>
                <w:i w:val="0"/>
                <w:sz w:val="13"/>
                <w:highlight w:val="yellow"/>
              </w:rPr>
              <w:t>Drug</w:t>
            </w:r>
          </w:p>
        </w:tc>
        <w:tc>
          <w:tcPr>
            <w:tcW w:type="dxa" w:w="792"/>
            <w:vAlign w:val="center"/>
          </w:tcPr>
          <w:p>
            <w:pPr>
              <w:spacing w:before="0" w:after="0" w:line="240" w:lineRule="auto"/>
              <w:jc w:val="center"/>
            </w:pPr>
            <w:r>
              <w:rPr>
                <w:highlight w:val="yellow"/>
              </w:rPr>
            </w:r>
            <w:r>
              <w:rPr>
                <w:b/>
                <w:i w:val="0"/>
                <w:sz w:val="13"/>
                <w:highlight w:val="yellow"/>
              </w:rPr>
              <w:t>Dose (mg)</w:t>
            </w:r>
          </w:p>
        </w:tc>
        <w:tc>
          <w:tcPr>
            <w:tcW w:type="dxa" w:w="893"/>
            <w:vAlign w:val="center"/>
          </w:tcPr>
          <w:p>
            <w:pPr>
              <w:spacing w:before="0" w:after="0" w:line="240" w:lineRule="auto"/>
              <w:jc w:val="center"/>
            </w:pPr>
            <w:r>
              <w:rPr>
                <w:highlight w:val="yellow"/>
              </w:rPr>
            </w:r>
            <w:r>
              <w:rPr>
                <w:b/>
                <w:i w:val="0"/>
                <w:sz w:val="13"/>
                <w:highlight w:val="yellow"/>
              </w:rPr>
              <w:t>Obs C</w:t>
            </w:r>
            <w:r>
              <w:rPr>
                <w:b/>
                <w:i w:val="0"/>
                <w:sz w:val="13"/>
                <w:highlight w:val="yellow"/>
                <w:vertAlign w:val="subscript"/>
              </w:rPr>
              <w:t>max</w:t>
            </w:r>
          </w:p>
        </w:tc>
        <w:tc>
          <w:tcPr>
            <w:tcW w:type="dxa" w:w="893"/>
            <w:vAlign w:val="center"/>
          </w:tcPr>
          <w:p>
            <w:pPr>
              <w:spacing w:before="0" w:after="0" w:line="240" w:lineRule="auto"/>
              <w:jc w:val="center"/>
            </w:pPr>
            <w:r>
              <w:rPr>
                <w:highlight w:val="yellow"/>
              </w:rPr>
            </w:r>
            <w:r>
              <w:rPr>
                <w:b/>
                <w:i w:val="0"/>
                <w:sz w:val="13"/>
                <w:highlight w:val="yellow"/>
              </w:rPr>
              <w:t>Pred C</w:t>
            </w:r>
            <w:r>
              <w:rPr>
                <w:b/>
                <w:i w:val="0"/>
                <w:sz w:val="13"/>
                <w:highlight w:val="yellow"/>
                <w:vertAlign w:val="subscript"/>
              </w:rPr>
              <w:t>max</w:t>
            </w:r>
          </w:p>
        </w:tc>
        <w:tc>
          <w:tcPr>
            <w:tcW w:type="dxa" w:w="619"/>
            <w:vAlign w:val="center"/>
          </w:tcPr>
          <w:p>
            <w:pPr>
              <w:spacing w:before="0" w:after="0" w:line="240" w:lineRule="auto"/>
              <w:jc w:val="center"/>
            </w:pPr>
            <w:r>
              <w:rPr>
                <w:highlight w:val="yellow"/>
              </w:rPr>
            </w:r>
            <w:r>
              <w:rPr>
                <w:b/>
                <w:i w:val="0"/>
                <w:sz w:val="13"/>
                <w:highlight w:val="yellow"/>
              </w:rPr>
              <w:t>Fold</w:t>
            </w:r>
          </w:p>
        </w:tc>
        <w:tc>
          <w:tcPr>
            <w:tcW w:type="dxa" w:w="1123"/>
            <w:vAlign w:val="center"/>
          </w:tcPr>
          <w:p>
            <w:pPr>
              <w:spacing w:before="0" w:after="0" w:line="240" w:lineRule="auto"/>
              <w:jc w:val="center"/>
            </w:pPr>
            <w:r>
              <w:rPr>
                <w:highlight w:val="yellow"/>
              </w:rPr>
            </w:r>
            <w:r>
              <w:rPr>
                <w:b/>
                <w:i w:val="0"/>
                <w:sz w:val="13"/>
                <w:highlight w:val="yellow"/>
              </w:rPr>
              <w:t>Obs T</w:t>
            </w:r>
            <w:r>
              <w:rPr>
                <w:b/>
                <w:i w:val="0"/>
                <w:sz w:val="13"/>
                <w:highlight w:val="yellow"/>
                <w:vertAlign w:val="subscript"/>
              </w:rPr>
              <w:t>max</w:t>
            </w:r>
            <w:r>
              <w:rPr>
                <w:b/>
                <w:i w:val="0"/>
                <w:sz w:val="13"/>
                <w:highlight w:val="yellow"/>
              </w:rPr>
              <w:t xml:space="preserve"> (min)</w:t>
            </w:r>
          </w:p>
        </w:tc>
        <w:tc>
          <w:tcPr>
            <w:tcW w:type="dxa" w:w="835"/>
            <w:vAlign w:val="center"/>
          </w:tcPr>
          <w:p>
            <w:pPr>
              <w:spacing w:before="0" w:after="0" w:line="240" w:lineRule="auto"/>
              <w:jc w:val="center"/>
            </w:pPr>
            <w:r>
              <w:rPr>
                <w:highlight w:val="yellow"/>
              </w:rPr>
            </w:r>
            <w:r>
              <w:rPr>
                <w:b/>
                <w:i w:val="0"/>
                <w:sz w:val="13"/>
                <w:highlight w:val="yellow"/>
              </w:rPr>
              <w:t>IV C</w:t>
            </w:r>
            <w:r>
              <w:rPr>
                <w:b/>
                <w:i w:val="0"/>
                <w:sz w:val="13"/>
                <w:highlight w:val="yellow"/>
                <w:vertAlign w:val="subscript"/>
              </w:rPr>
              <w:t>max</w:t>
            </w:r>
          </w:p>
        </w:tc>
        <w:tc>
          <w:tcPr>
            <w:tcW w:type="dxa" w:w="547"/>
            <w:vAlign w:val="center"/>
          </w:tcPr>
          <w:p>
            <w:pPr>
              <w:spacing w:before="0" w:after="0" w:line="240" w:lineRule="auto"/>
              <w:jc w:val="center"/>
            </w:pPr>
            <w:r>
              <w:rPr>
                <w:highlight w:val="yellow"/>
              </w:rPr>
            </w:r>
            <w:r>
              <w:rPr>
                <w:b/>
                <w:i w:val="0"/>
                <w:sz w:val="13"/>
                <w:highlight w:val="yellow"/>
              </w:rPr>
              <w:t>Ref</w:t>
            </w:r>
          </w:p>
        </w:tc>
      </w:tr>
      <w:tr>
        <w:trPr>
          <w:cantSplit/>
        </w:trPr>
        <w:tc>
          <w:tcPr>
            <w:tcW w:type="dxa" w:w="1944"/>
            <w:vAlign w:val="center"/>
          </w:tcPr>
          <w:p>
            <w:pPr>
              <w:spacing w:before="0" w:after="0" w:line="240" w:lineRule="auto"/>
              <w:jc w:val="left"/>
            </w:pPr>
            <w:r>
              <w:rPr>
                <w:highlight w:val="yellow"/>
              </w:rPr>
            </w:r>
            <w:r>
              <w:rPr>
                <w:b w:val="0"/>
                <w:i w:val="0"/>
                <w:sz w:val="13"/>
                <w:highlight w:val="yellow"/>
              </w:rPr>
              <w:t>Intercostal 0.75% (venous)</w:t>
            </w:r>
          </w:p>
        </w:tc>
        <w:tc>
          <w:tcPr>
            <w:tcW w:type="dxa" w:w="1037"/>
            <w:vAlign w:val="center"/>
          </w:tcPr>
          <w:p>
            <w:pPr>
              <w:spacing w:before="0" w:after="0" w:line="240" w:lineRule="auto"/>
              <w:jc w:val="center"/>
            </w:pPr>
            <w:r>
              <w:rPr>
                <w:highlight w:val="yellow"/>
              </w:rPr>
            </w:r>
            <w:r>
              <w:rPr>
                <w:b w:val="0"/>
                <w:i w:val="0"/>
                <w:sz w:val="13"/>
                <w:highlight w:val="yellow"/>
              </w:rPr>
              <w:t>ropivacaine</w:t>
            </w:r>
          </w:p>
        </w:tc>
        <w:tc>
          <w:tcPr>
            <w:tcW w:type="dxa" w:w="792"/>
            <w:vAlign w:val="center"/>
          </w:tcPr>
          <w:p>
            <w:pPr>
              <w:spacing w:before="0" w:after="0" w:line="240" w:lineRule="auto"/>
              <w:jc w:val="center"/>
            </w:pPr>
            <w:r>
              <w:rPr>
                <w:highlight w:val="yellow"/>
              </w:rPr>
            </w:r>
            <w:r>
              <w:rPr>
                <w:b w:val="0"/>
                <w:i w:val="0"/>
                <w:sz w:val="13"/>
                <w:highlight w:val="yellow"/>
              </w:rPr>
              <w:t>150</w:t>
            </w:r>
          </w:p>
        </w:tc>
        <w:tc>
          <w:tcPr>
            <w:tcW w:type="dxa" w:w="893"/>
            <w:vAlign w:val="center"/>
          </w:tcPr>
          <w:p>
            <w:pPr>
              <w:spacing w:before="0" w:after="0" w:line="240" w:lineRule="auto"/>
              <w:jc w:val="center"/>
            </w:pPr>
            <w:r>
              <w:rPr>
                <w:highlight w:val="yellow"/>
              </w:rPr>
            </w:r>
            <w:r>
              <w:rPr>
                <w:b w:val="0"/>
                <w:i w:val="0"/>
                <w:sz w:val="13"/>
                <w:highlight w:val="yellow"/>
              </w:rPr>
              <w:t>2.4</w:t>
            </w:r>
          </w:p>
        </w:tc>
        <w:tc>
          <w:tcPr>
            <w:tcW w:type="dxa" w:w="893"/>
            <w:vAlign w:val="center"/>
          </w:tcPr>
          <w:p>
            <w:pPr>
              <w:spacing w:before="0" w:after="0" w:line="240" w:lineRule="auto"/>
              <w:jc w:val="center"/>
            </w:pPr>
            <w:r>
              <w:rPr>
                <w:highlight w:val="yellow"/>
              </w:rPr>
            </w:r>
            <w:r>
              <w:rPr>
                <w:b w:val="0"/>
                <w:i w:val="0"/>
                <w:sz w:val="13"/>
                <w:highlight w:val="yellow"/>
              </w:rPr>
              <w:t>4.69</w:t>
            </w:r>
          </w:p>
        </w:tc>
        <w:tc>
          <w:tcPr>
            <w:tcW w:type="dxa" w:w="619"/>
            <w:vAlign w:val="center"/>
          </w:tcPr>
          <w:p>
            <w:pPr>
              <w:spacing w:before="0" w:after="0" w:line="240" w:lineRule="auto"/>
              <w:jc w:val="center"/>
            </w:pPr>
            <w:r>
              <w:rPr>
                <w:highlight w:val="yellow"/>
              </w:rPr>
            </w:r>
            <w:r>
              <w:rPr>
                <w:b w:val="0"/>
                <w:i w:val="0"/>
                <w:sz w:val="13"/>
                <w:highlight w:val="yellow"/>
              </w:rPr>
              <w:t>1.96</w:t>
            </w:r>
          </w:p>
        </w:tc>
        <w:tc>
          <w:tcPr>
            <w:tcW w:type="dxa" w:w="1123"/>
            <w:vAlign w:val="center"/>
          </w:tcPr>
          <w:p>
            <w:pPr>
              <w:spacing w:before="0" w:after="0" w:line="240" w:lineRule="auto"/>
              <w:jc w:val="center"/>
            </w:pPr>
            <w:r>
              <w:rPr>
                <w:highlight w:val="yellow"/>
              </w:rPr>
            </w:r>
            <w:r>
              <w:rPr>
                <w:b w:val="0"/>
                <w:i w:val="0"/>
                <w:sz w:val="13"/>
                <w:highlight w:val="yellow"/>
              </w:rPr>
              <w:t>11</w:t>
            </w:r>
          </w:p>
        </w:tc>
        <w:tc>
          <w:tcPr>
            <w:tcW w:type="dxa" w:w="835"/>
            <w:vAlign w:val="center"/>
          </w:tcPr>
          <w:p>
            <w:pPr>
              <w:spacing w:before="0" w:after="0" w:line="240" w:lineRule="auto"/>
              <w:jc w:val="center"/>
            </w:pPr>
            <w:r>
              <w:rPr>
                <w:highlight w:val="yellow"/>
              </w:rPr>
            </w:r>
            <w:r>
              <w:rPr>
                <w:b w:val="0"/>
                <w:i w:val="0"/>
                <w:sz w:val="13"/>
                <w:highlight w:val="yellow"/>
              </w:rPr>
              <w:t>14.7</w:t>
            </w:r>
          </w:p>
        </w:tc>
        <w:tc>
          <w:tcPr>
            <w:tcW w:type="dxa" w:w="547"/>
            <w:vAlign w:val="center"/>
          </w:tcPr>
          <w:p>
            <w:pPr>
              <w:spacing w:before="0" w:after="0" w:line="240" w:lineRule="auto"/>
              <w:jc w:val="center"/>
            </w:pPr>
            <w:r>
              <w:rPr>
                <w:highlight w:val="yellow"/>
              </w:rPr>
            </w:r>
            <w:r>
              <w:rPr>
                <w:b w:val="0"/>
                <w:i w:val="0"/>
                <w:sz w:val="13"/>
                <w:highlight w:val="yellow"/>
              </w:rPr>
              <w:t>[12]</w:t>
            </w:r>
          </w:p>
        </w:tc>
      </w:tr>
      <w:tr>
        <w:trPr>
          <w:cantSplit/>
        </w:trPr>
        <w:tc>
          <w:tcPr>
            <w:tcW w:type="dxa" w:w="1944"/>
            <w:vAlign w:val="center"/>
          </w:tcPr>
          <w:p>
            <w:pPr>
              <w:spacing w:before="0" w:after="0" w:line="240" w:lineRule="auto"/>
              <w:jc w:val="left"/>
            </w:pPr>
            <w:r>
              <w:rPr>
                <w:highlight w:val="yellow"/>
              </w:rPr>
            </w:r>
            <w:r>
              <w:rPr>
                <w:b w:val="0"/>
                <w:i w:val="0"/>
                <w:sz w:val="13"/>
                <w:highlight w:val="yellow"/>
              </w:rPr>
              <w:t>Intercostal 1.0% (venous)</w:t>
            </w:r>
          </w:p>
        </w:tc>
        <w:tc>
          <w:tcPr>
            <w:tcW w:type="dxa" w:w="1037"/>
            <w:vAlign w:val="center"/>
          </w:tcPr>
          <w:p>
            <w:pPr>
              <w:spacing w:before="0" w:after="0" w:line="240" w:lineRule="auto"/>
              <w:jc w:val="center"/>
            </w:pPr>
            <w:r>
              <w:rPr>
                <w:highlight w:val="yellow"/>
              </w:rPr>
            </w:r>
            <w:r>
              <w:rPr>
                <w:b w:val="0"/>
                <w:i w:val="0"/>
                <w:sz w:val="13"/>
                <w:highlight w:val="yellow"/>
              </w:rPr>
              <w:t>ropivacaine</w:t>
            </w:r>
          </w:p>
        </w:tc>
        <w:tc>
          <w:tcPr>
            <w:tcW w:type="dxa" w:w="792"/>
            <w:vAlign w:val="center"/>
          </w:tcPr>
          <w:p>
            <w:pPr>
              <w:spacing w:before="0" w:after="0" w:line="240" w:lineRule="auto"/>
              <w:jc w:val="center"/>
            </w:pPr>
            <w:r>
              <w:rPr>
                <w:highlight w:val="yellow"/>
              </w:rPr>
            </w:r>
            <w:r>
              <w:rPr>
                <w:b w:val="0"/>
                <w:i w:val="0"/>
                <w:sz w:val="13"/>
                <w:highlight w:val="yellow"/>
              </w:rPr>
              <w:t>200</w:t>
            </w:r>
          </w:p>
        </w:tc>
        <w:tc>
          <w:tcPr>
            <w:tcW w:type="dxa" w:w="893"/>
            <w:vAlign w:val="center"/>
          </w:tcPr>
          <w:p>
            <w:pPr>
              <w:spacing w:before="0" w:after="0" w:line="240" w:lineRule="auto"/>
              <w:jc w:val="center"/>
            </w:pPr>
            <w:r>
              <w:rPr>
                <w:highlight w:val="yellow"/>
              </w:rPr>
            </w:r>
            <w:r>
              <w:rPr>
                <w:b w:val="0"/>
                <w:i w:val="0"/>
                <w:sz w:val="13"/>
                <w:highlight w:val="yellow"/>
              </w:rPr>
              <w:t>2.5</w:t>
            </w:r>
          </w:p>
        </w:tc>
        <w:tc>
          <w:tcPr>
            <w:tcW w:type="dxa" w:w="893"/>
            <w:vAlign w:val="center"/>
          </w:tcPr>
          <w:p>
            <w:pPr>
              <w:spacing w:before="0" w:after="0" w:line="240" w:lineRule="auto"/>
              <w:jc w:val="center"/>
            </w:pPr>
            <w:r>
              <w:rPr>
                <w:highlight w:val="yellow"/>
              </w:rPr>
            </w:r>
            <w:r>
              <w:rPr>
                <w:b w:val="0"/>
                <w:i w:val="0"/>
                <w:sz w:val="13"/>
                <w:highlight w:val="yellow"/>
              </w:rPr>
              <w:t>5.87</w:t>
            </w:r>
          </w:p>
        </w:tc>
        <w:tc>
          <w:tcPr>
            <w:tcW w:type="dxa" w:w="619"/>
            <w:vAlign w:val="center"/>
          </w:tcPr>
          <w:p>
            <w:pPr>
              <w:spacing w:before="0" w:after="0" w:line="240" w:lineRule="auto"/>
              <w:jc w:val="center"/>
            </w:pPr>
            <w:r>
              <w:rPr>
                <w:highlight w:val="yellow"/>
              </w:rPr>
            </w:r>
            <w:r>
              <w:rPr>
                <w:b w:val="0"/>
                <w:i w:val="0"/>
                <w:sz w:val="13"/>
                <w:highlight w:val="yellow"/>
              </w:rPr>
              <w:t>2.35</w:t>
            </w:r>
          </w:p>
        </w:tc>
        <w:tc>
          <w:tcPr>
            <w:tcW w:type="dxa" w:w="1123"/>
            <w:vAlign w:val="center"/>
          </w:tcPr>
          <w:p>
            <w:pPr>
              <w:spacing w:before="0" w:after="0" w:line="240" w:lineRule="auto"/>
              <w:jc w:val="center"/>
            </w:pPr>
            <w:r>
              <w:rPr>
                <w:highlight w:val="yellow"/>
              </w:rPr>
            </w:r>
            <w:r>
              <w:rPr>
                <w:b w:val="0"/>
                <w:i w:val="0"/>
                <w:sz w:val="13"/>
                <w:highlight w:val="yellow"/>
              </w:rPr>
              <w:t>12</w:t>
            </w:r>
          </w:p>
        </w:tc>
        <w:tc>
          <w:tcPr>
            <w:tcW w:type="dxa" w:w="835"/>
            <w:vAlign w:val="center"/>
          </w:tcPr>
          <w:p>
            <w:pPr>
              <w:spacing w:before="0" w:after="0" w:line="240" w:lineRule="auto"/>
              <w:jc w:val="center"/>
            </w:pPr>
            <w:r>
              <w:rPr>
                <w:highlight w:val="yellow"/>
              </w:rPr>
            </w:r>
            <w:r>
              <w:rPr>
                <w:b w:val="0"/>
                <w:i w:val="0"/>
                <w:sz w:val="13"/>
                <w:highlight w:val="yellow"/>
              </w:rPr>
              <w:t>19.6</w:t>
            </w:r>
          </w:p>
        </w:tc>
        <w:tc>
          <w:tcPr>
            <w:tcW w:type="dxa" w:w="547"/>
            <w:vAlign w:val="center"/>
          </w:tcPr>
          <w:p>
            <w:pPr>
              <w:spacing w:before="0" w:after="0" w:line="240" w:lineRule="auto"/>
              <w:jc w:val="center"/>
            </w:pPr>
            <w:r>
              <w:rPr>
                <w:highlight w:val="yellow"/>
              </w:rPr>
            </w:r>
            <w:r>
              <w:rPr>
                <w:b w:val="0"/>
                <w:i w:val="0"/>
                <w:sz w:val="13"/>
                <w:highlight w:val="yellow"/>
              </w:rPr>
              <w:t>[12]</w:t>
            </w:r>
          </w:p>
        </w:tc>
      </w:tr>
      <w:tr>
        <w:trPr>
          <w:cantSplit/>
        </w:trPr>
        <w:tc>
          <w:tcPr>
            <w:tcW w:type="dxa" w:w="1944"/>
            <w:vAlign w:val="center"/>
          </w:tcPr>
          <w:p>
            <w:pPr>
              <w:spacing w:before="0" w:after="0" w:line="240" w:lineRule="auto"/>
              <w:jc w:val="left"/>
            </w:pPr>
            <w:r>
              <w:rPr>
                <w:highlight w:val="yellow"/>
              </w:rPr>
            </w:r>
            <w:r>
              <w:rPr>
                <w:b w:val="0"/>
                <w:i w:val="0"/>
                <w:sz w:val="13"/>
                <w:highlight w:val="yellow"/>
              </w:rPr>
              <w:t>Bilateral intercostal (venous)</w:t>
            </w:r>
          </w:p>
        </w:tc>
        <w:tc>
          <w:tcPr>
            <w:tcW w:type="dxa" w:w="1037"/>
            <w:vAlign w:val="center"/>
          </w:tcPr>
          <w:p>
            <w:pPr>
              <w:spacing w:before="0" w:after="0" w:line="240" w:lineRule="auto"/>
              <w:jc w:val="center"/>
            </w:pPr>
            <w:r>
              <w:rPr>
                <w:highlight w:val="yellow"/>
              </w:rPr>
            </w:r>
            <w:r>
              <w:rPr>
                <w:b w:val="0"/>
                <w:i w:val="0"/>
                <w:sz w:val="13"/>
                <w:highlight w:val="yellow"/>
              </w:rPr>
              <w:t>ropivacaine</w:t>
            </w:r>
          </w:p>
        </w:tc>
        <w:tc>
          <w:tcPr>
            <w:tcW w:type="dxa" w:w="792"/>
            <w:vAlign w:val="center"/>
          </w:tcPr>
          <w:p>
            <w:pPr>
              <w:spacing w:before="0" w:after="0" w:line="240" w:lineRule="auto"/>
              <w:jc w:val="center"/>
            </w:pPr>
            <w:r>
              <w:rPr>
                <w:highlight w:val="yellow"/>
              </w:rPr>
            </w:r>
            <w:r>
              <w:rPr>
                <w:b w:val="0"/>
                <w:i w:val="0"/>
                <w:sz w:val="13"/>
                <w:highlight w:val="yellow"/>
              </w:rPr>
              <w:t>140</w:t>
            </w:r>
          </w:p>
        </w:tc>
        <w:tc>
          <w:tcPr>
            <w:tcW w:type="dxa" w:w="893"/>
            <w:vAlign w:val="center"/>
          </w:tcPr>
          <w:p>
            <w:pPr>
              <w:spacing w:before="0" w:after="0" w:line="240" w:lineRule="auto"/>
              <w:jc w:val="center"/>
            </w:pPr>
            <w:r>
              <w:rPr>
                <w:highlight w:val="yellow"/>
              </w:rPr>
            </w:r>
            <w:r>
              <w:rPr>
                <w:b w:val="0"/>
                <w:i w:val="0"/>
                <w:sz w:val="13"/>
                <w:highlight w:val="yellow"/>
              </w:rPr>
              <w:t>1.1</w:t>
            </w:r>
          </w:p>
        </w:tc>
        <w:tc>
          <w:tcPr>
            <w:tcW w:type="dxa" w:w="893"/>
            <w:vAlign w:val="center"/>
          </w:tcPr>
          <w:p>
            <w:pPr>
              <w:spacing w:before="0" w:after="0" w:line="240" w:lineRule="auto"/>
              <w:jc w:val="center"/>
            </w:pPr>
            <w:r>
              <w:rPr>
                <w:highlight w:val="yellow"/>
              </w:rPr>
            </w:r>
            <w:r>
              <w:rPr>
                <w:b w:val="0"/>
                <w:i w:val="0"/>
                <w:sz w:val="13"/>
                <w:highlight w:val="yellow"/>
              </w:rPr>
              <w:t>2.20</w:t>
            </w:r>
          </w:p>
        </w:tc>
        <w:tc>
          <w:tcPr>
            <w:tcW w:type="dxa" w:w="619"/>
            <w:vAlign w:val="center"/>
          </w:tcPr>
          <w:p>
            <w:pPr>
              <w:spacing w:before="0" w:after="0" w:line="240" w:lineRule="auto"/>
              <w:jc w:val="center"/>
            </w:pPr>
            <w:r>
              <w:rPr>
                <w:highlight w:val="yellow"/>
              </w:rPr>
            </w:r>
            <w:r>
              <w:rPr>
                <w:b w:val="0"/>
                <w:i w:val="0"/>
                <w:sz w:val="13"/>
                <w:highlight w:val="yellow"/>
              </w:rPr>
              <w:t>2.00</w:t>
            </w:r>
          </w:p>
        </w:tc>
        <w:tc>
          <w:tcPr>
            <w:tcW w:type="dxa" w:w="1123"/>
            <w:vAlign w:val="center"/>
          </w:tcPr>
          <w:p>
            <w:pPr>
              <w:spacing w:before="0" w:after="0" w:line="240" w:lineRule="auto"/>
              <w:jc w:val="center"/>
            </w:pPr>
            <w:r>
              <w:rPr>
                <w:highlight w:val="yellow"/>
              </w:rPr>
            </w:r>
            <w:r>
              <w:rPr>
                <w:b w:val="0"/>
                <w:i w:val="0"/>
                <w:sz w:val="13"/>
                <w:highlight w:val="yellow"/>
              </w:rPr>
              <w:t>21</w:t>
            </w:r>
          </w:p>
        </w:tc>
        <w:tc>
          <w:tcPr>
            <w:tcW w:type="dxa" w:w="835"/>
            <w:vAlign w:val="center"/>
          </w:tcPr>
          <w:p>
            <w:pPr>
              <w:spacing w:before="0" w:after="0" w:line="240" w:lineRule="auto"/>
              <w:jc w:val="center"/>
            </w:pPr>
            <w:r>
              <w:rPr>
                <w:highlight w:val="yellow"/>
              </w:rPr>
            </w:r>
            <w:r>
              <w:rPr>
                <w:b w:val="0"/>
                <w:i w:val="0"/>
                <w:sz w:val="13"/>
                <w:highlight w:val="yellow"/>
              </w:rPr>
              <w:t>13.7</w:t>
            </w:r>
          </w:p>
        </w:tc>
        <w:tc>
          <w:tcPr>
            <w:tcW w:type="dxa" w:w="547"/>
            <w:vAlign w:val="center"/>
          </w:tcPr>
          <w:p>
            <w:pPr>
              <w:spacing w:before="0" w:after="0" w:line="240" w:lineRule="auto"/>
              <w:jc w:val="center"/>
            </w:pPr>
            <w:r>
              <w:rPr>
                <w:highlight w:val="yellow"/>
              </w:rPr>
            </w:r>
            <w:r>
              <w:rPr>
                <w:b w:val="0"/>
                <w:i w:val="0"/>
                <w:sz w:val="13"/>
                <w:highlight w:val="yellow"/>
              </w:rPr>
              <w:t>[13]</w:t>
            </w:r>
          </w:p>
        </w:tc>
      </w:tr>
      <w:tr>
        <w:trPr>
          <w:cantSplit/>
        </w:trPr>
        <w:tc>
          <w:tcPr>
            <w:tcW w:type="dxa" w:w="1944"/>
            <w:vAlign w:val="center"/>
          </w:tcPr>
          <w:p>
            <w:pPr>
              <w:spacing w:before="0" w:after="0" w:line="240" w:lineRule="auto"/>
              <w:jc w:val="left"/>
            </w:pPr>
            <w:r>
              <w:rPr>
                <w:highlight w:val="yellow"/>
              </w:rPr>
            </w:r>
            <w:r>
              <w:rPr>
                <w:b w:val="0"/>
                <w:i w:val="0"/>
                <w:sz w:val="13"/>
                <w:highlight w:val="yellow"/>
              </w:rPr>
              <w:t>Bilateral intercostal (venous)</w:t>
            </w:r>
          </w:p>
        </w:tc>
        <w:tc>
          <w:tcPr>
            <w:tcW w:type="dxa" w:w="1037"/>
            <w:vAlign w:val="center"/>
          </w:tcPr>
          <w:p>
            <w:pPr>
              <w:spacing w:before="0" w:after="0" w:line="240" w:lineRule="auto"/>
              <w:jc w:val="center"/>
            </w:pPr>
            <w:r>
              <w:rPr>
                <w:highlight w:val="yellow"/>
              </w:rPr>
            </w:r>
            <w:r>
              <w:rPr>
                <w:b w:val="0"/>
                <w:i w:val="0"/>
                <w:sz w:val="13"/>
                <w:highlight w:val="yellow"/>
              </w:rPr>
              <w:t>bupivacaine</w:t>
            </w:r>
          </w:p>
        </w:tc>
        <w:tc>
          <w:tcPr>
            <w:tcW w:type="dxa" w:w="792"/>
            <w:vAlign w:val="center"/>
          </w:tcPr>
          <w:p>
            <w:pPr>
              <w:spacing w:before="0" w:after="0" w:line="240" w:lineRule="auto"/>
              <w:jc w:val="center"/>
            </w:pPr>
            <w:r>
              <w:rPr>
                <w:highlight w:val="yellow"/>
              </w:rPr>
            </w:r>
            <w:r>
              <w:rPr>
                <w:b w:val="0"/>
                <w:i w:val="0"/>
                <w:sz w:val="13"/>
                <w:highlight w:val="yellow"/>
              </w:rPr>
              <w:t>140</w:t>
            </w:r>
          </w:p>
        </w:tc>
        <w:tc>
          <w:tcPr>
            <w:tcW w:type="dxa" w:w="893"/>
            <w:vAlign w:val="center"/>
          </w:tcPr>
          <w:p>
            <w:pPr>
              <w:spacing w:before="0" w:after="0" w:line="240" w:lineRule="auto"/>
              <w:jc w:val="center"/>
            </w:pPr>
            <w:r>
              <w:rPr>
                <w:highlight w:val="yellow"/>
              </w:rPr>
            </w:r>
            <w:r>
              <w:rPr>
                <w:b w:val="0"/>
                <w:i w:val="0"/>
                <w:sz w:val="13"/>
                <w:highlight w:val="yellow"/>
              </w:rPr>
              <w:t>0.9</w:t>
            </w:r>
          </w:p>
        </w:tc>
        <w:tc>
          <w:tcPr>
            <w:tcW w:type="dxa" w:w="893"/>
            <w:vAlign w:val="center"/>
          </w:tcPr>
          <w:p>
            <w:pPr>
              <w:spacing w:before="0" w:after="0" w:line="240" w:lineRule="auto"/>
              <w:jc w:val="center"/>
            </w:pPr>
            <w:r>
              <w:rPr>
                <w:highlight w:val="yellow"/>
              </w:rPr>
            </w:r>
            <w:r>
              <w:rPr>
                <w:b w:val="0"/>
                <w:i w:val="0"/>
                <w:sz w:val="13"/>
                <w:highlight w:val="yellow"/>
              </w:rPr>
              <w:t>1.28</w:t>
            </w:r>
          </w:p>
        </w:tc>
        <w:tc>
          <w:tcPr>
            <w:tcW w:type="dxa" w:w="619"/>
            <w:vAlign w:val="center"/>
          </w:tcPr>
          <w:p>
            <w:pPr>
              <w:spacing w:before="0" w:after="0" w:line="240" w:lineRule="auto"/>
              <w:jc w:val="center"/>
            </w:pPr>
            <w:r>
              <w:rPr>
                <w:highlight w:val="yellow"/>
              </w:rPr>
            </w:r>
            <w:r>
              <w:rPr>
                <w:b w:val="0"/>
                <w:i w:val="0"/>
                <w:sz w:val="13"/>
                <w:highlight w:val="yellow"/>
              </w:rPr>
              <w:t>1.42</w:t>
            </w:r>
          </w:p>
        </w:tc>
        <w:tc>
          <w:tcPr>
            <w:tcW w:type="dxa" w:w="1123"/>
            <w:vAlign w:val="center"/>
          </w:tcPr>
          <w:p>
            <w:pPr>
              <w:spacing w:before="0" w:after="0" w:line="240" w:lineRule="auto"/>
              <w:jc w:val="center"/>
            </w:pPr>
            <w:r>
              <w:rPr>
                <w:highlight w:val="yellow"/>
              </w:rPr>
            </w:r>
            <w:r>
              <w:rPr>
                <w:b w:val="0"/>
                <w:i w:val="0"/>
                <w:sz w:val="13"/>
                <w:highlight w:val="yellow"/>
              </w:rPr>
              <w:t>30</w:t>
            </w:r>
          </w:p>
        </w:tc>
        <w:tc>
          <w:tcPr>
            <w:tcW w:type="dxa" w:w="835"/>
            <w:vAlign w:val="center"/>
          </w:tcPr>
          <w:p>
            <w:pPr>
              <w:spacing w:before="0" w:after="0" w:line="240" w:lineRule="auto"/>
              <w:jc w:val="center"/>
            </w:pPr>
            <w:r>
              <w:rPr>
                <w:highlight w:val="yellow"/>
              </w:rPr>
            </w:r>
            <w:r>
              <w:rPr>
                <w:b w:val="0"/>
                <w:i w:val="0"/>
                <w:sz w:val="13"/>
                <w:highlight w:val="yellow"/>
              </w:rPr>
              <w:t>15.7</w:t>
            </w:r>
          </w:p>
        </w:tc>
        <w:tc>
          <w:tcPr>
            <w:tcW w:type="dxa" w:w="547"/>
            <w:vAlign w:val="center"/>
          </w:tcPr>
          <w:p>
            <w:pPr>
              <w:spacing w:before="0" w:after="0" w:line="240" w:lineRule="auto"/>
              <w:jc w:val="center"/>
            </w:pPr>
            <w:r>
              <w:rPr>
                <w:highlight w:val="yellow"/>
              </w:rPr>
            </w:r>
            <w:r>
              <w:rPr>
                <w:b w:val="0"/>
                <w:i w:val="0"/>
                <w:sz w:val="13"/>
                <w:highlight w:val="yellow"/>
              </w:rPr>
              <w:t>[13]</w:t>
            </w:r>
          </w:p>
        </w:tc>
      </w:tr>
      <w:tr>
        <w:trPr>
          <w:cantSplit/>
        </w:trPr>
        <w:tc>
          <w:tcPr>
            <w:tcW w:type="dxa" w:w="1944"/>
            <w:vAlign w:val="center"/>
          </w:tcPr>
          <w:p>
            <w:pPr>
              <w:spacing w:before="0" w:after="0" w:line="240" w:lineRule="auto"/>
              <w:jc w:val="left"/>
            </w:pPr>
            <w:r>
              <w:rPr>
                <w:highlight w:val="yellow"/>
              </w:rPr>
            </w:r>
            <w:r>
              <w:rPr>
                <w:b w:val="0"/>
                <w:i w:val="0"/>
                <w:sz w:val="13"/>
                <w:highlight w:val="yellow"/>
              </w:rPr>
              <w:t>TAP block (arterial)</w:t>
            </w:r>
          </w:p>
        </w:tc>
        <w:tc>
          <w:tcPr>
            <w:tcW w:type="dxa" w:w="1037"/>
            <w:vAlign w:val="center"/>
          </w:tcPr>
          <w:p>
            <w:pPr>
              <w:spacing w:before="0" w:after="0" w:line="240" w:lineRule="auto"/>
              <w:jc w:val="center"/>
            </w:pPr>
            <w:r>
              <w:rPr>
                <w:highlight w:val="yellow"/>
              </w:rPr>
            </w:r>
            <w:r>
              <w:rPr>
                <w:b w:val="0"/>
                <w:i w:val="0"/>
                <w:sz w:val="13"/>
                <w:highlight w:val="yellow"/>
              </w:rPr>
              <w:t>ropivacaine</w:t>
            </w:r>
          </w:p>
        </w:tc>
        <w:tc>
          <w:tcPr>
            <w:tcW w:type="dxa" w:w="792"/>
            <w:vAlign w:val="center"/>
          </w:tcPr>
          <w:p>
            <w:pPr>
              <w:spacing w:before="0" w:after="0" w:line="240" w:lineRule="auto"/>
              <w:jc w:val="center"/>
            </w:pPr>
            <w:r>
              <w:rPr>
                <w:highlight w:val="yellow"/>
              </w:rPr>
            </w:r>
            <w:r>
              <w:rPr>
                <w:b w:val="0"/>
                <w:i w:val="0"/>
                <w:sz w:val="13"/>
                <w:highlight w:val="yellow"/>
              </w:rPr>
              <w:t>150</w:t>
            </w:r>
          </w:p>
        </w:tc>
        <w:tc>
          <w:tcPr>
            <w:tcW w:type="dxa" w:w="893"/>
            <w:vAlign w:val="center"/>
          </w:tcPr>
          <w:p>
            <w:pPr>
              <w:spacing w:before="0" w:after="0" w:line="240" w:lineRule="auto"/>
              <w:jc w:val="center"/>
            </w:pPr>
            <w:r>
              <w:rPr>
                <w:highlight w:val="yellow"/>
              </w:rPr>
            </w:r>
            <w:r>
              <w:rPr>
                <w:b w:val="0"/>
                <w:i w:val="0"/>
                <w:sz w:val="13"/>
                <w:highlight w:val="yellow"/>
              </w:rPr>
              <w:t>1.83</w:t>
            </w:r>
          </w:p>
        </w:tc>
        <w:tc>
          <w:tcPr>
            <w:tcW w:type="dxa" w:w="893"/>
            <w:vAlign w:val="center"/>
          </w:tcPr>
          <w:p>
            <w:pPr>
              <w:spacing w:before="0" w:after="0" w:line="240" w:lineRule="auto"/>
              <w:jc w:val="center"/>
            </w:pPr>
            <w:r>
              <w:rPr>
                <w:highlight w:val="yellow"/>
              </w:rPr>
            </w:r>
            <w:r>
              <w:rPr>
                <w:b w:val="0"/>
                <w:i w:val="0"/>
                <w:sz w:val="13"/>
                <w:highlight w:val="yellow"/>
              </w:rPr>
              <w:t>1.40</w:t>
            </w:r>
          </w:p>
        </w:tc>
        <w:tc>
          <w:tcPr>
            <w:tcW w:type="dxa" w:w="619"/>
            <w:vAlign w:val="center"/>
          </w:tcPr>
          <w:p>
            <w:pPr>
              <w:spacing w:before="0" w:after="0" w:line="240" w:lineRule="auto"/>
              <w:jc w:val="center"/>
            </w:pPr>
            <w:r>
              <w:rPr>
                <w:highlight w:val="yellow"/>
              </w:rPr>
            </w:r>
            <w:r>
              <w:rPr>
                <w:b w:val="0"/>
                <w:i w:val="0"/>
                <w:sz w:val="13"/>
                <w:highlight w:val="yellow"/>
              </w:rPr>
              <w:t>0.76</w:t>
            </w:r>
          </w:p>
        </w:tc>
        <w:tc>
          <w:tcPr>
            <w:tcW w:type="dxa" w:w="1123"/>
            <w:vAlign w:val="center"/>
          </w:tcPr>
          <w:p>
            <w:pPr>
              <w:spacing w:before="0" w:after="0" w:line="240" w:lineRule="auto"/>
              <w:jc w:val="center"/>
            </w:pPr>
            <w:r>
              <w:rPr>
                <w:highlight w:val="yellow"/>
              </w:rPr>
            </w:r>
            <w:r>
              <w:rPr>
                <w:b w:val="0"/>
                <w:i w:val="0"/>
                <w:sz w:val="13"/>
                <w:highlight w:val="yellow"/>
              </w:rPr>
              <w:t>35</w:t>
            </w:r>
          </w:p>
        </w:tc>
        <w:tc>
          <w:tcPr>
            <w:tcW w:type="dxa" w:w="835"/>
            <w:vAlign w:val="center"/>
          </w:tcPr>
          <w:p>
            <w:pPr>
              <w:spacing w:before="0" w:after="0" w:line="240" w:lineRule="auto"/>
              <w:jc w:val="center"/>
            </w:pPr>
            <w:r>
              <w:rPr>
                <w:highlight w:val="yellow"/>
              </w:rPr>
            </w:r>
            <w:r>
              <w:rPr>
                <w:b w:val="0"/>
                <w:i w:val="0"/>
                <w:sz w:val="13"/>
                <w:highlight w:val="yellow"/>
              </w:rPr>
              <w:t>14.7</w:t>
            </w:r>
          </w:p>
        </w:tc>
        <w:tc>
          <w:tcPr>
            <w:tcW w:type="dxa" w:w="547"/>
            <w:vAlign w:val="center"/>
          </w:tcPr>
          <w:p>
            <w:pPr>
              <w:spacing w:before="0" w:after="0" w:line="240" w:lineRule="auto"/>
              <w:jc w:val="center"/>
            </w:pPr>
            <w:r>
              <w:rPr>
                <w:highlight w:val="yellow"/>
              </w:rPr>
            </w:r>
            <w:r>
              <w:rPr>
                <w:b w:val="0"/>
                <w:i w:val="0"/>
                <w:sz w:val="13"/>
                <w:highlight w:val="yellow"/>
              </w:rPr>
              <w:t>[14]</w:t>
            </w:r>
          </w:p>
        </w:tc>
      </w:tr>
      <w:tr>
        <w:trPr>
          <w:cantSplit/>
        </w:trPr>
        <w:tc>
          <w:tcPr>
            <w:tcW w:type="dxa" w:w="1944"/>
            <w:vAlign w:val="center"/>
          </w:tcPr>
          <w:p>
            <w:pPr>
              <w:spacing w:before="0" w:after="0" w:line="240" w:lineRule="auto"/>
              <w:jc w:val="left"/>
            </w:pPr>
            <w:r>
              <w:rPr>
                <w:highlight w:val="yellow"/>
              </w:rPr>
            </w:r>
            <w:r>
              <w:rPr>
                <w:b w:val="0"/>
                <w:i w:val="0"/>
                <w:sz w:val="13"/>
                <w:highlight w:val="yellow"/>
              </w:rPr>
              <w:t>Rectus sheath (arterial)</w:t>
            </w:r>
          </w:p>
        </w:tc>
        <w:tc>
          <w:tcPr>
            <w:tcW w:type="dxa" w:w="1037"/>
            <w:vAlign w:val="center"/>
          </w:tcPr>
          <w:p>
            <w:pPr>
              <w:spacing w:before="0" w:after="0" w:line="240" w:lineRule="auto"/>
              <w:jc w:val="center"/>
            </w:pPr>
            <w:r>
              <w:rPr>
                <w:highlight w:val="yellow"/>
              </w:rPr>
            </w:r>
            <w:r>
              <w:rPr>
                <w:b w:val="0"/>
                <w:i w:val="0"/>
                <w:sz w:val="13"/>
                <w:highlight w:val="yellow"/>
              </w:rPr>
              <w:t>ropivacaine</w:t>
            </w:r>
          </w:p>
        </w:tc>
        <w:tc>
          <w:tcPr>
            <w:tcW w:type="dxa" w:w="792"/>
            <w:vAlign w:val="center"/>
          </w:tcPr>
          <w:p>
            <w:pPr>
              <w:spacing w:before="0" w:after="0" w:line="240" w:lineRule="auto"/>
              <w:jc w:val="center"/>
            </w:pPr>
            <w:r>
              <w:rPr>
                <w:highlight w:val="yellow"/>
              </w:rPr>
            </w:r>
            <w:r>
              <w:rPr>
                <w:b w:val="0"/>
                <w:i w:val="0"/>
                <w:sz w:val="13"/>
                <w:highlight w:val="yellow"/>
              </w:rPr>
              <w:t>150</w:t>
            </w:r>
          </w:p>
        </w:tc>
        <w:tc>
          <w:tcPr>
            <w:tcW w:type="dxa" w:w="893"/>
            <w:vAlign w:val="center"/>
          </w:tcPr>
          <w:p>
            <w:pPr>
              <w:spacing w:before="0" w:after="0" w:line="240" w:lineRule="auto"/>
              <w:jc w:val="center"/>
            </w:pPr>
            <w:r>
              <w:rPr>
                <w:highlight w:val="yellow"/>
              </w:rPr>
            </w:r>
            <w:r>
              <w:rPr>
                <w:b w:val="0"/>
                <w:i w:val="0"/>
                <w:sz w:val="13"/>
                <w:highlight w:val="yellow"/>
              </w:rPr>
              <w:t>1.79</w:t>
            </w:r>
          </w:p>
        </w:tc>
        <w:tc>
          <w:tcPr>
            <w:tcW w:type="dxa" w:w="893"/>
            <w:vAlign w:val="center"/>
          </w:tcPr>
          <w:p>
            <w:pPr>
              <w:spacing w:before="0" w:after="0" w:line="240" w:lineRule="auto"/>
              <w:jc w:val="center"/>
            </w:pPr>
            <w:r>
              <w:rPr>
                <w:highlight w:val="yellow"/>
              </w:rPr>
            </w:r>
            <w:r>
              <w:rPr>
                <w:b w:val="0"/>
                <w:i w:val="0"/>
                <w:sz w:val="13"/>
                <w:highlight w:val="yellow"/>
              </w:rPr>
              <w:t>1.03</w:t>
            </w:r>
          </w:p>
        </w:tc>
        <w:tc>
          <w:tcPr>
            <w:tcW w:type="dxa" w:w="619"/>
            <w:vAlign w:val="center"/>
          </w:tcPr>
          <w:p>
            <w:pPr>
              <w:spacing w:before="0" w:after="0" w:line="240" w:lineRule="auto"/>
              <w:jc w:val="center"/>
            </w:pPr>
            <w:r>
              <w:rPr>
                <w:highlight w:val="yellow"/>
              </w:rPr>
            </w:r>
            <w:r>
              <w:rPr>
                <w:b w:val="0"/>
                <w:i w:val="0"/>
                <w:sz w:val="13"/>
                <w:highlight w:val="yellow"/>
              </w:rPr>
              <w:t>0.57</w:t>
            </w:r>
          </w:p>
        </w:tc>
        <w:tc>
          <w:tcPr>
            <w:tcW w:type="dxa" w:w="1123"/>
            <w:vAlign w:val="center"/>
          </w:tcPr>
          <w:p>
            <w:pPr>
              <w:spacing w:before="0" w:after="0" w:line="240" w:lineRule="auto"/>
              <w:jc w:val="center"/>
            </w:pPr>
            <w:r>
              <w:rPr>
                <w:highlight w:val="yellow"/>
              </w:rPr>
            </w:r>
            <w:r>
              <w:rPr>
                <w:b w:val="0"/>
                <w:i w:val="0"/>
                <w:sz w:val="13"/>
                <w:highlight w:val="yellow"/>
              </w:rPr>
              <w:t>53</w:t>
            </w:r>
          </w:p>
        </w:tc>
        <w:tc>
          <w:tcPr>
            <w:tcW w:type="dxa" w:w="835"/>
            <w:vAlign w:val="center"/>
          </w:tcPr>
          <w:p>
            <w:pPr>
              <w:spacing w:before="0" w:after="0" w:line="240" w:lineRule="auto"/>
              <w:jc w:val="center"/>
            </w:pPr>
            <w:r>
              <w:rPr>
                <w:highlight w:val="yellow"/>
              </w:rPr>
            </w:r>
            <w:r>
              <w:rPr>
                <w:b w:val="0"/>
                <w:i w:val="0"/>
                <w:sz w:val="13"/>
                <w:highlight w:val="yellow"/>
              </w:rPr>
              <w:t>14.7</w:t>
            </w:r>
          </w:p>
        </w:tc>
        <w:tc>
          <w:tcPr>
            <w:tcW w:type="dxa" w:w="547"/>
            <w:vAlign w:val="center"/>
          </w:tcPr>
          <w:p>
            <w:pPr>
              <w:spacing w:before="0" w:after="0" w:line="240" w:lineRule="auto"/>
              <w:jc w:val="center"/>
            </w:pPr>
            <w:r>
              <w:rPr>
                <w:highlight w:val="yellow"/>
              </w:rPr>
            </w:r>
            <w:r>
              <w:rPr>
                <w:b w:val="0"/>
                <w:i w:val="0"/>
                <w:sz w:val="13"/>
                <w:highlight w:val="yellow"/>
              </w:rPr>
              <w:t>[14]</w:t>
            </w:r>
          </w:p>
        </w:tc>
      </w:tr>
      <w:tr>
        <w:trPr>
          <w:cantSplit/>
        </w:trPr>
        <w:tc>
          <w:tcPr>
            <w:tcW w:type="dxa" w:w="1944"/>
            <w:vAlign w:val="center"/>
          </w:tcPr>
          <w:p>
            <w:pPr>
              <w:spacing w:before="0" w:after="0" w:line="240" w:lineRule="auto"/>
              <w:jc w:val="left"/>
            </w:pPr>
            <w:r>
              <w:rPr>
                <w:highlight w:val="yellow"/>
              </w:rPr>
            </w:r>
            <w:r>
              <w:rPr>
                <w:b w:val="0"/>
                <w:i w:val="0"/>
                <w:sz w:val="13"/>
                <w:highlight w:val="yellow"/>
              </w:rPr>
              <w:t>Brachial plexus (venous)</w:t>
            </w:r>
          </w:p>
        </w:tc>
        <w:tc>
          <w:tcPr>
            <w:tcW w:type="dxa" w:w="1037"/>
            <w:vAlign w:val="center"/>
          </w:tcPr>
          <w:p>
            <w:pPr>
              <w:spacing w:before="0" w:after="0" w:line="240" w:lineRule="auto"/>
              <w:jc w:val="center"/>
            </w:pPr>
            <w:r>
              <w:rPr>
                <w:highlight w:val="yellow"/>
              </w:rPr>
            </w:r>
            <w:r>
              <w:rPr>
                <w:b w:val="0"/>
                <w:i w:val="0"/>
                <w:sz w:val="13"/>
                <w:highlight w:val="yellow"/>
              </w:rPr>
              <w:t>ropivacaine</w:t>
            </w:r>
          </w:p>
        </w:tc>
        <w:tc>
          <w:tcPr>
            <w:tcW w:type="dxa" w:w="792"/>
            <w:vAlign w:val="center"/>
          </w:tcPr>
          <w:p>
            <w:pPr>
              <w:spacing w:before="0" w:after="0" w:line="240" w:lineRule="auto"/>
              <w:jc w:val="center"/>
            </w:pPr>
            <w:r>
              <w:rPr>
                <w:highlight w:val="yellow"/>
              </w:rPr>
            </w:r>
            <w:r>
              <w:rPr>
                <w:b w:val="0"/>
                <w:i w:val="0"/>
                <w:sz w:val="13"/>
                <w:highlight w:val="yellow"/>
              </w:rPr>
              <w:t>190</w:t>
            </w:r>
          </w:p>
        </w:tc>
        <w:tc>
          <w:tcPr>
            <w:tcW w:type="dxa" w:w="893"/>
            <w:vAlign w:val="center"/>
          </w:tcPr>
          <w:p>
            <w:pPr>
              <w:spacing w:before="0" w:after="0" w:line="240" w:lineRule="auto"/>
              <w:jc w:val="center"/>
            </w:pPr>
            <w:r>
              <w:rPr>
                <w:highlight w:val="yellow"/>
              </w:rPr>
            </w:r>
            <w:r>
              <w:rPr>
                <w:b w:val="0"/>
                <w:i w:val="0"/>
                <w:sz w:val="13"/>
                <w:highlight w:val="yellow"/>
              </w:rPr>
              <w:t>1.3</w:t>
            </w:r>
          </w:p>
        </w:tc>
        <w:tc>
          <w:tcPr>
            <w:tcW w:type="dxa" w:w="893"/>
            <w:vAlign w:val="center"/>
          </w:tcPr>
          <w:p>
            <w:pPr>
              <w:spacing w:before="0" w:after="0" w:line="240" w:lineRule="auto"/>
              <w:jc w:val="center"/>
            </w:pPr>
            <w:r>
              <w:rPr>
                <w:highlight w:val="yellow"/>
              </w:rPr>
            </w:r>
            <w:r>
              <w:rPr>
                <w:b w:val="0"/>
                <w:i w:val="0"/>
                <w:sz w:val="13"/>
                <w:highlight w:val="yellow"/>
              </w:rPr>
              <w:t>1.30</w:t>
            </w:r>
          </w:p>
        </w:tc>
        <w:tc>
          <w:tcPr>
            <w:tcW w:type="dxa" w:w="619"/>
            <w:vAlign w:val="center"/>
          </w:tcPr>
          <w:p>
            <w:pPr>
              <w:spacing w:before="0" w:after="0" w:line="240" w:lineRule="auto"/>
              <w:jc w:val="center"/>
            </w:pPr>
            <w:r>
              <w:rPr>
                <w:highlight w:val="yellow"/>
              </w:rPr>
            </w:r>
            <w:r>
              <w:rPr>
                <w:b w:val="0"/>
                <w:i w:val="0"/>
                <w:sz w:val="13"/>
                <w:highlight w:val="yellow"/>
              </w:rPr>
              <w:t>1.00</w:t>
            </w:r>
          </w:p>
        </w:tc>
        <w:tc>
          <w:tcPr>
            <w:tcW w:type="dxa" w:w="1123"/>
            <w:vAlign w:val="center"/>
          </w:tcPr>
          <w:p>
            <w:pPr>
              <w:spacing w:before="0" w:after="0" w:line="240" w:lineRule="auto"/>
              <w:jc w:val="center"/>
            </w:pPr>
            <w:r>
              <w:rPr>
                <w:highlight w:val="yellow"/>
              </w:rPr>
            </w:r>
            <w:r>
              <w:rPr>
                <w:b w:val="0"/>
                <w:i w:val="0"/>
                <w:sz w:val="13"/>
                <w:highlight w:val="yellow"/>
              </w:rPr>
              <w:t>53</w:t>
            </w:r>
          </w:p>
        </w:tc>
        <w:tc>
          <w:tcPr>
            <w:tcW w:type="dxa" w:w="835"/>
            <w:vAlign w:val="center"/>
          </w:tcPr>
          <w:p>
            <w:pPr>
              <w:spacing w:before="0" w:after="0" w:line="240" w:lineRule="auto"/>
              <w:jc w:val="center"/>
            </w:pPr>
            <w:r>
              <w:rPr>
                <w:highlight w:val="yellow"/>
              </w:rPr>
            </w:r>
            <w:r>
              <w:rPr>
                <w:b w:val="0"/>
                <w:i w:val="0"/>
                <w:sz w:val="13"/>
                <w:highlight w:val="yellow"/>
              </w:rPr>
              <w:t>18.6</w:t>
            </w:r>
          </w:p>
        </w:tc>
        <w:tc>
          <w:tcPr>
            <w:tcW w:type="dxa" w:w="547"/>
            <w:vAlign w:val="center"/>
          </w:tcPr>
          <w:p>
            <w:pPr>
              <w:spacing w:before="0" w:after="0" w:line="240" w:lineRule="auto"/>
              <w:jc w:val="center"/>
            </w:pPr>
            <w:r>
              <w:rPr>
                <w:highlight w:val="yellow"/>
              </w:rPr>
            </w:r>
            <w:r>
              <w:rPr>
                <w:b w:val="0"/>
                <w:i w:val="0"/>
                <w:sz w:val="13"/>
                <w:highlight w:val="yellow"/>
              </w:rPr>
              <w:t>[15]</w:t>
            </w:r>
          </w:p>
        </w:tc>
      </w:tr>
      <w:tr>
        <w:trPr>
          <w:cantSplit/>
        </w:trPr>
        <w:tc>
          <w:tcPr>
            <w:tcW w:type="dxa" w:w="1944"/>
            <w:vAlign w:val="center"/>
          </w:tcPr>
          <w:p>
            <w:pPr>
              <w:spacing w:before="0" w:after="0" w:line="240" w:lineRule="auto"/>
              <w:jc w:val="left"/>
            </w:pPr>
            <w:r>
              <w:rPr>
                <w:highlight w:val="yellow"/>
              </w:rPr>
            </w:r>
            <w:r>
              <w:rPr>
                <w:b w:val="0"/>
                <w:i w:val="0"/>
                <w:sz w:val="13"/>
                <w:highlight w:val="yellow"/>
              </w:rPr>
              <w:t>Axillary plexus (venous)</w:t>
            </w:r>
          </w:p>
        </w:tc>
        <w:tc>
          <w:tcPr>
            <w:tcW w:type="dxa" w:w="1037"/>
            <w:vAlign w:val="center"/>
          </w:tcPr>
          <w:p>
            <w:pPr>
              <w:spacing w:before="0" w:after="0" w:line="240" w:lineRule="auto"/>
              <w:jc w:val="center"/>
            </w:pPr>
            <w:r>
              <w:rPr>
                <w:highlight w:val="yellow"/>
              </w:rPr>
            </w:r>
            <w:r>
              <w:rPr>
                <w:b w:val="0"/>
                <w:i w:val="0"/>
                <w:sz w:val="13"/>
                <w:highlight w:val="yellow"/>
              </w:rPr>
              <w:t>ropivacaine</w:t>
            </w:r>
          </w:p>
        </w:tc>
        <w:tc>
          <w:tcPr>
            <w:tcW w:type="dxa" w:w="792"/>
            <w:vAlign w:val="center"/>
          </w:tcPr>
          <w:p>
            <w:pPr>
              <w:spacing w:before="0" w:after="0" w:line="240" w:lineRule="auto"/>
              <w:jc w:val="center"/>
            </w:pPr>
            <w:r>
              <w:rPr>
                <w:highlight w:val="yellow"/>
              </w:rPr>
            </w:r>
            <w:r>
              <w:rPr>
                <w:b w:val="0"/>
                <w:i w:val="0"/>
                <w:sz w:val="13"/>
                <w:highlight w:val="yellow"/>
              </w:rPr>
              <w:t>175</w:t>
            </w:r>
          </w:p>
        </w:tc>
        <w:tc>
          <w:tcPr>
            <w:tcW w:type="dxa" w:w="893"/>
            <w:vAlign w:val="center"/>
          </w:tcPr>
          <w:p>
            <w:pPr>
              <w:spacing w:before="0" w:after="0" w:line="240" w:lineRule="auto"/>
              <w:jc w:val="center"/>
            </w:pPr>
            <w:r>
              <w:rPr>
                <w:highlight w:val="yellow"/>
              </w:rPr>
            </w:r>
            <w:r>
              <w:rPr>
                <w:b w:val="0"/>
                <w:i w:val="0"/>
                <w:sz w:val="13"/>
                <w:highlight w:val="yellow"/>
              </w:rPr>
              <w:t>1.28</w:t>
            </w:r>
          </w:p>
        </w:tc>
        <w:tc>
          <w:tcPr>
            <w:tcW w:type="dxa" w:w="893"/>
            <w:vAlign w:val="center"/>
          </w:tcPr>
          <w:p>
            <w:pPr>
              <w:spacing w:before="0" w:after="0" w:line="240" w:lineRule="auto"/>
              <w:jc w:val="center"/>
            </w:pPr>
            <w:r>
              <w:rPr>
                <w:highlight w:val="yellow"/>
              </w:rPr>
            </w:r>
            <w:r>
              <w:rPr>
                <w:b w:val="0"/>
                <w:i w:val="0"/>
                <w:sz w:val="13"/>
                <w:highlight w:val="yellow"/>
              </w:rPr>
              <w:t>1.21</w:t>
            </w:r>
          </w:p>
        </w:tc>
        <w:tc>
          <w:tcPr>
            <w:tcW w:type="dxa" w:w="619"/>
            <w:vAlign w:val="center"/>
          </w:tcPr>
          <w:p>
            <w:pPr>
              <w:spacing w:before="0" w:after="0" w:line="240" w:lineRule="auto"/>
              <w:jc w:val="center"/>
            </w:pPr>
            <w:r>
              <w:rPr>
                <w:highlight w:val="yellow"/>
              </w:rPr>
            </w:r>
            <w:r>
              <w:rPr>
                <w:b w:val="0"/>
                <w:i w:val="0"/>
                <w:sz w:val="13"/>
                <w:highlight w:val="yellow"/>
              </w:rPr>
              <w:t>0.95</w:t>
            </w:r>
          </w:p>
        </w:tc>
        <w:tc>
          <w:tcPr>
            <w:tcW w:type="dxa" w:w="1123"/>
            <w:vAlign w:val="center"/>
          </w:tcPr>
          <w:p>
            <w:pPr>
              <w:spacing w:before="0" w:after="0" w:line="240" w:lineRule="auto"/>
              <w:jc w:val="center"/>
            </w:pPr>
            <w:r>
              <w:rPr>
                <w:highlight w:val="yellow"/>
              </w:rPr>
            </w:r>
            <w:r>
              <w:rPr>
                <w:b w:val="0"/>
                <w:i w:val="0"/>
                <w:sz w:val="13"/>
                <w:highlight w:val="yellow"/>
              </w:rPr>
              <w:t>52</w:t>
            </w:r>
          </w:p>
        </w:tc>
        <w:tc>
          <w:tcPr>
            <w:tcW w:type="dxa" w:w="835"/>
            <w:vAlign w:val="center"/>
          </w:tcPr>
          <w:p>
            <w:pPr>
              <w:spacing w:before="0" w:after="0" w:line="240" w:lineRule="auto"/>
              <w:jc w:val="center"/>
            </w:pPr>
            <w:r>
              <w:rPr>
                <w:highlight w:val="yellow"/>
              </w:rPr>
            </w:r>
            <w:r>
              <w:rPr>
                <w:b w:val="0"/>
                <w:i w:val="0"/>
                <w:sz w:val="13"/>
                <w:highlight w:val="yellow"/>
              </w:rPr>
              <w:t>17.2</w:t>
            </w:r>
          </w:p>
        </w:tc>
        <w:tc>
          <w:tcPr>
            <w:tcW w:type="dxa" w:w="547"/>
            <w:vAlign w:val="center"/>
          </w:tcPr>
          <w:p>
            <w:pPr>
              <w:spacing w:before="0" w:after="0" w:line="240" w:lineRule="auto"/>
              <w:jc w:val="center"/>
            </w:pPr>
            <w:r>
              <w:rPr>
                <w:highlight w:val="yellow"/>
              </w:rPr>
            </w:r>
            <w:r>
              <w:rPr>
                <w:b w:val="0"/>
                <w:i w:val="0"/>
                <w:sz w:val="13"/>
                <w:highlight w:val="yellow"/>
              </w:rPr>
              <w:t>[16]</w:t>
            </w:r>
          </w:p>
        </w:tc>
      </w:tr>
      <w:tr>
        <w:trPr>
          <w:cantSplit/>
        </w:trPr>
        <w:tc>
          <w:tcPr>
            <w:tcW w:type="dxa" w:w="1944"/>
            <w:vAlign w:val="center"/>
          </w:tcPr>
          <w:p>
            <w:pPr>
              <w:spacing w:before="0" w:after="0" w:line="240" w:lineRule="auto"/>
              <w:jc w:val="left"/>
            </w:pPr>
            <w:r>
              <w:rPr>
                <w:highlight w:val="yellow"/>
              </w:rPr>
            </w:r>
            <w:r>
              <w:rPr>
                <w:b w:val="0"/>
                <w:i w:val="0"/>
                <w:sz w:val="13"/>
                <w:highlight w:val="yellow"/>
              </w:rPr>
              <w:t>Axillary plexus (venous)</w:t>
            </w:r>
          </w:p>
        </w:tc>
        <w:tc>
          <w:tcPr>
            <w:tcW w:type="dxa" w:w="1037"/>
            <w:vAlign w:val="center"/>
          </w:tcPr>
          <w:p>
            <w:pPr>
              <w:spacing w:before="0" w:after="0" w:line="240" w:lineRule="auto"/>
              <w:jc w:val="center"/>
            </w:pPr>
            <w:r>
              <w:rPr>
                <w:highlight w:val="yellow"/>
              </w:rPr>
            </w:r>
            <w:r>
              <w:rPr>
                <w:b w:val="0"/>
                <w:i w:val="0"/>
                <w:sz w:val="13"/>
                <w:highlight w:val="yellow"/>
              </w:rPr>
              <w:t>bupivacaine</w:t>
            </w:r>
          </w:p>
        </w:tc>
        <w:tc>
          <w:tcPr>
            <w:tcW w:type="dxa" w:w="792"/>
            <w:vAlign w:val="center"/>
          </w:tcPr>
          <w:p>
            <w:pPr>
              <w:spacing w:before="0" w:after="0" w:line="240" w:lineRule="auto"/>
              <w:jc w:val="center"/>
            </w:pPr>
            <w:r>
              <w:rPr>
                <w:highlight w:val="yellow"/>
              </w:rPr>
            </w:r>
            <w:r>
              <w:rPr>
                <w:b w:val="0"/>
                <w:i w:val="0"/>
                <w:sz w:val="13"/>
                <w:highlight w:val="yellow"/>
              </w:rPr>
              <w:t>175</w:t>
            </w:r>
          </w:p>
        </w:tc>
        <w:tc>
          <w:tcPr>
            <w:tcW w:type="dxa" w:w="893"/>
            <w:vAlign w:val="center"/>
          </w:tcPr>
          <w:p>
            <w:pPr>
              <w:spacing w:before="0" w:after="0" w:line="240" w:lineRule="auto"/>
              <w:jc w:val="center"/>
            </w:pPr>
            <w:r>
              <w:rPr>
                <w:highlight w:val="yellow"/>
              </w:rPr>
            </w:r>
            <w:r>
              <w:rPr>
                <w:b w:val="0"/>
                <w:i w:val="0"/>
                <w:sz w:val="13"/>
                <w:highlight w:val="yellow"/>
              </w:rPr>
              <w:t>1.28</w:t>
            </w:r>
          </w:p>
        </w:tc>
        <w:tc>
          <w:tcPr>
            <w:tcW w:type="dxa" w:w="893"/>
            <w:vAlign w:val="center"/>
          </w:tcPr>
          <w:p>
            <w:pPr>
              <w:spacing w:before="0" w:after="0" w:line="240" w:lineRule="auto"/>
              <w:jc w:val="center"/>
            </w:pPr>
            <w:r>
              <w:rPr>
                <w:highlight w:val="yellow"/>
              </w:rPr>
            </w:r>
            <w:r>
              <w:rPr>
                <w:b w:val="0"/>
                <w:i w:val="0"/>
                <w:sz w:val="13"/>
                <w:highlight w:val="yellow"/>
              </w:rPr>
              <w:t>1.06</w:t>
            </w:r>
          </w:p>
        </w:tc>
        <w:tc>
          <w:tcPr>
            <w:tcW w:type="dxa" w:w="619"/>
            <w:vAlign w:val="center"/>
          </w:tcPr>
          <w:p>
            <w:pPr>
              <w:spacing w:before="0" w:after="0" w:line="240" w:lineRule="auto"/>
              <w:jc w:val="center"/>
            </w:pPr>
            <w:r>
              <w:rPr>
                <w:highlight w:val="yellow"/>
              </w:rPr>
            </w:r>
            <w:r>
              <w:rPr>
                <w:b w:val="0"/>
                <w:i w:val="0"/>
                <w:sz w:val="13"/>
                <w:highlight w:val="yellow"/>
              </w:rPr>
              <w:t>0.83</w:t>
            </w:r>
          </w:p>
        </w:tc>
        <w:tc>
          <w:tcPr>
            <w:tcW w:type="dxa" w:w="1123"/>
            <w:vAlign w:val="center"/>
          </w:tcPr>
          <w:p>
            <w:pPr>
              <w:spacing w:before="0" w:after="0" w:line="240" w:lineRule="auto"/>
              <w:jc w:val="center"/>
            </w:pPr>
            <w:r>
              <w:rPr>
                <w:highlight w:val="yellow"/>
              </w:rPr>
            </w:r>
            <w:r>
              <w:rPr>
                <w:b w:val="0"/>
                <w:i w:val="0"/>
                <w:sz w:val="13"/>
                <w:highlight w:val="yellow"/>
              </w:rPr>
              <w:t>58</w:t>
            </w:r>
          </w:p>
        </w:tc>
        <w:tc>
          <w:tcPr>
            <w:tcW w:type="dxa" w:w="835"/>
            <w:vAlign w:val="center"/>
          </w:tcPr>
          <w:p>
            <w:pPr>
              <w:spacing w:before="0" w:after="0" w:line="240" w:lineRule="auto"/>
              <w:jc w:val="center"/>
            </w:pPr>
            <w:r>
              <w:rPr>
                <w:highlight w:val="yellow"/>
              </w:rPr>
            </w:r>
            <w:r>
              <w:rPr>
                <w:b w:val="0"/>
                <w:i w:val="0"/>
                <w:sz w:val="13"/>
                <w:highlight w:val="yellow"/>
              </w:rPr>
              <w:t>19.7</w:t>
            </w:r>
          </w:p>
        </w:tc>
        <w:tc>
          <w:tcPr>
            <w:tcW w:type="dxa" w:w="547"/>
            <w:vAlign w:val="center"/>
          </w:tcPr>
          <w:p>
            <w:pPr>
              <w:spacing w:before="0" w:after="0" w:line="240" w:lineRule="auto"/>
              <w:jc w:val="center"/>
            </w:pPr>
            <w:r>
              <w:rPr>
                <w:highlight w:val="yellow"/>
              </w:rPr>
            </w:r>
            <w:r>
              <w:rPr>
                <w:b w:val="0"/>
                <w:i w:val="0"/>
                <w:sz w:val="13"/>
                <w:highlight w:val="yellow"/>
              </w:rPr>
              <w:t>[16]</w:t>
            </w:r>
          </w:p>
        </w:tc>
      </w:tr>
      <w:tr>
        <w:trPr>
          <w:cantSplit/>
        </w:trPr>
        <w:tc>
          <w:tcPr>
            <w:tcW w:type="dxa" w:w="1944"/>
            <w:vAlign w:val="center"/>
          </w:tcPr>
          <w:p>
            <w:pPr>
              <w:spacing w:before="0" w:after="0" w:line="240" w:lineRule="auto"/>
              <w:jc w:val="left"/>
            </w:pPr>
            <w:r>
              <w:rPr>
                <w:highlight w:val="yellow"/>
              </w:rPr>
            </w:r>
            <w:r>
              <w:rPr>
                <w:b w:val="0"/>
                <w:i w:val="0"/>
                <w:sz w:val="13"/>
                <w:highlight w:val="yellow"/>
              </w:rPr>
              <w:t>Epidural 2% (venous)</w:t>
            </w:r>
          </w:p>
        </w:tc>
        <w:tc>
          <w:tcPr>
            <w:tcW w:type="dxa" w:w="1037"/>
            <w:vAlign w:val="center"/>
          </w:tcPr>
          <w:p>
            <w:pPr>
              <w:spacing w:before="0" w:after="0" w:line="240" w:lineRule="auto"/>
              <w:jc w:val="center"/>
            </w:pPr>
            <w:r>
              <w:rPr>
                <w:highlight w:val="yellow"/>
              </w:rPr>
            </w:r>
            <w:r>
              <w:rPr>
                <w:b w:val="0"/>
                <w:i w:val="0"/>
                <w:sz w:val="13"/>
                <w:highlight w:val="yellow"/>
              </w:rPr>
              <w:t>lidocaine</w:t>
            </w:r>
          </w:p>
        </w:tc>
        <w:tc>
          <w:tcPr>
            <w:tcW w:type="dxa" w:w="792"/>
            <w:vAlign w:val="center"/>
          </w:tcPr>
          <w:p>
            <w:pPr>
              <w:spacing w:before="0" w:after="0" w:line="240" w:lineRule="auto"/>
              <w:jc w:val="center"/>
            </w:pPr>
            <w:r>
              <w:rPr>
                <w:highlight w:val="yellow"/>
              </w:rPr>
            </w:r>
            <w:r>
              <w:rPr>
                <w:b w:val="0"/>
                <w:i w:val="0"/>
                <w:sz w:val="13"/>
                <w:highlight w:val="yellow"/>
              </w:rPr>
              <w:t>350</w:t>
            </w:r>
          </w:p>
        </w:tc>
        <w:tc>
          <w:tcPr>
            <w:tcW w:type="dxa" w:w="893"/>
            <w:vAlign w:val="center"/>
          </w:tcPr>
          <w:p>
            <w:pPr>
              <w:spacing w:before="0" w:after="0" w:line="240" w:lineRule="auto"/>
              <w:jc w:val="center"/>
            </w:pPr>
            <w:r>
              <w:rPr>
                <w:highlight w:val="yellow"/>
              </w:rPr>
            </w:r>
            <w:r>
              <w:rPr>
                <w:b w:val="0"/>
                <w:i w:val="0"/>
                <w:sz w:val="13"/>
                <w:highlight w:val="yellow"/>
              </w:rPr>
              <w:t>2.3</w:t>
            </w:r>
          </w:p>
        </w:tc>
        <w:tc>
          <w:tcPr>
            <w:tcW w:type="dxa" w:w="893"/>
            <w:vAlign w:val="center"/>
          </w:tcPr>
          <w:p>
            <w:pPr>
              <w:spacing w:before="0" w:after="0" w:line="240" w:lineRule="auto"/>
              <w:jc w:val="center"/>
            </w:pPr>
            <w:r>
              <w:rPr>
                <w:highlight w:val="yellow"/>
              </w:rPr>
            </w:r>
            <w:r>
              <w:rPr>
                <w:b w:val="0"/>
                <w:i w:val="0"/>
                <w:sz w:val="13"/>
                <w:highlight w:val="yellow"/>
              </w:rPr>
              <w:t>3.70</w:t>
            </w:r>
          </w:p>
        </w:tc>
        <w:tc>
          <w:tcPr>
            <w:tcW w:type="dxa" w:w="619"/>
            <w:vAlign w:val="center"/>
          </w:tcPr>
          <w:p>
            <w:pPr>
              <w:spacing w:before="0" w:after="0" w:line="240" w:lineRule="auto"/>
              <w:jc w:val="center"/>
            </w:pPr>
            <w:r>
              <w:rPr>
                <w:highlight w:val="yellow"/>
              </w:rPr>
            </w:r>
            <w:r>
              <w:rPr>
                <w:b w:val="0"/>
                <w:i w:val="0"/>
                <w:sz w:val="13"/>
                <w:highlight w:val="yellow"/>
              </w:rPr>
              <w:t>1.61</w:t>
            </w:r>
          </w:p>
        </w:tc>
        <w:tc>
          <w:tcPr>
            <w:tcW w:type="dxa" w:w="1123"/>
            <w:vAlign w:val="center"/>
          </w:tcPr>
          <w:p>
            <w:pPr>
              <w:spacing w:before="0" w:after="0" w:line="240" w:lineRule="auto"/>
              <w:jc w:val="center"/>
            </w:pPr>
            <w:r>
              <w:rPr>
                <w:highlight w:val="yellow"/>
              </w:rPr>
            </w:r>
            <w:r>
              <w:rPr>
                <w:b w:val="0"/>
                <w:i w:val="0"/>
                <w:sz w:val="13"/>
                <w:highlight w:val="yellow"/>
              </w:rPr>
              <w:t>20</w:t>
            </w:r>
          </w:p>
        </w:tc>
        <w:tc>
          <w:tcPr>
            <w:tcW w:type="dxa" w:w="835"/>
            <w:vAlign w:val="center"/>
          </w:tcPr>
          <w:p>
            <w:pPr>
              <w:spacing w:before="0" w:after="0" w:line="240" w:lineRule="auto"/>
              <w:jc w:val="center"/>
            </w:pPr>
            <w:r>
              <w:rPr>
                <w:highlight w:val="yellow"/>
              </w:rPr>
            </w:r>
            <w:r>
              <w:rPr>
                <w:b w:val="0"/>
                <w:i w:val="0"/>
                <w:sz w:val="13"/>
                <w:highlight w:val="yellow"/>
              </w:rPr>
              <w:t>29.2</w:t>
            </w:r>
          </w:p>
        </w:tc>
        <w:tc>
          <w:tcPr>
            <w:tcW w:type="dxa" w:w="547"/>
            <w:vAlign w:val="center"/>
          </w:tcPr>
          <w:p>
            <w:pPr>
              <w:spacing w:before="0" w:after="0" w:line="240" w:lineRule="auto"/>
              <w:jc w:val="center"/>
            </w:pPr>
            <w:r>
              <w:rPr>
                <w:highlight w:val="yellow"/>
              </w:rPr>
            </w:r>
            <w:r>
              <w:rPr>
                <w:b w:val="0"/>
                <w:i w:val="0"/>
                <w:sz w:val="13"/>
                <w:highlight w:val="yellow"/>
              </w:rPr>
              <w:t>[17]</w:t>
            </w:r>
          </w:p>
        </w:tc>
      </w:tr>
    </w:tbl>
    <w:p>
      <w:pPr>
        <w:pStyle w:val="BodyText"/>
      </w:pPr>
      <w:r>
        <w:rPr>
          <w:highlight w:val="yellow"/>
        </w:rPr>
        <w:t xml:space="preserve">Across the ten records, the geometric mean fold error of predicted versus observed</w:t>
      </w:r>
      <w:r>
        <w:rPr>
          <w:highlight w:val="yellow"/>
        </w:rPr>
        <w:t xml:space="preserve"> </w:t>
      </w:r>
      <m:oMath>
        <m:sSub>
          <m:e>
            <m:r>
              <m:t>C</m:t>
            </m:r>
          </m:e>
          <m:sub>
            <m:r>
              <m:t>m</m:t>
            </m:r>
            <m:r>
              <m:t>a</m:t>
            </m:r>
            <m:r>
              <m:t>x</m:t>
            </m:r>
          </m:sub>
        </m:sSub>
      </m:oMath>
      <w:r>
        <w:rPr>
          <w:highlight w:val="yellow"/>
        </w:rPr>
        <w:t xml:space="preserve"> </w:t>
      </w:r>
      <w:r>
        <w:rPr>
          <w:highlight w:val="yellow"/>
        </w:rPr>
        <w:t xml:space="preserve">was 1.51, with 9 of 10 predictions (90%) within two-fold of observation and a Pearson</w:t>
      </w:r>
      <w:r>
        <w:rPr>
          <w:highlight w:val="yellow"/>
        </w:rPr>
        <w:t xml:space="preserve"> </w:t>
      </w:r>
      <w:r>
        <w:rPr>
          <w:highlight w:val="yellow"/>
        </w:rPr>
        <w:t xml:space="preserve">correlation of</w:t>
      </w:r>
      <w:r>
        <w:rPr>
          <w:highlight w:val="yellow"/>
        </w:rPr>
        <w:t xml:space="preserve"> </w:t>
      </w:r>
      <m:oMath>
        <m:r>
          <m:t>r</m:t>
        </m:r>
        <m:r>
          <m:t>=</m:t>
        </m:r>
        <m:r>
          <m:t>0.81</m:t>
        </m:r>
      </m:oMath>
      <w:r>
        <w:rPr>
          <w:highlight w:val="yellow"/>
        </w:rPr>
        <w:t xml:space="preserve"> </w:t>
      </w:r>
      <w:r>
        <w:rPr>
          <w:highlight w:val="yellow"/>
        </w:rPr>
        <w:t xml:space="preserve">(Fig. 12).</w:t>
      </w:r>
    </w:p>
    <w:p>
      <w:pPr>
        <w:pStyle w:val="CaptionedFigure"/>
      </w:pPr>
      <w:r>
        <w:drawing>
          <wp:inline>
            <wp:extent cx="5334000" cy="4923692"/>
            <wp:effectExtent b="0" l="0" r="0" t="0"/>
            <wp:docPr descr="Figure 12. External validation: observed vs predicted C_{max} (depot model, k_a calibrated to observed T_{max}). Solid line = identity; shaded band = two-fold. 90% of predictions lie within two-fold (geometric mean fold error 1.51; r=0.81). Marker shape distinguishes venous (circle) and arterial (triangle) sampling." title="" id="1" name="Picture"/>
            <a:graphic>
              <a:graphicData uri="http://schemas.openxmlformats.org/drawingml/2006/picture">
                <pic:pic>
                  <pic:nvPicPr>
                    <pic:cNvPr descr="figures/fig12_validation_cmax.png" id="0" name="Picture"/>
                    <pic:cNvPicPr>
                      <a:picLocks noChangeArrowheads="1" noChangeAspect="1"/>
                    </pic:cNvPicPr>
                  </pic:nvPicPr>
                  <pic:blipFill>
                    <a:blip r:embed="rId51"/>
                    <a:stretch>
                      <a:fillRect/>
                    </a:stretch>
                  </pic:blipFill>
                  <pic:spPr bwMode="auto">
                    <a:xfrm>
                      <a:off x="0" y="0"/>
                      <a:ext cx="5334000" cy="4923692"/>
                    </a:xfrm>
                    <a:prstGeom prst="rect">
                      <a:avLst/>
                    </a:prstGeom>
                    <a:noFill/>
                    <a:ln w="9525">
                      <a:noFill/>
                      <a:headEnd/>
                      <a:tailEnd/>
                    </a:ln>
                  </pic:spPr>
                </pic:pic>
              </a:graphicData>
            </a:graphic>
          </wp:inline>
        </w:drawing>
      </w:r>
    </w:p>
    <w:p>
      <w:pPr>
        <w:pStyle w:val="ImageCaption"/>
      </w:pPr>
      <w:r>
        <w:rPr>
          <w:b/>
          <w:highlight w:val="yellow"/>
        </w:rPr>
        <w:t xml:space="preserve">Figure 12.</w:t>
      </w:r>
      <w:r>
        <w:rPr>
          <w:highlight w:val="yellow"/>
        </w:rPr>
        <w:t xml:space="preserve"> </w:t>
      </w:r>
      <w:r>
        <w:rPr>
          <w:highlight w:val="yellow"/>
        </w:rPr>
        <w:t xml:space="preserve">External validation: observed vs predicted</w:t>
      </w:r>
      <w:r>
        <w:rPr>
          <w:highlight w:val="yellow"/>
        </w:rPr>
        <w:t xml:space="preserve"> </w:t>
      </w:r>
      <m:oMath>
        <m:sSub>
          <m:e>
            <m:r>
              <m:t>C</m:t>
            </m:r>
          </m:e>
          <m:sub>
            <m:r>
              <m:t>m</m:t>
            </m:r>
            <m:r>
              <m:t>a</m:t>
            </m:r>
            <m:r>
              <m:t>x</m:t>
            </m:r>
          </m:sub>
        </m:sSub>
      </m:oMath>
      <w:r>
        <w:rPr>
          <w:highlight w:val="yellow"/>
        </w:rPr>
        <w:t xml:space="preserve"> </w:t>
      </w:r>
      <w:r>
        <w:rPr>
          <w:highlight w:val="yellow"/>
        </w:rPr>
        <w:t xml:space="preserve">(depot model,</w:t>
      </w:r>
      <w:r>
        <w:rPr>
          <w:highlight w:val="yellow"/>
        </w:rPr>
        <w:t xml:space="preserve"> </w:t>
      </w:r>
      <m:oMath>
        <m:sSub>
          <m:e>
            <m:r>
              <m:t>k</m:t>
            </m:r>
          </m:e>
          <m:sub>
            <m:r>
              <m:t>a</m:t>
            </m:r>
          </m:sub>
        </m:sSub>
      </m:oMath>
      <w:r>
        <w:rPr>
          <w:highlight w:val="yellow"/>
        </w:rPr>
        <w:t xml:space="preserve"> </w:t>
      </w:r>
      <w:r>
        <w:rPr>
          <w:highlight w:val="yellow"/>
        </w:rPr>
        <w:t xml:space="preserve">calibrated to observed</w:t>
      </w:r>
      <w:r>
        <w:rPr>
          <w:highlight w:val="yellow"/>
        </w:rPr>
        <w:t xml:space="preserve"> </w:t>
      </w:r>
      <m:oMath>
        <m:sSub>
          <m:e>
            <m:r>
              <m:t>T</m:t>
            </m:r>
          </m:e>
          <m:sub>
            <m:r>
              <m:t>m</m:t>
            </m:r>
            <m:r>
              <m:t>a</m:t>
            </m:r>
            <m:r>
              <m:t>x</m:t>
            </m:r>
          </m:sub>
        </m:sSub>
      </m:oMath>
      <w:r>
        <w:rPr>
          <w:highlight w:val="yellow"/>
        </w:rPr>
        <w:t xml:space="preserve">). Solid line = identity; shaded band = two-fold. 90% of predictions lie within two-fold (geometric mean fold error 1.51;</w:t>
      </w:r>
      <w:r>
        <w:rPr>
          <w:highlight w:val="yellow"/>
        </w:rPr>
        <w:t xml:space="preserve"> </w:t>
      </w:r>
      <m:oMath>
        <m:r>
          <m:t>r</m:t>
        </m:r>
        <m:r>
          <m:t>=</m:t>
        </m:r>
        <m:r>
          <m:t>0.81</m:t>
        </m:r>
      </m:oMath>
      <w:r>
        <w:rPr>
          <w:highlight w:val="yellow"/>
        </w:rPr>
        <w:t xml:space="preserve">). Marker shape distinguishes venous (circle) and arterial (triangle) sampling.</w:t>
      </w:r>
    </w:p>
    <w:p>
      <w:pPr>
        <w:pStyle w:val="BodyText"/>
      </w:pPr>
      <w:r>
        <w:rPr>
          <w:highlight w:val="yellow"/>
        </w:rPr>
        <w:t xml:space="preserve">By contrast, the intravenous-input baseline predicted</w:t>
      </w:r>
      <w:r>
        <w:rPr>
          <w:highlight w:val="yellow"/>
        </w:rPr>
        <w:t xml:space="preserve"> </w:t>
      </w:r>
      <m:oMath>
        <m:sSub>
          <m:e>
            <m:r>
              <m:t>C</m:t>
            </m:r>
          </m:e>
          <m:sub>
            <m:r>
              <m:t>m</m:t>
            </m:r>
            <m:r>
              <m:t>a</m:t>
            </m:r>
            <m:r>
              <m:t>x</m:t>
            </m:r>
          </m:sub>
        </m:sSub>
      </m:oMath>
      <w:r>
        <w:rPr>
          <w:highlight w:val="yellow"/>
        </w:rPr>
        <w:t xml:space="preserve"> </w:t>
      </w:r>
      <w:r>
        <w:rPr>
          <w:highlight w:val="yellow"/>
        </w:rPr>
        <w:t xml:space="preserve">of 14–29 mg/L—roughly an</w:t>
      </w:r>
      <w:r>
        <w:rPr>
          <w:highlight w:val="yellow"/>
        </w:rPr>
        <w:t xml:space="preserve"> </w:t>
      </w:r>
      <w:r>
        <w:rPr>
          <w:highlight w:val="yellow"/>
        </w:rPr>
        <w:t xml:space="preserve">order of magnitude above the observed range of 0.9–2.5 mg/L—and predicted an instantaneous</w:t>
      </w:r>
      <w:r>
        <w:rPr>
          <w:highlight w:val="yellow"/>
        </w:rPr>
        <w:t xml:space="preserve"> </w:t>
      </w:r>
      <w:r>
        <w:rPr>
          <w:highlight w:val="yellow"/>
        </w:rPr>
        <w:t xml:space="preserve">peak (</w:t>
      </w:r>
      <m:oMath>
        <m:sSub>
          <m:e>
            <m:r>
              <m:t>T</m:t>
            </m:r>
          </m:e>
          <m:sub>
            <m:r>
              <m:t>m</m:t>
            </m:r>
            <m:r>
              <m:t>a</m:t>
            </m:r>
            <m:r>
              <m:t>x</m:t>
            </m:r>
          </m:sub>
        </m:sSub>
        <m:r>
          <m:t>=</m:t>
        </m:r>
        <m:r>
          <m:t>0</m:t>
        </m:r>
      </m:oMath>
      <w:r>
        <w:rPr>
          <w:highlight w:val="yellow"/>
        </w:rPr>
        <w:t xml:space="preserve">) for every study, whereas observed peaks occurred 11–58 minutes after</w:t>
      </w:r>
      <w:r>
        <w:rPr>
          <w:highlight w:val="yellow"/>
        </w:rPr>
        <w:t xml:space="preserve"> </w:t>
      </w:r>
      <w:r>
        <w:rPr>
          <w:highlight w:val="yellow"/>
        </w:rPr>
        <w:t xml:space="preserve">injection (Fig. 13).</w:t>
      </w:r>
    </w:p>
    <w:p>
      <w:pPr>
        <w:pStyle w:val="CaptionedFigure"/>
      </w:pPr>
      <w:r>
        <w:drawing>
          <wp:inline>
            <wp:extent cx="5334000" cy="4923692"/>
            <wp:effectExtent b="0" l="0" r="0" t="0"/>
            <wp:docPr descr="Figure 13. External validation: observed vs predicted T_{max}. The depot model reproduces the observed 11–58 min peaks (points near identity), whereas the intravenous-input baseline predicts T_{max}=0 for every study (red crosses along the horizontal axis)." title="" id="1" name="Picture"/>
            <a:graphic>
              <a:graphicData uri="http://schemas.openxmlformats.org/drawingml/2006/picture">
                <pic:pic>
                  <pic:nvPicPr>
                    <pic:cNvPr descr="figures/fig13_validation_tmax.png" id="0" name="Picture"/>
                    <pic:cNvPicPr>
                      <a:picLocks noChangeArrowheads="1" noChangeAspect="1"/>
                    </pic:cNvPicPr>
                  </pic:nvPicPr>
                  <pic:blipFill>
                    <a:blip r:embed="rId52"/>
                    <a:stretch>
                      <a:fillRect/>
                    </a:stretch>
                  </pic:blipFill>
                  <pic:spPr bwMode="auto">
                    <a:xfrm>
                      <a:off x="0" y="0"/>
                      <a:ext cx="5334000" cy="4923692"/>
                    </a:xfrm>
                    <a:prstGeom prst="rect">
                      <a:avLst/>
                    </a:prstGeom>
                    <a:noFill/>
                    <a:ln w="9525">
                      <a:noFill/>
                      <a:headEnd/>
                      <a:tailEnd/>
                    </a:ln>
                  </pic:spPr>
                </pic:pic>
              </a:graphicData>
            </a:graphic>
          </wp:inline>
        </w:drawing>
      </w:r>
    </w:p>
    <w:p>
      <w:pPr>
        <w:pStyle w:val="ImageCaption"/>
      </w:pPr>
      <w:r>
        <w:rPr>
          <w:b/>
          <w:highlight w:val="yellow"/>
        </w:rPr>
        <w:t xml:space="preserve">Figure 13.</w:t>
      </w:r>
      <w:r>
        <w:rPr>
          <w:highlight w:val="yellow"/>
        </w:rPr>
        <w:t xml:space="preserve"> </w:t>
      </w:r>
      <w:r>
        <w:rPr>
          <w:highlight w:val="yellow"/>
        </w:rPr>
        <w:t xml:space="preserve">External validation: observed vs predicted</w:t>
      </w:r>
      <w:r>
        <w:rPr>
          <w:highlight w:val="yellow"/>
        </w:rPr>
        <w:t xml:space="preserve"> </w:t>
      </w:r>
      <m:oMath>
        <m:sSub>
          <m:e>
            <m:r>
              <m:t>T</m:t>
            </m:r>
          </m:e>
          <m:sub>
            <m:r>
              <m:t>m</m:t>
            </m:r>
            <m:r>
              <m:t>a</m:t>
            </m:r>
            <m:r>
              <m:t>x</m:t>
            </m:r>
          </m:sub>
        </m:sSub>
      </m:oMath>
      <w:r>
        <w:rPr>
          <w:highlight w:val="yellow"/>
        </w:rPr>
        <w:t xml:space="preserve">. The depot model reproduces the observed 11–58 min peaks (points near identity), whereas the intravenous-input baseline predicts</w:t>
      </w:r>
      <w:r>
        <w:rPr>
          <w:highlight w:val="yellow"/>
        </w:rPr>
        <w:t xml:space="preserve"> </w:t>
      </w:r>
      <m:oMath>
        <m:sSub>
          <m:e>
            <m:r>
              <m:t>T</m:t>
            </m:r>
          </m:e>
          <m:sub>
            <m:r>
              <m:t>m</m:t>
            </m:r>
            <m:r>
              <m:t>a</m:t>
            </m:r>
            <m:r>
              <m:t>x</m:t>
            </m:r>
          </m:sub>
        </m:sSub>
        <m:r>
          <m:t>=</m:t>
        </m:r>
        <m:r>
          <m:t>0</m:t>
        </m:r>
      </m:oMath>
      <w:r>
        <w:rPr>
          <w:highlight w:val="yellow"/>
        </w:rPr>
        <w:t xml:space="preserve"> </w:t>
      </w:r>
      <w:r>
        <w:rPr>
          <w:highlight w:val="yellow"/>
        </w:rPr>
        <w:t xml:space="preserve">for every study (red crosses along the horizontal axis).</w:t>
      </w:r>
    </w:p>
    <w:p>
      <w:pPr>
        <w:pStyle w:val="BodyText"/>
      </w:pPr>
      <w:r>
        <w:rPr>
          <w:highlight w:val="yellow"/>
        </w:rPr>
        <w:t xml:space="preserve">Two patterns are worth stating plainly rather than obscuring. First, the model tended to</w:t>
      </w:r>
      <w:r>
        <w:rPr>
          <w:highlight w:val="yellow"/>
        </w:rPr>
        <w:t xml:space="preserve"> </w:t>
      </w:r>
      <w:r>
        <w:rPr>
          <w:i/>
          <w:highlight w:val="yellow"/>
        </w:rPr>
        <w:t xml:space="preserve">overestimate</w:t>
      </w:r>
      <w:r>
        <w:rPr>
          <w:highlight w:val="yellow"/>
        </w:rPr>
        <w:t xml:space="preserve"> </w:t>
      </w:r>
      <m:oMath>
        <m:sSub>
          <m:e>
            <m:r>
              <m:t>C</m:t>
            </m:r>
          </m:e>
          <m:sub>
            <m:r>
              <m:t>m</m:t>
            </m:r>
            <m:r>
              <m:t>a</m:t>
            </m:r>
            <m:r>
              <m:t>x</m:t>
            </m:r>
          </m:sub>
        </m:sSub>
      </m:oMath>
      <w:r>
        <w:rPr>
          <w:highlight w:val="yellow"/>
        </w:rPr>
        <w:t xml:space="preserve"> </w:t>
      </w:r>
      <w:r>
        <w:rPr>
          <w:highlight w:val="yellow"/>
        </w:rPr>
        <w:t xml:space="preserve">for the fastest-absorbing intercostal records sampled from venous</w:t>
      </w:r>
      <w:r>
        <w:rPr>
          <w:highlight w:val="yellow"/>
        </w:rPr>
        <w:t xml:space="preserve"> </w:t>
      </w:r>
      <w:r>
        <w:rPr>
          <w:highlight w:val="yellow"/>
        </w:rPr>
        <w:t xml:space="preserve">blood (fold errors up to 2.35), and to give its closest agreement for the slower peripheral</w:t>
      </w:r>
      <w:r>
        <w:rPr>
          <w:highlight w:val="yellow"/>
        </w:rPr>
        <w:t xml:space="preserve"> </w:t>
      </w:r>
      <w:r>
        <w:rPr>
          <w:highlight w:val="yellow"/>
        </w:rPr>
        <w:t xml:space="preserve">nerve and fascial plane blocks. This is the expected direction of error: the disposition</w:t>
      </w:r>
      <w:r>
        <w:rPr>
          <w:highlight w:val="yellow"/>
        </w:rPr>
        <w:t xml:space="preserve"> </w:t>
      </w:r>
      <w:r>
        <w:rPr>
          <w:highlight w:val="yellow"/>
        </w:rPr>
        <w:t xml:space="preserve">volumes are intravenous-derived, and venous samples underestimate the true arterial peak, so</w:t>
      </w:r>
      <w:r>
        <w:rPr>
          <w:highlight w:val="yellow"/>
        </w:rPr>
        <w:t xml:space="preserve"> </w:t>
      </w:r>
      <w:r>
        <w:rPr>
          <w:highlight w:val="yellow"/>
        </w:rPr>
        <w:t xml:space="preserve">a model calibrated only on timing will read slightly high against venous</w:t>
      </w:r>
      <w:r>
        <w:rPr>
          <w:highlight w:val="yellow"/>
        </w:rPr>
        <w:t xml:space="preserve"> </w:t>
      </w:r>
      <m:oMath>
        <m:sSub>
          <m:e>
            <m:r>
              <m:t>C</m:t>
            </m:r>
          </m:e>
          <m:sub>
            <m:r>
              <m:t>m</m:t>
            </m:r>
            <m:r>
              <m:t>a</m:t>
            </m:r>
            <m:r>
              <m:t>x</m:t>
            </m:r>
          </m:sub>
        </m:sSub>
      </m:oMath>
      <w:r>
        <w:rPr>
          <w:highlight w:val="yellow"/>
        </w:rPr>
        <w:t xml:space="preserve">. Second,</w:t>
      </w:r>
      <w:r>
        <w:rPr>
          <w:highlight w:val="yellow"/>
        </w:rPr>
        <w:t xml:space="preserve"> </w:t>
      </w:r>
      <w:r>
        <w:rPr>
          <w:highlight w:val="yellow"/>
        </w:rPr>
        <w:t xml:space="preserve">the two fascial plane records sampled from</w:t>
      </w:r>
      <w:r>
        <w:rPr>
          <w:highlight w:val="yellow"/>
        </w:rPr>
        <w:t xml:space="preserve"> </w:t>
      </w:r>
      <w:r>
        <w:rPr>
          <w:i/>
          <w:highlight w:val="yellow"/>
        </w:rPr>
        <w:t xml:space="preserve">arterial</w:t>
      </w:r>
      <w:r>
        <w:rPr>
          <w:highlight w:val="yellow"/>
        </w:rPr>
        <w:t xml:space="preserve"> </w:t>
      </w:r>
      <w:r>
        <w:rPr>
          <w:highlight w:val="yellow"/>
        </w:rPr>
        <w:t xml:space="preserve">blood were the only cases where the</w:t>
      </w:r>
      <w:r>
        <w:rPr>
          <w:highlight w:val="yellow"/>
        </w:rPr>
        <w:t xml:space="preserve"> </w:t>
      </w:r>
      <w:r>
        <w:rPr>
          <w:highlight w:val="yellow"/>
        </w:rPr>
        <w:t xml:space="preserve">model modestly</w:t>
      </w:r>
      <w:r>
        <w:rPr>
          <w:highlight w:val="yellow"/>
        </w:rPr>
        <w:t xml:space="preserve"> </w:t>
      </w:r>
      <w:r>
        <w:rPr>
          <w:i/>
          <w:highlight w:val="yellow"/>
        </w:rPr>
        <w:t xml:space="preserve">under</w:t>
      </w:r>
      <w:r>
        <w:rPr>
          <w:highlight w:val="yellow"/>
        </w:rPr>
        <w:t xml:space="preserve">-predicted (fold 0.57–0.76), consistent with the same sampling-site</w:t>
      </w:r>
      <w:r>
        <w:rPr>
          <w:highlight w:val="yellow"/>
        </w:rPr>
        <w:t xml:space="preserve"> </w:t>
      </w:r>
      <w:r>
        <w:rPr>
          <w:highlight w:val="yellow"/>
        </w:rPr>
        <w:t xml:space="preserve">argument. We therefore interpret the validation as showing that the approach reproduces the</w:t>
      </w:r>
      <w:r>
        <w:rPr>
          <w:highlight w:val="yellow"/>
        </w:rPr>
        <w:t xml:space="preserve"> </w:t>
      </w:r>
      <w:r>
        <w:rPr>
          <w:highlight w:val="yellow"/>
        </w:rPr>
        <w:t xml:space="preserve">correct order of magnitude and the qualitative timing of systemic exposure across routes—a</w:t>
      </w:r>
      <w:r>
        <w:rPr>
          <w:highlight w:val="yellow"/>
        </w:rPr>
        <w:t xml:space="preserve"> </w:t>
      </w:r>
      <w:r>
        <w:rPr>
          <w:highlight w:val="yellow"/>
        </w:rPr>
        <w:t xml:space="preserve">substantial improvement over the intravenous-input assumption—while not being accurate</w:t>
      </w:r>
      <w:r>
        <w:rPr>
          <w:highlight w:val="yellow"/>
        </w:rPr>
        <w:t xml:space="preserve"> </w:t>
      </w:r>
      <w:r>
        <w:rPr>
          <w:highlight w:val="yellow"/>
        </w:rPr>
        <w:t xml:space="preserve">enough to support quantitative dosing decisions. This distinction motivates the framing of</w:t>
      </w:r>
      <w:r>
        <w:rPr>
          <w:highlight w:val="yellow"/>
        </w:rPr>
        <w:t xml:space="preserve"> </w:t>
      </w:r>
      <w:r>
        <w:rPr>
          <w:highlight w:val="yellow"/>
        </w:rPr>
        <w:t xml:space="preserve">yoshika as an exploratory and educational tool (§4).</w:t>
      </w:r>
    </w:p>
    <w:p>
      <w:pPr>
        <w:pStyle w:val="BodyText"/>
      </w:pPr>
      <w:r>
        <w:rPr>
          <w:highlight w:val="yellow"/>
        </w:rPr>
        <w:t xml:space="preserve">Representative concentration-time curves for four administration routes are shown in</w:t>
      </w:r>
      <w:r>
        <w:rPr>
          <w:highlight w:val="yellow"/>
        </w:rPr>
        <w:t xml:space="preserve"> </w:t>
      </w:r>
      <w:r>
        <w:rPr>
          <w:highlight w:val="yellow"/>
        </w:rPr>
        <w:t xml:space="preserve">Fig. 14.</w:t>
      </w:r>
    </w:p>
    <w:p>
      <w:pPr>
        <w:pStyle w:val="CaptionedFigure"/>
      </w:pPr>
      <w:r>
        <w:drawing>
          <wp:inline>
            <wp:extent cx="5334000" cy="4000500"/>
            <wp:effectExtent b="0" l="0" r="0" t="0"/>
            <wp:docPr descr="Figure 14. Representative predicted concentration-time curves (yoshika depot, blue; intravenous-input baseline, red dashed) against observed peak C_{max}\pmSD (black squares) for intercostal, TAP, axillary plexus, and epidural cases. The intravenous-input curve peaks off-scale at t=0; the depot curve tracks the observed peak magnitude and timing." title="" id="1" name="Picture"/>
            <a:graphic>
              <a:graphicData uri="http://schemas.openxmlformats.org/drawingml/2006/picture">
                <pic:pic>
                  <pic:nvPicPr>
                    <pic:cNvPr descr="figures/fig14_validation_curves.png" id="0" name="Picture"/>
                    <pic:cNvPicPr>
                      <a:picLocks noChangeArrowheads="1" noChangeAspect="1"/>
                    </pic:cNvPicPr>
                  </pic:nvPicPr>
                  <pic:blipFill>
                    <a:blip r:embed="rId53"/>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rPr>
          <w:b/>
          <w:highlight w:val="yellow"/>
        </w:rPr>
        <w:t xml:space="preserve">Figure 14.</w:t>
      </w:r>
      <w:r>
        <w:rPr>
          <w:highlight w:val="yellow"/>
        </w:rPr>
        <w:t xml:space="preserve"> </w:t>
      </w:r>
      <w:r>
        <w:rPr>
          <w:highlight w:val="yellow"/>
        </w:rPr>
        <w:t xml:space="preserve">Representative predicted concentration-time curves (yoshika depot, blue; intravenous-input baseline, red dashed) against observed peak</w:t>
      </w:r>
      <w:r>
        <w:rPr>
          <w:highlight w:val="yellow"/>
        </w:rPr>
        <w:t xml:space="preserve"> </w:t>
      </w:r>
      <m:oMath>
        <m:sSub>
          <m:e>
            <m:r>
              <m:t>C</m:t>
            </m:r>
          </m:e>
          <m:sub>
            <m:r>
              <m:t>m</m:t>
            </m:r>
            <m:r>
              <m:t>a</m:t>
            </m:r>
            <m:r>
              <m:t>x</m:t>
            </m:r>
          </m:sub>
        </m:sSub>
        <m:r>
          <m:t>±</m:t>
        </m:r>
      </m:oMath>
      <w:r>
        <w:rPr>
          <w:highlight w:val="yellow"/>
        </w:rPr>
        <w:t xml:space="preserve">SD (black squares) for intercostal, TAP, axillary plexus, and epidural cases. The intravenous-input curve peaks off-scale at</w:t>
      </w:r>
      <w:r>
        <w:rPr>
          <w:highlight w:val="yellow"/>
        </w:rPr>
        <w:t xml:space="preserve"> </w:t>
      </w:r>
      <m:oMath>
        <m:r>
          <m:t>t</m:t>
        </m:r>
        <m:r>
          <m:t>=</m:t>
        </m:r>
        <m:r>
          <m:t>0</m:t>
        </m:r>
      </m:oMath>
      <w:r>
        <w:rPr>
          <w:highlight w:val="yellow"/>
        </w:rPr>
        <w:t xml:space="preserve">; the depot curve tracks the observed peak magnitude and timing.</w:t>
      </w:r>
    </w:p>
    <w:p>
      <w:pPr>
        <w:pStyle w:val="Heading1"/>
      </w:pPr>
      <w:bookmarkStart w:id="54" w:name="discussion"/>
      <w:r>
        <w:t xml:space="preserve">4. Discussion</w:t>
      </w:r>
      <w:bookmarkEnd w:id="54"/>
    </w:p>
    <w:p>
      <w:pPr>
        <w:pStyle w:val="Heading2"/>
      </w:pPr>
      <w:bookmarkStart w:id="55" w:name="X23a39bbc1e5918379f50de3b9b8a7e15008acf7"/>
      <w:r>
        <w:rPr>
          <w:highlight w:val="yellow"/>
        </w:rPr>
        <w:t xml:space="preserve">4.1 Nature of the contribution and relation to existing models</w:t>
      </w:r>
      <w:bookmarkEnd w:id="55"/>
    </w:p>
    <w:p>
      <w:pPr>
        <w:pStyle w:val="FirstParagraph"/>
      </w:pPr>
      <w:r>
        <w:rPr>
          <w:highlight w:val="yellow"/>
        </w:rPr>
        <w:t xml:space="preserve">We want to be explicit about what is and is not novel here, since this was a central point</w:t>
      </w:r>
      <w:r>
        <w:rPr>
          <w:highlight w:val="yellow"/>
        </w:rPr>
        <w:t xml:space="preserve"> </w:t>
      </w:r>
      <w:r>
        <w:rPr>
          <w:highlight w:val="yellow"/>
        </w:rPr>
        <w:t xml:space="preserve">in review. yoshika does not introduce a new pharmacokinetic model. The equations are a</w:t>
      </w:r>
      <w:r>
        <w:rPr>
          <w:highlight w:val="yellow"/>
        </w:rPr>
        <w:t xml:space="preserve"> </w:t>
      </w:r>
      <w:r>
        <w:rPr>
          <w:highlight w:val="yellow"/>
        </w:rPr>
        <w:t xml:space="preserve">standard three-compartment mammillary model with an optional first-order depot input, and</w:t>
      </w:r>
      <w:r>
        <w:rPr>
          <w:highlight w:val="yellow"/>
        </w:rPr>
        <w:t xml:space="preserve"> </w:t>
      </w:r>
      <w:r>
        <w:rPr>
          <w:highlight w:val="yellow"/>
        </w:rPr>
        <w:t xml:space="preserve">placing the dose in a different compartment at</w:t>
      </w:r>
      <w:r>
        <w:rPr>
          <w:highlight w:val="yellow"/>
        </w:rPr>
        <w:t xml:space="preserve"> </w:t>
      </w:r>
      <m:oMath>
        <m:r>
          <m:t>t</m:t>
        </m:r>
        <m:r>
          <m:t>=</m:t>
        </m:r>
        <m:r>
          <m:t>0</m:t>
        </m:r>
      </m:oMath>
      <w:r>
        <w:rPr>
          <w:highlight w:val="yellow"/>
        </w:rPr>
        <w:t xml:space="preserve"> </w:t>
      </w:r>
      <w:r>
        <w:rPr>
          <w:highlight w:val="yellow"/>
        </w:rPr>
        <w:t xml:space="preserve">is a mathematically trivial change of</w:t>
      </w:r>
      <w:r>
        <w:rPr>
          <w:highlight w:val="yellow"/>
        </w:rPr>
        <w:t xml:space="preserve"> </w:t>
      </w:r>
      <w:r>
        <w:rPr>
          <w:highlight w:val="yellow"/>
        </w:rPr>
        <w:t xml:space="preserve">initial conditions. Existing frameworks such as the Python Anesthesia Simulator</w:t>
      </w:r>
      <w:r>
        <w:rPr>
          <w:highlight w:val="yellow"/>
        </w:rPr>
        <w:t xml:space="preserve"> </w:t>
      </w:r>
      <w:r>
        <w:rPr>
          <w:highlight w:val="yellow"/>
        </w:rPr>
        <w:t xml:space="preserve">[2]</w:t>
      </w:r>
      <w:r>
        <w:rPr>
          <w:highlight w:val="yellow"/>
        </w:rPr>
        <w:t xml:space="preserve"> </w:t>
      </w:r>
      <w:r>
        <w:rPr>
          <w:highlight w:val="yellow"/>
        </w:rPr>
        <w:t xml:space="preserve">already solve compartmental PK systems, and the disposition</w:t>
      </w:r>
      <w:r>
        <w:rPr>
          <w:highlight w:val="yellow"/>
        </w:rPr>
        <w:t xml:space="preserve"> </w:t>
      </w:r>
      <w:r>
        <w:rPr>
          <w:highlight w:val="yellow"/>
        </w:rPr>
        <w:t xml:space="preserve">parameters we use are drawn from established clinical pharmacokinetic literature</w:t>
      </w:r>
      <w:r>
        <w:rPr>
          <w:highlight w:val="yellow"/>
        </w:rPr>
        <w:t xml:space="preserve"> </w:t>
      </w:r>
      <w:r>
        <w:rPr>
          <w:highlight w:val="yellow"/>
        </w:rPr>
        <w:t xml:space="preserve">[10,11]</w:t>
      </w:r>
      <w:r>
        <w:rPr>
          <w:highlight w:val="yellow"/>
        </w:rPr>
        <w:t xml:space="preserve">.</w:t>
      </w:r>
    </w:p>
    <w:p>
      <w:pPr>
        <w:pStyle w:val="BodyText"/>
      </w:pPr>
      <w:r>
        <w:rPr>
          <w:highlight w:val="yellow"/>
        </w:rPr>
        <w:t xml:space="preserve">We also stress that the improved agreement in §3.3 is not, and should not be read as, a new</w:t>
      </w:r>
      <w:r>
        <w:rPr>
          <w:highlight w:val="yellow"/>
        </w:rPr>
        <w:t xml:space="preserve"> </w:t>
      </w:r>
      <w:r>
        <w:rPr>
          <w:highlight w:val="yellow"/>
        </w:rPr>
        <w:t xml:space="preserve">predictive capability unreachable by conventional tools. Any standard compartmental</w:t>
      </w:r>
      <w:r>
        <w:rPr>
          <w:highlight w:val="yellow"/>
        </w:rPr>
        <w:t xml:space="preserve"> </w:t>
      </w:r>
      <w:r>
        <w:rPr>
          <w:highlight w:val="yellow"/>
        </w:rPr>
        <w:t xml:space="preserve">simulator that adds a depot input and fits its absorption rate can reproduce exactly the same</w:t>
      </w:r>
      <w:r>
        <w:rPr>
          <w:highlight w:val="yellow"/>
        </w:rPr>
        <w:t xml:space="preserve"> </w:t>
      </w:r>
      <w:r>
        <w:rPr>
          <w:highlight w:val="yellow"/>
        </w:rPr>
        <w:t xml:space="preserve">curves and the same validation result; there is no mathematics here that a conventional model</w:t>
      </w:r>
      <w:r>
        <w:rPr>
          <w:highlight w:val="yellow"/>
        </w:rPr>
        <w:t xml:space="preserve"> </w:t>
      </w:r>
      <w:r>
        <w:rPr>
          <w:highlight w:val="yellow"/>
        </w:rPr>
        <w:t xml:space="preserve">cannot express. What the intravenous-input baseline gets wrong is therefore not a limitation</w:t>
      </w:r>
      <w:r>
        <w:rPr>
          <w:highlight w:val="yellow"/>
        </w:rPr>
        <w:t xml:space="preserve"> </w:t>
      </w:r>
      <w:r>
        <w:rPr>
          <w:highlight w:val="yellow"/>
        </w:rPr>
        <w:t xml:space="preserve">of compartmental modelling but a limitation of its</w:t>
      </w:r>
      <w:r>
        <w:rPr>
          <w:highlight w:val="yellow"/>
        </w:rPr>
        <w:t xml:space="preserve"> </w:t>
      </w:r>
      <w:r>
        <w:rPr>
          <w:i/>
          <w:highlight w:val="yellow"/>
        </w:rPr>
        <w:t xml:space="preserve">default use</w:t>
      </w:r>
      <w:r>
        <w:rPr>
          <w:highlight w:val="yellow"/>
        </w:rPr>
        <w:t xml:space="preserve">—placing the entire dose in</w:t>
      </w:r>
      <w:r>
        <w:rPr>
          <w:highlight w:val="yellow"/>
        </w:rPr>
        <w:t xml:space="preserve"> </w:t>
      </w:r>
      <w:r>
        <w:rPr>
          <w:highlight w:val="yellow"/>
        </w:rPr>
        <w:t xml:space="preserve">plasma at</w:t>
      </w:r>
      <w:r>
        <w:rPr>
          <w:highlight w:val="yellow"/>
        </w:rPr>
        <w:t xml:space="preserve"> </w:t>
      </w:r>
      <m:oMath>
        <m:r>
          <m:t>t</m:t>
        </m:r>
        <m:r>
          <m:t>=</m:t>
        </m:r>
        <m:r>
          <m:t>0</m:t>
        </m:r>
      </m:oMath>
      <w:r>
        <w:rPr>
          <w:highlight w:val="yellow"/>
        </w:rPr>
        <w:t xml:space="preserve"> </w:t>
      </w:r>
      <w:r>
        <w:rPr>
          <w:highlight w:val="yellow"/>
        </w:rPr>
        <w:t xml:space="preserve">regardless of the administration route. The value we claim is in making that</w:t>
      </w:r>
      <w:r>
        <w:rPr>
          <w:highlight w:val="yellow"/>
        </w:rPr>
        <w:t xml:space="preserve"> </w:t>
      </w:r>
      <w:r>
        <w:rPr>
          <w:highlight w:val="yellow"/>
        </w:rPr>
        <w:t xml:space="preserve">default choice explicit and easy to vary and compare, and in testing it, rather than in any</w:t>
      </w:r>
      <w:r>
        <w:rPr>
          <w:highlight w:val="yellow"/>
        </w:rPr>
        <w:t xml:space="preserve"> </w:t>
      </w:r>
      <w:r>
        <w:rPr>
          <w:highlight w:val="yellow"/>
        </w:rPr>
        <w:t xml:space="preserve">new equation.</w:t>
      </w:r>
    </w:p>
    <w:p>
      <w:pPr>
        <w:pStyle w:val="BodyText"/>
      </w:pPr>
      <w:r>
        <w:rPr>
          <w:highlight w:val="yellow"/>
        </w:rPr>
        <w:t xml:space="preserve">Framed this way, the contribution is threefold and methodological. First, yoshika is, to our</w:t>
      </w:r>
      <w:r>
        <w:rPr>
          <w:highlight w:val="yellow"/>
        </w:rPr>
        <w:t xml:space="preserve"> </w:t>
      </w:r>
      <w:r>
        <w:rPr>
          <w:highlight w:val="yellow"/>
        </w:rPr>
        <w:t xml:space="preserve">knowledge, the first open-source tool that treats the</w:t>
      </w:r>
      <w:r>
        <w:rPr>
          <w:highlight w:val="yellow"/>
        </w:rPr>
        <w:t xml:space="preserve"> </w:t>
      </w:r>
      <w:r>
        <w:rPr>
          <w:i/>
          <w:highlight w:val="yellow"/>
        </w:rPr>
        <w:t xml:space="preserve">initial compartment</w:t>
      </w:r>
      <w:r>
        <w:rPr>
          <w:highlight w:val="yellow"/>
        </w:rPr>
        <w:t xml:space="preserve"> </w:t>
      </w:r>
      <w:r>
        <w:rPr>
          <w:highlight w:val="yellow"/>
        </w:rPr>
        <w:t xml:space="preserve">as a</w:t>
      </w:r>
      <w:r>
        <w:rPr>
          <w:highlight w:val="yellow"/>
        </w:rPr>
        <w:t xml:space="preserve"> </w:t>
      </w:r>
      <w:r>
        <w:rPr>
          <w:highlight w:val="yellow"/>
        </w:rPr>
        <w:t xml:space="preserve">first-class, user-selectable input for local anesthetics and makes systematic</w:t>
      </w:r>
      <w:r>
        <w:rPr>
          <w:highlight w:val="yellow"/>
        </w:rPr>
        <w:t xml:space="preserve"> </w:t>
      </w:r>
      <w:r>
        <w:rPr>
          <w:highlight w:val="yellow"/>
        </w:rPr>
        <w:t xml:space="preserve">scenario-to-scenario comparison under shared disposition parameters straightforward and</w:t>
      </w:r>
      <w:r>
        <w:rPr>
          <w:highlight w:val="yellow"/>
        </w:rPr>
        <w:t xml:space="preserve"> </w:t>
      </w:r>
      <w:r>
        <w:rPr>
          <w:highlight w:val="yellow"/>
        </w:rPr>
        <w:t xml:space="preserve">reproducible. Second, the paper draws attention to a consequence of this trivial change</w:t>
      </w:r>
      <w:r>
        <w:rPr>
          <w:highlight w:val="yellow"/>
        </w:rPr>
        <w:t xml:space="preserve"> </w:t>
      </w:r>
      <w:r>
        <w:rPr>
          <w:highlight w:val="yellow"/>
        </w:rPr>
        <w:t xml:space="preserve">that is easy to overlook in intravenous-oriented simulators and in routine mg/kg-based</w:t>
      </w:r>
      <w:r>
        <w:rPr>
          <w:highlight w:val="yellow"/>
        </w:rPr>
        <w:t xml:space="preserve"> </w:t>
      </w:r>
      <w:r>
        <w:rPr>
          <w:highlight w:val="yellow"/>
        </w:rPr>
        <w:t xml:space="preserve">practice: the choice of input compartment changes the predicted peak concentration by</w:t>
      </w:r>
      <w:r>
        <w:rPr>
          <w:highlight w:val="yellow"/>
        </w:rPr>
        <w:t xml:space="preserve"> </w:t>
      </w:r>
      <w:r>
        <w:rPr>
          <w:highlight w:val="yellow"/>
        </w:rPr>
        <w:t xml:space="preserve">about an order of magnitude and moves the predicted peak from</w:t>
      </w:r>
      <w:r>
        <w:rPr>
          <w:highlight w:val="yellow"/>
        </w:rPr>
        <w:t xml:space="preserve"> </w:t>
      </w:r>
      <m:oMath>
        <m:r>
          <m:t>t</m:t>
        </m:r>
        <m:r>
          <m:t>=</m:t>
        </m:r>
        <m:r>
          <m:t>0</m:t>
        </m:r>
      </m:oMath>
      <w:r>
        <w:rPr>
          <w:highlight w:val="yellow"/>
        </w:rPr>
        <w:t xml:space="preserve"> </w:t>
      </w:r>
      <w:r>
        <w:rPr>
          <w:highlight w:val="yellow"/>
        </w:rPr>
        <w:t xml:space="preserve">to tens of minutes</w:t>
      </w:r>
      <w:r>
        <w:rPr>
          <w:highlight w:val="yellow"/>
        </w:rPr>
        <w:t xml:space="preserve"> </w:t>
      </w:r>
      <w:r>
        <w:rPr>
          <w:highlight w:val="yellow"/>
        </w:rPr>
        <w:t xml:space="preserve">later. Third—and this is what elevates the work above a mere software option—we</w:t>
      </w:r>
      <w:r>
        <w:rPr>
          <w:highlight w:val="yellow"/>
        </w:rPr>
        <w:t xml:space="preserve"> </w:t>
      </w:r>
      <w:r>
        <w:rPr>
          <w:highlight w:val="yellow"/>
        </w:rPr>
        <w:t xml:space="preserve">provide an external validation (§3.3) showing that, with a single route-specific</w:t>
      </w:r>
      <w:r>
        <w:rPr>
          <w:highlight w:val="yellow"/>
        </w:rPr>
        <w:t xml:space="preserve"> </w:t>
      </w:r>
      <w:r>
        <w:rPr>
          <w:highlight w:val="yellow"/>
        </w:rPr>
        <w:t xml:space="preserve">absorption parameter, the standard model reproduces observed</w:t>
      </w:r>
      <w:r>
        <w:rPr>
          <w:highlight w:val="yellow"/>
        </w:rPr>
        <w:t xml:space="preserve"> </w:t>
      </w:r>
      <m:oMath>
        <m:sSub>
          <m:e>
            <m:r>
              <m:t>C</m:t>
            </m:r>
          </m:e>
          <m:sub>
            <m:r>
              <m:t>m</m:t>
            </m:r>
            <m:r>
              <m:t>a</m:t>
            </m:r>
            <m:r>
              <m:t>x</m:t>
            </m:r>
          </m:sub>
        </m:sSub>
      </m:oMath>
      <w:r>
        <w:rPr>
          <w:highlight w:val="yellow"/>
        </w:rPr>
        <w:t xml:space="preserve"> </w:t>
      </w:r>
      <w:r>
        <w:rPr>
          <w:highlight w:val="yellow"/>
        </w:rPr>
        <w:t xml:space="preserve">within two-fold in</w:t>
      </w:r>
      <w:r>
        <w:rPr>
          <w:highlight w:val="yellow"/>
        </w:rPr>
        <w:t xml:space="preserve"> </w:t>
      </w:r>
      <w:r>
        <w:rPr>
          <w:highlight w:val="yellow"/>
        </w:rPr>
        <w:t xml:space="preserve">90% of ten published datasets, whereas the intravenous-input assumption is wrong by roughly</w:t>
      </w:r>
      <w:r>
        <w:rPr>
          <w:highlight w:val="yellow"/>
        </w:rPr>
        <w:t xml:space="preserve"> </w:t>
      </w:r>
      <w:r>
        <w:rPr>
          <w:highlight w:val="yellow"/>
        </w:rPr>
        <w:t xml:space="preserve">an order of magnitude in both magnitude and timing. The novelty is thus a validated</w:t>
      </w:r>
      <w:r>
        <w:rPr>
          <w:highlight w:val="yellow"/>
        </w:rPr>
        <w:t xml:space="preserve"> </w:t>
      </w:r>
      <w:r>
        <w:rPr>
          <w:highlight w:val="yellow"/>
        </w:rPr>
        <w:t xml:space="preserve">methodology and tool, not a new equation.</w:t>
      </w:r>
    </w:p>
    <w:p>
      <w:pPr>
        <w:pStyle w:val="Heading2"/>
      </w:pPr>
      <w:bookmarkStart w:id="56" w:name="potential-applications"/>
      <w:r>
        <w:rPr>
          <w:highlight w:val="yellow"/>
        </w:rPr>
        <w:t xml:space="preserve">4.2 Potential applications</w:t>
      </w:r>
      <w:bookmarkEnd w:id="56"/>
    </w:p>
    <w:p>
      <w:pPr>
        <w:pStyle w:val="FirstParagraph"/>
      </w:pPr>
      <w:r>
        <w:rPr>
          <w:highlight w:val="yellow"/>
        </w:rPr>
        <w:t xml:space="preserve">Framed as an exploratory and educational tool, yoshika may be useful across several domains.</w:t>
      </w:r>
    </w:p>
    <w:p>
      <w:pPr>
        <w:pStyle w:val="BodyText"/>
      </w:pPr>
      <w:r>
        <w:rPr>
          <w:b/>
          <w:highlight w:val="yellow"/>
        </w:rPr>
        <w:t xml:space="preserve">Route-aware exploration of systemic exposure.</w:t>
      </w:r>
      <w:r>
        <w:rPr>
          <w:highlight w:val="yellow"/>
        </w:rPr>
        <w:t xml:space="preserve"> </w:t>
      </w:r>
      <w:r>
        <w:rPr>
          <w:highlight w:val="yellow"/>
        </w:rPr>
        <w:t xml:space="preserve">The comparison in §3.2 and the validation</w:t>
      </w:r>
      <w:r>
        <w:rPr>
          <w:highlight w:val="yellow"/>
        </w:rPr>
        <w:t xml:space="preserve"> </w:t>
      </w:r>
      <w:r>
        <w:rPr>
          <w:highlight w:val="yellow"/>
        </w:rPr>
        <w:t xml:space="preserve">in §3.3 together suggest that the intravenous-input assumption substantially overstates</w:t>
      </w:r>
      <w:r>
        <w:rPr>
          <w:highlight w:val="yellow"/>
        </w:rPr>
        <w:t xml:space="preserve"> </w:t>
      </w:r>
      <m:oMath>
        <m:sSub>
          <m:e>
            <m:r>
              <m:t>C</m:t>
            </m:r>
          </m:e>
          <m:sub>
            <m:r>
              <m:t>m</m:t>
            </m:r>
            <m:r>
              <m:t>a</m:t>
            </m:r>
            <m:r>
              <m:t>x</m:t>
            </m:r>
          </m:sub>
        </m:sSub>
      </m:oMath>
      <w:r>
        <w:rPr>
          <w:highlight w:val="yellow"/>
        </w:rPr>
        <w:t xml:space="preserve"> </w:t>
      </w:r>
      <w:r>
        <w:rPr>
          <w:highlight w:val="yellow"/>
        </w:rPr>
        <w:t xml:space="preserve">for fascial plane blocks and infiltration and mis-times the peak. A route-aware</w:t>
      </w:r>
      <w:r>
        <w:rPr>
          <w:highlight w:val="yellow"/>
        </w:rPr>
        <w:t xml:space="preserve"> </w:t>
      </w:r>
      <w:r>
        <w:rPr>
          <w:highlight w:val="yellow"/>
        </w:rPr>
        <w:t xml:space="preserve">simulation gives predictions closer to reported concentrations and points to a plausible</w:t>
      </w:r>
      <w:r>
        <w:rPr>
          <w:highlight w:val="yellow"/>
        </w:rPr>
        <w:t xml:space="preserve"> </w:t>
      </w:r>
      <w:r>
        <w:rPr>
          <w:highlight w:val="yellow"/>
        </w:rPr>
        <w:t xml:space="preserve">later monitoring window. We frame these as hypotheses for prospective testing rather than</w:t>
      </w:r>
      <w:r>
        <w:rPr>
          <w:highlight w:val="yellow"/>
        </w:rPr>
        <w:t xml:space="preserve"> </w:t>
      </w:r>
      <w:r>
        <w:rPr>
          <w:highlight w:val="yellow"/>
        </w:rPr>
        <w:t xml:space="preserve">dosing instructions.</w:t>
      </w:r>
    </w:p>
    <w:p>
      <w:pPr>
        <w:pStyle w:val="BodyText"/>
      </w:pPr>
      <w:r>
        <w:rPr>
          <w:b/>
          <w:highlight w:val="yellow"/>
        </w:rPr>
        <w:t xml:space="preserve">Block success as a real-time input to scenario selection.</w:t>
      </w:r>
      <w:r>
        <w:rPr>
          <w:highlight w:val="yellow"/>
        </w:rPr>
        <w:t xml:space="preserve"> </w:t>
      </w:r>
      <w:r>
        <w:rPr>
          <w:highlight w:val="yellow"/>
        </w:rPr>
        <w:t xml:space="preserve">A practical extension follows</w:t>
      </w:r>
      <w:r>
        <w:rPr>
          <w:highlight w:val="yellow"/>
        </w:rPr>
        <w:t xml:space="preserve"> </w:t>
      </w:r>
      <w:r>
        <w:rPr>
          <w:highlight w:val="yellow"/>
        </w:rPr>
        <w:t xml:space="preserve">from the observation that regional block success is accompanied by measurable local vascular</w:t>
      </w:r>
      <w:r>
        <w:rPr>
          <w:highlight w:val="yellow"/>
        </w:rPr>
        <w:t xml:space="preserve"> </w:t>
      </w:r>
      <w:r>
        <w:rPr>
          <w:highlight w:val="yellow"/>
        </w:rPr>
        <w:t xml:space="preserve">and sympathetic changes: a successful block produces sympathectomy-mediated vasodilation that</w:t>
      </w:r>
      <w:r>
        <w:rPr>
          <w:highlight w:val="yellow"/>
        </w:rPr>
        <w:t xml:space="preserve"> </w:t>
      </w:r>
      <w:r>
        <w:rPr>
          <w:highlight w:val="yellow"/>
        </w:rPr>
        <w:t xml:space="preserve">can be detected non-invasively, for example as an increase in the pulse-oximeter perfusion</w:t>
      </w:r>
      <w:r>
        <w:rPr>
          <w:highlight w:val="yellow"/>
        </w:rPr>
        <w:t xml:space="preserve"> </w:t>
      </w:r>
      <w:r>
        <w:rPr>
          <w:highlight w:val="yellow"/>
        </w:rPr>
        <w:t xml:space="preserve">index or in skin temperature</w:t>
      </w:r>
      <w:r>
        <w:rPr>
          <w:highlight w:val="yellow"/>
        </w:rPr>
        <w:t xml:space="preserve"> </w:t>
      </w:r>
      <w:r>
        <w:rPr>
          <w:highlight w:val="yellow"/>
        </w:rPr>
        <w:t xml:space="preserve">[18,19]</w:t>
      </w:r>
      <w:r>
        <w:rPr>
          <w:highlight w:val="yellow"/>
        </w:rPr>
        <w:t xml:space="preserve">. In principle such a signal could be</w:t>
      </w:r>
      <w:r>
        <w:rPr>
          <w:highlight w:val="yellow"/>
        </w:rPr>
        <w:t xml:space="preserve"> </w:t>
      </w:r>
      <w:r>
        <w:rPr>
          <w:highlight w:val="yellow"/>
        </w:rPr>
        <w:t xml:space="preserve">used to inform the choice of input scenario in real time—if a block appears successful, the</w:t>
      </w:r>
      <w:r>
        <w:rPr>
          <w:highlight w:val="yellow"/>
        </w:rPr>
        <w:t xml:space="preserve"> </w:t>
      </w:r>
      <w:r>
        <w:rPr>
          <w:highlight w:val="yellow"/>
        </w:rPr>
        <w:t xml:space="preserve">slow-release (vessel-poor-tissue) scenario may describe systemic exposure better than the</w:t>
      </w:r>
      <w:r>
        <w:rPr>
          <w:highlight w:val="yellow"/>
        </w:rPr>
        <w:t xml:space="preserve"> </w:t>
      </w:r>
      <w:r>
        <w:rPr>
          <w:highlight w:val="yellow"/>
        </w:rPr>
        <w:t xml:space="preserve">intravenous-input assumption, implying a lower and later peak and hence a correspondingly</w:t>
      </w:r>
      <w:r>
        <w:rPr>
          <w:highlight w:val="yellow"/>
        </w:rPr>
        <w:t xml:space="preserve"> </w:t>
      </w:r>
      <w:r>
        <w:rPr>
          <w:highlight w:val="yellow"/>
        </w:rPr>
        <w:t xml:space="preserve">later window for vigilance against delayed LAST; if the block appears to have failed, a</w:t>
      </w:r>
      <w:r>
        <w:rPr>
          <w:highlight w:val="yellow"/>
        </w:rPr>
        <w:t xml:space="preserve"> </w:t>
      </w:r>
      <w:r>
        <w:rPr>
          <w:highlight w:val="yellow"/>
        </w:rPr>
        <w:t xml:space="preserve">faster-absorption scenario with earlier monitoring would be the more prudent default. We</w:t>
      </w:r>
      <w:r>
        <w:rPr>
          <w:highlight w:val="yellow"/>
        </w:rPr>
        <w:t xml:space="preserve"> </w:t>
      </w:r>
      <w:r>
        <w:rPr>
          <w:highlight w:val="yellow"/>
        </w:rPr>
        <w:t xml:space="preserve">present this as a hypothesis enabled by the tool, not a validated protocol: prospective</w:t>
      </w:r>
      <w:r>
        <w:rPr>
          <w:highlight w:val="yellow"/>
        </w:rPr>
        <w:t xml:space="preserve"> </w:t>
      </w:r>
      <w:r>
        <w:rPr>
          <w:highlight w:val="yellow"/>
        </w:rPr>
        <w:t xml:space="preserve">studies linking an objective block-success signal to measured plasma concentrations would be</w:t>
      </w:r>
      <w:r>
        <w:rPr>
          <w:highlight w:val="yellow"/>
        </w:rPr>
        <w:t xml:space="preserve"> </w:t>
      </w:r>
      <w:r>
        <w:rPr>
          <w:highlight w:val="yellow"/>
        </w:rPr>
        <w:t xml:space="preserve">required before any such use.</w:t>
      </w:r>
    </w:p>
    <w:p>
      <w:pPr>
        <w:pStyle w:val="BodyText"/>
      </w:pPr>
      <w:r>
        <w:rPr>
          <w:b/>
          <w:highlight w:val="yellow"/>
        </w:rPr>
        <w:t xml:space="preserve">Clinical pharmacology and toxicology.</w:t>
      </w:r>
      <w:r>
        <w:rPr>
          <w:highlight w:val="yellow"/>
        </w:rPr>
        <w:t xml:space="preserve"> </w:t>
      </w:r>
      <w:r>
        <w:rPr>
          <w:highlight w:val="yellow"/>
        </w:rPr>
        <w:t xml:space="preserve">By making explicit how the assumed input route</w:t>
      </w:r>
      <w:r>
        <w:rPr>
          <w:highlight w:val="yellow"/>
        </w:rPr>
        <w:t xml:space="preserve"> </w:t>
      </w:r>
      <w:r>
        <w:rPr>
          <w:highlight w:val="yellow"/>
        </w:rPr>
        <w:t xml:space="preserve">changes predicted peak concentration and timing, yoshika offers a computational aid for</w:t>
      </w:r>
      <w:r>
        <w:rPr>
          <w:highlight w:val="yellow"/>
        </w:rPr>
        <w:t xml:space="preserve"> </w:t>
      </w:r>
      <w:r>
        <w:rPr>
          <w:highlight w:val="yellow"/>
        </w:rPr>
        <w:t xml:space="preserve">reconsidering how intravenous-derived mg/kg limits are applied to regional anesthesia,</w:t>
      </w:r>
      <w:r>
        <w:rPr>
          <w:highlight w:val="yellow"/>
        </w:rPr>
        <w:t xml:space="preserve"> </w:t>
      </w:r>
      <w:r>
        <w:rPr>
          <w:highlight w:val="yellow"/>
        </w:rPr>
        <w:t xml:space="preserve">where absorption kinetics differ</w:t>
      </w:r>
      <w:r>
        <w:rPr>
          <w:highlight w:val="yellow"/>
        </w:rPr>
        <w:t xml:space="preserve"> </w:t>
      </w:r>
      <w:r>
        <w:rPr>
          <w:highlight w:val="yellow"/>
        </w:rPr>
        <w:t xml:space="preserve">[3,6]</w:t>
      </w:r>
      <w:r>
        <w:rPr>
          <w:highlight w:val="yellow"/>
        </w:rPr>
        <w:t xml:space="preserve">. The context-sensitive maximum</w:t>
      </w:r>
      <w:r>
        <w:rPr>
          <w:highlight w:val="yellow"/>
        </w:rPr>
        <w:t xml:space="preserve"> </w:t>
      </w:r>
      <w:r>
        <w:rPr>
          <w:highlight w:val="yellow"/>
        </w:rPr>
        <w:t xml:space="preserve">dose framework (Table 1) is presented as a conceptual proposal to be</w:t>
      </w:r>
      <w:r>
        <w:rPr>
          <w:highlight w:val="yellow"/>
        </w:rPr>
        <w:t xml:space="preserve"> </w:t>
      </w:r>
      <w:r>
        <w:rPr>
          <w:highlight w:val="yellow"/>
        </w:rPr>
        <w:t xml:space="preserve">tested, not an established guideline.</w:t>
      </w:r>
    </w:p>
    <w:p>
      <w:pPr>
        <w:pStyle w:val="BodyText"/>
      </w:pPr>
      <w:r>
        <w:rPr>
          <w:b/>
          <w:highlight w:val="yellow"/>
        </w:rPr>
        <w:t xml:space="preserve">Anesthesia information management systems.</w:t>
      </w:r>
      <w:r>
        <w:rPr>
          <w:highlight w:val="yellow"/>
        </w:rPr>
        <w:t xml:space="preserve"> </w:t>
      </w:r>
      <w:r>
        <w:rPr>
          <w:highlight w:val="yellow"/>
        </w:rPr>
        <w:t xml:space="preserve">yoshika demonstrates that route-adaptive PKPD</w:t>
      </w:r>
      <w:r>
        <w:rPr>
          <w:highlight w:val="yellow"/>
        </w:rPr>
        <w:t xml:space="preserve"> </w:t>
      </w:r>
      <w:r>
        <w:rPr>
          <w:highlight w:val="yellow"/>
        </w:rPr>
        <w:t xml:space="preserve">simulation is computationally inexpensive with standard ODE solvers and could in principle</w:t>
      </w:r>
      <w:r>
        <w:rPr>
          <w:highlight w:val="yellow"/>
        </w:rPr>
        <w:t xml:space="preserve"> </w:t>
      </w:r>
      <w:r>
        <w:rPr>
          <w:highlight w:val="yellow"/>
        </w:rPr>
        <w:t xml:space="preserve">be integrated into AIMS infrastructure, motivating administration-route-specific predictions</w:t>
      </w:r>
      <w:r>
        <w:rPr>
          <w:highlight w:val="yellow"/>
        </w:rPr>
        <w:t xml:space="preserve"> </w:t>
      </w:r>
      <w:r>
        <w:rPr>
          <w:highlight w:val="yellow"/>
        </w:rPr>
        <w:t xml:space="preserve">in place of a single intravenous-input model.</w:t>
      </w:r>
    </w:p>
    <w:p>
      <w:pPr>
        <w:pStyle w:val="BodyText"/>
      </w:pPr>
      <w:r>
        <w:rPr>
          <w:b/>
          <w:highlight w:val="yellow"/>
        </w:rPr>
        <w:t xml:space="preserve">Education and training.</w:t>
      </w:r>
      <w:r>
        <w:rPr>
          <w:highlight w:val="yellow"/>
        </w:rPr>
        <w:t xml:space="preserve"> </w:t>
      </w:r>
      <w:r>
        <w:rPr>
          <w:highlight w:val="yellow"/>
        </w:rPr>
        <w:t xml:space="preserve">yoshika provides an interactive environment for trainees to</w:t>
      </w:r>
      <w:r>
        <w:rPr>
          <w:highlight w:val="yellow"/>
        </w:rPr>
        <w:t xml:space="preserve"> </w:t>
      </w:r>
      <w:r>
        <w:rPr>
          <w:highlight w:val="yellow"/>
        </w:rPr>
        <w:t xml:space="preserve">visualize how injection site and absorption assumptions affect drug disposition, reinforcing</w:t>
      </w:r>
      <w:r>
        <w:rPr>
          <w:highlight w:val="yellow"/>
        </w:rPr>
        <w:t xml:space="preserve"> </w:t>
      </w:r>
      <w:r>
        <w:rPr>
          <w:highlight w:val="yellow"/>
        </w:rPr>
        <w:t xml:space="preserve">the pharmacokinetic principles underlying regional anesthesia.</w:t>
      </w:r>
    </w:p>
    <w:p>
      <w:pPr>
        <w:pStyle w:val="BodyText"/>
      </w:pPr>
      <w:r>
        <w:rPr>
          <w:b/>
          <w:highlight w:val="yellow"/>
        </w:rPr>
        <w:t xml:space="preserve">Research.</w:t>
      </w:r>
      <w:r>
        <w:rPr>
          <w:highlight w:val="yellow"/>
        </w:rPr>
        <w:t xml:space="preserve"> </w:t>
      </w:r>
      <w:r>
        <w:rPr>
          <w:highlight w:val="yellow"/>
        </w:rPr>
        <w:t xml:space="preserve">Its modular design facilitates extension to new drug models, custom compartment</w:t>
      </w:r>
      <w:r>
        <w:rPr>
          <w:highlight w:val="yellow"/>
        </w:rPr>
        <w:t xml:space="preserve"> </w:t>
      </w:r>
      <w:r>
        <w:rPr>
          <w:highlight w:val="yellow"/>
        </w:rPr>
        <w:t xml:space="preserve">configurations, and population analyses. The bundled validation dataset and pipeline provide</w:t>
      </w:r>
      <w:r>
        <w:rPr>
          <w:highlight w:val="yellow"/>
        </w:rPr>
        <w:t xml:space="preserve"> </w:t>
      </w:r>
      <w:r>
        <w:rPr>
          <w:highlight w:val="yellow"/>
        </w:rPr>
        <w:t xml:space="preserve">a reproducible baseline for future comparison.</w:t>
      </w:r>
    </w:p>
    <w:p>
      <w:pPr>
        <w:pStyle w:val="Heading2"/>
      </w:pPr>
      <w:bookmarkStart w:id="57" w:name="limitations-and-future-work"/>
      <w:r>
        <w:rPr>
          <w:highlight w:val="yellow"/>
        </w:rPr>
        <w:t xml:space="preserve">4.3 Limitations and future work</w:t>
      </w:r>
      <w:bookmarkEnd w:id="57"/>
    </w:p>
    <w:p>
      <w:pPr>
        <w:pStyle w:val="FirstParagraph"/>
      </w:pPr>
      <w:r>
        <w:rPr>
          <w:highlight w:val="yellow"/>
        </w:rPr>
        <w:t xml:space="preserve">Several limitations temper the interpretation of these results.</w:t>
      </w:r>
    </w:p>
    <w:p>
      <w:pPr>
        <w:pStyle w:val="BodyText"/>
      </w:pPr>
      <w:r>
        <w:rPr>
          <w:b/>
          <w:highlight w:val="yellow"/>
        </w:rPr>
        <w:t xml:space="preserve">Lumped compartments and disposition provenance.</w:t>
      </w:r>
      <w:r>
        <w:rPr>
          <w:highlight w:val="yellow"/>
        </w:rPr>
        <w:t xml:space="preserve"> </w:t>
      </w:r>
      <w:r>
        <w:rPr>
          <w:highlight w:val="yellow"/>
        </w:rPr>
        <w:t xml:space="preserve">As emphasized in §1.2, V2 and V3 are</w:t>
      </w:r>
      <w:r>
        <w:rPr>
          <w:highlight w:val="yellow"/>
        </w:rPr>
        <w:t xml:space="preserve"> </w:t>
      </w:r>
      <w:r>
        <w:rPr>
          <w:highlight w:val="yellow"/>
        </w:rPr>
        <w:t xml:space="preserve">fitted lumped compartments, not anatomical spaces, and the disposition parameters are derived</w:t>
      </w:r>
      <w:r>
        <w:rPr>
          <w:highlight w:val="yellow"/>
        </w:rPr>
        <w:t xml:space="preserve"> </w:t>
      </w:r>
      <w:r>
        <w:rPr>
          <w:highlight w:val="yellow"/>
        </w:rPr>
        <w:t xml:space="preserve">from intravenous or systemic data. Transferring them to peripheral injection sites is an</w:t>
      </w:r>
      <w:r>
        <w:rPr>
          <w:highlight w:val="yellow"/>
        </w:rPr>
        <w:t xml:space="preserve"> </w:t>
      </w:r>
      <w:r>
        <w:rPr>
          <w:highlight w:val="yellow"/>
        </w:rPr>
        <w:t xml:space="preserve">approximation; the validation (§3.3) supports order-of-magnitude and timing fidelity but not</w:t>
      </w:r>
      <w:r>
        <w:rPr>
          <w:highlight w:val="yellow"/>
        </w:rPr>
        <w:t xml:space="preserve"> </w:t>
      </w:r>
      <w:r>
        <w:rPr>
          <w:highlight w:val="yellow"/>
        </w:rPr>
        <w:t xml:space="preserve">quantitative accuracy, and the model should not be used for dosing decisions.</w:t>
      </w:r>
    </w:p>
    <w:p>
      <w:pPr>
        <w:pStyle w:val="BodyText"/>
      </w:pPr>
      <w:r>
        <w:rPr>
          <w:b/>
          <w:highlight w:val="yellow"/>
        </w:rPr>
        <w:t xml:space="preserve">Calibration and sampling.</w:t>
      </w:r>
      <w:r>
        <w:rPr>
          <w:highlight w:val="yellow"/>
        </w:rPr>
        <w:t xml:space="preserve"> </w:t>
      </w:r>
      <w:r>
        <w:rPr>
          <w:highlight w:val="yellow"/>
        </w:rPr>
        <w:t xml:space="preserve">In the validation, the absorption rate</w:t>
      </w:r>
      <w:r>
        <w:rPr>
          <w:highlight w:val="yellow"/>
        </w:rPr>
        <w:t xml:space="preserve"> </w:t>
      </w:r>
      <m:oMath>
        <m:sSub>
          <m:e>
            <m:r>
              <m:t>k</m:t>
            </m:r>
          </m:e>
          <m:sub>
            <m:r>
              <m:t>a</m:t>
            </m:r>
          </m:sub>
        </m:sSub>
      </m:oMath>
      <w:r>
        <w:rPr>
          <w:highlight w:val="yellow"/>
        </w:rPr>
        <w:t xml:space="preserve"> </w:t>
      </w:r>
      <w:r>
        <w:rPr>
          <w:highlight w:val="yellow"/>
        </w:rPr>
        <w:t xml:space="preserve">was calibrated to</w:t>
      </w:r>
      <w:r>
        <w:rPr>
          <w:highlight w:val="yellow"/>
        </w:rPr>
        <w:t xml:space="preserve"> </w:t>
      </w:r>
      <w:r>
        <w:rPr>
          <w:highlight w:val="yellow"/>
        </w:rPr>
        <w:t xml:space="preserve">the observed</w:t>
      </w:r>
      <w:r>
        <w:rPr>
          <w:highlight w:val="yellow"/>
        </w:rPr>
        <w:t xml:space="preserve"> </w:t>
      </w:r>
      <m:oMath>
        <m:sSub>
          <m:e>
            <m:r>
              <m:t>T</m:t>
            </m:r>
          </m:e>
          <m:sub>
            <m:r>
              <m:t>m</m:t>
            </m:r>
            <m:r>
              <m:t>a</m:t>
            </m:r>
            <m:r>
              <m:t>x</m:t>
            </m:r>
          </m:sub>
        </m:sSub>
      </m:oMath>
      <w:r>
        <w:rPr>
          <w:highlight w:val="yellow"/>
        </w:rPr>
        <w:t xml:space="preserve">, so</w:t>
      </w:r>
      <w:r>
        <w:rPr>
          <w:highlight w:val="yellow"/>
        </w:rPr>
        <w:t xml:space="preserve"> </w:t>
      </w:r>
      <m:oMath>
        <m:sSub>
          <m:e>
            <m:r>
              <m:t>T</m:t>
            </m:r>
          </m:e>
          <m:sub>
            <m:r>
              <m:t>m</m:t>
            </m:r>
            <m:r>
              <m:t>a</m:t>
            </m:r>
            <m:r>
              <m:t>x</m:t>
            </m:r>
          </m:sub>
        </m:sSub>
      </m:oMath>
      <w:r>
        <w:rPr>
          <w:highlight w:val="yellow"/>
        </w:rPr>
        <w:t xml:space="preserve"> </w:t>
      </w:r>
      <w:r>
        <w:rPr>
          <w:highlight w:val="yellow"/>
        </w:rPr>
        <w:t xml:space="preserve">agreement is imposed rather than predicted; the</w:t>
      </w:r>
      <w:r>
        <w:rPr>
          <w:highlight w:val="yellow"/>
        </w:rPr>
        <w:t xml:space="preserve"> </w:t>
      </w:r>
      <w:r>
        <w:rPr>
          <w:highlight w:val="yellow"/>
        </w:rPr>
        <w:t xml:space="preserve">independent test is on</w:t>
      </w:r>
      <w:r>
        <w:rPr>
          <w:highlight w:val="yellow"/>
        </w:rPr>
        <w:t xml:space="preserve"> </w:t>
      </w:r>
      <m:oMath>
        <m:sSub>
          <m:e>
            <m:r>
              <m:t>C</m:t>
            </m:r>
          </m:e>
          <m:sub>
            <m:r>
              <m:t>m</m:t>
            </m:r>
            <m:r>
              <m:t>a</m:t>
            </m:r>
            <m:r>
              <m:t>x</m:t>
            </m:r>
          </m:sub>
        </m:sSub>
      </m:oMath>
      <w:r>
        <w:rPr>
          <w:highlight w:val="yellow"/>
        </w:rPr>
        <w:t xml:space="preserve">. Reported concentrations also depend on sampling site</w:t>
      </w:r>
      <w:r>
        <w:rPr>
          <w:highlight w:val="yellow"/>
        </w:rPr>
        <w:t xml:space="preserve"> </w:t>
      </w:r>
      <w:r>
        <w:rPr>
          <w:highlight w:val="yellow"/>
        </w:rPr>
        <w:t xml:space="preserve">(venous vs arterial) and assay, which contributes to the systematic over- and</w:t>
      </w:r>
      <w:r>
        <w:rPr>
          <w:highlight w:val="yellow"/>
        </w:rPr>
        <w:t xml:space="preserve"> </w:t>
      </w:r>
      <w:r>
        <w:rPr>
          <w:highlight w:val="yellow"/>
        </w:rPr>
        <w:t xml:space="preserve">under-prediction patterns we describe.</w:t>
      </w:r>
    </w:p>
    <w:p>
      <w:pPr>
        <w:pStyle w:val="BodyText"/>
      </w:pPr>
      <w:r>
        <w:rPr>
          <w:b/>
          <w:highlight w:val="yellow"/>
        </w:rPr>
        <w:t xml:space="preserve">Phenomenological description of absorption.</w:t>
      </w:r>
      <w:r>
        <w:rPr>
          <w:highlight w:val="yellow"/>
        </w:rPr>
        <w:t xml:space="preserve"> </w:t>
      </w:r>
      <w:r>
        <w:rPr>
          <w:highlight w:val="yellow"/>
        </w:rPr>
        <w:t xml:space="preserve">The model is a phenomenological</w:t>
      </w:r>
      <w:r>
        <w:rPr>
          <w:highlight w:val="yellow"/>
        </w:rPr>
        <w:t xml:space="preserve"> </w:t>
      </w:r>
      <w:r>
        <w:rPr>
          <w:highlight w:val="yellow"/>
        </w:rPr>
        <w:t xml:space="preserve">compartmental description. The ordinary differential equations are, at a mechanistic level,</w:t>
      </w:r>
      <w:r>
        <w:rPr>
          <w:highlight w:val="yellow"/>
        </w:rPr>
        <w:t xml:space="preserve"> </w:t>
      </w:r>
      <w:r>
        <w:rPr>
          <w:highlight w:val="yellow"/>
        </w:rPr>
        <w:t xml:space="preserve">an approximation to the underlying diffusion (Smoluchowski) processes that govern local</w:t>
      </w:r>
      <w:r>
        <w:rPr>
          <w:highlight w:val="yellow"/>
        </w:rPr>
        <w:t xml:space="preserve"> </w:t>
      </w:r>
      <w:r>
        <w:rPr>
          <w:highlight w:val="yellow"/>
        </w:rPr>
        <w:t xml:space="preserve">anesthetic transfer between tissue, membrane, and aqueous compartments</w:t>
      </w:r>
      <w:r>
        <w:rPr>
          <w:highlight w:val="yellow"/>
        </w:rPr>
        <w:t xml:space="preserve"> </w:t>
      </w:r>
      <w:r>
        <w:rPr>
          <w:highlight w:val="yellow"/>
        </w:rPr>
        <w:t xml:space="preserve">[20,21]</w:t>
      </w:r>
      <w:r>
        <w:rPr>
          <w:highlight w:val="yellow"/>
        </w:rPr>
        <w:t xml:space="preserve">. In particular, after injection a substantial fraction of local anesthetic is</w:t>
      </w:r>
      <w:r>
        <w:rPr>
          <w:highlight w:val="yellow"/>
        </w:rPr>
        <w:t xml:space="preserve"> </w:t>
      </w:r>
      <w:r>
        <w:rPr>
          <w:highlight w:val="yellow"/>
        </w:rPr>
        <w:t xml:space="preserve">stored in lipophilic compartments (Schwann cell and other membranes, adipose tissue) and</w:t>
      </w:r>
      <w:r>
        <w:rPr>
          <w:highlight w:val="yellow"/>
        </w:rPr>
        <w:t xml:space="preserve"> </w:t>
      </w:r>
      <w:r>
        <w:rPr>
          <w:highlight w:val="yellow"/>
        </w:rPr>
        <w:t xml:space="preserve">released slowly; more lipophilic agents have larger storage capacity and correspondingly</w:t>
      </w:r>
      <w:r>
        <w:rPr>
          <w:highlight w:val="yellow"/>
        </w:rPr>
        <w:t xml:space="preserve"> </w:t>
      </w:r>
      <w:r>
        <w:rPr>
          <w:highlight w:val="yellow"/>
        </w:rPr>
        <w:t xml:space="preserve">longer duration of action</w:t>
      </w:r>
      <w:r>
        <w:rPr>
          <w:highlight w:val="yellow"/>
        </w:rPr>
        <w:t xml:space="preserve"> </w:t>
      </w:r>
      <w:r>
        <w:rPr>
          <w:highlight w:val="yellow"/>
        </w:rPr>
        <w:t xml:space="preserve">[22,23]</w:t>
      </w:r>
      <w:r>
        <w:rPr>
          <w:highlight w:val="yellow"/>
        </w:rPr>
        <w:t xml:space="preserve">. Local tissue acidosis increases</w:t>
      </w:r>
      <w:r>
        <w:rPr>
          <w:highlight w:val="yellow"/>
        </w:rPr>
        <w:t xml:space="preserve"> </w:t>
      </w:r>
      <w:r>
        <w:rPr>
          <w:highlight w:val="yellow"/>
        </w:rPr>
        <w:t xml:space="preserve">the protonated fraction and lowers affinity for these lipophilic compartments, reducing</w:t>
      </w:r>
      <w:r>
        <w:rPr>
          <w:highlight w:val="yellow"/>
        </w:rPr>
        <w:t xml:space="preserve"> </w:t>
      </w:r>
      <w:r>
        <w:rPr>
          <w:highlight w:val="yellow"/>
        </w:rPr>
        <w:t xml:space="preserve">storage capacity and shortening duration of action</w:t>
      </w:r>
      <w:r>
        <w:rPr>
          <w:highlight w:val="yellow"/>
        </w:rPr>
        <w:t xml:space="preserve"> </w:t>
      </w:r>
      <w:r>
        <w:rPr>
          <w:highlight w:val="yellow"/>
        </w:rPr>
        <w:t xml:space="preserve">[21,23]</w:t>
      </w:r>
      <w:r>
        <w:rPr>
          <w:highlight w:val="yellow"/>
        </w:rPr>
        <w:t xml:space="preserve">. yoshika’s</w:t>
      </w:r>
      <w:r>
        <w:rPr>
          <w:highlight w:val="yellow"/>
        </w:rPr>
        <w:t xml:space="preserve"> </w:t>
      </w:r>
      <w:r>
        <w:rPr>
          <w:highlight w:val="yellow"/>
        </w:rPr>
        <w:t xml:space="preserve">single depot rate constant lumps all of these effects into one absorption term and does not</w:t>
      </w:r>
      <w:r>
        <w:rPr>
          <w:highlight w:val="yellow"/>
        </w:rPr>
        <w:t xml:space="preserve"> </w:t>
      </w:r>
      <w:r>
        <w:rPr>
          <w:highlight w:val="yellow"/>
        </w:rPr>
        <w:t xml:space="preserve">represent pH- or lipophilicity-dependent storage explicitly.</w:t>
      </w:r>
    </w:p>
    <w:p>
      <w:pPr>
        <w:pStyle w:val="BodyText"/>
      </w:pPr>
      <w:r>
        <w:rPr>
          <w:b/>
          <w:highlight w:val="yellow"/>
        </w:rPr>
        <w:t xml:space="preserve">Perfusion and drug interactions.</w:t>
      </w:r>
      <w:r>
        <w:rPr>
          <w:highlight w:val="yellow"/>
        </w:rPr>
        <w:t xml:space="preserve"> </w:t>
      </w:r>
      <w:r>
        <w:rPr>
          <w:highlight w:val="yellow"/>
        </w:rPr>
        <w:t xml:space="preserve">Local perfusion is a critical determinant of systemic</w:t>
      </w:r>
      <w:r>
        <w:rPr>
          <w:highlight w:val="yellow"/>
        </w:rPr>
        <w:t xml:space="preserve"> </w:t>
      </w:r>
      <w:r>
        <w:rPr>
          <w:highlight w:val="yellow"/>
        </w:rPr>
        <w:t xml:space="preserve">absorption and duration that the fixed rate constants do not capture. Co-administered</w:t>
      </w:r>
      <w:r>
        <w:rPr>
          <w:highlight w:val="yellow"/>
        </w:rPr>
        <w:t xml:space="preserve"> </w:t>
      </w:r>
      <w:r>
        <w:rPr>
          <w:highlight w:val="yellow"/>
        </w:rPr>
        <w:t xml:space="preserve">vasoconstrictors such as adrenaline can prolong duration of action severalfold (as exploited</w:t>
      </w:r>
      <w:r>
        <w:rPr>
          <w:highlight w:val="yellow"/>
        </w:rPr>
        <w:t xml:space="preserve"> </w:t>
      </w:r>
      <w:r>
        <w:rPr>
          <w:highlight w:val="yellow"/>
        </w:rPr>
        <w:t xml:space="preserve">in dental surgery), whereas alcohol-induced vasodilation can shorten it substantially; a</w:t>
      </w:r>
      <w:r>
        <w:rPr>
          <w:highlight w:val="yellow"/>
        </w:rPr>
        <w:t xml:space="preserve"> </w:t>
      </w:r>
      <w:r>
        <w:rPr>
          <w:highlight w:val="yellow"/>
        </w:rPr>
        <w:t xml:space="preserve">combination of local acidosis and vasodilation may in the extreme abolish the anesthetic</w:t>
      </w:r>
      <w:r>
        <w:rPr>
          <w:highlight w:val="yellow"/>
        </w:rPr>
        <w:t xml:space="preserve"> </w:t>
      </w:r>
      <w:r>
        <w:rPr>
          <w:highlight w:val="yellow"/>
        </w:rPr>
        <w:t xml:space="preserve">effect. Representing these perfusion- and pH-dependent effects, ideally by coupling the</w:t>
      </w:r>
      <w:r>
        <w:rPr>
          <w:highlight w:val="yellow"/>
        </w:rPr>
        <w:t xml:space="preserve"> </w:t>
      </w:r>
      <w:r>
        <w:rPr>
          <w:highlight w:val="yellow"/>
        </w:rPr>
        <w:t xml:space="preserve">compartmental model to a diffusion-based description of intraneural and peri-neural transport</w:t>
      </w:r>
      <w:r>
        <w:rPr>
          <w:highlight w:val="yellow"/>
        </w:rPr>
        <w:t xml:space="preserve"> </w:t>
      </w:r>
      <w:r>
        <w:rPr>
          <w:highlight w:val="yellow"/>
        </w:rPr>
        <w:t xml:space="preserve">[20,21]</w:t>
      </w:r>
      <w:r>
        <w:rPr>
          <w:highlight w:val="yellow"/>
        </w:rPr>
        <w:t xml:space="preserve">, is an important direction for future work.</w:t>
      </w:r>
    </w:p>
    <w:p>
      <w:pPr>
        <w:pStyle w:val="BodyText"/>
      </w:pPr>
      <w:r>
        <w:rPr>
          <w:b/>
          <w:highlight w:val="yellow"/>
        </w:rPr>
        <w:t xml:space="preserve">Scope.</w:t>
      </w:r>
      <w:r>
        <w:rPr>
          <w:highlight w:val="yellow"/>
        </w:rPr>
        <w:t xml:space="preserve"> </w:t>
      </w:r>
      <w:r>
        <w:rPr>
          <w:highlight w:val="yellow"/>
        </w:rPr>
        <w:t xml:space="preserve">Spinal (intrathecal) administration is not modeled (§2.2.5), and only four</w:t>
      </w:r>
      <w:r>
        <w:rPr>
          <w:highlight w:val="yellow"/>
        </w:rPr>
        <w:t xml:space="preserve"> </w:t>
      </w:r>
      <w:r>
        <w:rPr>
          <w:highlight w:val="yellow"/>
        </w:rPr>
        <w:t xml:space="preserve">local anesthetics are parameterized by default. Prospective studies measuring plasma</w:t>
      </w:r>
      <w:r>
        <w:rPr>
          <w:highlight w:val="yellow"/>
        </w:rPr>
        <w:t xml:space="preserve"> </w:t>
      </w:r>
      <w:r>
        <w:rPr>
          <w:highlight w:val="yellow"/>
        </w:rPr>
        <w:t xml:space="preserve">concentration profiles after various block types, with documented block success and sampling</w:t>
      </w:r>
      <w:r>
        <w:rPr>
          <w:highlight w:val="yellow"/>
        </w:rPr>
        <w:t xml:space="preserve"> </w:t>
      </w:r>
      <w:r>
        <w:rPr>
          <w:highlight w:val="yellow"/>
        </w:rPr>
        <w:t xml:space="preserve">site, would be needed to parameterize site-specific absorption and to test the</w:t>
      </w:r>
      <w:r>
        <w:rPr>
          <w:highlight w:val="yellow"/>
        </w:rPr>
        <w:t xml:space="preserve"> </w:t>
      </w:r>
      <w:r>
        <w:rPr>
          <w:highlight w:val="yellow"/>
        </w:rPr>
        <w:t xml:space="preserve">context-sensitive maximum dose hypothesis directly.</w:t>
      </w:r>
    </w:p>
    <w:p>
      <w:pPr>
        <w:pStyle w:val="Heading1"/>
      </w:pPr>
      <w:bookmarkStart w:id="58" w:name="conclusion"/>
      <w:r>
        <w:t xml:space="preserve">5. Conclusion</w:t>
      </w:r>
      <w:bookmarkEnd w:id="58"/>
    </w:p>
    <w:p>
      <w:pPr>
        <w:pStyle w:val="FirstParagraph"/>
      </w:pPr>
      <w:r>
        <w:rPr>
          <w:highlight w:val="yellow"/>
        </w:rPr>
        <w:t xml:space="preserve">yoshika is an open-source Python package that makes the initial compartment of drug</w:t>
      </w:r>
      <w:r>
        <w:rPr>
          <w:highlight w:val="yellow"/>
        </w:rPr>
        <w:t xml:space="preserve"> </w:t>
      </w:r>
      <w:r>
        <w:rPr>
          <w:highlight w:val="yellow"/>
        </w:rPr>
        <w:t xml:space="preserve">deposition a selectable input for local anesthetic PKPD simulation. Using a standard</w:t>
      </w:r>
      <w:r>
        <w:rPr>
          <w:highlight w:val="yellow"/>
        </w:rPr>
        <w:t xml:space="preserve"> </w:t>
      </w:r>
      <w:r>
        <w:rPr>
          <w:highlight w:val="yellow"/>
        </w:rPr>
        <w:t xml:space="preserve">three-compartment model, it lets users compare route-aware scenarios—vessel-poor-tissue</w:t>
      </w:r>
      <w:r>
        <w:rPr>
          <w:highlight w:val="yellow"/>
        </w:rPr>
        <w:t xml:space="preserve"> </w:t>
      </w:r>
      <w:r>
        <w:rPr>
          <w:highlight w:val="yellow"/>
        </w:rPr>
        <w:t xml:space="preserve">(</w:t>
      </w:r>
      <w:r>
        <w:rPr>
          <w:highlight w:val="yellow"/>
        </w:rPr>
        <w:t xml:space="preserve">“</w:t>
      </w:r>
      <w:r>
        <w:rPr>
          <w:highlight w:val="yellow"/>
        </w:rPr>
        <w:t xml:space="preserve">successful block</w:t>
      </w:r>
      <w:r>
        <w:rPr>
          <w:highlight w:val="yellow"/>
        </w:rPr>
        <w:t xml:space="preserve">”</w:t>
      </w:r>
      <w:r>
        <w:rPr>
          <w:highlight w:val="yellow"/>
        </w:rPr>
        <w:t xml:space="preserve">), vessel-rich-tissue (</w:t>
      </w:r>
      <w:r>
        <w:rPr>
          <w:highlight w:val="yellow"/>
        </w:rPr>
        <w:t xml:space="preserve">“</w:t>
      </w:r>
      <w:r>
        <w:rPr>
          <w:highlight w:val="yellow"/>
        </w:rPr>
        <w:t xml:space="preserve">failed block</w:t>
      </w:r>
      <w:r>
        <w:rPr>
          <w:highlight w:val="yellow"/>
        </w:rPr>
        <w:t xml:space="preserve">”</w:t>
      </w:r>
      <w:r>
        <w:rPr>
          <w:highlight w:val="yellow"/>
        </w:rPr>
        <w:t xml:space="preserve">), intravascular (plasma), and</w:t>
      </w:r>
      <w:r>
        <w:rPr>
          <w:highlight w:val="yellow"/>
        </w:rPr>
        <w:t xml:space="preserve"> </w:t>
      </w:r>
      <w:r>
        <w:rPr>
          <w:highlight w:val="yellow"/>
        </w:rPr>
        <w:t xml:space="preserve">depot absorption (fascial plane/epidural)—under shared disposition parameters. Its</w:t>
      </w:r>
      <w:r>
        <w:rPr>
          <w:highlight w:val="yellow"/>
        </w:rPr>
        <w:t xml:space="preserve"> </w:t>
      </w:r>
      <w:r>
        <w:rPr>
          <w:highlight w:val="yellow"/>
        </w:rPr>
        <w:t xml:space="preserve">contribution is methodological and practical rather than a new equation: it provides a</w:t>
      </w:r>
      <w:r>
        <w:rPr>
          <w:highlight w:val="yellow"/>
        </w:rPr>
        <w:t xml:space="preserve"> </w:t>
      </w:r>
      <w:r>
        <w:rPr>
          <w:highlight w:val="yellow"/>
        </w:rPr>
        <w:t xml:space="preserve">reproducible tool for systematic comparison and draws attention, with external validation,</w:t>
      </w:r>
      <w:r>
        <w:rPr>
          <w:highlight w:val="yellow"/>
        </w:rPr>
        <w:t xml:space="preserve"> </w:t>
      </w:r>
      <w:r>
        <w:rPr>
          <w:highlight w:val="yellow"/>
        </w:rPr>
        <w:t xml:space="preserve">to how strongly the assumed input route affects predicted peak exposure and timing.</w:t>
      </w:r>
    </w:p>
    <w:p>
      <w:pPr>
        <w:pStyle w:val="BodyText"/>
      </w:pPr>
      <w:r>
        <w:rPr>
          <w:highlight w:val="yellow"/>
        </w:rPr>
        <w:t xml:space="preserve">External validation against ten published datasets indicates that a standard model with a</w:t>
      </w:r>
      <w:r>
        <w:rPr>
          <w:highlight w:val="yellow"/>
        </w:rPr>
        <w:t xml:space="preserve"> </w:t>
      </w:r>
      <w:r>
        <w:rPr>
          <w:highlight w:val="yellow"/>
        </w:rPr>
        <w:t xml:space="preserve">single route-specific absorption parameter reproduces observed peak concentrations within</w:t>
      </w:r>
      <w:r>
        <w:rPr>
          <w:highlight w:val="yellow"/>
        </w:rPr>
        <w:t xml:space="preserve"> </w:t>
      </w:r>
      <w:r>
        <w:rPr>
          <w:highlight w:val="yellow"/>
        </w:rPr>
        <w:t xml:space="preserve">two-fold in 90% of cases, whereas the intravenous-input assumption overstates peak</w:t>
      </w:r>
      <w:r>
        <w:rPr>
          <w:highlight w:val="yellow"/>
        </w:rPr>
        <w:t xml:space="preserve"> </w:t>
      </w:r>
      <w:r>
        <w:rPr>
          <w:highlight w:val="yellow"/>
        </w:rPr>
        <w:t xml:space="preserve">concentration roughly tenfold and mis-times the peak. These findings support using</w:t>
      </w:r>
      <w:r>
        <w:rPr>
          <w:highlight w:val="yellow"/>
        </w:rPr>
        <w:t xml:space="preserve"> </w:t>
      </w:r>
      <w:r>
        <w:rPr>
          <w:highlight w:val="yellow"/>
        </w:rPr>
        <w:t xml:space="preserve">route-aware simulation to generate hypotheses about regional anesthesia systemic exposure</w:t>
      </w:r>
      <w:r>
        <w:rPr>
          <w:highlight w:val="yellow"/>
        </w:rPr>
        <w:t xml:space="preserve"> </w:t>
      </w:r>
      <w:r>
        <w:rPr>
          <w:highlight w:val="yellow"/>
        </w:rPr>
        <w:t xml:space="preserve">and monitoring, while further prospective validation is required before any clinical dosing</w:t>
      </w:r>
      <w:r>
        <w:rPr>
          <w:highlight w:val="yellow"/>
        </w:rPr>
        <w:t xml:space="preserve"> </w:t>
      </w:r>
      <w:r>
        <w:rPr>
          <w:highlight w:val="yellow"/>
        </w:rPr>
        <w:t xml:space="preserve">application. The software is freely available under the MIT license and can be installed via</w:t>
      </w:r>
      <w:r>
        <w:rPr>
          <w:highlight w:val="yellow"/>
        </w:rPr>
        <w:t xml:space="preserve"> </w:t>
      </w:r>
      <w:r>
        <w:rPr>
          <w:highlight w:val="yellow"/>
        </w:rPr>
        <w:t xml:space="preserve">pip.</w:t>
      </w:r>
    </w:p>
    <w:p>
      <w:pPr>
        <w:pStyle w:val="Heading1"/>
      </w:pPr>
      <w:bookmarkStart w:id="59" w:name="declaration-of-competing-interest"/>
      <w:r>
        <w:t xml:space="preserve">Declaration of competing interest</w:t>
      </w:r>
      <w:bookmarkEnd w:id="59"/>
    </w:p>
    <w:p>
      <w:pPr>
        <w:pStyle w:val="FirstParagraph"/>
      </w:pPr>
      <w:r>
        <w:t xml:space="preserve">The authors declare that they have no known competing financial interests or personal</w:t>
      </w:r>
      <w:r>
        <w:t xml:space="preserve"> </w:t>
      </w:r>
      <w:r>
        <w:t xml:space="preserve">relationships that could have appeared to influence the work reported in this paper.</w:t>
      </w:r>
    </w:p>
    <w:p>
      <w:pPr>
        <w:pStyle w:val="Heading1"/>
      </w:pPr>
      <w:bookmarkStart w:id="60" w:name="credit-authorship-contribution-statement"/>
      <w:r>
        <w:t xml:space="preserve">CRediT authorship contribution statement</w:t>
      </w:r>
      <w:bookmarkEnd w:id="60"/>
    </w:p>
    <w:p>
      <w:pPr>
        <w:pStyle w:val="FirstParagraph"/>
      </w:pPr>
      <w:r>
        <w:rPr>
          <w:b/>
        </w:rPr>
        <w:t xml:space="preserve">Tatsuki Onishi:</w:t>
      </w:r>
      <w:r>
        <w:t xml:space="preserve"> </w:t>
      </w:r>
      <w:r>
        <w:t xml:space="preserve">Conceptualization, Methodology, Software, Validation, Writing – Original Draft, Writing – Review &amp; Editing.</w:t>
      </w:r>
    </w:p>
    <w:p>
      <w:pPr>
        <w:pStyle w:val="Heading1"/>
      </w:pPr>
      <w:bookmarkStart w:id="61" w:name="data-availability"/>
      <w:r>
        <w:rPr>
          <w:highlight w:val="yellow"/>
        </w:rPr>
        <w:t xml:space="preserve">Data availability</w:t>
      </w:r>
      <w:bookmarkEnd w:id="61"/>
    </w:p>
    <w:p>
      <w:pPr>
        <w:pStyle w:val="FirstParagraph"/>
      </w:pPr>
      <w:r>
        <w:rPr>
          <w:highlight w:val="yellow"/>
        </w:rPr>
        <w:t xml:space="preserve">yoshika is openly available under the MIT license from its public source repository and from</w:t>
      </w:r>
      <w:r>
        <w:rPr>
          <w:highlight w:val="yellow"/>
        </w:rPr>
        <w:t xml:space="preserve"> </w:t>
      </w:r>
      <w:r>
        <w:rPr>
          <w:highlight w:val="yellow"/>
        </w:rPr>
        <w:t xml:space="preserve">the Python Package Index (</w:t>
      </w:r>
      <w:r>
        <w:rPr>
          <w:rStyle w:val="VerbatimChar"/>
          <w:highlight w:val="yellow"/>
        </w:rPr>
        <w:t xml:space="preserve">pip install yoshika</w:t>
      </w:r>
      <w:r>
        <w:rPr>
          <w:highlight w:val="yellow"/>
        </w:rPr>
        <w:t xml:space="preserve">; version 0.1.0). All code, the built-in drug</w:t>
      </w:r>
      <w:r>
        <w:rPr>
          <w:highlight w:val="yellow"/>
        </w:rPr>
        <w:t xml:space="preserve"> </w:t>
      </w:r>
      <w:r>
        <w:rPr>
          <w:highlight w:val="yellow"/>
        </w:rPr>
        <w:t xml:space="preserve">parameters, the digitized validation dataset, and the scripts used to produce every figure</w:t>
      </w:r>
      <w:r>
        <w:rPr>
          <w:highlight w:val="yellow"/>
        </w:rPr>
        <w:t xml:space="preserve"> </w:t>
      </w:r>
      <w:r>
        <w:rPr>
          <w:highlight w:val="yellow"/>
        </w:rPr>
        <w:t xml:space="preserve">and table in this article are included in the repository. The validation data were digitized</w:t>
      </w:r>
      <w:r>
        <w:rPr>
          <w:highlight w:val="yellow"/>
        </w:rPr>
        <w:t xml:space="preserve"> </w:t>
      </w:r>
      <w:r>
        <w:rPr>
          <w:highlight w:val="yellow"/>
        </w:rPr>
        <w:t xml:space="preserve">from the cited published studies; no new patient data were generated.</w:t>
      </w:r>
    </w:p>
    <w:p>
      <w:pPr>
        <w:pStyle w:val="Heading1"/>
      </w:pPr>
      <w:bookmarkStart w:id="62" w:name="funding"/>
      <w:r>
        <w:t xml:space="preserve">Funding</w:t>
      </w:r>
      <w:bookmarkEnd w:id="62"/>
    </w:p>
    <w:p>
      <w:pPr>
        <w:pStyle w:val="FirstParagraph"/>
      </w:pPr>
      <w:r>
        <w:rPr>
          <w:highlight w:val="yellow"/>
        </w:rPr>
        <w:t xml:space="preserve">This research did not receive any specific grant from funding agencies in the public,</w:t>
      </w:r>
      <w:r>
        <w:rPr>
          <w:highlight w:val="yellow"/>
        </w:rPr>
        <w:t xml:space="preserve"> </w:t>
      </w:r>
      <w:r>
        <w:rPr>
          <w:highlight w:val="yellow"/>
        </w:rPr>
        <w:t xml:space="preserve">commercial, or not-for-profit sectors.</w:t>
      </w:r>
    </w:p>
    <w:p>
      <w:pPr>
        <w:pStyle w:val="Heading1"/>
      </w:pPr>
      <w:bookmarkStart w:id="63" w:name="ethics-approval"/>
      <w:r>
        <w:rPr>
          <w:highlight w:val="yellow"/>
        </w:rPr>
        <w:t xml:space="preserve">Ethics approval</w:t>
      </w:r>
      <w:bookmarkEnd w:id="63"/>
    </w:p>
    <w:p>
      <w:pPr>
        <w:pStyle w:val="FirstParagraph"/>
      </w:pPr>
      <w:r>
        <w:rPr>
          <w:highlight w:val="yellow"/>
        </w:rPr>
        <w:t xml:space="preserve">Not applicable. This study did not involve human participants, human data, or animals; it</w:t>
      </w:r>
      <w:r>
        <w:rPr>
          <w:highlight w:val="yellow"/>
        </w:rPr>
        <w:t xml:space="preserve"> </w:t>
      </w:r>
      <w:r>
        <w:rPr>
          <w:highlight w:val="yellow"/>
        </w:rPr>
        <w:t xml:space="preserve">uses only computational simulation and pharmacokinetic parameters and summary values already</w:t>
      </w:r>
      <w:r>
        <w:rPr>
          <w:highlight w:val="yellow"/>
        </w:rPr>
        <w:t xml:space="preserve"> </w:t>
      </w:r>
      <w:r>
        <w:rPr>
          <w:highlight w:val="yellow"/>
        </w:rPr>
        <w:t xml:space="preserve">published in the cited literature.</w:t>
      </w:r>
    </w:p>
    <w:p>
      <w:pPr>
        <w:pStyle w:val="Heading1"/>
      </w:pPr>
      <w:bookmarkStart w:id="64" w:name="X071796dd6bc546c91e96cca1cf5ff96599de61f"/>
      <w:r>
        <w:rPr>
          <w:highlight w:val="yellow"/>
        </w:rPr>
        <w:t xml:space="preserve">Declaration of generative AI and AI-assisted technologies in the writing process</w:t>
      </w:r>
      <w:bookmarkEnd w:id="64"/>
    </w:p>
    <w:p>
      <w:pPr>
        <w:pStyle w:val="FirstParagraph"/>
      </w:pPr>
      <w:r>
        <w:rPr>
          <w:highlight w:val="yellow"/>
        </w:rPr>
        <w:t xml:space="preserve">During the preparation of this work the author used generative AI and AI-assisted tools to</w:t>
      </w:r>
      <w:r>
        <w:rPr>
          <w:highlight w:val="yellow"/>
        </w:rPr>
        <w:t xml:space="preserve"> </w:t>
      </w:r>
      <w:r>
        <w:rPr>
          <w:highlight w:val="yellow"/>
        </w:rPr>
        <w:t xml:space="preserve">support software development and to improve the language and readability of the manuscript.</w:t>
      </w:r>
      <w:r>
        <w:rPr>
          <w:highlight w:val="yellow"/>
        </w:rPr>
        <w:t xml:space="preserve"> </w:t>
      </w:r>
      <w:r>
        <w:rPr>
          <w:highlight w:val="yellow"/>
        </w:rPr>
        <w:t xml:space="preserve">After using these tools, the author reviewed and edited the content as needed and takes full</w:t>
      </w:r>
      <w:r>
        <w:rPr>
          <w:highlight w:val="yellow"/>
        </w:rPr>
        <w:t xml:space="preserve"> </w:t>
      </w:r>
      <w:r>
        <w:rPr>
          <w:highlight w:val="yellow"/>
        </w:rPr>
        <w:t xml:space="preserve">responsibility for the content of the publication.</w:t>
      </w:r>
    </w:p>
    <w:p>
      <w:pPr>
        <w:pStyle w:val="Heading1"/>
      </w:pPr>
      <w:bookmarkStart w:id="65" w:name="acknowledgements"/>
      <w:r>
        <w:t xml:space="preserve">Acknowledgements</w:t>
      </w:r>
      <w:bookmarkEnd w:id="65"/>
    </w:p>
    <w:p>
      <w:pPr>
        <w:pStyle w:val="FirstParagraph"/>
      </w:pPr>
      <w:r>
        <w:rPr>
          <w:highlight w:val="yellow"/>
        </w:rPr>
        <w:t xml:space="preserve">The author thanks the reviewers for their constructive comments, which prompted the external</w:t>
      </w:r>
      <w:r>
        <w:rPr>
          <w:highlight w:val="yellow"/>
        </w:rPr>
        <w:t xml:space="preserve"> </w:t>
      </w:r>
      <w:r>
        <w:rPr>
          <w:highlight w:val="yellow"/>
        </w:rPr>
        <w:t xml:space="preserve">validation and the expanded discussion of diffusion-based and perfusion-dependent mechanisms.</w:t>
      </w:r>
    </w:p>
    <w:p>
      <w:pPr>
        <w:pStyle w:val="Heading1"/>
      </w:pPr>
      <w:bookmarkStart w:id="66" w:name="references"/>
      <w:r>
        <w:t xml:space="preserve">References</w:t>
      </w:r>
      <w:bookmarkEnd w:id="66"/>
    </w:p>
    <w:bookmarkStart w:id="113" w:name="refs"/>
    <w:bookmarkStart w:id="68" w:name="ref-eleveld2018"/>
    <w:p>
      <w:pPr>
        <w:pStyle w:val="Bibliography"/>
      </w:pPr>
      <w:r>
        <w:t xml:space="preserve">[1] Eleveld DJ, Colin P, Absalom AR, Struys MMRF. Pharmacokinetic-pharmacodynamic model for propofol for broad application in anaesthesia and sedation. British Journal of Anaesthesia 2018;120:942–59.</w:t>
      </w:r>
      <w:r>
        <w:t xml:space="preserve"> </w:t>
      </w:r>
      <w:hyperlink r:id="rId67">
        <w:r>
          <w:rPr>
            <w:rStyle w:val="Hyperlink"/>
          </w:rPr>
          <w:t xml:space="preserve">https://doi.org/10.1016/j.bja.2018.01.018</w:t>
        </w:r>
      </w:hyperlink>
      <w:r>
        <w:t xml:space="preserve">.</w:t>
      </w:r>
    </w:p>
    <w:bookmarkEnd w:id="68"/>
    <w:bookmarkStart w:id="70" w:name="ref-aubouinpairault2023"/>
    <w:p>
      <w:pPr>
        <w:pStyle w:val="Bibliography"/>
      </w:pPr>
      <w:r>
        <w:rPr>
          <w:highlight w:val="yellow"/>
        </w:rPr>
        <w:t xml:space="preserve">[2] Aubouin-Pairault B, Fiacchini M, Dang T. PAS: A Python anesthesia simulator for drug control. Journal of Open Source Software 2023;8:5480.</w:t>
      </w:r>
      <w:r>
        <w:rPr>
          <w:highlight w:val="yellow"/>
        </w:rPr>
        <w:t xml:space="preserve"> </w:t>
      </w:r>
      <w:hyperlink r:id="rId69">
        <w:r>
          <w:rPr>
            <w:rStyle w:val="Hyperlink"/>
          </w:rPr>
          <w:t xml:space="preserve">https://doi.org/10.21105/joss.05480</w:t>
        </w:r>
      </w:hyperlink>
      <w:r>
        <w:rPr>
          <w:highlight w:val="yellow"/>
        </w:rPr>
        <w:t xml:space="preserve">.</w:t>
      </w:r>
    </w:p>
    <w:bookmarkEnd w:id="70"/>
    <w:bookmarkStart w:id="72" w:name="ref-rosenberg2004"/>
    <w:p>
      <w:pPr>
        <w:pStyle w:val="Bibliography"/>
      </w:pPr>
      <w:r>
        <w:t xml:space="preserve">[3] Rosenberg PH, Veering BT, Urmey WF. Maximum recommended doses of local anesthetics: A multifactorial concept. Regional Anesthesia and Pain Medicine 2004;29:564–75.</w:t>
      </w:r>
      <w:r>
        <w:t xml:space="preserve"> </w:t>
      </w:r>
      <w:hyperlink r:id="rId71">
        <w:r>
          <w:rPr>
            <w:rStyle w:val="Hyperlink"/>
          </w:rPr>
          <w:t xml:space="preserve">https://doi.org/10.1016/j.rapm.2004.08.003</w:t>
        </w:r>
      </w:hyperlink>
      <w:r>
        <w:t xml:space="preserve">.</w:t>
      </w:r>
    </w:p>
    <w:bookmarkEnd w:id="72"/>
    <w:bookmarkStart w:id="74" w:name="ref-decassai2022"/>
    <w:p>
      <w:pPr>
        <w:pStyle w:val="Bibliography"/>
      </w:pPr>
      <w:r>
        <w:rPr>
          <w:highlight w:val="yellow"/>
        </w:rPr>
        <w:t xml:space="preserve">[4] De Cassai A, Geraldini F, Costa F, Tulgar S. Local anesthetics and erector spinae plane blocks: A spotlight on pharmacokinetic considerations and toxicity risks. Expert Opinion on Drug Metabolism &amp; Toxicology 2022;18:537–9.</w:t>
      </w:r>
      <w:r>
        <w:rPr>
          <w:highlight w:val="yellow"/>
        </w:rPr>
        <w:t xml:space="preserve"> </w:t>
      </w:r>
      <w:hyperlink r:id="rId73">
        <w:r>
          <w:rPr>
            <w:rStyle w:val="Hyperlink"/>
          </w:rPr>
          <w:t xml:space="preserve">https://doi.org/10.1080/17425255.2022.2122811</w:t>
        </w:r>
      </w:hyperlink>
      <w:r>
        <w:rPr>
          <w:highlight w:val="yellow"/>
        </w:rPr>
        <w:t xml:space="preserve">.</w:t>
      </w:r>
    </w:p>
    <w:bookmarkEnd w:id="74"/>
    <w:bookmarkStart w:id="76" w:name="ref-hughes1992"/>
    <w:p>
      <w:pPr>
        <w:pStyle w:val="Bibliography"/>
      </w:pPr>
      <w:r>
        <w:t xml:space="preserve">[5] Hughes MA, Glass PSA, Jacobs JR. Context-sensitive half-time in multicompartment pharmacokinetic models for intravenous anesthetic drugs. Anesthesiology 1992;76:334–41.</w:t>
      </w:r>
      <w:r>
        <w:t xml:space="preserve"> </w:t>
      </w:r>
      <w:hyperlink r:id="rId75">
        <w:r>
          <w:rPr>
            <w:rStyle w:val="Hyperlink"/>
          </w:rPr>
          <w:t xml:space="preserve">https://doi.org/10.1097/00000542-199203000-00003</w:t>
        </w:r>
      </w:hyperlink>
      <w:r>
        <w:t xml:space="preserve">.</w:t>
      </w:r>
    </w:p>
    <w:bookmarkEnd w:id="76"/>
    <w:bookmarkStart w:id="78" w:name="ref-neal2018"/>
    <w:p>
      <w:pPr>
        <w:pStyle w:val="Bibliography"/>
      </w:pPr>
      <w:r>
        <w:t xml:space="preserve">[6] Neal JM, Barrington MJ, Fettiplace MR, Gitman M, Memtsoudis SG, Mörwald EE, et al. The Third American Society of Regional Anesthesia and Pain Medicine practice advisory on local anesthetic systemic toxicity. Regional Anesthesia and Pain Medicine 2018;43:113–23.</w:t>
      </w:r>
      <w:r>
        <w:t xml:space="preserve"> </w:t>
      </w:r>
      <w:hyperlink r:id="rId77">
        <w:r>
          <w:rPr>
            <w:rStyle w:val="Hyperlink"/>
          </w:rPr>
          <w:t xml:space="preserve">https://doi.org/10.1097/AAP.0000000000000720</w:t>
        </w:r>
      </w:hyperlink>
      <w:r>
        <w:t xml:space="preserve">.</w:t>
      </w:r>
    </w:p>
    <w:bookmarkEnd w:id="78"/>
    <w:bookmarkStart w:id="80" w:name="ref-macfarlane2021"/>
    <w:p>
      <w:pPr>
        <w:pStyle w:val="Bibliography"/>
      </w:pPr>
      <w:r>
        <w:rPr>
          <w:highlight w:val="yellow"/>
        </w:rPr>
        <w:t xml:space="preserve">[7] Macfarlane AJR, Gitman M, Bornstein KJ, El-Boghdadly K, Weinberg G. Updates in our understanding of local anaesthetic systemic toxicity: A narrative review. Anaesthesia 2021;76 Suppl 1:27–39.</w:t>
      </w:r>
      <w:r>
        <w:rPr>
          <w:highlight w:val="yellow"/>
        </w:rPr>
        <w:t xml:space="preserve"> </w:t>
      </w:r>
      <w:hyperlink r:id="rId79">
        <w:r>
          <w:rPr>
            <w:rStyle w:val="Hyperlink"/>
          </w:rPr>
          <w:t xml:space="preserve">https://doi.org/10.1111/anae.15282</w:t>
        </w:r>
      </w:hyperlink>
      <w:r>
        <w:rPr>
          <w:highlight w:val="yellow"/>
        </w:rPr>
        <w:t xml:space="preserve">.</w:t>
      </w:r>
    </w:p>
    <w:bookmarkEnd w:id="80"/>
    <w:bookmarkStart w:id="82" w:name="ref-digregorio2010"/>
    <w:p>
      <w:pPr>
        <w:pStyle w:val="Bibliography"/>
      </w:pPr>
      <w:r>
        <w:rPr>
          <w:highlight w:val="yellow"/>
        </w:rPr>
        <w:t xml:space="preserve">[8] Di Gregorio G, Neal JM, Rosenquist RW, Weinberg GL. Clinical presentation of local anesthetic systemic toxicity: A review of published cases, 1979 to 2009. Regional Anesthesia and Pain Medicine 2010;35:181–7.</w:t>
      </w:r>
      <w:r>
        <w:rPr>
          <w:highlight w:val="yellow"/>
        </w:rPr>
        <w:t xml:space="preserve"> </w:t>
      </w:r>
      <w:hyperlink r:id="rId81">
        <w:r>
          <w:rPr>
            <w:rStyle w:val="Hyperlink"/>
          </w:rPr>
          <w:t xml:space="preserve">https://doi.org/10.1097/AAP.0b013e3181d2310b</w:t>
        </w:r>
      </w:hyperlink>
      <w:r>
        <w:rPr>
          <w:highlight w:val="yellow"/>
        </w:rPr>
        <w:t xml:space="preserve">.</w:t>
      </w:r>
    </w:p>
    <w:bookmarkEnd w:id="82"/>
    <w:bookmarkStart w:id="84" w:name="ref-virtanen2020"/>
    <w:p>
      <w:pPr>
        <w:pStyle w:val="Bibliography"/>
      </w:pPr>
      <w:r>
        <w:t xml:space="preserve">[9] Virtanen P, Gommers R, Oliphant TE, others. SciPy 1.0: Fundamental algorithms for scientific computing in Python. Nature Methods 2020;17:261–72.</w:t>
      </w:r>
      <w:r>
        <w:t xml:space="preserve"> </w:t>
      </w:r>
      <w:hyperlink r:id="rId83">
        <w:r>
          <w:rPr>
            <w:rStyle w:val="Hyperlink"/>
          </w:rPr>
          <w:t xml:space="preserve">https://doi.org/10.1038/s41592-019-0686-2</w:t>
        </w:r>
      </w:hyperlink>
      <w:r>
        <w:t xml:space="preserve">.</w:t>
      </w:r>
    </w:p>
    <w:bookmarkEnd w:id="84"/>
    <w:bookmarkStart w:id="86" w:name="ref-tucker1979"/>
    <w:p>
      <w:pPr>
        <w:pStyle w:val="Bibliography"/>
      </w:pPr>
      <w:r>
        <w:t xml:space="preserve">[10] Tucker GT, Mather LE. Clinical pharmacokinetics of local anaesthetics. Clinical Pharmacokinetics 1979;4:241–78.</w:t>
      </w:r>
      <w:r>
        <w:t xml:space="preserve"> </w:t>
      </w:r>
      <w:hyperlink r:id="rId85">
        <w:r>
          <w:rPr>
            <w:rStyle w:val="Hyperlink"/>
          </w:rPr>
          <w:t xml:space="preserve">https://doi.org/10.2165/00003088-197904040-00001</w:t>
        </w:r>
      </w:hyperlink>
      <w:r>
        <w:t xml:space="preserve">.</w:t>
      </w:r>
    </w:p>
    <w:bookmarkEnd w:id="86"/>
    <w:bookmarkStart w:id="88" w:name="ref-burm1989"/>
    <w:p>
      <w:pPr>
        <w:pStyle w:val="Bibliography"/>
      </w:pPr>
      <w:r>
        <w:t xml:space="preserve">[11] Burm AGL. Clinical pharmacokinetics of epidural and spinal anaesthesia. Clinical Pharmacokinetics 1989;16:283–311.</w:t>
      </w:r>
      <w:r>
        <w:t xml:space="preserve"> </w:t>
      </w:r>
      <w:hyperlink r:id="rId87">
        <w:r>
          <w:rPr>
            <w:rStyle w:val="Hyperlink"/>
          </w:rPr>
          <w:t xml:space="preserve">https://doi.org/10.2165/00003088-198916050-00002</w:t>
        </w:r>
      </w:hyperlink>
      <w:r>
        <w:t xml:space="preserve">.</w:t>
      </w:r>
    </w:p>
    <w:bookmarkEnd w:id="88"/>
    <w:bookmarkStart w:id="90" w:name="ref-behnke2002"/>
    <w:p>
      <w:pPr>
        <w:pStyle w:val="Bibliography"/>
      </w:pPr>
      <w:r>
        <w:rPr>
          <w:highlight w:val="yellow"/>
        </w:rPr>
        <w:t xml:space="preserve">[12] Behnke H, Worthmann F, Cornelissen J, Kahl M, Wulf H. Plasma concentration of ropivacaine after intercostal blocks for video-assisted thoracic surgery. British Journal of Anaesthesia 2002;89:251–3.</w:t>
      </w:r>
      <w:r>
        <w:rPr>
          <w:highlight w:val="yellow"/>
        </w:rPr>
        <w:t xml:space="preserve"> </w:t>
      </w:r>
      <w:hyperlink r:id="rId89">
        <w:r>
          <w:rPr>
            <w:rStyle w:val="Hyperlink"/>
          </w:rPr>
          <w:t xml:space="preserve">https://doi.org/10.1093/bja/aef185</w:t>
        </w:r>
      </w:hyperlink>
      <w:r>
        <w:rPr>
          <w:highlight w:val="yellow"/>
        </w:rPr>
        <w:t xml:space="preserve">.</w:t>
      </w:r>
    </w:p>
    <w:bookmarkEnd w:id="90"/>
    <w:bookmarkStart w:id="92" w:name="ref-kopacz1994"/>
    <w:p>
      <w:pPr>
        <w:pStyle w:val="Bibliography"/>
      </w:pPr>
      <w:r>
        <w:rPr>
          <w:highlight w:val="yellow"/>
        </w:rPr>
        <w:t xml:space="preserve">[13] Kopacz DJ, Emanuelsson B-M, Thompson GE, Carpenter RL, Stephenson CA. Pharmacokinetics of ropivacaine and bupivacaine for bilateral intercostal blockade in healthy male volunteers. Anesthesiology 1994;81:1139–48.</w:t>
      </w:r>
      <w:r>
        <w:rPr>
          <w:highlight w:val="yellow"/>
        </w:rPr>
        <w:t xml:space="preserve"> </w:t>
      </w:r>
      <w:hyperlink r:id="rId91">
        <w:r>
          <w:rPr>
            <w:rStyle w:val="Hyperlink"/>
          </w:rPr>
          <w:t xml:space="preserve">https://doi.org/10.1097/00000542-199411000-00008</w:t>
        </w:r>
      </w:hyperlink>
      <w:r>
        <w:rPr>
          <w:highlight w:val="yellow"/>
        </w:rPr>
        <w:t xml:space="preserve">.</w:t>
      </w:r>
    </w:p>
    <w:bookmarkEnd w:id="92"/>
    <w:bookmarkStart w:id="94" w:name="ref-murouchi2015"/>
    <w:p>
      <w:pPr>
        <w:pStyle w:val="Bibliography"/>
      </w:pPr>
      <w:r>
        <w:rPr>
          <w:highlight w:val="yellow"/>
        </w:rPr>
        <w:t xml:space="preserve">[14] Murouchi T, Iwasaki S, Yamakage M. Chronological changes in ropivacaine concentration and analgesic effects between transversus abdominis plane block and rectus sheath block. Regional Anesthesia and Pain Medicine 2015;40:568–71.</w:t>
      </w:r>
      <w:r>
        <w:rPr>
          <w:highlight w:val="yellow"/>
        </w:rPr>
        <w:t xml:space="preserve"> </w:t>
      </w:r>
      <w:hyperlink r:id="rId93">
        <w:r>
          <w:rPr>
            <w:rStyle w:val="Hyperlink"/>
          </w:rPr>
          <w:t xml:space="preserve">https://doi.org/10.1097/AAP.0000000000000288</w:t>
        </w:r>
      </w:hyperlink>
      <w:r>
        <w:rPr>
          <w:highlight w:val="yellow"/>
        </w:rPr>
        <w:t xml:space="preserve">.</w:t>
      </w:r>
    </w:p>
    <w:bookmarkEnd w:id="94"/>
    <w:bookmarkStart w:id="96" w:name="ref-hickey1990"/>
    <w:p>
      <w:pPr>
        <w:pStyle w:val="Bibliography"/>
      </w:pPr>
      <w:r>
        <w:rPr>
          <w:highlight w:val="yellow"/>
        </w:rPr>
        <w:t xml:space="preserve">[15] Hickey R, Blanchard J, Hoffman J, Sjövall J, Ramamurthy S. Plasma concentrations of ropivacaine given with or without epinephrine for brachial plexus block. Canadian Journal of Anaesthesia 1990;37:878–82.</w:t>
      </w:r>
      <w:r>
        <w:rPr>
          <w:highlight w:val="yellow"/>
        </w:rPr>
        <w:t xml:space="preserve"> </w:t>
      </w:r>
      <w:hyperlink r:id="rId95">
        <w:r>
          <w:rPr>
            <w:rStyle w:val="Hyperlink"/>
          </w:rPr>
          <w:t xml:space="preserve">https://doi.org/10.1007/BF03006624</w:t>
        </w:r>
      </w:hyperlink>
      <w:r>
        <w:rPr>
          <w:highlight w:val="yellow"/>
        </w:rPr>
        <w:t xml:space="preserve">.</w:t>
      </w:r>
    </w:p>
    <w:bookmarkEnd w:id="96"/>
    <w:bookmarkStart w:id="98" w:name="ref-vainionpaa1995"/>
    <w:p>
      <w:pPr>
        <w:pStyle w:val="Bibliography"/>
      </w:pPr>
      <w:r>
        <w:rPr>
          <w:highlight w:val="yellow"/>
        </w:rPr>
        <w:t xml:space="preserve">[16] Vainionpää VA, Haavisto ET, Huha TM, Korpi K, Nuutinen LS, Hollmén AI. A clinical and pharmacokinetic comparison of ropivacaine and bupivacaine in axillary plexus block. Anesthesia &amp; Analgesia 1995;81:534–8.</w:t>
      </w:r>
      <w:r>
        <w:rPr>
          <w:highlight w:val="yellow"/>
        </w:rPr>
        <w:t xml:space="preserve"> </w:t>
      </w:r>
      <w:hyperlink r:id="rId97">
        <w:r>
          <w:rPr>
            <w:rStyle w:val="Hyperlink"/>
          </w:rPr>
          <w:t xml:space="preserve">https://doi.org/10.1097/00000539-199509000-00019</w:t>
        </w:r>
      </w:hyperlink>
      <w:r>
        <w:rPr>
          <w:highlight w:val="yellow"/>
        </w:rPr>
        <w:t xml:space="preserve">.</w:t>
      </w:r>
    </w:p>
    <w:bookmarkEnd w:id="98"/>
    <w:bookmarkStart w:id="100" w:name="ref-inoue1985"/>
    <w:p>
      <w:pPr>
        <w:pStyle w:val="Bibliography"/>
      </w:pPr>
      <w:r>
        <w:rPr>
          <w:highlight w:val="yellow"/>
        </w:rPr>
        <w:t xml:space="preserve">[17] Inoue R, Suganuma T, Echizen H, Ishizaki T, Kushida K, Tomono Y. Plasma concentrations of lidocaine and its principal metabolites during intermittent epidural anesthesia. Anesthesiology 1985;63:304–10.</w:t>
      </w:r>
      <w:r>
        <w:rPr>
          <w:highlight w:val="yellow"/>
        </w:rPr>
        <w:t xml:space="preserve"> </w:t>
      </w:r>
      <w:hyperlink r:id="rId99">
        <w:r>
          <w:rPr>
            <w:rStyle w:val="Hyperlink"/>
          </w:rPr>
          <w:t xml:space="preserve">https://doi.org/10.1097/00000542-198509000-00011</w:t>
        </w:r>
      </w:hyperlink>
      <w:r>
        <w:rPr>
          <w:highlight w:val="yellow"/>
        </w:rPr>
        <w:t xml:space="preserve">.</w:t>
      </w:r>
    </w:p>
    <w:bookmarkEnd w:id="100"/>
    <w:bookmarkStart w:id="102" w:name="ref-kus2013"/>
    <w:p>
      <w:pPr>
        <w:pStyle w:val="Bibliography"/>
      </w:pPr>
      <w:r>
        <w:rPr>
          <w:highlight w:val="yellow"/>
        </w:rPr>
        <w:t xml:space="preserve">[18] Kus A, Gurkan Y, Gormus SK, Solak M, Toker K. Usefulness of perfusion index to detect the effect of brachial plexus block. Journal of Clinical Monitoring and Computing 2013;27:325–8.</w:t>
      </w:r>
      <w:r>
        <w:rPr>
          <w:highlight w:val="yellow"/>
        </w:rPr>
        <w:t xml:space="preserve"> </w:t>
      </w:r>
      <w:hyperlink r:id="rId101">
        <w:r>
          <w:rPr>
            <w:rStyle w:val="Hyperlink"/>
          </w:rPr>
          <w:t xml:space="preserve">https://doi.org/10.1007/s10877-013-9439-4</w:t>
        </w:r>
      </w:hyperlink>
      <w:r>
        <w:rPr>
          <w:highlight w:val="yellow"/>
        </w:rPr>
        <w:t xml:space="preserve">.</w:t>
      </w:r>
    </w:p>
    <w:bookmarkEnd w:id="102"/>
    <w:bookmarkStart w:id="104" w:name="ref-ginosar2009"/>
    <w:p>
      <w:pPr>
        <w:pStyle w:val="Bibliography"/>
      </w:pPr>
      <w:r>
        <w:rPr>
          <w:highlight w:val="yellow"/>
        </w:rPr>
        <w:t xml:space="preserve">[19] Ginosar Y, Weiniger CF, Meroz Y, Kurz V, Bdolah-Abram T, Babchenko A, et al. Pulse oximeter perfusion index as an early indicator of sympathectomy after epidural anesthesia. Acta Anaesthesiologica Scandinavica 2009;53:1018–26.</w:t>
      </w:r>
      <w:r>
        <w:rPr>
          <w:highlight w:val="yellow"/>
        </w:rPr>
        <w:t xml:space="preserve"> </w:t>
      </w:r>
      <w:hyperlink r:id="rId103">
        <w:r>
          <w:rPr>
            <w:rStyle w:val="Hyperlink"/>
          </w:rPr>
          <w:t xml:space="preserve">https://doi.org/10.1111/j.1399-6576.2009.01968.x</w:t>
        </w:r>
      </w:hyperlink>
      <w:r>
        <w:rPr>
          <w:highlight w:val="yellow"/>
        </w:rPr>
        <w:t xml:space="preserve">.</w:t>
      </w:r>
    </w:p>
    <w:bookmarkEnd w:id="104"/>
    <w:bookmarkStart w:id="106" w:name="ref-smrkolj2023"/>
    <w:p>
      <w:pPr>
        <w:pStyle w:val="Bibliography"/>
      </w:pPr>
      <w:r>
        <w:rPr>
          <w:highlight w:val="yellow"/>
        </w:rPr>
        <w:t xml:space="preserve">[20] Smrkolj V, Pregeljc D, Kavčič H, Umek N, Mavri J. Micro-pharmacokinetics of lidocaine and bupivacaine transfer across a myelinated nerve fiber. Computers in Biology and Medicine 2023;165:107375.</w:t>
      </w:r>
      <w:r>
        <w:rPr>
          <w:highlight w:val="yellow"/>
        </w:rPr>
        <w:t xml:space="preserve"> </w:t>
      </w:r>
      <w:hyperlink r:id="rId105">
        <w:r>
          <w:rPr>
            <w:rStyle w:val="Hyperlink"/>
          </w:rPr>
          <w:t xml:space="preserve">https://doi.org/10.1016/j.compbiomed.2023.107375</w:t>
        </w:r>
      </w:hyperlink>
      <w:r>
        <w:rPr>
          <w:highlight w:val="yellow"/>
        </w:rPr>
        <w:t xml:space="preserve">.</w:t>
      </w:r>
    </w:p>
    <w:bookmarkEnd w:id="106"/>
    <w:bookmarkStart w:id="108" w:name="ref-smrkolj2025"/>
    <w:p>
      <w:pPr>
        <w:pStyle w:val="Bibliography"/>
      </w:pPr>
      <w:r>
        <w:rPr>
          <w:highlight w:val="yellow"/>
        </w:rPr>
        <w:t xml:space="preserve">[21] Smrkolj V, Kralj J, Mavri J, Umek N. Spatiotemporal dynamics of local anesthetic diffusion in nerve revealed by a 2D computational model. Biophysical Journal 2025;124:3706–16.</w:t>
      </w:r>
      <w:r>
        <w:rPr>
          <w:highlight w:val="yellow"/>
        </w:rPr>
        <w:t xml:space="preserve"> </w:t>
      </w:r>
      <w:hyperlink r:id="rId107">
        <w:r>
          <w:rPr>
            <w:rStyle w:val="Hyperlink"/>
          </w:rPr>
          <w:t xml:space="preserve">https://doi.org/10.1016/j.bpj.2025.09.026</w:t>
        </w:r>
      </w:hyperlink>
      <w:r>
        <w:rPr>
          <w:highlight w:val="yellow"/>
        </w:rPr>
        <w:t xml:space="preserve">.</w:t>
      </w:r>
    </w:p>
    <w:bookmarkEnd w:id="108"/>
    <w:bookmarkStart w:id="110" w:name="ref-strichartz1990"/>
    <w:p>
      <w:pPr>
        <w:pStyle w:val="Bibliography"/>
      </w:pPr>
      <w:r>
        <w:rPr>
          <w:highlight w:val="yellow"/>
        </w:rPr>
        <w:t xml:space="preserve">[22] Strichartz GR, Sanchez V, Arthur GR, Chafetz R, Martiny D. Fundamental properties of local anesthetics. II. Measured octanol:Buffer partition coefficients and pKa values of clinically used drugs. Anesthesia &amp; Analgesia 1990;71:158–70.</w:t>
      </w:r>
      <w:r>
        <w:rPr>
          <w:highlight w:val="yellow"/>
        </w:rPr>
        <w:t xml:space="preserve"> </w:t>
      </w:r>
      <w:hyperlink r:id="rId109">
        <w:r>
          <w:rPr>
            <w:rStyle w:val="Hyperlink"/>
          </w:rPr>
          <w:t xml:space="preserve">https://doi.org/10.1213/00000539-199008000-00008</w:t>
        </w:r>
      </w:hyperlink>
      <w:r>
        <w:rPr>
          <w:highlight w:val="yellow"/>
        </w:rPr>
        <w:t xml:space="preserve">.</w:t>
      </w:r>
    </w:p>
    <w:bookmarkEnd w:id="110"/>
    <w:bookmarkStart w:id="112" w:name="ref-kavcic2021"/>
    <w:p>
      <w:pPr>
        <w:pStyle w:val="Bibliography"/>
      </w:pPr>
      <w:r>
        <w:rPr>
          <w:highlight w:val="yellow"/>
        </w:rPr>
        <w:t xml:space="preserve">[23] Kavčič H, Umek N, Vintar N, Mavri J. Local anesthetics transfer relies on pH differences and affinities toward lipophilic compartments. Journal of Physical Organic Chemistry 2021;34:e4275.</w:t>
      </w:r>
      <w:r>
        <w:rPr>
          <w:highlight w:val="yellow"/>
        </w:rPr>
        <w:t xml:space="preserve"> </w:t>
      </w:r>
      <w:hyperlink r:id="rId111">
        <w:r>
          <w:rPr>
            <w:rStyle w:val="Hyperlink"/>
          </w:rPr>
          <w:t xml:space="preserve">https://doi.org/10.1002/poc.4275</w:t>
        </w:r>
      </w:hyperlink>
      <w:r>
        <w:rPr>
          <w:highlight w:val="yellow"/>
        </w:rPr>
        <w:t xml:space="preserve">.</w:t>
      </w:r>
    </w:p>
    <w:bookmarkEnd w:id="112"/>
    <w:bookmarkEnd w:id="11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8" Type="http://schemas.openxmlformats.org/officeDocument/2006/relationships/image" Target="media/rId48.png"/><Relationship Id="rId49" Type="http://schemas.openxmlformats.org/officeDocument/2006/relationships/image" Target="media/rId49.png"/><Relationship Id="rId51" Type="http://schemas.openxmlformats.org/officeDocument/2006/relationships/image" Target="media/rId51.png"/><Relationship Id="rId52" Type="http://schemas.openxmlformats.org/officeDocument/2006/relationships/image" Target="media/rId52.png"/><Relationship Id="rId53" Type="http://schemas.openxmlformats.org/officeDocument/2006/relationships/image" Target="media/rId53.png"/><Relationship Id="rId38" Type="http://schemas.openxmlformats.org/officeDocument/2006/relationships/image" Target="media/rId38.png"/><Relationship Id="rId39" Type="http://schemas.openxmlformats.org/officeDocument/2006/relationships/image" Target="media/rId39.png"/><Relationship Id="rId40" Type="http://schemas.openxmlformats.org/officeDocument/2006/relationships/image" Target="media/rId40.png"/><Relationship Id="rId41" Type="http://schemas.openxmlformats.org/officeDocument/2006/relationships/image" Target="media/rId41.png"/><Relationship Id="rId42" Type="http://schemas.openxmlformats.org/officeDocument/2006/relationships/image" Target="media/rId42.png"/><Relationship Id="rId43" Type="http://schemas.openxmlformats.org/officeDocument/2006/relationships/image" Target="media/rId43.png"/><Relationship Id="rId45" Type="http://schemas.openxmlformats.org/officeDocument/2006/relationships/image" Target="media/rId45.png"/><Relationship Id="rId46" Type="http://schemas.openxmlformats.org/officeDocument/2006/relationships/image" Target="media/rId46.png"/><Relationship Id="rId47" Type="http://schemas.openxmlformats.org/officeDocument/2006/relationships/image" Target="media/rId47.png"/><Relationship Id="rId111" Type="http://schemas.openxmlformats.org/officeDocument/2006/relationships/hyperlink" Target="https://doi.org/10.1002/poc.4275" TargetMode="External"/><Relationship Id="rId95" Type="http://schemas.openxmlformats.org/officeDocument/2006/relationships/hyperlink" Target="https://doi.org/10.1007/BF03006624" TargetMode="External"/><Relationship Id="rId101" Type="http://schemas.openxmlformats.org/officeDocument/2006/relationships/hyperlink" Target="https://doi.org/10.1007/s10877-013-9439-4" TargetMode="External"/><Relationship Id="rId67" Type="http://schemas.openxmlformats.org/officeDocument/2006/relationships/hyperlink" Target="https://doi.org/10.1016/j.bja.2018.01.018" TargetMode="External"/><Relationship Id="rId107" Type="http://schemas.openxmlformats.org/officeDocument/2006/relationships/hyperlink" Target="https://doi.org/10.1016/j.bpj.2025.09.026" TargetMode="External"/><Relationship Id="rId105" Type="http://schemas.openxmlformats.org/officeDocument/2006/relationships/hyperlink" Target="https://doi.org/10.1016/j.compbiomed.2023.107375" TargetMode="External"/><Relationship Id="rId71" Type="http://schemas.openxmlformats.org/officeDocument/2006/relationships/hyperlink" Target="https://doi.org/10.1016/j.rapm.2004.08.003" TargetMode="External"/><Relationship Id="rId83" Type="http://schemas.openxmlformats.org/officeDocument/2006/relationships/hyperlink" Target="https://doi.org/10.1038/s41592-019-0686-2" TargetMode="External"/><Relationship Id="rId73" Type="http://schemas.openxmlformats.org/officeDocument/2006/relationships/hyperlink" Target="https://doi.org/10.1080/17425255.2022.2122811" TargetMode="External"/><Relationship Id="rId89" Type="http://schemas.openxmlformats.org/officeDocument/2006/relationships/hyperlink" Target="https://doi.org/10.1093/bja/aef185" TargetMode="External"/><Relationship Id="rId97" Type="http://schemas.openxmlformats.org/officeDocument/2006/relationships/hyperlink" Target="https://doi.org/10.1097/00000539-199509000-00019" TargetMode="External"/><Relationship Id="rId99" Type="http://schemas.openxmlformats.org/officeDocument/2006/relationships/hyperlink" Target="https://doi.org/10.1097/00000542-198509000-00011" TargetMode="External"/><Relationship Id="rId75" Type="http://schemas.openxmlformats.org/officeDocument/2006/relationships/hyperlink" Target="https://doi.org/10.1097/00000542-199203000-00003" TargetMode="External"/><Relationship Id="rId91" Type="http://schemas.openxmlformats.org/officeDocument/2006/relationships/hyperlink" Target="https://doi.org/10.1097/00000542-199411000-00008" TargetMode="External"/><Relationship Id="rId93" Type="http://schemas.openxmlformats.org/officeDocument/2006/relationships/hyperlink" Target="https://doi.org/10.1097/AAP.0000000000000288" TargetMode="External"/><Relationship Id="rId77" Type="http://schemas.openxmlformats.org/officeDocument/2006/relationships/hyperlink" Target="https://doi.org/10.1097/AAP.0000000000000720" TargetMode="External"/><Relationship Id="rId81" Type="http://schemas.openxmlformats.org/officeDocument/2006/relationships/hyperlink" Target="https://doi.org/10.1097/AAP.0b013e3181d2310b" TargetMode="External"/><Relationship Id="rId79" Type="http://schemas.openxmlformats.org/officeDocument/2006/relationships/hyperlink" Target="https://doi.org/10.1111/anae.15282" TargetMode="External"/><Relationship Id="rId103" Type="http://schemas.openxmlformats.org/officeDocument/2006/relationships/hyperlink" Target="https://doi.org/10.1111/j.1399-6576.2009.01968.x" TargetMode="External"/><Relationship Id="rId109" Type="http://schemas.openxmlformats.org/officeDocument/2006/relationships/hyperlink" Target="https://doi.org/10.1213/00000539-199008000-00008" TargetMode="External"/><Relationship Id="rId69" Type="http://schemas.openxmlformats.org/officeDocument/2006/relationships/hyperlink" Target="https://doi.org/10.21105/joss.05480" TargetMode="External"/><Relationship Id="rId85" Type="http://schemas.openxmlformats.org/officeDocument/2006/relationships/hyperlink" Target="https://doi.org/10.2165/00003088-197904040-00001" TargetMode="External"/><Relationship Id="rId87" Type="http://schemas.openxmlformats.org/officeDocument/2006/relationships/hyperlink" Target="https://doi.org/10.2165/00003088-198916050-00002" TargetMode="External"/></Relationships>
</file>

<file path=word/_rels/footnotes.xml.rels><?xml version='1.0' encoding='UTF-8' standalone='yes'?>
<Relationships xmlns="http://schemas.openxmlformats.org/package/2006/relationships"><Relationship Id="rId111" Type="http://schemas.openxmlformats.org/officeDocument/2006/relationships/hyperlink" Target="https://doi.org/10.1002/poc.4275" TargetMode="External"/><Relationship Id="rId95" Type="http://schemas.openxmlformats.org/officeDocument/2006/relationships/hyperlink" Target="https://doi.org/10.1007/BF03006624" TargetMode="External"/><Relationship Id="rId101" Type="http://schemas.openxmlformats.org/officeDocument/2006/relationships/hyperlink" Target="https://doi.org/10.1007/s10877-013-9439-4" TargetMode="External"/><Relationship Id="rId67" Type="http://schemas.openxmlformats.org/officeDocument/2006/relationships/hyperlink" Target="https://doi.org/10.1016/j.bja.2018.01.018" TargetMode="External"/><Relationship Id="rId107" Type="http://schemas.openxmlformats.org/officeDocument/2006/relationships/hyperlink" Target="https://doi.org/10.1016/j.bpj.2025.09.026" TargetMode="External"/><Relationship Id="rId105" Type="http://schemas.openxmlformats.org/officeDocument/2006/relationships/hyperlink" Target="https://doi.org/10.1016/j.compbiomed.2023.107375" TargetMode="External"/><Relationship Id="rId71" Type="http://schemas.openxmlformats.org/officeDocument/2006/relationships/hyperlink" Target="https://doi.org/10.1016/j.rapm.2004.08.003" TargetMode="External"/><Relationship Id="rId83" Type="http://schemas.openxmlformats.org/officeDocument/2006/relationships/hyperlink" Target="https://doi.org/10.1038/s41592-019-0686-2" TargetMode="External"/><Relationship Id="rId73" Type="http://schemas.openxmlformats.org/officeDocument/2006/relationships/hyperlink" Target="https://doi.org/10.1080/17425255.2022.2122811" TargetMode="External"/><Relationship Id="rId89" Type="http://schemas.openxmlformats.org/officeDocument/2006/relationships/hyperlink" Target="https://doi.org/10.1093/bja/aef185" TargetMode="External"/><Relationship Id="rId97" Type="http://schemas.openxmlformats.org/officeDocument/2006/relationships/hyperlink" Target="https://doi.org/10.1097/00000539-199509000-00019" TargetMode="External"/><Relationship Id="rId99" Type="http://schemas.openxmlformats.org/officeDocument/2006/relationships/hyperlink" Target="https://doi.org/10.1097/00000542-198509000-00011" TargetMode="External"/><Relationship Id="rId75" Type="http://schemas.openxmlformats.org/officeDocument/2006/relationships/hyperlink" Target="https://doi.org/10.1097/00000542-199203000-00003" TargetMode="External"/><Relationship Id="rId91" Type="http://schemas.openxmlformats.org/officeDocument/2006/relationships/hyperlink" Target="https://doi.org/10.1097/00000542-199411000-00008" TargetMode="External"/><Relationship Id="rId93" Type="http://schemas.openxmlformats.org/officeDocument/2006/relationships/hyperlink" Target="https://doi.org/10.1097/AAP.0000000000000288" TargetMode="External"/><Relationship Id="rId77" Type="http://schemas.openxmlformats.org/officeDocument/2006/relationships/hyperlink" Target="https://doi.org/10.1097/AAP.0000000000000720" TargetMode="External"/><Relationship Id="rId81" Type="http://schemas.openxmlformats.org/officeDocument/2006/relationships/hyperlink" Target="https://doi.org/10.1097/AAP.0b013e3181d2310b" TargetMode="External"/><Relationship Id="rId79" Type="http://schemas.openxmlformats.org/officeDocument/2006/relationships/hyperlink" Target="https://doi.org/10.1111/anae.15282" TargetMode="External"/><Relationship Id="rId103" Type="http://schemas.openxmlformats.org/officeDocument/2006/relationships/hyperlink" Target="https://doi.org/10.1111/j.1399-6576.2009.01968.x" TargetMode="External"/><Relationship Id="rId109" Type="http://schemas.openxmlformats.org/officeDocument/2006/relationships/hyperlink" Target="https://doi.org/10.1213/00000539-199008000-00008" TargetMode="External"/><Relationship Id="rId69" Type="http://schemas.openxmlformats.org/officeDocument/2006/relationships/hyperlink" Target="https://doi.org/10.21105/joss.05480" TargetMode="External"/><Relationship Id="rId85" Type="http://schemas.openxmlformats.org/officeDocument/2006/relationships/hyperlink" Target="https://doi.org/10.2165/00003088-197904040-00001" TargetMode="External"/><Relationship Id="rId87" Type="http://schemas.openxmlformats.org/officeDocument/2006/relationships/hyperlink" Target="https://doi.org/10.2165/00003088-198916050-000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yoshika: A Python Package for Pharmacokinetic-Pharmacodynamic Simulation of Local Anesthetics with Selectable Initial Compartment</dc:title>
  <dc:creator/>
  <cp:keywords/>
  <dcterms:created xsi:type="dcterms:W3CDTF">2026-07-13T06:26:46Z</dcterms:created>
  <dcterms:modified xsi:type="dcterms:W3CDTF">2026-07-13T06:26:46Z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graphy">
    <vt:lpwstr>/home/ubuntu/repos/wip/paper/paper.bib</vt:lpwstr>
  </property>
  <property fmtid="{D5CDD505-2E9C-101B-9397-08002B2CF9AE}" pid="5" name="csl">
    <vt:lpwstr>/home/ubuntu/repos/wip/paper/elsevier-vancouver.csl</vt:lpwstr>
  </property>
  <property fmtid="{D5CDD505-2E9C-101B-9397-08002B2CF9AE}" pid="6" name="date">
    <vt:lpwstr>28 March 2026</vt:lpwstr>
  </property>
</Properties>
</file>