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r>
        <w:t xml:space="preserve"/>
      </w:r>
    </w:p>
    <w:p>
      <w:pPr>
        <w:spacing w:after="120" w:before="120"/>
      </w:pPr>
      <w:r>
        <w:t xml:space="preserve"/>
      </w:r>
    </w:p>
    <w:p>
      <w:pPr>
        <w:spacing w:after="120" w:before="120"/>
      </w:pPr>
      <w:r>
        <w:t xml:space="preserve"/>
      </w:r>
    </w:p>
    <w:p>
      <w:pPr>
        <w:spacing w:after="120" w:before="480"/>
        <w:jc w:val="center"/>
      </w:pPr>
      <w:r>
        <w:rPr>
          <w:rFonts w:ascii="Arial" w:cs="Arial" w:eastAsia="Arial" w:hAnsi="Arial"/>
          <w:b/>
          <w:bCs/>
          <w:color w:val="D4500A"/>
          <w:sz w:val="72"/>
          <w:szCs w:val="72"/>
        </w:rPr>
        <w:t xml:space="preserve">ZabbixPilot</w:t>
      </w:r>
    </w:p>
    <w:p>
      <w:pPr>
        <w:spacing w:after="80" w:before="80"/>
        <w:jc w:val="center"/>
      </w:pPr>
      <w:r>
        <w:rPr>
          <w:rFonts w:ascii="Arial" w:cs="Arial" w:eastAsia="Arial" w:hAnsi="Arial"/>
          <w:color w:val="1A1A2E"/>
          <w:sz w:val="36"/>
          <w:szCs w:val="36"/>
        </w:rPr>
        <w:t xml:space="preserve">Plateforme de Monitoring Industriel</w:t>
      </w:r>
    </w:p>
    <w:p>
      <w:pPr>
        <w:spacing w:after="40" w:before="40"/>
        <w:jc w:val="center"/>
      </w:pPr>
      <w:r>
        <w:rPr>
          <w:rFonts w:ascii="Arial" w:cs="Arial" w:eastAsia="Arial" w:hAnsi="Arial"/>
          <w:i/>
          <w:iCs/>
          <w:color w:val="4A4A6A"/>
          <w:sz w:val="26"/>
          <w:szCs w:val="26"/>
        </w:rPr>
        <w:t xml:space="preserve">Au-dessus de Zabbix. Bien au-dessus.</w:t>
      </w:r>
    </w:p>
    <w:p>
      <w:pPr>
        <w:spacing w:after="120" w:before="120"/>
      </w:pPr>
      <w:r>
        <w:t xml:space="preserve"/>
      </w:r>
    </w:p>
    <w:p>
      <w:pPr>
        <w:spacing w:after="120" w:before="12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E0E0E0" w:sz="1"/>
              <w:left w:val="single" w:color="E0E0E0" w:sz="1"/>
              <w:bottom w:val="single" w:color="E0E0E0" w:sz="1"/>
              <w:right w:val="single" w:color="E0E0E0" w:sz="1"/>
            </w:tcBorders>
            <w:shd w:fill="1A1A2E" w:val="clear"/>
            <w:tcMar>
              <w:top w:type="dxa" w:w="120"/>
              <w:left w:type="dxa" w:w="200"/>
              <w:bottom w:type="dxa" w:w="120"/>
              <w:right w:type="dxa" w:w="200"/>
            </w:tcMar>
          </w:tcPr>
          <w:p>
            <w:pPr>
              <w:jc w:val="center"/>
            </w:pPr>
            <w:r>
              <w:rPr>
                <w:rFonts w:ascii="Arial" w:cs="Arial" w:eastAsia="Arial" w:hAnsi="Arial"/>
                <w:b/>
                <w:bCs/>
                <w:color w:val="FFFFFF"/>
                <w:sz w:val="20"/>
                <w:szCs w:val="20"/>
              </w:rPr>
              <w:t xml:space="preserve">Version</w:t>
            </w:r>
          </w:p>
        </w:tc>
        <w:tc>
          <w:tcPr>
            <w:tcW w:type="dxa" w:w="3000"/>
            <w:tcBorders>
              <w:top w:val="single" w:color="E0E0E0" w:sz="1"/>
              <w:left w:val="single" w:color="E0E0E0" w:sz="1"/>
              <w:bottom w:val="single" w:color="E0E0E0" w:sz="1"/>
              <w:right w:val="single" w:color="E0E0E0" w:sz="1"/>
            </w:tcBorders>
            <w:shd w:fill="F5F5FA" w:val="clear"/>
            <w:tcMar>
              <w:top w:type="dxa" w:w="120"/>
              <w:left w:type="dxa" w:w="200"/>
              <w:bottom w:type="dxa" w:w="120"/>
              <w:right w:type="dxa" w:w="200"/>
            </w:tcMar>
          </w:tcPr>
          <w:p>
            <w:pPr>
              <w:jc w:val="center"/>
            </w:pPr>
            <w:r>
              <w:rPr>
                <w:rFonts w:ascii="Arial" w:cs="Arial" w:eastAsia="Arial" w:hAnsi="Arial"/>
                <w:color w:val="1A1A2E"/>
                <w:sz w:val="20"/>
                <w:szCs w:val="20"/>
              </w:rPr>
              <w:t xml:space="preserve">1.0 — Document initial</w:t>
            </w:r>
          </w:p>
        </w:tc>
      </w:tr>
      <w:tr>
        <w:tc>
          <w:tcPr>
            <w:tcW w:type="dxa" w:w="3000"/>
            <w:tcBorders>
              <w:top w:val="single" w:color="E0E0E0" w:sz="1"/>
              <w:left w:val="single" w:color="E0E0E0" w:sz="1"/>
              <w:bottom w:val="single" w:color="E0E0E0" w:sz="1"/>
              <w:right w:val="single" w:color="E0E0E0" w:sz="1"/>
            </w:tcBorders>
            <w:shd w:fill="1A1A2E" w:val="clear"/>
            <w:tcMar>
              <w:top w:type="dxa" w:w="120"/>
              <w:left w:type="dxa" w:w="200"/>
              <w:bottom w:type="dxa" w:w="120"/>
              <w:right w:type="dxa" w:w="200"/>
            </w:tcMar>
          </w:tcPr>
          <w:p>
            <w:pPr>
              <w:jc w:val="center"/>
            </w:pPr>
            <w:r>
              <w:rPr>
                <w:rFonts w:ascii="Arial" w:cs="Arial" w:eastAsia="Arial" w:hAnsi="Arial"/>
                <w:b/>
                <w:bCs/>
                <w:color w:val="FFFFFF"/>
                <w:sz w:val="20"/>
                <w:szCs w:val="20"/>
              </w:rPr>
              <w:t xml:space="preserve">Statut</w:t>
            </w:r>
          </w:p>
        </w:tc>
        <w:tc>
          <w:tcPr>
            <w:tcW w:type="dxa" w:w="3000"/>
            <w:tcBorders>
              <w:top w:val="single" w:color="E0E0E0" w:sz="1"/>
              <w:left w:val="single" w:color="E0E0E0" w:sz="1"/>
              <w:bottom w:val="single" w:color="E0E0E0" w:sz="1"/>
              <w:right w:val="single" w:color="E0E0E0" w:sz="1"/>
            </w:tcBorders>
            <w:shd w:fill="F5F5FA" w:val="clear"/>
            <w:tcMar>
              <w:top w:type="dxa" w:w="120"/>
              <w:left w:type="dxa" w:w="200"/>
              <w:bottom w:type="dxa" w:w="120"/>
              <w:right w:type="dxa" w:w="200"/>
            </w:tcMar>
          </w:tcPr>
          <w:p>
            <w:pPr>
              <w:jc w:val="center"/>
            </w:pPr>
            <w:r>
              <w:rPr>
                <w:rFonts w:ascii="Arial" w:cs="Arial" w:eastAsia="Arial" w:hAnsi="Arial"/>
                <w:color w:val="1A1A2E"/>
                <w:sz w:val="20"/>
                <w:szCs w:val="20"/>
              </w:rPr>
              <w:t xml:space="preserve">Draft — Confidentiel</w:t>
            </w:r>
          </w:p>
        </w:tc>
      </w:tr>
      <w:tr>
        <w:tc>
          <w:tcPr>
            <w:tcW w:type="dxa" w:w="3000"/>
            <w:tcBorders>
              <w:top w:val="single" w:color="E0E0E0" w:sz="1"/>
              <w:left w:val="single" w:color="E0E0E0" w:sz="1"/>
              <w:bottom w:val="single" w:color="E0E0E0" w:sz="1"/>
              <w:right w:val="single" w:color="E0E0E0" w:sz="1"/>
            </w:tcBorders>
            <w:shd w:fill="1A1A2E" w:val="clear"/>
            <w:tcMar>
              <w:top w:type="dxa" w:w="120"/>
              <w:left w:type="dxa" w:w="200"/>
              <w:bottom w:type="dxa" w:w="120"/>
              <w:right w:type="dxa" w:w="200"/>
            </w:tcMar>
          </w:tcPr>
          <w:p>
            <w:pPr>
              <w:jc w:val="center"/>
            </w:pPr>
            <w:r>
              <w:rPr>
                <w:rFonts w:ascii="Arial" w:cs="Arial" w:eastAsia="Arial" w:hAnsi="Arial"/>
                <w:b/>
                <w:bCs/>
                <w:color w:val="FFFFFF"/>
                <w:sz w:val="20"/>
                <w:szCs w:val="20"/>
              </w:rPr>
              <w:t xml:space="preserve">Type de déploiement</w:t>
            </w:r>
          </w:p>
        </w:tc>
        <w:tc>
          <w:tcPr>
            <w:tcW w:type="dxa" w:w="3000"/>
            <w:tcBorders>
              <w:top w:val="single" w:color="E0E0E0" w:sz="1"/>
              <w:left w:val="single" w:color="E0E0E0" w:sz="1"/>
              <w:bottom w:val="single" w:color="E0E0E0" w:sz="1"/>
              <w:right w:val="single" w:color="E0E0E0" w:sz="1"/>
            </w:tcBorders>
            <w:shd w:fill="F5F5FA" w:val="clear"/>
            <w:tcMar>
              <w:top w:type="dxa" w:w="120"/>
              <w:left w:type="dxa" w:w="200"/>
              <w:bottom w:type="dxa" w:w="120"/>
              <w:right w:type="dxa" w:w="200"/>
            </w:tcMar>
          </w:tcPr>
          <w:p>
            <w:pPr>
              <w:jc w:val="center"/>
            </w:pPr>
            <w:r>
              <w:rPr>
                <w:rFonts w:ascii="Arial" w:cs="Arial" w:eastAsia="Arial" w:hAnsi="Arial"/>
                <w:color w:val="1A1A2E"/>
                <w:sz w:val="20"/>
                <w:szCs w:val="20"/>
              </w:rPr>
              <w:t xml:space="preserve">SaaS + On-Premise</w:t>
            </w:r>
          </w:p>
        </w:tc>
      </w:tr>
    </w:tbl>
    <w:p>
      <w:r>
        <w:br w:type="page"/>
      </w:r>
    </w:p>
    <w:p>
      <w:pPr>
        <w:pStyle w:val="Heading1"/>
        <w:pBdr>
          <w:bottom w:val="single" w:color="D4500A" w:sz="8" w:space="4"/>
        </w:pBdr>
        <w:spacing w:after="200" w:before="400"/>
      </w:pPr>
      <w:r>
        <w:rPr>
          <w:rFonts w:ascii="Arial" w:cs="Arial" w:eastAsia="Arial" w:hAnsi="Arial"/>
          <w:b/>
          <w:bCs/>
          <w:color w:val="1A1A2E"/>
          <w:sz w:val="36"/>
          <w:szCs w:val="36"/>
        </w:rPr>
        <w:t xml:space="preserve">1. Vision et Positionnement Produit</w:t>
      </w:r>
    </w:p>
    <w:p>
      <w:pPr>
        <w:spacing w:after="120" w:before="120"/>
      </w:pPr>
      <w:r>
        <w:t xml:space="preserve"/>
      </w:r>
    </w:p>
    <w:p>
      <w:pPr>
        <w:pStyle w:val="Heading2"/>
        <w:spacing w:after="160" w:before="320"/>
      </w:pPr>
      <w:r>
        <w:rPr>
          <w:rFonts w:ascii="Arial" w:cs="Arial" w:eastAsia="Arial" w:hAnsi="Arial"/>
          <w:b/>
          <w:bCs/>
          <w:color w:val="D4500A"/>
          <w:sz w:val="28"/>
          <w:szCs w:val="28"/>
        </w:rPr>
        <w:t xml:space="preserve">1.1 Problème adressé</w:t>
      </w:r>
    </w:p>
    <w:p>
      <w:pPr>
        <w:spacing w:after="80" w:before="80" w:line="320"/>
      </w:pPr>
      <w:r>
        <w:rPr>
          <w:rFonts w:ascii="Arial" w:cs="Arial" w:eastAsia="Arial" w:hAnsi="Arial"/>
          <w:color w:val="1A1A2E"/>
          <w:sz w:val="22"/>
          <w:szCs w:val="22"/>
        </w:rPr>
        <w:t xml:space="preserve">Les grandes entreprises utilisent Zabbix comme moteur de monitoring. Zabbix est puissant mais brutal : il exige des experts dédiés, son exploitation est entièrement manuelle, et son interface ne parle qu'aux techniciens. Le résultat est systématiquement le même :</w:t>
      </w:r>
    </w:p>
    <w:p>
      <w:pPr>
        <w:spacing w:after="120" w:before="120"/>
      </w:pPr>
      <w:r>
        <w:t xml:space="preserve"/>
      </w:r>
    </w:p>
    <w:p>
      <w:pPr>
        <w:pStyle w:val="ListParagraph"/>
        <w:numPr>
          <w:ilvl w:val="0"/>
          <w:numId w:val="2"/>
        </w:numPr>
        <w:spacing w:after="60" w:before="60"/>
      </w:pPr>
      <w:r>
        <w:rPr>
          <w:rFonts w:ascii="Arial" w:cs="Arial" w:eastAsia="Arial" w:hAnsi="Arial"/>
          <w:color w:val="1A1A2E"/>
          <w:sz w:val="22"/>
          <w:szCs w:val="22"/>
        </w:rPr>
        <w:t xml:space="preserve">Un expert Zabbix facturé 1 000 EUR/jour passe 60% de son temps sur des tâches répétitives : onboarding de hosts, création de templates, maintenance de configurations</w:t>
      </w:r>
    </w:p>
    <w:p>
      <w:pPr>
        <w:pStyle w:val="ListParagraph"/>
        <w:numPr>
          <w:ilvl w:val="0"/>
          <w:numId w:val="2"/>
        </w:numPr>
        <w:spacing w:after="60" w:before="60"/>
      </w:pPr>
      <w:r>
        <w:rPr>
          <w:rFonts w:ascii="Arial" w:cs="Arial" w:eastAsia="Arial" w:hAnsi="Arial"/>
          <w:color w:val="1A1A2E"/>
          <w:sz w:val="22"/>
          <w:szCs w:val="22"/>
        </w:rPr>
        <w:t xml:space="preserve">Le onboarding d'un seul serveur prend entre 4 heures et 3 jours selon la complexité applicative</w:t>
      </w:r>
    </w:p>
    <w:p>
      <w:pPr>
        <w:pStyle w:val="ListParagraph"/>
        <w:numPr>
          <w:ilvl w:val="0"/>
          <w:numId w:val="2"/>
        </w:numPr>
        <w:spacing w:after="60" w:before="60"/>
      </w:pPr>
      <w:r>
        <w:rPr>
          <w:rFonts w:ascii="Arial" w:cs="Arial" w:eastAsia="Arial" w:hAnsi="Arial"/>
          <w:color w:val="1A1A2E"/>
          <w:sz w:val="22"/>
          <w:szCs w:val="22"/>
        </w:rPr>
        <w:t xml:space="preserve">Les alertes Zabbix génèrent du bruit : les équipes NOC finissent par désactiver les notifications, rendant le monitoring inutile</w:t>
      </w:r>
    </w:p>
    <w:p>
      <w:pPr>
        <w:pStyle w:val="ListParagraph"/>
        <w:numPr>
          <w:ilvl w:val="0"/>
          <w:numId w:val="2"/>
        </w:numPr>
        <w:spacing w:after="60" w:before="60"/>
      </w:pPr>
      <w:r>
        <w:rPr>
          <w:rFonts w:ascii="Arial" w:cs="Arial" w:eastAsia="Arial" w:hAnsi="Arial"/>
          <w:color w:val="1A1A2E"/>
          <w:sz w:val="22"/>
          <w:szCs w:val="22"/>
        </w:rPr>
        <w:t xml:space="preserve">Le top management ne comprend pas Zabbix : aucune vision service, aucun rapport lisible, aucune justification des investissements IT</w:t>
      </w:r>
    </w:p>
    <w:p>
      <w:pPr>
        <w:pStyle w:val="ListParagraph"/>
        <w:numPr>
          <w:ilvl w:val="0"/>
          <w:numId w:val="2"/>
        </w:numPr>
        <w:spacing w:after="60" w:before="60"/>
      </w:pPr>
      <w:r>
        <w:rPr>
          <w:rFonts w:ascii="Arial" w:cs="Arial" w:eastAsia="Arial" w:hAnsi="Arial"/>
          <w:color w:val="1A1A2E"/>
          <w:sz w:val="22"/>
          <w:szCs w:val="22"/>
        </w:rPr>
        <w:t xml:space="preserve">Les grandes entreprises ont souvent plusieurs instances Zabbix sans console unifiée</w:t>
      </w:r>
    </w:p>
    <w:p>
      <w:pPr>
        <w:pStyle w:val="ListParagraph"/>
        <w:numPr>
          <w:ilvl w:val="0"/>
          <w:numId w:val="2"/>
        </w:numPr>
        <w:spacing w:after="60" w:before="60"/>
      </w:pPr>
      <w:r>
        <w:rPr>
          <w:rFonts w:ascii="Arial" w:cs="Arial" w:eastAsia="Arial" w:hAnsi="Arial"/>
          <w:color w:val="1A1A2E"/>
          <w:sz w:val="22"/>
          <w:szCs w:val="22"/>
        </w:rPr>
        <w:t xml:space="preserve">Aucune traçabilité des modifications de configuration : qui a changé quoi, quand, pourquoi</w:t>
      </w:r>
    </w:p>
    <w:p>
      <w:pPr>
        <w:spacing w:after="120" w:before="120"/>
      </w:pPr>
      <w:r>
        <w:t xml:space="preserve"/>
      </w:r>
    </w:p>
    <w:p>
      <w:pPr>
        <w:pStyle w:val="Heading2"/>
        <w:spacing w:after="160" w:before="320"/>
      </w:pPr>
      <w:r>
        <w:rPr>
          <w:rFonts w:ascii="Arial" w:cs="Arial" w:eastAsia="Arial" w:hAnsi="Arial"/>
          <w:b/>
          <w:bCs/>
          <w:color w:val="D4500A"/>
          <w:sz w:val="28"/>
          <w:szCs w:val="28"/>
        </w:rPr>
        <w:t xml:space="preserve">1.2 La solution : ZabbixPilot</w:t>
      </w:r>
    </w:p>
    <w:p>
      <w:pPr>
        <w:spacing w:after="80" w:before="80" w:line="320"/>
      </w:pPr>
      <w:r>
        <w:rPr>
          <w:rFonts w:ascii="Arial" w:cs="Arial" w:eastAsia="Arial" w:hAnsi="Arial"/>
          <w:color w:val="1A1A2E"/>
          <w:sz w:val="22"/>
          <w:szCs w:val="22"/>
        </w:rPr>
        <w:t xml:space="preserve">ZabbixPilot est une plateforme de pilotage qui se positionne au-dessus de Zabbix via son API JSON-RPC. Elle n'est pas un concurrent de Zabbix — elle le rend industriellement exploitable par toute une organisation, du technicien NOC au Directeur des Systèmes d'Information.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0E0E0" w:sz="1"/>
              <w:left w:val="single" w:color="E0E0E0" w:sz="1"/>
              <w:bottom w:val="single" w:color="E0E0E0" w:sz="1"/>
              <w:right w:val="single" w:color="E0E0E0" w:sz="1"/>
            </w:tcBorders>
            <w:shd w:fill="D4500A"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Proposition de valeur</w:t>
            </w:r>
          </w:p>
        </w:tc>
        <w:tc>
          <w:tcPr>
            <w:tcW w:type="dxa" w:w="7560"/>
            <w:tcBorders>
              <w:top w:val="single" w:color="E0E0E0" w:sz="1"/>
              <w:left w:val="single" w:color="E0E0E0" w:sz="1"/>
              <w:bottom w:val="single" w:color="E0E0E0" w:sz="1"/>
              <w:right w:val="single" w:color="E0E0E0" w:sz="1"/>
            </w:tcBorders>
            <w:shd w:fill="FFF0E8" w:val="clear"/>
            <w:tcMar>
              <w:top w:type="dxa" w:w="120"/>
              <w:left w:type="dxa" w:w="200"/>
              <w:bottom w:type="dxa" w:w="120"/>
              <w:right w:type="dxa" w:w="160"/>
            </w:tcMar>
          </w:tcPr>
          <w:p>
            <w:r>
              <w:rPr>
                <w:rFonts w:ascii="Arial" w:cs="Arial" w:eastAsia="Arial" w:hAnsi="Arial"/>
                <w:color w:val="1A1A2E"/>
                <w:sz w:val="22"/>
                <w:szCs w:val="22"/>
              </w:rPr>
              <w:t xml:space="preserve">Transformer Zabbix d'un outil expert solitaire en une plateforme de monitoring d'entreprise, accessible, gouvernée et orientée service business.</w:t>
            </w:r>
          </w:p>
        </w:tc>
      </w:tr>
    </w:tbl>
    <w:p>
      <w:pPr>
        <w:spacing w:after="120" w:before="120"/>
      </w:pPr>
      <w:r>
        <w:t xml:space="preserve"/>
      </w:r>
    </w:p>
    <w:p>
      <w:pPr>
        <w:pStyle w:val="Heading2"/>
        <w:spacing w:after="160" w:before="320"/>
      </w:pPr>
      <w:r>
        <w:rPr>
          <w:rFonts w:ascii="Arial" w:cs="Arial" w:eastAsia="Arial" w:hAnsi="Arial"/>
          <w:b/>
          <w:bCs/>
          <w:color w:val="D4500A"/>
          <w:sz w:val="28"/>
          <w:szCs w:val="28"/>
        </w:rPr>
        <w:t xml:space="preserve">1.3 Modèle de déploiement</w:t>
      </w:r>
    </w:p>
    <w:p>
      <w:pPr>
        <w:pStyle w:val="ListParagraph"/>
        <w:numPr>
          <w:ilvl w:val="0"/>
          <w:numId w:val="2"/>
        </w:numPr>
        <w:spacing w:after="60" w:before="60"/>
      </w:pPr>
      <w:r>
        <w:rPr>
          <w:rFonts w:ascii="Arial" w:cs="Arial" w:eastAsia="Arial" w:hAnsi="Arial"/>
          <w:color w:val="1A1A2E"/>
          <w:sz w:val="22"/>
          <w:szCs w:val="22"/>
        </w:rPr>
        <w:t xml:space="preserve">SaaS : hébergé, multi-tenant, un namespace Kubernetes par client</w:t>
      </w:r>
    </w:p>
    <w:p>
      <w:pPr>
        <w:pStyle w:val="ListParagraph"/>
        <w:numPr>
          <w:ilvl w:val="0"/>
          <w:numId w:val="2"/>
        </w:numPr>
        <w:spacing w:after="60" w:before="60"/>
      </w:pPr>
      <w:r>
        <w:rPr>
          <w:rFonts w:ascii="Arial" w:cs="Arial" w:eastAsia="Arial" w:hAnsi="Arial"/>
          <w:color w:val="1A1A2E"/>
          <w:sz w:val="22"/>
          <w:szCs w:val="22"/>
        </w:rPr>
        <w:t xml:space="preserve">On-Premise : Docker Compose, déploiement dans le datacenter du client, pour les secteurs banque, télécoms, administration publique</w:t>
      </w:r>
    </w:p>
    <w:p>
      <w:pPr>
        <w:pStyle w:val="ListParagraph"/>
        <w:numPr>
          <w:ilvl w:val="0"/>
          <w:numId w:val="2"/>
        </w:numPr>
        <w:spacing w:after="60" w:before="60"/>
      </w:pPr>
      <w:r>
        <w:rPr>
          <w:rFonts w:ascii="Arial" w:cs="Arial" w:eastAsia="Arial" w:hAnsi="Arial"/>
          <w:color w:val="1A1A2E"/>
          <w:sz w:val="22"/>
          <w:szCs w:val="22"/>
        </w:rPr>
        <w:t xml:space="preserve">Hybride : metadata et configuration dans le cloud, données sensibles restent on-premise</w:t>
      </w:r>
    </w:p>
    <w:p>
      <w:pPr>
        <w:spacing w:after="120" w:before="120"/>
      </w:pPr>
      <w:r>
        <w:t xml:space="preserve"/>
      </w:r>
    </w:p>
    <w:p>
      <w:pPr>
        <w:pStyle w:val="Heading2"/>
        <w:spacing w:after="160" w:before="320"/>
      </w:pPr>
      <w:r>
        <w:rPr>
          <w:rFonts w:ascii="Arial" w:cs="Arial" w:eastAsia="Arial" w:hAnsi="Arial"/>
          <w:b/>
          <w:bCs/>
          <w:color w:val="D4500A"/>
          <w:sz w:val="28"/>
          <w:szCs w:val="28"/>
        </w:rPr>
        <w:t xml:space="preserve">1.4 Cible commerciale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Segment</w:t>
            </w:r>
          </w:p>
        </w:tc>
        <w:tc>
          <w:tcPr>
            <w:tcW w:type="dxa" w:w="6240"/>
            <w:tcBorders>
              <w:top w:val="single" w:color="E0E0E0" w:sz="1"/>
              <w:left w:val="single" w:color="E0E0E0" w:sz="1"/>
              <w:bottom w:val="single" w:color="E0E0E0" w:sz="1"/>
              <w:right w:val="single" w:color="E0E0E0"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Profil</w:t>
            </w:r>
          </w:p>
        </w:tc>
      </w:tr>
      <w:tr>
        <w:tc>
          <w:tcPr>
            <w:tcW w:type="dxa" w:w="3120"/>
            <w:tcBorders>
              <w:top w:val="single" w:color="E0E0E0" w:sz="1"/>
              <w:left w:val="single" w:color="E0E0E0" w:sz="1"/>
              <w:bottom w:val="single" w:color="E0E0E0" w:sz="1"/>
              <w:right w:val="single" w:color="E0E0E0" w:sz="1"/>
            </w:tcBorders>
            <w:shd w:fill="F5F5FA" w:val="clear"/>
            <w:tcMar>
              <w:top w:type="dxa" w:w="100"/>
              <w:left w:type="dxa" w:w="160"/>
              <w:bottom w:type="dxa" w:w="100"/>
              <w:right w:type="dxa" w:w="160"/>
            </w:tcMar>
          </w:tcPr>
          <w:p>
            <w:r>
              <w:rPr>
                <w:rFonts w:ascii="Arial" w:cs="Arial" w:eastAsia="Arial" w:hAnsi="Arial"/>
                <w:b w:val="false"/>
                <w:bCs w:val="false"/>
                <w:color w:val="4A4A6A"/>
                <w:sz w:val="20"/>
                <w:szCs w:val="20"/>
              </w:rPr>
              <w:t xml:space="preserve">Grandes entreprises</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500+ employés, équipe IT dédiée, Zabbix déjà en production</w:t>
            </w:r>
          </w:p>
        </w:tc>
      </w:tr>
      <w:tr>
        <w:tc>
          <w:tcPr>
            <w:tcW w:type="dxa" w:w="3120"/>
            <w:tcBorders>
              <w:top w:val="single" w:color="E0E0E0" w:sz="1"/>
              <w:left w:val="single" w:color="E0E0E0" w:sz="1"/>
              <w:bottom w:val="single" w:color="E0E0E0" w:sz="1"/>
              <w:right w:val="single" w:color="E0E0E0" w:sz="1"/>
            </w:tcBorders>
            <w:shd w:fill="F5F5FA" w:val="clear"/>
            <w:tcMar>
              <w:top w:type="dxa" w:w="100"/>
              <w:left w:type="dxa" w:w="160"/>
              <w:bottom w:type="dxa" w:w="100"/>
              <w:right w:type="dxa" w:w="160"/>
            </w:tcMar>
          </w:tcPr>
          <w:p>
            <w:r>
              <w:rPr>
                <w:rFonts w:ascii="Arial" w:cs="Arial" w:eastAsia="Arial" w:hAnsi="Arial"/>
                <w:b w:val="false"/>
                <w:bCs w:val="false"/>
                <w:color w:val="4A4A6A"/>
                <w:sz w:val="20"/>
                <w:szCs w:val="20"/>
              </w:rPr>
              <w:t xml:space="preserve">Opérateurs télécoms</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Parcs d'équipements massifs, NOC 24/7, exigences SLA contractuelles</w:t>
            </w:r>
          </w:p>
        </w:tc>
      </w:tr>
      <w:tr>
        <w:tc>
          <w:tcPr>
            <w:tcW w:type="dxa" w:w="3120"/>
            <w:tcBorders>
              <w:top w:val="single" w:color="E0E0E0" w:sz="1"/>
              <w:left w:val="single" w:color="E0E0E0" w:sz="1"/>
              <w:bottom w:val="single" w:color="E0E0E0" w:sz="1"/>
              <w:right w:val="single" w:color="E0E0E0" w:sz="1"/>
            </w:tcBorders>
            <w:shd w:fill="F5F5FA" w:val="clear"/>
            <w:tcMar>
              <w:top w:type="dxa" w:w="100"/>
              <w:left w:type="dxa" w:w="160"/>
              <w:bottom w:type="dxa" w:w="100"/>
              <w:right w:type="dxa" w:w="160"/>
            </w:tcMar>
          </w:tcPr>
          <w:p>
            <w:r>
              <w:rPr>
                <w:rFonts w:ascii="Arial" w:cs="Arial" w:eastAsia="Arial" w:hAnsi="Arial"/>
                <w:b w:val="false"/>
                <w:bCs w:val="false"/>
                <w:color w:val="4A4A6A"/>
                <w:sz w:val="20"/>
                <w:szCs w:val="20"/>
              </w:rPr>
              <w:t xml:space="preserve">Banques et assurances</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Conformité réglementaire, audit, sensibilité sécurité élevée</w:t>
            </w:r>
          </w:p>
        </w:tc>
      </w:tr>
      <w:tr>
        <w:tc>
          <w:tcPr>
            <w:tcW w:type="dxa" w:w="3120"/>
            <w:tcBorders>
              <w:top w:val="single" w:color="E0E0E0" w:sz="1"/>
              <w:left w:val="single" w:color="E0E0E0" w:sz="1"/>
              <w:bottom w:val="single" w:color="E0E0E0" w:sz="1"/>
              <w:right w:val="single" w:color="E0E0E0" w:sz="1"/>
            </w:tcBorders>
            <w:shd w:fill="F5F5FA" w:val="clear"/>
            <w:tcMar>
              <w:top w:type="dxa" w:w="100"/>
              <w:left w:type="dxa" w:w="160"/>
              <w:bottom w:type="dxa" w:w="100"/>
              <w:right w:type="dxa" w:w="160"/>
            </w:tcMar>
          </w:tcPr>
          <w:p>
            <w:r>
              <w:rPr>
                <w:rFonts w:ascii="Arial" w:cs="Arial" w:eastAsia="Arial" w:hAnsi="Arial"/>
                <w:b w:val="false"/>
                <w:bCs w:val="false"/>
                <w:color w:val="4A4A6A"/>
                <w:sz w:val="20"/>
                <w:szCs w:val="20"/>
              </w:rPr>
              <w:t xml:space="preserve">ESN et MSP</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Gèrent Zabbix pour plusieurs clients, besoin de vue unifiée multi-tenant</w:t>
            </w:r>
          </w:p>
        </w:tc>
      </w:tr>
    </w:tbl>
    <w:p>
      <w:pPr>
        <w:spacing w:after="120" w:before="120"/>
      </w:pPr>
      <w:r>
        <w:t xml:space="preserve"/>
      </w:r>
    </w:p>
    <w:p>
      <w:r>
        <w:br w:type="page"/>
      </w:r>
    </w:p>
    <w:p>
      <w:pPr>
        <w:pStyle w:val="Heading1"/>
        <w:pBdr>
          <w:bottom w:val="single" w:color="D4500A" w:sz="8" w:space="4"/>
        </w:pBdr>
        <w:spacing w:after="200" w:before="400"/>
      </w:pPr>
      <w:r>
        <w:rPr>
          <w:rFonts w:ascii="Arial" w:cs="Arial" w:eastAsia="Arial" w:hAnsi="Arial"/>
          <w:b/>
          <w:bCs/>
          <w:color w:val="1A1A2E"/>
          <w:sz w:val="36"/>
          <w:szCs w:val="36"/>
        </w:rPr>
        <w:t xml:space="preserve">2. Les Quatre Couches du Produit</w:t>
      </w:r>
    </w:p>
    <w:p>
      <w:pPr>
        <w:spacing w:after="120" w:before="120"/>
      </w:pPr>
      <w:r>
        <w:t xml:space="preserve"/>
      </w:r>
    </w:p>
    <w:p>
      <w:pPr>
        <w:spacing w:after="80" w:before="80" w:line="320"/>
      </w:pPr>
      <w:r>
        <w:rPr>
          <w:rFonts w:ascii="Arial" w:cs="Arial" w:eastAsia="Arial" w:hAnsi="Arial"/>
          <w:color w:val="1A1A2E"/>
          <w:sz w:val="22"/>
          <w:szCs w:val="22"/>
        </w:rPr>
        <w:t xml:space="preserve">ZabbixPilot est structuré en quatre couches fonctionnelles cohérentes et interdépendantes. Les données de la couche 1 alimentent la couche 2, qui alimente la couche 3, qui alimente la couche 4. Chaque couche apporte une valeur autonome mais la valeur maximale est atteinte avec les quatre couches activées.</w:t>
      </w:r>
    </w:p>
    <w:p>
      <w:pPr>
        <w:spacing w:after="120" w:before="120"/>
      </w:pPr>
      <w:r>
        <w:t xml:space="preserve"/>
      </w:r>
    </w:p>
    <w:p>
      <w:pPr>
        <w:pStyle w:val="Heading2"/>
        <w:spacing w:after="160" w:before="320"/>
      </w:pPr>
      <w:r>
        <w:rPr>
          <w:rFonts w:ascii="Arial" w:cs="Arial" w:eastAsia="Arial" w:hAnsi="Arial"/>
          <w:b/>
          <w:bCs/>
          <w:color w:val="D4500A"/>
          <w:sz w:val="28"/>
          <w:szCs w:val="28"/>
        </w:rPr>
        <w:t xml:space="preserve">COUCHE 1 — Provisioning Industriel</w:t>
      </w:r>
    </w:p>
    <w:p>
      <w:pPr>
        <w:pStyle w:val="Heading3"/>
        <w:spacing w:after="120" w:before="240"/>
      </w:pPr>
      <w:r>
        <w:rPr>
          <w:rFonts w:ascii="Arial" w:cs="Arial" w:eastAsia="Arial" w:hAnsi="Arial"/>
          <w:b/>
          <w:bCs/>
          <w:color w:val="4A4A6A"/>
          <w:sz w:val="24"/>
          <w:szCs w:val="24"/>
        </w:rPr>
        <w:t xml:space="preserve">Problème résolu</w:t>
      </w:r>
    </w:p>
    <w:p>
      <w:pPr>
        <w:spacing w:after="80" w:before="80" w:line="320"/>
      </w:pPr>
      <w:r>
        <w:rPr>
          <w:rFonts w:ascii="Arial" w:cs="Arial" w:eastAsia="Arial" w:hAnsi="Arial"/>
          <w:color w:val="1A1A2E"/>
          <w:sz w:val="22"/>
          <w:szCs w:val="22"/>
        </w:rPr>
        <w:t xml:space="preserve">Onboarder un nouveau host dans Zabbix est un processus entièrement manuel, non documenté, qui dépend d'un expert unique. Quand cet expert part, le savoir-faire disparaît avec lui.</w:t>
      </w:r>
    </w:p>
    <w:p>
      <w:pPr>
        <w:spacing w:after="120" w:before="120"/>
      </w:pPr>
      <w:r>
        <w:t xml:space="preserve"/>
      </w:r>
    </w:p>
    <w:p>
      <w:pPr>
        <w:pStyle w:val="Heading3"/>
        <w:spacing w:after="120" w:before="240"/>
      </w:pPr>
      <w:r>
        <w:rPr>
          <w:rFonts w:ascii="Arial" w:cs="Arial" w:eastAsia="Arial" w:hAnsi="Arial"/>
          <w:b/>
          <w:bCs/>
          <w:color w:val="4A4A6A"/>
          <w:sz w:val="24"/>
          <w:szCs w:val="24"/>
        </w:rPr>
        <w:t xml:space="preserve">Ce que fait la couche 1</w:t>
      </w:r>
    </w:p>
    <w:p>
      <w:pPr>
        <w:pStyle w:val="ListParagraph"/>
        <w:numPr>
          <w:ilvl w:val="0"/>
          <w:numId w:val="3"/>
        </w:numPr>
        <w:spacing w:after="60" w:before="60"/>
      </w:pPr>
      <w:r>
        <w:rPr>
          <w:rFonts w:ascii="Arial" w:cs="Arial" w:eastAsia="Arial" w:hAnsi="Arial"/>
          <w:color w:val="1A1A2E"/>
          <w:sz w:val="22"/>
          <w:szCs w:val="22"/>
        </w:rPr>
        <w:t xml:space="preserve">Déclaration du host via formulaire : nom, adresse IP, rôle applicatif déclaré par l'équipe qui livre le serveur</w:t>
      </w:r>
    </w:p>
    <w:p>
      <w:pPr>
        <w:pStyle w:val="ListParagraph"/>
        <w:numPr>
          <w:ilvl w:val="0"/>
          <w:numId w:val="3"/>
        </w:numPr>
        <w:spacing w:after="60" w:before="60"/>
      </w:pPr>
      <w:r>
        <w:rPr>
          <w:rFonts w:ascii="Arial" w:cs="Arial" w:eastAsia="Arial" w:hAnsi="Arial"/>
          <w:color w:val="1A1A2E"/>
          <w:sz w:val="22"/>
          <w:szCs w:val="22"/>
        </w:rPr>
        <w:t xml:space="preserve">Détection automatique de l'environnement via les clés natives Zabbix (system.uname, system.sw.os, agent.version) une fois l'agent joignable</w:t>
      </w:r>
    </w:p>
    <w:p>
      <w:pPr>
        <w:pStyle w:val="ListParagraph"/>
        <w:numPr>
          <w:ilvl w:val="0"/>
          <w:numId w:val="3"/>
        </w:numPr>
        <w:spacing w:after="60" w:before="60"/>
      </w:pPr>
      <w:r>
        <w:rPr>
          <w:rFonts w:ascii="Arial" w:cs="Arial" w:eastAsia="Arial" w:hAnsi="Arial"/>
          <w:color w:val="1A1A2E"/>
          <w:sz w:val="22"/>
          <w:szCs w:val="22"/>
        </w:rPr>
        <w:t xml:space="preserve">Génération du script d'installation de l'agent adapté à l'OS détecté (Linux RHEL/Ubuntu/Debian/SUSE, Windows 2016/2019/2022, AIX). Le script est adapté au gestionnaire de paquets, aux chemins de configuration, et à la version Zabbix cible</w:t>
      </w:r>
    </w:p>
    <w:p>
      <w:pPr>
        <w:pStyle w:val="ListParagraph"/>
        <w:numPr>
          <w:ilvl w:val="0"/>
          <w:numId w:val="3"/>
        </w:numPr>
        <w:spacing w:after="60" w:before="60"/>
      </w:pPr>
      <w:r>
        <w:rPr>
          <w:rFonts w:ascii="Arial" w:cs="Arial" w:eastAsia="Arial" w:hAnsi="Arial"/>
          <w:color w:val="1A1A2E"/>
          <w:sz w:val="22"/>
          <w:szCs w:val="22"/>
        </w:rPr>
        <w:t xml:space="preserve">Intégration Ansible AWX/Tower si disponible : génération et exécution du playbook via API. Sans Ansible : script téléchargeable prêt à coller</w:t>
      </w:r>
    </w:p>
    <w:p>
      <w:pPr>
        <w:pStyle w:val="ListParagraph"/>
        <w:numPr>
          <w:ilvl w:val="0"/>
          <w:numId w:val="3"/>
        </w:numPr>
        <w:spacing w:after="60" w:before="60"/>
      </w:pPr>
      <w:r>
        <w:rPr>
          <w:rFonts w:ascii="Arial" w:cs="Arial" w:eastAsia="Arial" w:hAnsi="Arial"/>
          <w:color w:val="1A1A2E"/>
          <w:sz w:val="22"/>
          <w:szCs w:val="22"/>
        </w:rPr>
        <w:t xml:space="preserve">Application automatique de la template OS de base selon l'OS détecté : Linux by Zabbix Agent, Windows by Zabbix Agent, AIX by Zabbix Agent</w:t>
      </w:r>
    </w:p>
    <w:p>
      <w:pPr>
        <w:pStyle w:val="ListParagraph"/>
        <w:numPr>
          <w:ilvl w:val="0"/>
          <w:numId w:val="3"/>
        </w:numPr>
        <w:spacing w:after="60" w:before="60"/>
      </w:pPr>
      <w:r>
        <w:rPr>
          <w:rFonts w:ascii="Arial" w:cs="Arial" w:eastAsia="Arial" w:hAnsi="Arial"/>
          <w:color w:val="1A1A2E"/>
          <w:sz w:val="22"/>
          <w:szCs w:val="22"/>
        </w:rPr>
        <w:t xml:space="preserve">Déclaration des applications qui tournent sur le host : sélection dans un catalogue avec logos applicatifs ou création sur mesure via Template Builder</w:t>
      </w:r>
    </w:p>
    <w:p>
      <w:pPr>
        <w:pStyle w:val="ListParagraph"/>
        <w:numPr>
          <w:ilvl w:val="0"/>
          <w:numId w:val="3"/>
        </w:numPr>
        <w:spacing w:after="60" w:before="60"/>
      </w:pPr>
      <w:r>
        <w:rPr>
          <w:rFonts w:ascii="Arial" w:cs="Arial" w:eastAsia="Arial" w:hAnsi="Arial"/>
          <w:color w:val="1A1A2E"/>
          <w:sz w:val="22"/>
          <w:szCs w:val="22"/>
        </w:rPr>
        <w:t xml:space="preserve">Validation complète : agent joignable, items OS remontent, sanity checks sur les premières valeurs collectées</w:t>
      </w:r>
    </w:p>
    <w:p>
      <w:pPr>
        <w:spacing w:after="120" w:before="120"/>
      </w:pPr>
      <w:r>
        <w:t xml:space="preserve"/>
      </w:r>
    </w:p>
    <w:p>
      <w:pPr>
        <w:pStyle w:val="Heading3"/>
        <w:spacing w:after="120" w:before="240"/>
      </w:pPr>
      <w:r>
        <w:rPr>
          <w:rFonts w:ascii="Arial" w:cs="Arial" w:eastAsia="Arial" w:hAnsi="Arial"/>
          <w:b/>
          <w:bCs/>
          <w:color w:val="4A4A6A"/>
          <w:sz w:val="24"/>
          <w:szCs w:val="24"/>
        </w:rPr>
        <w:t xml:space="preserve">Template Builder</w:t>
      </w:r>
    </w:p>
    <w:p>
      <w:pPr>
        <w:spacing w:after="80" w:before="80" w:line="320"/>
      </w:pPr>
      <w:r>
        <w:rPr>
          <w:rFonts w:ascii="Arial" w:cs="Arial" w:eastAsia="Arial" w:hAnsi="Arial"/>
          <w:color w:val="1A1A2E"/>
          <w:sz w:val="22"/>
          <w:szCs w:val="22"/>
        </w:rPr>
        <w:t xml:space="preserve">Pour les applications homemade et les logiciels non standard, le Template Builder guide l'ingénieur à travers un questionnaire structuré en 7 étapes :</w:t>
      </w:r>
    </w:p>
    <w:p>
      <w:pPr>
        <w:pStyle w:val="ListParagraph"/>
        <w:numPr>
          <w:ilvl w:val="0"/>
          <w:numId w:val="2"/>
        </w:numPr>
        <w:spacing w:after="60" w:before="60"/>
      </w:pPr>
      <w:r>
        <w:rPr>
          <w:rFonts w:ascii="Arial" w:cs="Arial" w:eastAsia="Arial" w:hAnsi="Arial"/>
          <w:color w:val="1A1A2E"/>
          <w:sz w:val="22"/>
          <w:szCs w:val="22"/>
        </w:rPr>
        <w:t xml:space="preserve">Étape 1 — Identité : nom, application ciblée, version, OS cible</w:t>
      </w:r>
    </w:p>
    <w:p>
      <w:pPr>
        <w:pStyle w:val="ListParagraph"/>
        <w:numPr>
          <w:ilvl w:val="0"/>
          <w:numId w:val="2"/>
        </w:numPr>
        <w:spacing w:after="60" w:before="60"/>
      </w:pPr>
      <w:r>
        <w:rPr>
          <w:rFonts w:ascii="Arial" w:cs="Arial" w:eastAsia="Arial" w:hAnsi="Arial"/>
          <w:color w:val="1A1A2E"/>
          <w:sz w:val="22"/>
          <w:szCs w:val="22"/>
        </w:rPr>
        <w:t xml:space="preserve">Étape 2 — Prérequis : liste des conditions à vérifier sur la machine avant déploiement. Chaque prérequis a une commande de vérification et un résultat attendu</w:t>
      </w:r>
    </w:p>
    <w:p>
      <w:pPr>
        <w:pStyle w:val="ListParagraph"/>
        <w:numPr>
          <w:ilvl w:val="0"/>
          <w:numId w:val="2"/>
        </w:numPr>
        <w:spacing w:after="60" w:before="60"/>
      </w:pPr>
      <w:r>
        <w:rPr>
          <w:rFonts w:ascii="Arial" w:cs="Arial" w:eastAsia="Arial" w:hAnsi="Arial"/>
          <w:color w:val="1A1A2E"/>
          <w:sz w:val="22"/>
          <w:szCs w:val="22"/>
        </w:rPr>
        <w:t xml:space="preserve">Étape 3 — Macros et credentials : déclaration des macros Zabbix avec gestion des types (texte, secret chiffré). Les mots de passe ne sont jamais stockés en clair</w:t>
      </w:r>
    </w:p>
    <w:p>
      <w:pPr>
        <w:pStyle w:val="ListParagraph"/>
        <w:numPr>
          <w:ilvl w:val="0"/>
          <w:numId w:val="2"/>
        </w:numPr>
        <w:spacing w:after="60" w:before="60"/>
      </w:pPr>
      <w:r>
        <w:rPr>
          <w:rFonts w:ascii="Arial" w:cs="Arial" w:eastAsia="Arial" w:hAnsi="Arial"/>
          <w:color w:val="1A1A2E"/>
          <w:sz w:val="22"/>
          <w:szCs w:val="22"/>
        </w:rPr>
        <w:t xml:space="preserve">Étape 4 — Scripts system.run : éditeur de code intégré pour les scripts. Test en temps réel depuis l'interface avec analyse automatique des erreurs (permissions, PATH, timeout, system.run désactivé)</w:t>
      </w:r>
    </w:p>
    <w:p>
      <w:pPr>
        <w:pStyle w:val="ListParagraph"/>
        <w:numPr>
          <w:ilvl w:val="0"/>
          <w:numId w:val="2"/>
        </w:numPr>
        <w:spacing w:after="60" w:before="60"/>
      </w:pPr>
      <w:r>
        <w:rPr>
          <w:rFonts w:ascii="Arial" w:cs="Arial" w:eastAsia="Arial" w:hAnsi="Arial"/>
          <w:color w:val="1A1A2E"/>
          <w:sz w:val="22"/>
          <w:szCs w:val="22"/>
        </w:rPr>
        <w:t xml:space="preserve">Étape 5 — Items : clé, type, intervalle, type de valeur, unité, preprocessing</w:t>
      </w:r>
    </w:p>
    <w:p>
      <w:pPr>
        <w:pStyle w:val="ListParagraph"/>
        <w:numPr>
          <w:ilvl w:val="0"/>
          <w:numId w:val="2"/>
        </w:numPr>
        <w:spacing w:after="60" w:before="60"/>
      </w:pPr>
      <w:r>
        <w:rPr>
          <w:rFonts w:ascii="Arial" w:cs="Arial" w:eastAsia="Arial" w:hAnsi="Arial"/>
          <w:color w:val="1A1A2E"/>
          <w:sz w:val="22"/>
          <w:szCs w:val="22"/>
        </w:rPr>
        <w:t xml:space="preserve">Étape 6 — Triggers : expression, sévérité, recovery expression, dépendances entre triggers, tags de corrélation</w:t>
      </w:r>
    </w:p>
    <w:p>
      <w:pPr>
        <w:pStyle w:val="ListParagraph"/>
        <w:numPr>
          <w:ilvl w:val="0"/>
          <w:numId w:val="2"/>
        </w:numPr>
        <w:spacing w:after="60" w:before="60"/>
      </w:pPr>
      <w:r>
        <w:rPr>
          <w:rFonts w:ascii="Arial" w:cs="Arial" w:eastAsia="Arial" w:hAnsi="Arial"/>
          <w:color w:val="1A1A2E"/>
          <w:sz w:val="22"/>
          <w:szCs w:val="22"/>
        </w:rPr>
        <w:t xml:space="preserve">Étape 7 — Test et validation sur un host réel avant enregistrement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0E0E0" w:sz="1"/>
              <w:left w:val="single" w:color="E0E0E0" w:sz="1"/>
              <w:bottom w:val="single" w:color="E0E0E0" w:sz="1"/>
              <w:right w:val="single" w:color="E0E0E0" w:sz="1"/>
            </w:tcBorders>
            <w:shd w:fill="D4500A"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Principe fondamental</w:t>
            </w:r>
          </w:p>
        </w:tc>
        <w:tc>
          <w:tcPr>
            <w:tcW w:type="dxa" w:w="7560"/>
            <w:tcBorders>
              <w:top w:val="single" w:color="E0E0E0" w:sz="1"/>
              <w:left w:val="single" w:color="E0E0E0" w:sz="1"/>
              <w:bottom w:val="single" w:color="E0E0E0" w:sz="1"/>
              <w:right w:val="single" w:color="E0E0E0" w:sz="1"/>
            </w:tcBorders>
            <w:shd w:fill="FFF0E8" w:val="clear"/>
            <w:tcMar>
              <w:top w:type="dxa" w:w="120"/>
              <w:left w:type="dxa" w:w="200"/>
              <w:bottom w:type="dxa" w:w="120"/>
              <w:right w:type="dxa" w:w="160"/>
            </w:tcMar>
          </w:tcPr>
          <w:p>
            <w:r>
              <w:rPr>
                <w:rFonts w:ascii="Arial" w:cs="Arial" w:eastAsia="Arial" w:hAnsi="Arial"/>
                <w:color w:val="1A1A2E"/>
                <w:sz w:val="22"/>
                <w:szCs w:val="22"/>
              </w:rPr>
              <w:t xml:space="preserve">Le Template Builder ne fait pas appel à l'IA. C'est un formulaire déterministe qui génère du JSON Zabbix valide. L'ingénieur saisit ce qu'il sait — le produit génère ce que Zabbix attend. Zéro hallucination, zéro surprise.</w:t>
            </w:r>
          </w:p>
        </w:tc>
      </w:tr>
    </w:tbl>
    <w:p>
      <w:pPr>
        <w:spacing w:after="120" w:before="120"/>
      </w:pPr>
      <w:r>
        <w:t xml:space="preserve"/>
      </w:r>
    </w:p>
    <w:p>
      <w:pPr>
        <w:pStyle w:val="Heading3"/>
        <w:spacing w:after="120" w:before="240"/>
      </w:pPr>
      <w:r>
        <w:rPr>
          <w:rFonts w:ascii="Arial" w:cs="Arial" w:eastAsia="Arial" w:hAnsi="Arial"/>
          <w:b/>
          <w:bCs/>
          <w:color w:val="4A4A6A"/>
          <w:sz w:val="24"/>
          <w:szCs w:val="24"/>
        </w:rPr>
        <w:t xml:space="preserve">Gestion du cycle de vie des hosts</w:t>
      </w:r>
    </w:p>
    <w:p>
      <w:pPr>
        <w:spacing w:after="80" w:before="80" w:line="320"/>
      </w:pPr>
      <w:r>
        <w:rPr>
          <w:rFonts w:ascii="Arial" w:cs="Arial" w:eastAsia="Arial" w:hAnsi="Arial"/>
          <w:color w:val="1A1A2E"/>
          <w:sz w:val="22"/>
          <w:szCs w:val="22"/>
        </w:rPr>
        <w:t xml:space="preserve">Un host dans ZabbixPilot a un cycle de vie complet : ONBOARDING &gt; ACTIVE &gt; MAINTENANCE &gt; DECOMMISSIONED. Le décommissionnement déclenche un workflow de validation avant suppression dans Zabbix, évitant les hosts fantômes qui génèrent des alertes indéfiniment.</w:t>
      </w:r>
    </w:p>
    <w:p>
      <w:pPr>
        <w:spacing w:after="120" w:before="120"/>
      </w:pPr>
      <w:r>
        <w:t xml:space="preserve"/>
      </w:r>
    </w:p>
    <w:p>
      <w:pPr>
        <w:pStyle w:val="Heading2"/>
        <w:spacing w:after="160" w:before="320"/>
      </w:pPr>
      <w:r>
        <w:rPr>
          <w:rFonts w:ascii="Arial" w:cs="Arial" w:eastAsia="Arial" w:hAnsi="Arial"/>
          <w:b/>
          <w:bCs/>
          <w:color w:val="D4500A"/>
          <w:sz w:val="28"/>
          <w:szCs w:val="28"/>
        </w:rPr>
        <w:t xml:space="preserve">COUCHE 2 — Alerting Intelligent</w:t>
      </w:r>
    </w:p>
    <w:p>
      <w:pPr>
        <w:pStyle w:val="Heading3"/>
        <w:spacing w:after="120" w:before="240"/>
      </w:pPr>
      <w:r>
        <w:rPr>
          <w:rFonts w:ascii="Arial" w:cs="Arial" w:eastAsia="Arial" w:hAnsi="Arial"/>
          <w:b/>
          <w:bCs/>
          <w:color w:val="4A4A6A"/>
          <w:sz w:val="24"/>
          <w:szCs w:val="24"/>
        </w:rPr>
        <w:t xml:space="preserve">Problème résolu</w:t>
      </w:r>
    </w:p>
    <w:p>
      <w:pPr>
        <w:spacing w:after="80" w:before="80" w:line="320"/>
      </w:pPr>
      <w:r>
        <w:rPr>
          <w:rFonts w:ascii="Arial" w:cs="Arial" w:eastAsia="Arial" w:hAnsi="Arial"/>
          <w:color w:val="1A1A2E"/>
          <w:sz w:val="22"/>
          <w:szCs w:val="22"/>
        </w:rPr>
        <w:t xml:space="preserve">Une panne sur un équipement réseau amont génère des centaines d'alertes simultanées dans Zabbix. Les équipes sont paralysées, ne savent pas par où commencer, et finissent par ignorer tout le système d'alertes.</w:t>
      </w:r>
    </w:p>
    <w:p>
      <w:pPr>
        <w:spacing w:after="120" w:before="120"/>
      </w:pPr>
      <w:r>
        <w:t xml:space="preserve"/>
      </w:r>
    </w:p>
    <w:p>
      <w:pPr>
        <w:pStyle w:val="Heading3"/>
        <w:spacing w:after="120" w:before="240"/>
      </w:pPr>
      <w:r>
        <w:rPr>
          <w:rFonts w:ascii="Arial" w:cs="Arial" w:eastAsia="Arial" w:hAnsi="Arial"/>
          <w:b/>
          <w:bCs/>
          <w:color w:val="4A4A6A"/>
          <w:sz w:val="24"/>
          <w:szCs w:val="24"/>
        </w:rPr>
        <w:t xml:space="preserve">Ce que fait la couche 2</w:t>
      </w:r>
    </w:p>
    <w:p>
      <w:pPr>
        <w:pStyle w:val="ListParagraph"/>
        <w:numPr>
          <w:ilvl w:val="0"/>
          <w:numId w:val="3"/>
        </w:numPr>
        <w:spacing w:after="60" w:before="60"/>
      </w:pPr>
      <w:r>
        <w:rPr>
          <w:rFonts w:ascii="Arial" w:cs="Arial" w:eastAsia="Arial" w:hAnsi="Arial"/>
          <w:color w:val="1A1A2E"/>
          <w:sz w:val="22"/>
          <w:szCs w:val="22"/>
        </w:rPr>
        <w:t xml:space="preserve">Corrélation topologique : le produit connaît la topologie réseau (saisie lors du provisioning ou importée en CSV/fichier). Si un switch est en alerte et que 47 hosts derrière lui le sont aussi, le produit remonte 1 groupe d'incidents avec le switch comme cause racine probable</w:t>
      </w:r>
    </w:p>
    <w:p>
      <w:pPr>
        <w:pStyle w:val="ListParagraph"/>
        <w:numPr>
          <w:ilvl w:val="0"/>
          <w:numId w:val="3"/>
        </w:numPr>
        <w:spacing w:after="60" w:before="60"/>
      </w:pPr>
      <w:r>
        <w:rPr>
          <w:rFonts w:ascii="Arial" w:cs="Arial" w:eastAsia="Arial" w:hAnsi="Arial"/>
          <w:color w:val="1A1A2E"/>
          <w:sz w:val="22"/>
          <w:szCs w:val="22"/>
        </w:rPr>
        <w:t xml:space="preserve">Corrélation temporelle : alertes apparues dans la même fenêtre de temps sur des hosts similaires sont regroupées automatiquement. La fenêtre de tolérance est configurable pour compenser les délais de polling Zabbix</w:t>
      </w:r>
    </w:p>
    <w:p>
      <w:pPr>
        <w:pStyle w:val="ListParagraph"/>
        <w:numPr>
          <w:ilvl w:val="0"/>
          <w:numId w:val="3"/>
        </w:numPr>
        <w:spacing w:after="60" w:before="60"/>
      </w:pPr>
      <w:r>
        <w:rPr>
          <w:rFonts w:ascii="Arial" w:cs="Arial" w:eastAsia="Arial" w:hAnsi="Arial"/>
          <w:color w:val="1A1A2E"/>
          <w:sz w:val="22"/>
          <w:szCs w:val="22"/>
        </w:rPr>
        <w:t xml:space="preserve">Règles de corrélation personnalisables : l'équipe NOC configure ses propres règles de regroupement basées sur des tags, des hostgroups, des plages horaires</w:t>
      </w:r>
    </w:p>
    <w:p>
      <w:pPr>
        <w:pStyle w:val="ListParagraph"/>
        <w:numPr>
          <w:ilvl w:val="0"/>
          <w:numId w:val="3"/>
        </w:numPr>
        <w:spacing w:after="60" w:before="60"/>
      </w:pPr>
      <w:r>
        <w:rPr>
          <w:rFonts w:ascii="Arial" w:cs="Arial" w:eastAsia="Arial" w:hAnsi="Arial"/>
          <w:color w:val="1A1A2E"/>
          <w:sz w:val="22"/>
          <w:szCs w:val="22"/>
        </w:rPr>
        <w:t xml:space="preserve">Scoring de pertinence : chaque trigger reçoit un score basé sur son historique de déclenchements sans action réelle. Après 14 jours d'observation (cold start explicite), le produit propose des ajustements de seuils</w:t>
      </w:r>
    </w:p>
    <w:p>
      <w:pPr>
        <w:pStyle w:val="ListParagraph"/>
        <w:numPr>
          <w:ilvl w:val="0"/>
          <w:numId w:val="3"/>
        </w:numPr>
        <w:spacing w:after="60" w:before="60"/>
      </w:pPr>
      <w:r>
        <w:rPr>
          <w:rFonts w:ascii="Arial" w:cs="Arial" w:eastAsia="Arial" w:hAnsi="Arial"/>
          <w:color w:val="1A1A2E"/>
          <w:sz w:val="22"/>
          <w:szCs w:val="22"/>
        </w:rPr>
        <w:t xml:space="preserve">Gestion des maintenances : intégration calendrier (ServiceNow, Outlook, Google Calendar). Les fenêtres de maintenance génèrent automatiquement les périodes de maintenance Zabbix correspondantes</w:t>
      </w:r>
    </w:p>
    <w:p>
      <w:pPr>
        <w:pStyle w:val="ListParagraph"/>
        <w:numPr>
          <w:ilvl w:val="0"/>
          <w:numId w:val="3"/>
        </w:numPr>
        <w:spacing w:after="60" w:before="60"/>
      </w:pPr>
      <w:r>
        <w:rPr>
          <w:rFonts w:ascii="Arial" w:cs="Arial" w:eastAsia="Arial" w:hAnsi="Arial"/>
          <w:color w:val="1A1A2E"/>
          <w:sz w:val="22"/>
          <w:szCs w:val="22"/>
        </w:rPr>
        <w:t xml:space="preserve">Suppression intelligente du bruit : les alertes sous un seuil de pertinence configuré sont visibles mais silencieuses. Aucune alerte n'est supprimée définitivement sans validation humaine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0E0E0" w:sz="1"/>
              <w:left w:val="single" w:color="E0E0E0" w:sz="1"/>
              <w:bottom w:val="single" w:color="E0E0E0" w:sz="1"/>
              <w:right w:val="single" w:color="E0E0E0" w:sz="1"/>
            </w:tcBorders>
            <w:shd w:fill="D4500A"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Cold start</w:t>
            </w:r>
          </w:p>
        </w:tc>
        <w:tc>
          <w:tcPr>
            <w:tcW w:type="dxa" w:w="7560"/>
            <w:tcBorders>
              <w:top w:val="single" w:color="E0E0E0" w:sz="1"/>
              <w:left w:val="single" w:color="E0E0E0" w:sz="1"/>
              <w:bottom w:val="single" w:color="E0E0E0" w:sz="1"/>
              <w:right w:val="single" w:color="E0E0E0" w:sz="1"/>
            </w:tcBorders>
            <w:shd w:fill="FFF0E8" w:val="clear"/>
            <w:tcMar>
              <w:top w:type="dxa" w:w="120"/>
              <w:left w:type="dxa" w:w="200"/>
              <w:bottom w:type="dxa" w:w="120"/>
              <w:right w:type="dxa" w:w="160"/>
            </w:tcMar>
          </w:tcPr>
          <w:p>
            <w:r>
              <w:rPr>
                <w:rFonts w:ascii="Arial" w:cs="Arial" w:eastAsia="Arial" w:hAnsi="Arial"/>
                <w:color w:val="1A1A2E"/>
                <w:sz w:val="22"/>
                <w:szCs w:val="22"/>
              </w:rPr>
              <w:t xml:space="preserve">Le scoring de pertinence ne s'active qu'après 14 jours de données collectées. Les deux premières semaines, le produit est en mode observation uniquement. Cela est communiqué explicitement à l'utilisateur dès l'installation.</w:t>
            </w:r>
          </w:p>
        </w:tc>
      </w:tr>
    </w:tbl>
    <w:p>
      <w:pPr>
        <w:spacing w:after="120" w:before="120"/>
      </w:pPr>
      <w:r>
        <w:t xml:space="preserve"/>
      </w:r>
    </w:p>
    <w:p>
      <w:pPr>
        <w:pStyle w:val="Heading2"/>
        <w:spacing w:after="160" w:before="320"/>
      </w:pPr>
      <w:r>
        <w:rPr>
          <w:rFonts w:ascii="Arial" w:cs="Arial" w:eastAsia="Arial" w:hAnsi="Arial"/>
          <w:b/>
          <w:bCs/>
          <w:color w:val="D4500A"/>
          <w:sz w:val="28"/>
          <w:szCs w:val="28"/>
        </w:rPr>
        <w:t xml:space="preserve">COUCHE 3 — Espace de Travail NOC</w:t>
      </w:r>
    </w:p>
    <w:p>
      <w:pPr>
        <w:pStyle w:val="Heading3"/>
        <w:spacing w:after="120" w:before="240"/>
      </w:pPr>
      <w:r>
        <w:rPr>
          <w:rFonts w:ascii="Arial" w:cs="Arial" w:eastAsia="Arial" w:hAnsi="Arial"/>
          <w:b/>
          <w:bCs/>
          <w:color w:val="4A4A6A"/>
          <w:sz w:val="24"/>
          <w:szCs w:val="24"/>
        </w:rPr>
        <w:t xml:space="preserve">Problème résolu</w:t>
      </w:r>
    </w:p>
    <w:p>
      <w:pPr>
        <w:spacing w:after="80" w:before="80" w:line="320"/>
      </w:pPr>
      <w:r>
        <w:rPr>
          <w:rFonts w:ascii="Arial" w:cs="Arial" w:eastAsia="Arial" w:hAnsi="Arial"/>
          <w:color w:val="1A1A2E"/>
          <w:sz w:val="22"/>
          <w:szCs w:val="22"/>
        </w:rPr>
        <w:t xml:space="preserve">Le tableau de bord Zabbix natif est une liste d'alertes sans contexte, sans priorité actionnable, sans guide sur quoi faire en premier. L'opérateur NOC jongle entre plusieurs écrans et perd un temps précieux à comprendre la situation.</w:t>
      </w:r>
    </w:p>
    <w:p>
      <w:pPr>
        <w:spacing w:after="120" w:before="120"/>
      </w:pPr>
      <w:r>
        <w:t xml:space="preserve"/>
      </w:r>
    </w:p>
    <w:p>
      <w:pPr>
        <w:pStyle w:val="Heading3"/>
        <w:spacing w:after="120" w:before="240"/>
      </w:pPr>
      <w:r>
        <w:rPr>
          <w:rFonts w:ascii="Arial" w:cs="Arial" w:eastAsia="Arial" w:hAnsi="Arial"/>
          <w:b/>
          <w:bCs/>
          <w:color w:val="4A4A6A"/>
          <w:sz w:val="24"/>
          <w:szCs w:val="24"/>
        </w:rPr>
        <w:t xml:space="preserve">Ce que fait la couche 3</w:t>
      </w:r>
    </w:p>
    <w:p>
      <w:pPr>
        <w:pStyle w:val="ListParagraph"/>
        <w:numPr>
          <w:ilvl w:val="0"/>
          <w:numId w:val="3"/>
        </w:numPr>
        <w:spacing w:after="60" w:before="60"/>
      </w:pPr>
      <w:r>
        <w:rPr>
          <w:rFonts w:ascii="Arial" w:cs="Arial" w:eastAsia="Arial" w:hAnsi="Arial"/>
          <w:color w:val="1A1A2E"/>
          <w:sz w:val="22"/>
          <w:szCs w:val="22"/>
        </w:rPr>
        <w:t xml:space="preserve">File de travail priorisée : au lieu d'une liste d'alertes, l'opérateur voit une file d'incidents classés par impact réel sur les services business. La priorisation tient compte des SLA, des plages de maintenance, des horaires de batch, et des règles métier configurables</w:t>
      </w:r>
    </w:p>
    <w:p>
      <w:pPr>
        <w:pStyle w:val="ListParagraph"/>
        <w:numPr>
          <w:ilvl w:val="0"/>
          <w:numId w:val="3"/>
        </w:numPr>
        <w:spacing w:after="60" w:before="60"/>
      </w:pPr>
      <w:r>
        <w:rPr>
          <w:rFonts w:ascii="Arial" w:cs="Arial" w:eastAsia="Arial" w:hAnsi="Arial"/>
          <w:color w:val="1A1A2E"/>
          <w:sz w:val="22"/>
          <w:szCs w:val="22"/>
        </w:rPr>
        <w:t xml:space="preserve">Contexte par incident : historique récent du host, alertes corrélées, actions déjà prises par les autres opérateurs, première action suggérée</w:t>
      </w:r>
    </w:p>
    <w:p>
      <w:pPr>
        <w:pStyle w:val="ListParagraph"/>
        <w:numPr>
          <w:ilvl w:val="0"/>
          <w:numId w:val="3"/>
        </w:numPr>
        <w:spacing w:after="60" w:before="60"/>
      </w:pPr>
      <w:r>
        <w:rPr>
          <w:rFonts w:ascii="Arial" w:cs="Arial" w:eastAsia="Arial" w:hAnsi="Arial"/>
          <w:color w:val="1A1A2E"/>
          <w:sz w:val="22"/>
          <w:szCs w:val="22"/>
        </w:rPr>
        <w:t xml:space="preserve">Intégration ITSM : création et mise à jour automatique des tickets ServiceNow / JIRA Service Management via webhook ou API. Pas de ticketing interne concurrent — intégration dans l'existant</w:t>
      </w:r>
    </w:p>
    <w:p>
      <w:pPr>
        <w:pStyle w:val="ListParagraph"/>
        <w:numPr>
          <w:ilvl w:val="0"/>
          <w:numId w:val="3"/>
        </w:numPr>
        <w:spacing w:after="60" w:before="60"/>
      </w:pPr>
      <w:r>
        <w:rPr>
          <w:rFonts w:ascii="Arial" w:cs="Arial" w:eastAsia="Arial" w:hAnsi="Arial"/>
          <w:color w:val="1A1A2E"/>
          <w:sz w:val="22"/>
          <w:szCs w:val="22"/>
        </w:rPr>
        <w:t xml:space="preserve">Collaboration en temps réel : plusieurs opérateurs peuvent travailler simultanément, se voir mutuellement sur les incidents, et communiquer sans changer d'outil</w:t>
      </w:r>
    </w:p>
    <w:p>
      <w:pPr>
        <w:pStyle w:val="ListParagraph"/>
        <w:numPr>
          <w:ilvl w:val="0"/>
          <w:numId w:val="3"/>
        </w:numPr>
        <w:spacing w:after="60" w:before="60"/>
      </w:pPr>
      <w:r>
        <w:rPr>
          <w:rFonts w:ascii="Arial" w:cs="Arial" w:eastAsia="Arial" w:hAnsi="Arial"/>
          <w:color w:val="1A1A2E"/>
          <w:sz w:val="22"/>
          <w:szCs w:val="22"/>
        </w:rPr>
        <w:t xml:space="preserve">Vue multi-instances Zabbix : les alertes de toutes les instances Zabbix de l'entreprise sont agrégées dans une console unique</w:t>
      </w:r>
    </w:p>
    <w:p>
      <w:pPr>
        <w:spacing w:after="120" w:before="120"/>
      </w:pPr>
      <w:r>
        <w:t xml:space="preserve"/>
      </w:r>
    </w:p>
    <w:p>
      <w:pPr>
        <w:pStyle w:val="Heading2"/>
        <w:spacing w:after="160" w:before="320"/>
      </w:pPr>
      <w:r>
        <w:rPr>
          <w:rFonts w:ascii="Arial" w:cs="Arial" w:eastAsia="Arial" w:hAnsi="Arial"/>
          <w:b/>
          <w:bCs/>
          <w:color w:val="D4500A"/>
          <w:sz w:val="28"/>
          <w:szCs w:val="28"/>
        </w:rPr>
        <w:t xml:space="preserve">COUCHE 4 — Vue Service Management</w:t>
      </w:r>
    </w:p>
    <w:p>
      <w:pPr>
        <w:pStyle w:val="Heading3"/>
        <w:spacing w:after="120" w:before="240"/>
      </w:pPr>
      <w:r>
        <w:rPr>
          <w:rFonts w:ascii="Arial" w:cs="Arial" w:eastAsia="Arial" w:hAnsi="Arial"/>
          <w:b/>
          <w:bCs/>
          <w:color w:val="4A4A6A"/>
          <w:sz w:val="24"/>
          <w:szCs w:val="24"/>
        </w:rPr>
        <w:t xml:space="preserve">Problème résolu</w:t>
      </w:r>
    </w:p>
    <w:p>
      <w:pPr>
        <w:spacing w:after="80" w:before="80" w:line="320"/>
      </w:pPr>
      <w:r>
        <w:rPr>
          <w:rFonts w:ascii="Arial" w:cs="Arial" w:eastAsia="Arial" w:hAnsi="Arial"/>
          <w:color w:val="1A1A2E"/>
          <w:sz w:val="22"/>
          <w:szCs w:val="22"/>
        </w:rPr>
        <w:t xml:space="preserve">Le DSI ne peut pas répondre à la question 'est-ce que mon service de paiement fonctionne ?' parce que Zabbix monitore des hosts, pas des services business. Les rapports SLA sont produits manuellement dans Excel chaque fin de mois.</w:t>
      </w:r>
    </w:p>
    <w:p>
      <w:pPr>
        <w:spacing w:after="120" w:before="120"/>
      </w:pPr>
      <w:r>
        <w:t xml:space="preserve"/>
      </w:r>
    </w:p>
    <w:p>
      <w:pPr>
        <w:pStyle w:val="Heading3"/>
        <w:spacing w:after="120" w:before="240"/>
      </w:pPr>
      <w:r>
        <w:rPr>
          <w:rFonts w:ascii="Arial" w:cs="Arial" w:eastAsia="Arial" w:hAnsi="Arial"/>
          <w:b/>
          <w:bCs/>
          <w:color w:val="4A4A6A"/>
          <w:sz w:val="24"/>
          <w:szCs w:val="24"/>
        </w:rPr>
        <w:t xml:space="preserve">Ce que fait la couche 4</w:t>
      </w:r>
    </w:p>
    <w:p>
      <w:pPr>
        <w:pStyle w:val="ListParagraph"/>
        <w:numPr>
          <w:ilvl w:val="0"/>
          <w:numId w:val="3"/>
        </w:numPr>
        <w:spacing w:after="60" w:before="60"/>
      </w:pPr>
      <w:r>
        <w:rPr>
          <w:rFonts w:ascii="Arial" w:cs="Arial" w:eastAsia="Arial" w:hAnsi="Arial"/>
          <w:color w:val="1A1A2E"/>
          <w:sz w:val="22"/>
          <w:szCs w:val="22"/>
        </w:rPr>
        <w:t xml:space="preserve">Service Mapping : l'ingénieur définit une fois quels hosts et items Zabbix composent chaque service business. ZabbixPilot s'appuie sur le module Business Service Monitoring de Zabbix 6.0+ en le rendant accessible aux non-experts</w:t>
      </w:r>
    </w:p>
    <w:p>
      <w:pPr>
        <w:pStyle w:val="ListParagraph"/>
        <w:numPr>
          <w:ilvl w:val="0"/>
          <w:numId w:val="3"/>
        </w:numPr>
        <w:spacing w:after="60" w:before="60"/>
      </w:pPr>
      <w:r>
        <w:rPr>
          <w:rFonts w:ascii="Arial" w:cs="Arial" w:eastAsia="Arial" w:hAnsi="Arial"/>
          <w:color w:val="1A1A2E"/>
          <w:sz w:val="22"/>
          <w:szCs w:val="22"/>
        </w:rPr>
        <w:t xml:space="preserve">Score de santé en temps réel : chaque service business affiche un indicateur de disponibilité calculé en temps réel selon une logique pondérée configurable</w:t>
      </w:r>
    </w:p>
    <w:p>
      <w:pPr>
        <w:pStyle w:val="ListParagraph"/>
        <w:numPr>
          <w:ilvl w:val="0"/>
          <w:numId w:val="3"/>
        </w:numPr>
        <w:spacing w:after="60" w:before="60"/>
      </w:pPr>
      <w:r>
        <w:rPr>
          <w:rFonts w:ascii="Arial" w:cs="Arial" w:eastAsia="Arial" w:hAnsi="Arial"/>
          <w:color w:val="1A1A2E"/>
          <w:sz w:val="22"/>
          <w:szCs w:val="22"/>
        </w:rPr>
        <w:t xml:space="preserve">Vue management : interface dédiée au DSI et au top management. Uniquement les services business, leurs états, et leurs tendances. Aucun objet technique visible</w:t>
      </w:r>
    </w:p>
    <w:p>
      <w:pPr>
        <w:pStyle w:val="ListParagraph"/>
        <w:numPr>
          <w:ilvl w:val="0"/>
          <w:numId w:val="3"/>
        </w:numPr>
        <w:spacing w:after="60" w:before="60"/>
      </w:pPr>
      <w:r>
        <w:rPr>
          <w:rFonts w:ascii="Arial" w:cs="Arial" w:eastAsia="Arial" w:hAnsi="Arial"/>
          <w:color w:val="1A1A2E"/>
          <w:sz w:val="22"/>
          <w:szCs w:val="22"/>
        </w:rPr>
        <w:t xml:space="preserve">Rapport SLA automatique : généré en fin de période, avec disponibilité réelle vs objectif contractuel, liste des incidents, exclusion des maintenances, tendances sur 3/6/12 mois</w:t>
      </w:r>
    </w:p>
    <w:p>
      <w:pPr>
        <w:pStyle w:val="ListParagraph"/>
        <w:numPr>
          <w:ilvl w:val="0"/>
          <w:numId w:val="3"/>
        </w:numPr>
        <w:spacing w:after="60" w:before="60"/>
      </w:pPr>
      <w:r>
        <w:rPr>
          <w:rFonts w:ascii="Arial" w:cs="Arial" w:eastAsia="Arial" w:hAnsi="Arial"/>
          <w:color w:val="1A1A2E"/>
          <w:sz w:val="22"/>
          <w:szCs w:val="22"/>
        </w:rPr>
        <w:t xml:space="preserve">Synthèse LLM : un paragraphe en langage non technique est généré via API LLM pour chaque rapport. C'est l'unique usage de l'IA dans le produit — justifié par la nature du besoin (traduction technique vers business)</w:t>
      </w:r>
    </w:p>
    <w:p>
      <w:pPr>
        <w:spacing w:after="120" w:before="120"/>
      </w:pPr>
      <w:r>
        <w:t xml:space="preserve"/>
      </w:r>
    </w:p>
    <w:p>
      <w:r>
        <w:br w:type="page"/>
      </w:r>
    </w:p>
    <w:p>
      <w:pPr>
        <w:pStyle w:val="Heading1"/>
        <w:pBdr>
          <w:bottom w:val="single" w:color="D4500A" w:sz="8" w:space="4"/>
        </w:pBdr>
        <w:spacing w:after="200" w:before="400"/>
      </w:pPr>
      <w:r>
        <w:rPr>
          <w:rFonts w:ascii="Arial" w:cs="Arial" w:eastAsia="Arial" w:hAnsi="Arial"/>
          <w:b/>
          <w:bCs/>
          <w:color w:val="1A1A2E"/>
          <w:sz w:val="36"/>
          <w:szCs w:val="36"/>
        </w:rPr>
        <w:t xml:space="preserve">3. Périmètre et Limites</w:t>
      </w:r>
    </w:p>
    <w:p>
      <w:pPr>
        <w:spacing w:after="120" w:before="120"/>
      </w:pPr>
      <w:r>
        <w:t xml:space="preserve"/>
      </w:r>
    </w:p>
    <w:p>
      <w:pPr>
        <w:pStyle w:val="Heading2"/>
        <w:spacing w:after="160" w:before="320"/>
      </w:pPr>
      <w:r>
        <w:rPr>
          <w:rFonts w:ascii="Arial" w:cs="Arial" w:eastAsia="Arial" w:hAnsi="Arial"/>
          <w:b/>
          <w:bCs/>
          <w:color w:val="D4500A"/>
          <w:sz w:val="28"/>
          <w:szCs w:val="28"/>
        </w:rPr>
        <w:t xml:space="preserve">3.1 Ce que ZabbixPilot ne fait pas</w:t>
      </w:r>
    </w:p>
    <w:p>
      <w:pPr>
        <w:spacing w:after="80" w:before="80" w:line="320"/>
      </w:pPr>
      <w:r>
        <w:rPr>
          <w:rFonts w:ascii="Arial" w:cs="Arial" w:eastAsia="Arial" w:hAnsi="Arial"/>
          <w:color w:val="1A1A2E"/>
          <w:sz w:val="22"/>
          <w:szCs w:val="22"/>
        </w:rPr>
        <w:t xml:space="preserve">Définir les limites est aussi important que définir les fonctionnalités. ZabbixPilot ne remplace pas Zabbix — il le pilote. Zabbix reste le moteur de collecte des métriques. ZabbixPilot est la couche de pilotage, d'intelligence et de présentation.</w:t>
      </w:r>
    </w:p>
    <w:p>
      <w:pPr>
        <w:spacing w:after="120" w:before="120"/>
      </w:pPr>
      <w:r>
        <w:t xml:space="preserve"/>
      </w:r>
    </w:p>
    <w:p>
      <w:pPr>
        <w:pStyle w:val="ListParagraph"/>
        <w:numPr>
          <w:ilvl w:val="0"/>
          <w:numId w:val="2"/>
        </w:numPr>
        <w:spacing w:after="60" w:before="60"/>
      </w:pPr>
      <w:r>
        <w:rPr>
          <w:rFonts w:ascii="Arial" w:cs="Arial" w:eastAsia="Arial" w:hAnsi="Arial"/>
          <w:color w:val="1A1A2E"/>
          <w:sz w:val="22"/>
          <w:szCs w:val="22"/>
        </w:rPr>
        <w:t xml:space="preserve">ZabbixPilot n'installe pas Zabbix Server : le client doit avoir Zabbix opérationnel avant d'utiliser ZabbixPilot</w:t>
      </w:r>
    </w:p>
    <w:p>
      <w:pPr>
        <w:pStyle w:val="ListParagraph"/>
        <w:numPr>
          <w:ilvl w:val="0"/>
          <w:numId w:val="2"/>
        </w:numPr>
        <w:spacing w:after="60" w:before="60"/>
      </w:pPr>
      <w:r>
        <w:rPr>
          <w:rFonts w:ascii="Arial" w:cs="Arial" w:eastAsia="Arial" w:hAnsi="Arial"/>
          <w:color w:val="1A1A2E"/>
          <w:sz w:val="22"/>
          <w:szCs w:val="22"/>
        </w:rPr>
        <w:t xml:space="preserve">ZabbixPilot n'est pas un outil de métrologie avancée : pour des besoins de visualisation complexe, Grafana reste le bon outil et peut être utilisé en complément</w:t>
      </w:r>
    </w:p>
    <w:p>
      <w:pPr>
        <w:pStyle w:val="ListParagraph"/>
        <w:numPr>
          <w:ilvl w:val="0"/>
          <w:numId w:val="2"/>
        </w:numPr>
        <w:spacing w:after="60" w:before="60"/>
      </w:pPr>
      <w:r>
        <w:rPr>
          <w:rFonts w:ascii="Arial" w:cs="Arial" w:eastAsia="Arial" w:hAnsi="Arial"/>
          <w:color w:val="1A1A2E"/>
          <w:sz w:val="22"/>
          <w:szCs w:val="22"/>
        </w:rPr>
        <w:t xml:space="preserve">ZabbixPilot ne remplace pas un ITSM : il s'intègre à ServiceNow, JIRA, Remedy — il ne les concurrence pas</w:t>
      </w:r>
    </w:p>
    <w:p>
      <w:pPr>
        <w:pStyle w:val="ListParagraph"/>
        <w:numPr>
          <w:ilvl w:val="0"/>
          <w:numId w:val="2"/>
        </w:numPr>
        <w:spacing w:after="60" w:before="60"/>
      </w:pPr>
      <w:r>
        <w:rPr>
          <w:rFonts w:ascii="Arial" w:cs="Arial" w:eastAsia="Arial" w:hAnsi="Arial"/>
          <w:color w:val="1A1A2E"/>
          <w:sz w:val="22"/>
          <w:szCs w:val="22"/>
        </w:rPr>
        <w:t xml:space="preserve">ZabbixPilot n'automatise pas à 100% le provisioning : l'humain reste dans la boucle pour valider chaque étape. L'objectif est de réduire le temps d'intervention, pas de l'éliminer</w:t>
      </w:r>
    </w:p>
    <w:p>
      <w:pPr>
        <w:spacing w:after="120" w:before="120"/>
      </w:pPr>
      <w:r>
        <w:t xml:space="preserve"/>
      </w:r>
    </w:p>
    <w:p>
      <w:pPr>
        <w:pStyle w:val="Heading2"/>
        <w:spacing w:after="160" w:before="320"/>
      </w:pPr>
      <w:r>
        <w:rPr>
          <w:rFonts w:ascii="Arial" w:cs="Arial" w:eastAsia="Arial" w:hAnsi="Arial"/>
          <w:b/>
          <w:bCs/>
          <w:color w:val="D4500A"/>
          <w:sz w:val="28"/>
          <w:szCs w:val="28"/>
        </w:rPr>
        <w:t xml:space="preserve">3.2 Versions Zabbix supportées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Version Zabbix</w:t>
            </w:r>
          </w:p>
        </w:tc>
        <w:tc>
          <w:tcPr>
            <w:tcW w:type="dxa" w:w="6240"/>
            <w:tcBorders>
              <w:top w:val="single" w:color="E0E0E0" w:sz="1"/>
              <w:left w:val="single" w:color="E0E0E0" w:sz="1"/>
              <w:bottom w:val="single" w:color="E0E0E0" w:sz="1"/>
              <w:right w:val="single" w:color="E0E0E0"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Niveau de support</w:t>
            </w:r>
          </w:p>
        </w:tc>
      </w:tr>
      <w:tr>
        <w:tc>
          <w:tcPr>
            <w:tcW w:type="dxa" w:w="3120"/>
            <w:tcBorders>
              <w:top w:val="single" w:color="E0E0E0" w:sz="1"/>
              <w:left w:val="single" w:color="E0E0E0" w:sz="1"/>
              <w:bottom w:val="single" w:color="E0E0E0" w:sz="1"/>
              <w:right w:val="single" w:color="E0E0E0" w:sz="1"/>
            </w:tcBorders>
            <w:shd w:fill="F5F5FA" w:val="clear"/>
            <w:tcMar>
              <w:top w:type="dxa" w:w="100"/>
              <w:left w:type="dxa" w:w="160"/>
              <w:bottom w:type="dxa" w:w="100"/>
              <w:right w:type="dxa" w:w="160"/>
            </w:tcMar>
          </w:tcPr>
          <w:p>
            <w:r>
              <w:rPr>
                <w:rFonts w:ascii="Arial" w:cs="Arial" w:eastAsia="Arial" w:hAnsi="Arial"/>
                <w:b w:val="false"/>
                <w:bCs w:val="false"/>
                <w:color w:val="4A4A6A"/>
                <w:sz w:val="20"/>
                <w:szCs w:val="20"/>
              </w:rPr>
              <w:t xml:space="preserve">Zabbix 6.0 LTS</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Support complet — version principale cible</w:t>
            </w:r>
          </w:p>
        </w:tc>
      </w:tr>
      <w:tr>
        <w:tc>
          <w:tcPr>
            <w:tcW w:type="dxa" w:w="3120"/>
            <w:tcBorders>
              <w:top w:val="single" w:color="E0E0E0" w:sz="1"/>
              <w:left w:val="single" w:color="E0E0E0" w:sz="1"/>
              <w:bottom w:val="single" w:color="E0E0E0" w:sz="1"/>
              <w:right w:val="single" w:color="E0E0E0" w:sz="1"/>
            </w:tcBorders>
            <w:shd w:fill="F5F5FA" w:val="clear"/>
            <w:tcMar>
              <w:top w:type="dxa" w:w="100"/>
              <w:left w:type="dxa" w:w="160"/>
              <w:bottom w:type="dxa" w:w="100"/>
              <w:right w:type="dxa" w:w="160"/>
            </w:tcMar>
          </w:tcPr>
          <w:p>
            <w:r>
              <w:rPr>
                <w:rFonts w:ascii="Arial" w:cs="Arial" w:eastAsia="Arial" w:hAnsi="Arial"/>
                <w:b w:val="false"/>
                <w:bCs w:val="false"/>
                <w:color w:val="4A4A6A"/>
                <w:sz w:val="20"/>
                <w:szCs w:val="20"/>
              </w:rPr>
              <w:t xml:space="preserve">Zabbix 6.4</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Support complet</w:t>
            </w:r>
          </w:p>
        </w:tc>
      </w:tr>
      <w:tr>
        <w:tc>
          <w:tcPr>
            <w:tcW w:type="dxa" w:w="3120"/>
            <w:tcBorders>
              <w:top w:val="single" w:color="E0E0E0" w:sz="1"/>
              <w:left w:val="single" w:color="E0E0E0" w:sz="1"/>
              <w:bottom w:val="single" w:color="E0E0E0" w:sz="1"/>
              <w:right w:val="single" w:color="E0E0E0" w:sz="1"/>
            </w:tcBorders>
            <w:shd w:fill="F5F5FA" w:val="clear"/>
            <w:tcMar>
              <w:top w:type="dxa" w:w="100"/>
              <w:left w:type="dxa" w:w="160"/>
              <w:bottom w:type="dxa" w:w="100"/>
              <w:right w:type="dxa" w:w="160"/>
            </w:tcMar>
          </w:tcPr>
          <w:p>
            <w:r>
              <w:rPr>
                <w:rFonts w:ascii="Arial" w:cs="Arial" w:eastAsia="Arial" w:hAnsi="Arial"/>
                <w:b w:val="false"/>
                <w:bCs w:val="false"/>
                <w:color w:val="4A4A6A"/>
                <w:sz w:val="20"/>
                <w:szCs w:val="20"/>
              </w:rPr>
              <w:t xml:space="preserve">Zabbix 7.0 LTS</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Support complet — version future principale</w:t>
            </w:r>
          </w:p>
        </w:tc>
      </w:tr>
      <w:tr>
        <w:tc>
          <w:tcPr>
            <w:tcW w:type="dxa" w:w="3120"/>
            <w:tcBorders>
              <w:top w:val="single" w:color="E0E0E0" w:sz="1"/>
              <w:left w:val="single" w:color="E0E0E0" w:sz="1"/>
              <w:bottom w:val="single" w:color="E0E0E0" w:sz="1"/>
              <w:right w:val="single" w:color="E0E0E0" w:sz="1"/>
            </w:tcBorders>
            <w:shd w:fill="F5F5FA" w:val="clear"/>
            <w:tcMar>
              <w:top w:type="dxa" w:w="100"/>
              <w:left w:type="dxa" w:w="160"/>
              <w:bottom w:type="dxa" w:w="100"/>
              <w:right w:type="dxa" w:w="160"/>
            </w:tcMar>
          </w:tcPr>
          <w:p>
            <w:r>
              <w:rPr>
                <w:rFonts w:ascii="Arial" w:cs="Arial" w:eastAsia="Arial" w:hAnsi="Arial"/>
                <w:b w:val="false"/>
                <w:bCs w:val="false"/>
                <w:color w:val="4A4A6A"/>
                <w:sz w:val="20"/>
                <w:szCs w:val="20"/>
              </w:rPr>
              <w:t xml:space="preserve">Zabbix 5.4</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Support partiel — sans Business Services</w:t>
            </w:r>
          </w:p>
        </w:tc>
      </w:tr>
      <w:tr>
        <w:tc>
          <w:tcPr>
            <w:tcW w:type="dxa" w:w="3120"/>
            <w:tcBorders>
              <w:top w:val="single" w:color="E0E0E0" w:sz="1"/>
              <w:left w:val="single" w:color="E0E0E0" w:sz="1"/>
              <w:bottom w:val="single" w:color="E0E0E0" w:sz="1"/>
              <w:right w:val="single" w:color="E0E0E0" w:sz="1"/>
            </w:tcBorders>
            <w:shd w:fill="F5F5FA" w:val="clear"/>
            <w:tcMar>
              <w:top w:type="dxa" w:w="100"/>
              <w:left w:type="dxa" w:w="160"/>
              <w:bottom w:type="dxa" w:w="100"/>
              <w:right w:type="dxa" w:w="160"/>
            </w:tcMar>
          </w:tcPr>
          <w:p>
            <w:r>
              <w:rPr>
                <w:rFonts w:ascii="Arial" w:cs="Arial" w:eastAsia="Arial" w:hAnsi="Arial"/>
                <w:b w:val="false"/>
                <w:bCs w:val="false"/>
                <w:color w:val="4A4A6A"/>
                <w:sz w:val="20"/>
                <w:szCs w:val="20"/>
              </w:rPr>
              <w:t xml:space="preserve">Zabbix &lt; 5.4</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Non supporté</w:t>
            </w:r>
          </w:p>
        </w:tc>
      </w:tr>
    </w:tbl>
    <w:p>
      <w:pPr>
        <w:spacing w:after="120" w:before="120"/>
      </w:pPr>
      <w:r>
        <w:t xml:space="preserve"/>
      </w:r>
    </w:p>
    <w:p>
      <w:r>
        <w:br w:type="page"/>
      </w:r>
    </w:p>
    <w:p>
      <w:pPr>
        <w:pStyle w:val="Heading1"/>
        <w:pBdr>
          <w:bottom w:val="single" w:color="D4500A" w:sz="8" w:space="4"/>
        </w:pBdr>
        <w:spacing w:after="200" w:before="400"/>
      </w:pPr>
      <w:r>
        <w:rPr>
          <w:rFonts w:ascii="Arial" w:cs="Arial" w:eastAsia="Arial" w:hAnsi="Arial"/>
          <w:b/>
          <w:bCs/>
          <w:color w:val="1A1A2E"/>
          <w:sz w:val="36"/>
          <w:szCs w:val="36"/>
        </w:rPr>
        <w:t xml:space="preserve">4. Modèle Commercial</w:t>
      </w:r>
    </w:p>
    <w:p>
      <w:pPr>
        <w:spacing w:after="120" w:before="120"/>
      </w:pPr>
      <w:r>
        <w:t xml:space="preserve"/>
      </w:r>
    </w:p>
    <w:p>
      <w:pPr>
        <w:pStyle w:val="Heading2"/>
        <w:spacing w:after="160" w:before="320"/>
      </w:pPr>
      <w:r>
        <w:rPr>
          <w:rFonts w:ascii="Arial" w:cs="Arial" w:eastAsia="Arial" w:hAnsi="Arial"/>
          <w:b/>
          <w:bCs/>
          <w:color w:val="D4500A"/>
          <w:sz w:val="28"/>
          <w:szCs w:val="28"/>
        </w:rPr>
        <w:t xml:space="preserve">4.1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Offre</w:t>
            </w:r>
          </w:p>
        </w:tc>
        <w:tc>
          <w:tcPr>
            <w:tcW w:type="dxa" w:w="6240"/>
            <w:tcBorders>
              <w:top w:val="single" w:color="E0E0E0" w:sz="1"/>
              <w:left w:val="single" w:color="E0E0E0" w:sz="1"/>
              <w:bottom w:val="single" w:color="E0E0E0" w:sz="1"/>
              <w:right w:val="single" w:color="E0E0E0"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Description et tarif indicatif</w:t>
            </w:r>
          </w:p>
        </w:tc>
      </w:tr>
      <w:tr>
        <w:tc>
          <w:tcPr>
            <w:tcW w:type="dxa" w:w="3120"/>
            <w:tcBorders>
              <w:top w:val="single" w:color="E0E0E0" w:sz="1"/>
              <w:left w:val="single" w:color="E0E0E0" w:sz="1"/>
              <w:bottom w:val="single" w:color="E0E0E0" w:sz="1"/>
              <w:right w:val="single" w:color="E0E0E0" w:sz="1"/>
            </w:tcBorders>
            <w:shd w:fill="F5F5FA" w:val="clear"/>
            <w:tcMar>
              <w:top w:type="dxa" w:w="100"/>
              <w:left w:type="dxa" w:w="160"/>
              <w:bottom w:type="dxa" w:w="100"/>
              <w:right w:type="dxa" w:w="160"/>
            </w:tcMar>
          </w:tcPr>
          <w:p>
            <w:r>
              <w:rPr>
                <w:rFonts w:ascii="Arial" w:cs="Arial" w:eastAsia="Arial" w:hAnsi="Arial"/>
                <w:b w:val="false"/>
                <w:bCs w:val="false"/>
                <w:color w:val="4A4A6A"/>
                <w:sz w:val="20"/>
                <w:szCs w:val="20"/>
              </w:rPr>
              <w:t xml:space="preserve">Starter — SaaS</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Jusqu'à 500 hosts, 2 instances Zabbix, 5 users. 800 EUR/mois</w:t>
            </w:r>
          </w:p>
        </w:tc>
      </w:tr>
      <w:tr>
        <w:tc>
          <w:tcPr>
            <w:tcW w:type="dxa" w:w="3120"/>
            <w:tcBorders>
              <w:top w:val="single" w:color="E0E0E0" w:sz="1"/>
              <w:left w:val="single" w:color="E0E0E0" w:sz="1"/>
              <w:bottom w:val="single" w:color="E0E0E0" w:sz="1"/>
              <w:right w:val="single" w:color="E0E0E0" w:sz="1"/>
            </w:tcBorders>
            <w:shd w:fill="F5F5FA" w:val="clear"/>
            <w:tcMar>
              <w:top w:type="dxa" w:w="100"/>
              <w:left w:type="dxa" w:w="160"/>
              <w:bottom w:type="dxa" w:w="100"/>
              <w:right w:type="dxa" w:w="160"/>
            </w:tcMar>
          </w:tcPr>
          <w:p>
            <w:r>
              <w:rPr>
                <w:rFonts w:ascii="Arial" w:cs="Arial" w:eastAsia="Arial" w:hAnsi="Arial"/>
                <w:b w:val="false"/>
                <w:bCs w:val="false"/>
                <w:color w:val="4A4A6A"/>
                <w:sz w:val="20"/>
                <w:szCs w:val="20"/>
              </w:rPr>
              <w:t xml:space="preserve">Professional — SaaS</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Jusqu'à 2000 hosts, 5 instances Zabbix, 20 users. 2500 EUR/mois</w:t>
            </w:r>
          </w:p>
        </w:tc>
      </w:tr>
      <w:tr>
        <w:tc>
          <w:tcPr>
            <w:tcW w:type="dxa" w:w="3120"/>
            <w:tcBorders>
              <w:top w:val="single" w:color="E0E0E0" w:sz="1"/>
              <w:left w:val="single" w:color="E0E0E0" w:sz="1"/>
              <w:bottom w:val="single" w:color="E0E0E0" w:sz="1"/>
              <w:right w:val="single" w:color="E0E0E0" w:sz="1"/>
            </w:tcBorders>
            <w:shd w:fill="F5F5FA" w:val="clear"/>
            <w:tcMar>
              <w:top w:type="dxa" w:w="100"/>
              <w:left w:type="dxa" w:w="160"/>
              <w:bottom w:type="dxa" w:w="100"/>
              <w:right w:type="dxa" w:w="160"/>
            </w:tcMar>
          </w:tcPr>
          <w:p>
            <w:r>
              <w:rPr>
                <w:rFonts w:ascii="Arial" w:cs="Arial" w:eastAsia="Arial" w:hAnsi="Arial"/>
                <w:b w:val="false"/>
                <w:bCs w:val="false"/>
                <w:color w:val="4A4A6A"/>
                <w:sz w:val="20"/>
                <w:szCs w:val="20"/>
              </w:rPr>
              <w:t xml:space="preserve">Enterprise — SaaS</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Hosts illimités, instances illimitées, users illimités. Sur devis, min. 5000 EUR/mois</w:t>
            </w:r>
          </w:p>
        </w:tc>
      </w:tr>
      <w:tr>
        <w:tc>
          <w:tcPr>
            <w:tcW w:type="dxa" w:w="3120"/>
            <w:tcBorders>
              <w:top w:val="single" w:color="E0E0E0" w:sz="1"/>
              <w:left w:val="single" w:color="E0E0E0" w:sz="1"/>
              <w:bottom w:val="single" w:color="E0E0E0" w:sz="1"/>
              <w:right w:val="single" w:color="E0E0E0" w:sz="1"/>
            </w:tcBorders>
            <w:shd w:fill="F5F5FA" w:val="clear"/>
            <w:tcMar>
              <w:top w:type="dxa" w:w="100"/>
              <w:left w:type="dxa" w:w="160"/>
              <w:bottom w:type="dxa" w:w="100"/>
              <w:right w:type="dxa" w:w="160"/>
            </w:tcMar>
          </w:tcPr>
          <w:p>
            <w:r>
              <w:rPr>
                <w:rFonts w:ascii="Arial" w:cs="Arial" w:eastAsia="Arial" w:hAnsi="Arial"/>
                <w:b w:val="false"/>
                <w:bCs w:val="false"/>
                <w:color w:val="4A4A6A"/>
                <w:sz w:val="20"/>
                <w:szCs w:val="20"/>
              </w:rPr>
              <w:t xml:space="preserve">On-Premise</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Licence annuelle par déploiement. Sur devis selon taille de l'infrastructure</w:t>
            </w:r>
          </w:p>
        </w:tc>
      </w:tr>
      <w:tr>
        <w:tc>
          <w:tcPr>
            <w:tcW w:type="dxa" w:w="3120"/>
            <w:tcBorders>
              <w:top w:val="single" w:color="E0E0E0" w:sz="1"/>
              <w:left w:val="single" w:color="E0E0E0" w:sz="1"/>
              <w:bottom w:val="single" w:color="E0E0E0" w:sz="1"/>
              <w:right w:val="single" w:color="E0E0E0" w:sz="1"/>
            </w:tcBorders>
            <w:shd w:fill="F5F5FA" w:val="clear"/>
            <w:tcMar>
              <w:top w:type="dxa" w:w="100"/>
              <w:left w:type="dxa" w:w="160"/>
              <w:bottom w:type="dxa" w:w="100"/>
              <w:right w:type="dxa" w:w="160"/>
            </w:tcMar>
          </w:tcPr>
          <w:p>
            <w:r>
              <w:rPr>
                <w:rFonts w:ascii="Arial" w:cs="Arial" w:eastAsia="Arial" w:hAnsi="Arial"/>
                <w:b w:val="false"/>
                <w:bCs w:val="false"/>
                <w:color w:val="4A4A6A"/>
                <w:sz w:val="20"/>
                <w:szCs w:val="20"/>
              </w:rPr>
              <w:t xml:space="preserve">Implementation</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Forfait d'implémentation et de paramétrage initial. 3 000 à 15 000 EUR selon complexité</w:t>
            </w:r>
          </w:p>
        </w:tc>
      </w:tr>
    </w:tbl>
    <w:p>
      <w:pPr>
        <w:spacing w:after="120" w:before="120"/>
      </w:pPr>
      <w:r>
        <w:t xml:space="preserve"/>
      </w:r>
    </w:p>
    <w:p>
      <w:pPr>
        <w:pStyle w:val="Heading2"/>
        <w:spacing w:after="160" w:before="320"/>
      </w:pPr>
      <w:r>
        <w:rPr>
          <w:rFonts w:ascii="Arial" w:cs="Arial" w:eastAsia="Arial" w:hAnsi="Arial"/>
          <w:b/>
          <w:bCs/>
          <w:color w:val="D4500A"/>
          <w:sz w:val="28"/>
          <w:szCs w:val="28"/>
        </w:rPr>
        <w:t xml:space="preserve">4.2 Argument ROI pour le client</w:t>
      </w:r>
    </w:p>
    <w:p>
      <w:pPr>
        <w:spacing w:after="80" w:before="80" w:line="320"/>
      </w:pPr>
      <w:r>
        <w:rPr>
          <w:rFonts w:ascii="Arial" w:cs="Arial" w:eastAsia="Arial" w:hAnsi="Arial"/>
          <w:color w:val="1A1A2E"/>
          <w:sz w:val="22"/>
          <w:szCs w:val="22"/>
        </w:rPr>
        <w:t xml:space="preserve">L'argument de vente ne s'appuie pas sur le prix du logiciel mais sur le coût évité :</w:t>
      </w:r>
    </w:p>
    <w:p>
      <w:pPr>
        <w:spacing w:after="120" w:before="120"/>
      </w:pPr>
      <w:r>
        <w:t xml:space="preserve"/>
      </w:r>
    </w:p>
    <w:p>
      <w:pPr>
        <w:pStyle w:val="ListParagraph"/>
        <w:numPr>
          <w:ilvl w:val="0"/>
          <w:numId w:val="2"/>
        </w:numPr>
        <w:spacing w:after="60" w:before="60"/>
      </w:pPr>
      <w:r>
        <w:rPr>
          <w:rFonts w:ascii="Arial" w:cs="Arial" w:eastAsia="Arial" w:hAnsi="Arial"/>
          <w:color w:val="1A1A2E"/>
          <w:sz w:val="22"/>
          <w:szCs w:val="22"/>
        </w:rPr>
        <w:t xml:space="preserve">1 expert Zabbix = 1 000 EUR/jour. 60% de son temps sur du travail répétitif = 600 EUR/jour gaspillé. Sur 220 jours ouvrés : 132 000 EUR/an de travail non qualifié</w:t>
      </w:r>
    </w:p>
    <w:p>
      <w:pPr>
        <w:pStyle w:val="ListParagraph"/>
        <w:numPr>
          <w:ilvl w:val="0"/>
          <w:numId w:val="2"/>
        </w:numPr>
        <w:spacing w:after="60" w:before="60"/>
      </w:pPr>
      <w:r>
        <w:rPr>
          <w:rFonts w:ascii="Arial" w:cs="Arial" w:eastAsia="Arial" w:hAnsi="Arial"/>
          <w:color w:val="1A1A2E"/>
          <w:sz w:val="22"/>
          <w:szCs w:val="22"/>
        </w:rPr>
        <w:t xml:space="preserve">ZabbixPilot réduit ce gaspillage de 70% : économie estimée 90 000 EUR/an pour un seul expert</w:t>
      </w:r>
    </w:p>
    <w:p>
      <w:pPr>
        <w:pStyle w:val="ListParagraph"/>
        <w:numPr>
          <w:ilvl w:val="0"/>
          <w:numId w:val="2"/>
        </w:numPr>
        <w:spacing w:after="60" w:before="60"/>
      </w:pPr>
      <w:r>
        <w:rPr>
          <w:rFonts w:ascii="Arial" w:cs="Arial" w:eastAsia="Arial" w:hAnsi="Arial"/>
          <w:color w:val="1A1A2E"/>
          <w:sz w:val="22"/>
          <w:szCs w:val="22"/>
        </w:rPr>
        <w:t xml:space="preserve">ROI positif dès le 2ème mois pour une offre Professional à 2 500 EUR/mois</w:t>
      </w:r>
    </w:p>
    <w:p>
      <w:pPr>
        <w:spacing w:after="120" w:before="120"/>
      </w:pPr>
      <w:r>
        <w:t xml:space="preserve"/>
      </w:r>
    </w:p>
    <w:p>
      <w:pPr>
        <w:pStyle w:val="Heading2"/>
        <w:spacing w:after="160" w:before="320"/>
      </w:pPr>
      <w:r>
        <w:rPr>
          <w:rFonts w:ascii="Arial" w:cs="Arial" w:eastAsia="Arial" w:hAnsi="Arial"/>
          <w:b/>
          <w:bCs/>
          <w:color w:val="D4500A"/>
          <w:sz w:val="28"/>
          <w:szCs w:val="28"/>
        </w:rPr>
        <w:t xml:space="preserve">4.3 Déclencheurs d'achat identifiés</w:t>
      </w:r>
    </w:p>
    <w:p>
      <w:pPr>
        <w:pStyle w:val="ListParagraph"/>
        <w:numPr>
          <w:ilvl w:val="0"/>
          <w:numId w:val="2"/>
        </w:numPr>
        <w:spacing w:after="60" w:before="60"/>
      </w:pPr>
      <w:r>
        <w:rPr>
          <w:rFonts w:ascii="Arial" w:cs="Arial" w:eastAsia="Arial" w:hAnsi="Arial"/>
          <w:color w:val="1A1A2E"/>
          <w:sz w:val="22"/>
          <w:szCs w:val="22"/>
        </w:rPr>
        <w:t xml:space="preserve">Départ d'un expert Zabbix : l'entreprise réalise que le savoir est parti avec la personne</w:t>
      </w:r>
    </w:p>
    <w:p>
      <w:pPr>
        <w:pStyle w:val="ListParagraph"/>
        <w:numPr>
          <w:ilvl w:val="0"/>
          <w:numId w:val="2"/>
        </w:numPr>
        <w:spacing w:after="60" w:before="60"/>
      </w:pPr>
      <w:r>
        <w:rPr>
          <w:rFonts w:ascii="Arial" w:cs="Arial" w:eastAsia="Arial" w:hAnsi="Arial"/>
          <w:color w:val="1A1A2E"/>
          <w:sz w:val="22"/>
          <w:szCs w:val="22"/>
        </w:rPr>
        <w:t xml:space="preserve">Approche d'un audit NIS2, ISO 27001, PCI-DSS : besoin de traçabilité et de rapports certifiables</w:t>
      </w:r>
    </w:p>
    <w:p>
      <w:pPr>
        <w:pStyle w:val="ListParagraph"/>
        <w:numPr>
          <w:ilvl w:val="0"/>
          <w:numId w:val="2"/>
        </w:numPr>
        <w:spacing w:after="60" w:before="60"/>
      </w:pPr>
      <w:r>
        <w:rPr>
          <w:rFonts w:ascii="Arial" w:cs="Arial" w:eastAsia="Arial" w:hAnsi="Arial"/>
          <w:color w:val="1A1A2E"/>
          <w:sz w:val="22"/>
          <w:szCs w:val="22"/>
        </w:rPr>
        <w:t xml:space="preserve">Incident majeur post-mortem : la direction exige une meilleure visibilité sur l'état du SI</w:t>
      </w:r>
    </w:p>
    <w:p>
      <w:pPr>
        <w:pStyle w:val="ListParagraph"/>
        <w:numPr>
          <w:ilvl w:val="0"/>
          <w:numId w:val="2"/>
        </w:numPr>
        <w:spacing w:after="60" w:before="60"/>
      </w:pPr>
      <w:r>
        <w:rPr>
          <w:rFonts w:ascii="Arial" w:cs="Arial" w:eastAsia="Arial" w:hAnsi="Arial"/>
          <w:color w:val="1A1A2E"/>
          <w:sz w:val="22"/>
          <w:szCs w:val="22"/>
        </w:rPr>
        <w:t xml:space="preserve">Croissance du parc : le nombre de hosts dépasse la capacité manuelle de l'équipe</w:t>
      </w:r>
    </w:p>
    <w:p>
      <w:pPr>
        <w:pStyle w:val="ListParagraph"/>
        <w:numPr>
          <w:ilvl w:val="0"/>
          <w:numId w:val="2"/>
        </w:numPr>
        <w:spacing w:after="60" w:before="60"/>
      </w:pPr>
      <w:r>
        <w:rPr>
          <w:rFonts w:ascii="Arial" w:cs="Arial" w:eastAsia="Arial" w:hAnsi="Arial"/>
          <w:color w:val="1A1A2E"/>
          <w:sz w:val="22"/>
          <w:szCs w:val="22"/>
        </w:rPr>
        <w:t xml:space="preserve">Fusion-acquisition : deux infrastructures Zabbix à unifier sous une console unique</w:t>
      </w:r>
    </w:p>
    <w:p>
      <w:pPr>
        <w:spacing w:after="120" w:before="120"/>
      </w:pPr>
      <w:r>
        <w:t xml:space="preserve"/>
      </w:r>
    </w:p>
    <w:p>
      <w:r>
        <w:br w:type="page"/>
      </w:r>
    </w:p>
    <w:p>
      <w:pPr>
        <w:pStyle w:val="Heading1"/>
        <w:pBdr>
          <w:bottom w:val="single" w:color="D4500A" w:sz="8" w:space="4"/>
        </w:pBdr>
        <w:spacing w:after="200" w:before="400"/>
      </w:pPr>
      <w:r>
        <w:rPr>
          <w:rFonts w:ascii="Arial" w:cs="Arial" w:eastAsia="Arial" w:hAnsi="Arial"/>
          <w:b/>
          <w:bCs/>
          <w:color w:val="1A1A2E"/>
          <w:sz w:val="36"/>
          <w:szCs w:val="36"/>
        </w:rPr>
        <w:t xml:space="preserve">5. Fonctionnalités Transverses</w:t>
      </w:r>
    </w:p>
    <w:p>
      <w:pPr>
        <w:spacing w:after="120" w:before="120"/>
      </w:pPr>
      <w:r>
        <w:t xml:space="preserve"/>
      </w:r>
    </w:p>
    <w:p>
      <w:pPr>
        <w:pStyle w:val="Heading2"/>
        <w:spacing w:after="160" w:before="320"/>
      </w:pPr>
      <w:r>
        <w:rPr>
          <w:rFonts w:ascii="Arial" w:cs="Arial" w:eastAsia="Arial" w:hAnsi="Arial"/>
          <w:b/>
          <w:bCs/>
          <w:color w:val="D4500A"/>
          <w:sz w:val="28"/>
          <w:szCs w:val="28"/>
        </w:rPr>
        <w:t xml:space="preserve">5.1 Audit et Traçabilité</w:t>
      </w:r>
    </w:p>
    <w:p>
      <w:pPr>
        <w:spacing w:after="80" w:before="80" w:line="320"/>
      </w:pPr>
      <w:r>
        <w:rPr>
          <w:rFonts w:ascii="Arial" w:cs="Arial" w:eastAsia="Arial" w:hAnsi="Arial"/>
          <w:color w:val="1A1A2E"/>
          <w:sz w:val="22"/>
          <w:szCs w:val="22"/>
        </w:rPr>
        <w:t xml:space="preserve">Toute modification de configuration effectuée via ZabbixPilot est enregistrée dans un journal d'audit immuable : qui, quand, quoi avant, quoi après, et pourquoi (commentaire obligatoire pour les modifications critiques). Ce journal est exportable en PDF signé pour les auditeurs.</w:t>
      </w:r>
    </w:p>
    <w:p>
      <w:pPr>
        <w:spacing w:after="120" w:before="120"/>
      </w:pPr>
      <w:r>
        <w:t xml:space="preserve"/>
      </w:r>
    </w:p>
    <w:p>
      <w:pPr>
        <w:pStyle w:val="Heading2"/>
        <w:spacing w:after="160" w:before="320"/>
      </w:pPr>
      <w:r>
        <w:rPr>
          <w:rFonts w:ascii="Arial" w:cs="Arial" w:eastAsia="Arial" w:hAnsi="Arial"/>
          <w:b/>
          <w:bCs/>
          <w:color w:val="D4500A"/>
          <w:sz w:val="28"/>
          <w:szCs w:val="28"/>
        </w:rPr>
        <w:t xml:space="preserve">5.2 RBAC — Contrôle d'accès granulaire</w:t>
      </w:r>
    </w:p>
    <w:p>
      <w:pPr>
        <w:spacing w:after="80" w:before="80" w:line="320"/>
      </w:pPr>
      <w:r>
        <w:rPr>
          <w:rFonts w:ascii="Arial" w:cs="Arial" w:eastAsia="Arial" w:hAnsi="Arial"/>
          <w:color w:val="1A1A2E"/>
          <w:sz w:val="22"/>
          <w:szCs w:val="22"/>
        </w:rPr>
        <w:t xml:space="preserve">ZabbixPilot implémente un contrôle d'accès par rôle indépendant de Zabbix :</w:t>
      </w:r>
    </w:p>
    <w:p>
      <w:pPr>
        <w:pStyle w:val="ListParagraph"/>
        <w:numPr>
          <w:ilvl w:val="0"/>
          <w:numId w:val="2"/>
        </w:numPr>
        <w:spacing w:after="60" w:before="60"/>
      </w:pPr>
      <w:r>
        <w:rPr>
          <w:rFonts w:ascii="Arial" w:cs="Arial" w:eastAsia="Arial" w:hAnsi="Arial"/>
          <w:color w:val="1A1A2E"/>
          <w:sz w:val="22"/>
          <w:szCs w:val="22"/>
        </w:rPr>
        <w:t xml:space="preserve">Rôle Technicien Monitoring : accès complet au provisioning et au Template Builder</w:t>
      </w:r>
    </w:p>
    <w:p>
      <w:pPr>
        <w:pStyle w:val="ListParagraph"/>
        <w:numPr>
          <w:ilvl w:val="0"/>
          <w:numId w:val="2"/>
        </w:numPr>
        <w:spacing w:after="60" w:before="60"/>
      </w:pPr>
      <w:r>
        <w:rPr>
          <w:rFonts w:ascii="Arial" w:cs="Arial" w:eastAsia="Arial" w:hAnsi="Arial"/>
          <w:color w:val="1A1A2E"/>
          <w:sz w:val="22"/>
          <w:szCs w:val="22"/>
        </w:rPr>
        <w:t xml:space="preserve">Rôle Opérateur NOC : accès à l'espace de travail NOC uniquement</w:t>
      </w:r>
    </w:p>
    <w:p>
      <w:pPr>
        <w:pStyle w:val="ListParagraph"/>
        <w:numPr>
          <w:ilvl w:val="0"/>
          <w:numId w:val="2"/>
        </w:numPr>
        <w:spacing w:after="60" w:before="60"/>
      </w:pPr>
      <w:r>
        <w:rPr>
          <w:rFonts w:ascii="Arial" w:cs="Arial" w:eastAsia="Arial" w:hAnsi="Arial"/>
          <w:color w:val="1A1A2E"/>
          <w:sz w:val="22"/>
          <w:szCs w:val="22"/>
        </w:rPr>
        <w:t xml:space="preserve">Rôle Manager : accès à la vue service et aux rapports SLA</w:t>
      </w:r>
    </w:p>
    <w:p>
      <w:pPr>
        <w:pStyle w:val="ListParagraph"/>
        <w:numPr>
          <w:ilvl w:val="0"/>
          <w:numId w:val="2"/>
        </w:numPr>
        <w:spacing w:after="60" w:before="60"/>
      </w:pPr>
      <w:r>
        <w:rPr>
          <w:rFonts w:ascii="Arial" w:cs="Arial" w:eastAsia="Arial" w:hAnsi="Arial"/>
          <w:color w:val="1A1A2E"/>
          <w:sz w:val="22"/>
          <w:szCs w:val="22"/>
        </w:rPr>
        <w:t xml:space="preserve">Rôle DSI/Direction : vue service en lecture seule</w:t>
      </w:r>
    </w:p>
    <w:p>
      <w:pPr>
        <w:pStyle w:val="ListParagraph"/>
        <w:numPr>
          <w:ilvl w:val="0"/>
          <w:numId w:val="2"/>
        </w:numPr>
        <w:spacing w:after="60" w:before="60"/>
      </w:pPr>
      <w:r>
        <w:rPr>
          <w:rFonts w:ascii="Arial" w:cs="Arial" w:eastAsia="Arial" w:hAnsi="Arial"/>
          <w:color w:val="1A1A2E"/>
          <w:sz w:val="22"/>
          <w:szCs w:val="22"/>
        </w:rPr>
        <w:t xml:space="preserve">Rôle Admin : accès complet incluant la configuration des instances Zabbix</w:t>
      </w:r>
    </w:p>
    <w:p>
      <w:pPr>
        <w:pStyle w:val="ListParagraph"/>
        <w:numPr>
          <w:ilvl w:val="0"/>
          <w:numId w:val="2"/>
        </w:numPr>
        <w:spacing w:after="60" w:before="60"/>
      </w:pPr>
      <w:r>
        <w:rPr>
          <w:rFonts w:ascii="Arial" w:cs="Arial" w:eastAsia="Arial" w:hAnsi="Arial"/>
          <w:color w:val="1A1A2E"/>
          <w:sz w:val="22"/>
          <w:szCs w:val="22"/>
        </w:rPr>
        <w:t xml:space="preserve">Filtrage par domaine technologique, par localisation géographique, par instance Zabbix</w:t>
      </w:r>
    </w:p>
    <w:p>
      <w:pPr>
        <w:spacing w:after="120" w:before="120"/>
      </w:pPr>
      <w:r>
        <w:t xml:space="preserve"/>
      </w:r>
    </w:p>
    <w:p>
      <w:pPr>
        <w:pStyle w:val="Heading2"/>
        <w:spacing w:after="160" w:before="320"/>
      </w:pPr>
      <w:r>
        <w:rPr>
          <w:rFonts w:ascii="Arial" w:cs="Arial" w:eastAsia="Arial" w:hAnsi="Arial"/>
          <w:b/>
          <w:bCs/>
          <w:color w:val="D4500A"/>
          <w:sz w:val="28"/>
          <w:szCs w:val="28"/>
        </w:rPr>
        <w:t xml:space="preserve">5.3 Multi-instances Zabbix</w:t>
      </w:r>
    </w:p>
    <w:p>
      <w:pPr>
        <w:spacing w:after="80" w:before="80" w:line="320"/>
      </w:pPr>
      <w:r>
        <w:rPr>
          <w:rFonts w:ascii="Arial" w:cs="Arial" w:eastAsia="Arial" w:hAnsi="Arial"/>
          <w:color w:val="1A1A2E"/>
          <w:sz w:val="22"/>
          <w:szCs w:val="22"/>
        </w:rPr>
        <w:t xml:space="preserve">ZabbixPilot supporte nativement plusieurs instances Zabbix pour un même tenant. Les alertes sont agrégées, les templates peuvent être partagées entre instances, et les rapports couvrent l'ensemble du parc quel que soit le nombre d'instances.</w:t>
      </w:r>
    </w:p>
    <w:p>
      <w:pPr>
        <w:spacing w:after="120" w:before="120"/>
      </w:pPr>
      <w:r>
        <w:t xml:space="preserve"/>
      </w:r>
    </w:p>
    <w:p>
      <w:pPr>
        <w:pStyle w:val="Heading2"/>
        <w:spacing w:after="160" w:before="320"/>
      </w:pPr>
      <w:r>
        <w:rPr>
          <w:rFonts w:ascii="Arial" w:cs="Arial" w:eastAsia="Arial" w:hAnsi="Arial"/>
          <w:b/>
          <w:bCs/>
          <w:color w:val="D4500A"/>
          <w:sz w:val="28"/>
          <w:szCs w:val="28"/>
        </w:rPr>
        <w:t xml:space="preserve">5.4 Gestion des maintenances</w:t>
      </w:r>
    </w:p>
    <w:p>
      <w:pPr>
        <w:spacing w:after="80" w:before="80" w:line="320"/>
      </w:pPr>
      <w:r>
        <w:rPr>
          <w:rFonts w:ascii="Arial" w:cs="Arial" w:eastAsia="Arial" w:hAnsi="Arial"/>
          <w:color w:val="1A1A2E"/>
          <w:sz w:val="22"/>
          <w:szCs w:val="22"/>
        </w:rPr>
        <w:t xml:space="preserve">Intégration avec les calendriers ITSM et corporate pour créer automatiquement les périodes de maintenance Zabbix. Rapport post-maintenance automatique détaillant les alertes survenues et l'état de retour à la normale.</w:t>
      </w:r>
    </w:p>
    <w:p>
      <w:pPr>
        <w:spacing w:after="120" w:before="120"/>
      </w:pPr>
      <w:r>
        <w:t xml:space="preserve"/>
      </w:r>
    </w:p>
    <w:p>
      <w:pPr>
        <w:pStyle w:val="Heading2"/>
        <w:spacing w:after="160" w:before="320"/>
      </w:pPr>
      <w:r>
        <w:rPr>
          <w:rFonts w:ascii="Arial" w:cs="Arial" w:eastAsia="Arial" w:hAnsi="Arial"/>
          <w:b/>
          <w:bCs/>
          <w:color w:val="D4500A"/>
          <w:sz w:val="28"/>
          <w:szCs w:val="28"/>
        </w:rPr>
        <w:t xml:space="preserve">5.5 Rapports SLA</w:t>
      </w:r>
    </w:p>
    <w:p>
      <w:pPr>
        <w:spacing w:after="80" w:before="80" w:line="320"/>
      </w:pPr>
      <w:r>
        <w:rPr>
          <w:rFonts w:ascii="Arial" w:cs="Arial" w:eastAsia="Arial" w:hAnsi="Arial"/>
          <w:color w:val="1A1A2E"/>
          <w:sz w:val="22"/>
          <w:szCs w:val="22"/>
        </w:rPr>
        <w:t xml:space="preserve">Génération automatique de rapports de disponibilité par service business : disponibilité réelle vs objectif contractuel, incidents détaillés, maintenances exclues du calcul, tendances sur 3/6/12 mois. Format PDF personnalisé avec logo client. Envoi automatique par email aux destinataires configurés.</w:t>
      </w:r>
    </w:p>
    <w:p>
      <w:pPr>
        <w:spacing w:after="120" w:before="120"/>
      </w:pPr>
      <w:r>
        <w:t xml:space="preserve"/>
      </w:r>
    </w:p>
    <w:p>
      <w:r>
        <w:br w:type="page"/>
      </w:r>
    </w:p>
    <w:p>
      <w:pPr>
        <w:pStyle w:val="Heading1"/>
        <w:pBdr>
          <w:bottom w:val="single" w:color="D4500A" w:sz="8" w:space="4"/>
        </w:pBdr>
        <w:spacing w:after="200" w:before="400"/>
      </w:pPr>
      <w:r>
        <w:rPr>
          <w:rFonts w:ascii="Arial" w:cs="Arial" w:eastAsia="Arial" w:hAnsi="Arial"/>
          <w:b/>
          <w:bCs/>
          <w:color w:val="1A1A2E"/>
          <w:sz w:val="36"/>
          <w:szCs w:val="36"/>
        </w:rPr>
        <w:t xml:space="preserve">6. Feuille de Route de Développement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Phase</w:t>
            </w:r>
          </w:p>
        </w:tc>
        <w:tc>
          <w:tcPr>
            <w:tcW w:type="dxa" w:w="6240"/>
            <w:tcBorders>
              <w:top w:val="single" w:color="E0E0E0" w:sz="1"/>
              <w:left w:val="single" w:color="E0E0E0" w:sz="1"/>
              <w:bottom w:val="single" w:color="E0E0E0" w:sz="1"/>
              <w:right w:val="single" w:color="E0E0E0"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Contenu et objectif</w:t>
            </w:r>
          </w:p>
        </w:tc>
      </w:tr>
      <w:tr>
        <w:tc>
          <w:tcPr>
            <w:tcW w:type="dxa" w:w="3120"/>
            <w:tcBorders>
              <w:top w:val="single" w:color="E0E0E0" w:sz="1"/>
              <w:left w:val="single" w:color="E0E0E0" w:sz="1"/>
              <w:bottom w:val="single" w:color="E0E0E0" w:sz="1"/>
              <w:right w:val="single" w:color="E0E0E0" w:sz="1"/>
            </w:tcBorders>
            <w:shd w:fill="F5F5FA" w:val="clear"/>
            <w:tcMar>
              <w:top w:type="dxa" w:w="100"/>
              <w:left w:type="dxa" w:w="160"/>
              <w:bottom w:type="dxa" w:w="100"/>
              <w:right w:type="dxa" w:w="160"/>
            </w:tcMar>
          </w:tcPr>
          <w:p>
            <w:r>
              <w:rPr>
                <w:rFonts w:ascii="Arial" w:cs="Arial" w:eastAsia="Arial" w:hAnsi="Arial"/>
                <w:b w:val="false"/>
                <w:bCs w:val="false"/>
                <w:color w:val="4A4A6A"/>
                <w:sz w:val="20"/>
                <w:szCs w:val="20"/>
              </w:rPr>
              <w:t xml:space="preserve">Phase 1 — MVP (3 mois)</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Couche 1 complète : provisioning, détection OS, génération scripts, Template Builder, cycle de vie hosts. Objectif : premier client pilote</w:t>
            </w:r>
          </w:p>
        </w:tc>
      </w:tr>
      <w:tr>
        <w:tc>
          <w:tcPr>
            <w:tcW w:type="dxa" w:w="3120"/>
            <w:tcBorders>
              <w:top w:val="single" w:color="E0E0E0" w:sz="1"/>
              <w:left w:val="single" w:color="E0E0E0" w:sz="1"/>
              <w:bottom w:val="single" w:color="E0E0E0" w:sz="1"/>
              <w:right w:val="single" w:color="E0E0E0" w:sz="1"/>
            </w:tcBorders>
            <w:shd w:fill="F5F5FA" w:val="clear"/>
            <w:tcMar>
              <w:top w:type="dxa" w:w="100"/>
              <w:left w:type="dxa" w:w="160"/>
              <w:bottom w:type="dxa" w:w="100"/>
              <w:right w:type="dxa" w:w="160"/>
            </w:tcMar>
          </w:tcPr>
          <w:p>
            <w:r>
              <w:rPr>
                <w:rFonts w:ascii="Arial" w:cs="Arial" w:eastAsia="Arial" w:hAnsi="Arial"/>
                <w:b w:val="false"/>
                <w:bCs w:val="false"/>
                <w:color w:val="4A4A6A"/>
                <w:sz w:val="20"/>
                <w:szCs w:val="20"/>
              </w:rPr>
              <w:t xml:space="preserve">Phase 2 (2 mois)</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Couche 2 : corrélation d'alertes, scoring de pertinence, gestion maintenances. Objectif : validation NOC</w:t>
            </w:r>
          </w:p>
        </w:tc>
      </w:tr>
      <w:tr>
        <w:tc>
          <w:tcPr>
            <w:tcW w:type="dxa" w:w="3120"/>
            <w:tcBorders>
              <w:top w:val="single" w:color="E0E0E0" w:sz="1"/>
              <w:left w:val="single" w:color="E0E0E0" w:sz="1"/>
              <w:bottom w:val="single" w:color="E0E0E0" w:sz="1"/>
              <w:right w:val="single" w:color="E0E0E0" w:sz="1"/>
            </w:tcBorders>
            <w:shd w:fill="F5F5FA" w:val="clear"/>
            <w:tcMar>
              <w:top w:type="dxa" w:w="100"/>
              <w:left w:type="dxa" w:w="160"/>
              <w:bottom w:type="dxa" w:w="100"/>
              <w:right w:type="dxa" w:w="160"/>
            </w:tcMar>
          </w:tcPr>
          <w:p>
            <w:r>
              <w:rPr>
                <w:rFonts w:ascii="Arial" w:cs="Arial" w:eastAsia="Arial" w:hAnsi="Arial"/>
                <w:b w:val="false"/>
                <w:bCs w:val="false"/>
                <w:color w:val="4A4A6A"/>
                <w:sz w:val="20"/>
                <w:szCs w:val="20"/>
              </w:rPr>
              <w:t xml:space="preserve">Phase 3 (2 mois)</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Couche 3 : espace de travail NOC, intégration ITSM, multi-instances. Objectif : déploiement NOC complet</w:t>
            </w:r>
          </w:p>
        </w:tc>
      </w:tr>
      <w:tr>
        <w:tc>
          <w:tcPr>
            <w:tcW w:type="dxa" w:w="3120"/>
            <w:tcBorders>
              <w:top w:val="single" w:color="E0E0E0" w:sz="1"/>
              <w:left w:val="single" w:color="E0E0E0" w:sz="1"/>
              <w:bottom w:val="single" w:color="E0E0E0" w:sz="1"/>
              <w:right w:val="single" w:color="E0E0E0" w:sz="1"/>
            </w:tcBorders>
            <w:shd w:fill="F5F5FA" w:val="clear"/>
            <w:tcMar>
              <w:top w:type="dxa" w:w="100"/>
              <w:left w:type="dxa" w:w="160"/>
              <w:bottom w:type="dxa" w:w="100"/>
              <w:right w:type="dxa" w:w="160"/>
            </w:tcMar>
          </w:tcPr>
          <w:p>
            <w:r>
              <w:rPr>
                <w:rFonts w:ascii="Arial" w:cs="Arial" w:eastAsia="Arial" w:hAnsi="Arial"/>
                <w:b w:val="false"/>
                <w:bCs w:val="false"/>
                <w:color w:val="4A4A6A"/>
                <w:sz w:val="20"/>
                <w:szCs w:val="20"/>
              </w:rPr>
              <w:t xml:space="preserve">Phase 4 (2 mois)</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Couche 4 : service mapping, vue management, rapports SLA automatiques. Objectif : vente DSI</w:t>
            </w:r>
          </w:p>
        </w:tc>
      </w:tr>
      <w:tr>
        <w:tc>
          <w:tcPr>
            <w:tcW w:type="dxa" w:w="3120"/>
            <w:tcBorders>
              <w:top w:val="single" w:color="E0E0E0" w:sz="1"/>
              <w:left w:val="single" w:color="E0E0E0" w:sz="1"/>
              <w:bottom w:val="single" w:color="E0E0E0" w:sz="1"/>
              <w:right w:val="single" w:color="E0E0E0" w:sz="1"/>
            </w:tcBorders>
            <w:shd w:fill="F5F5FA" w:val="clear"/>
            <w:tcMar>
              <w:top w:type="dxa" w:w="100"/>
              <w:left w:type="dxa" w:w="160"/>
              <w:bottom w:type="dxa" w:w="100"/>
              <w:right w:type="dxa" w:w="160"/>
            </w:tcMar>
          </w:tcPr>
          <w:p>
            <w:r>
              <w:rPr>
                <w:rFonts w:ascii="Arial" w:cs="Arial" w:eastAsia="Arial" w:hAnsi="Arial"/>
                <w:b w:val="false"/>
                <w:bCs w:val="false"/>
                <w:color w:val="4A4A6A"/>
                <w:sz w:val="20"/>
                <w:szCs w:val="20"/>
              </w:rPr>
              <w:t xml:space="preserve">Phase 5 (continu)</w:t>
            </w:r>
          </w:p>
        </w:tc>
        <w:tc>
          <w:tcPr>
            <w:tcW w:type="dxa" w:w="624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Marketplace de templates, connecteurs additionnels, optimisations performance</w:t>
            </w:r>
          </w:p>
        </w:tc>
      </w:tr>
    </w:tbl>
    <w:p>
      <w:pPr>
        <w:spacing w:after="120" w:before="120"/>
      </w:pPr>
      <w:r>
        <w:t xml:space="preserve"/>
      </w:r>
    </w:p>
    <w:p>
      <w:pPr>
        <w:spacing w:after="80" w:before="80" w:line="320"/>
      </w:pPr>
      <w:r>
        <w:rPr>
          <w:rFonts w:ascii="Arial" w:cs="Arial" w:eastAsia="Arial" w:hAnsi="Arial"/>
          <w:color w:val="1A1A2E"/>
          <w:sz w:val="22"/>
          <w:szCs w:val="22"/>
        </w:rPr>
        <w:t xml:space="preserve">Chaque phase produit une version livrable et testable. Pas de big bang. Le client pilote de la Phase 1 accompagne le développement des phases suivantes.</w:t>
      </w:r>
    </w:p>
    <w:p>
      <w:pPr>
        <w:spacing w:after="120" w:before="120"/>
      </w:pPr>
      <w:r>
        <w:t xml:space="preserve"/>
      </w:r>
    </w:p>
    <w:p>
      <w:r>
        <w:br w:type="page"/>
      </w:r>
    </w:p>
    <w:p>
      <w:pPr>
        <w:pStyle w:val="Heading1"/>
        <w:pBdr>
          <w:bottom w:val="single" w:color="D4500A" w:sz="8" w:space="4"/>
        </w:pBdr>
        <w:spacing w:after="200" w:before="400"/>
      </w:pPr>
      <w:r>
        <w:rPr>
          <w:rFonts w:ascii="Arial" w:cs="Arial" w:eastAsia="Arial" w:hAnsi="Arial"/>
          <w:b/>
          <w:bCs/>
          <w:color w:val="1A1A2E"/>
          <w:sz w:val="36"/>
          <w:szCs w:val="36"/>
        </w:rPr>
        <w:t xml:space="preserve">7. Synthèse Exécutive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0E0E0" w:sz="1"/>
              <w:left w:val="single" w:color="E0E0E0" w:sz="1"/>
              <w:bottom w:val="single" w:color="E0E0E0" w:sz="1"/>
              <w:right w:val="single" w:color="E0E0E0" w:sz="1"/>
            </w:tcBorders>
            <w:shd w:fill="D4500A"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En une phrase</w:t>
            </w:r>
          </w:p>
        </w:tc>
        <w:tc>
          <w:tcPr>
            <w:tcW w:type="dxa" w:w="7560"/>
            <w:tcBorders>
              <w:top w:val="single" w:color="E0E0E0" w:sz="1"/>
              <w:left w:val="single" w:color="E0E0E0" w:sz="1"/>
              <w:bottom w:val="single" w:color="E0E0E0" w:sz="1"/>
              <w:right w:val="single" w:color="E0E0E0" w:sz="1"/>
            </w:tcBorders>
            <w:shd w:fill="FFF0E8" w:val="clear"/>
            <w:tcMar>
              <w:top w:type="dxa" w:w="120"/>
              <w:left w:type="dxa" w:w="200"/>
              <w:bottom w:type="dxa" w:w="120"/>
              <w:right w:type="dxa" w:w="160"/>
            </w:tcMar>
          </w:tcPr>
          <w:p>
            <w:r>
              <w:rPr>
                <w:rFonts w:ascii="Arial" w:cs="Arial" w:eastAsia="Arial" w:hAnsi="Arial"/>
                <w:color w:val="1A1A2E"/>
                <w:sz w:val="22"/>
                <w:szCs w:val="22"/>
              </w:rPr>
              <w:t xml:space="preserve">ZabbixPilot transforme Zabbix d'un outil expert solitaire en une plateforme de monitoring d'entreprise industrielle, accessible à tous les niveaux hiérarchiques, gouvernée, traçable, et orientée valeur business.</w:t>
            </w:r>
          </w:p>
        </w:tc>
      </w:tr>
    </w:tbl>
    <w:p>
      <w:pPr>
        <w:spacing w:after="120" w:before="120"/>
      </w:pPr>
      <w:r>
        <w:t xml:space="preserve"/>
      </w:r>
    </w:p>
    <w:p>
      <w:pPr>
        <w:spacing w:after="80" w:before="80" w:line="320"/>
      </w:pPr>
      <w:r>
        <w:rPr>
          <w:rFonts w:ascii="Arial" w:cs="Arial" w:eastAsia="Arial" w:hAnsi="Arial"/>
          <w:color w:val="1A1A2E"/>
          <w:sz w:val="22"/>
          <w:szCs w:val="22"/>
        </w:rPr>
        <w:t xml:space="preserve">Le produit répond à une douleur réelle, mesurable en euros, vécue quotidiennement par toutes les grandes entreprises qui utilisent Zabbix. Il n'invente pas un besoin — il industrialise une expertise qui existe mais qui ne se capitalise pas aujourd'hui.</w:t>
      </w:r>
    </w:p>
    <w:p>
      <w:pPr>
        <w:spacing w:after="120" w:before="120"/>
      </w:pPr>
      <w:r>
        <w:t xml:space="preserve"/>
      </w:r>
    </w:p>
    <w:p>
      <w:pPr>
        <w:spacing w:after="80" w:before="80" w:line="320"/>
      </w:pPr>
      <w:r>
        <w:rPr>
          <w:rFonts w:ascii="Arial" w:cs="Arial" w:eastAsia="Arial" w:hAnsi="Arial"/>
          <w:color w:val="1A1A2E"/>
          <w:sz w:val="22"/>
          <w:szCs w:val="22"/>
        </w:rPr>
        <w:t xml:space="preserve">Sa différenciation est technique et fonctionnelle : aucun produit sur le marché n'adresse le cycle de vie complet du monitoring Zabbix, de l'onboarding d'un host jusqu'au rapport de disponibilité pour le DSI, en passant par la gouvernance des templates et l'intelligence des alertes.</w:t>
      </w:r>
    </w:p>
    <w:p>
      <w:pPr>
        <w:spacing w:after="120" w:before="120"/>
      </w:pPr>
      <w:r>
        <w:t xml:space="preserve"/>
      </w:r>
    </w:p>
    <w:p>
      <w:pPr>
        <w:spacing w:after="80" w:before="80" w:line="320"/>
      </w:pPr>
      <w:r>
        <w:rPr>
          <w:rFonts w:ascii="Arial" w:cs="Arial" w:eastAsia="Arial" w:hAnsi="Arial"/>
          <w:color w:val="1A1A2E"/>
          <w:sz w:val="22"/>
          <w:szCs w:val="22"/>
        </w:rPr>
        <w:t xml:space="preserve">Le modèle hybride SaaS + On-Premise ouvre le marché à la fois aux PME IT-mature et aux grands comptes sensibles à la souveraineté des données — les deux segments les plus solides en termes de budget et de fidélité client.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500A" w:sz="6" w:space="4"/>
      </w:pBdr>
    </w:pPr>
    <w:r>
      <w:rPr>
        <w:rFonts w:ascii="Arial" w:cs="Arial" w:eastAsia="Arial" w:hAnsi="Arial"/>
        <w:color w:val="4A4A6A"/>
        <w:sz w:val="18"/>
        <w:szCs w:val="18"/>
      </w:rPr>
      <w:t xml:space="preserve">Confidentiel — Document Projet v1.0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500A" w:sz="6" w:space="4"/>
      </w:pBdr>
    </w:pPr>
    <w:r>
      <w:rPr>
        <w:rFonts w:ascii="Arial" w:cs="Arial" w:eastAsia="Arial" w:hAnsi="Arial"/>
        <w:b/>
        <w:bCs/>
        <w:color w:val="D4500A"/>
        <w:sz w:val="20"/>
        <w:szCs w:val="20"/>
      </w:rPr>
      <w:t xml:space="preserve">ZabbixPilot  </w:t>
    </w:r>
    <w:r>
      <w:rPr>
        <w:rFonts w:ascii="Arial" w:cs="Arial" w:eastAsia="Arial" w:hAnsi="Arial"/>
        <w:color w:val="4A4A6A"/>
        <w:sz w:val="20"/>
        <w:szCs w:val="20"/>
      </w:rPr>
      <w:t xml:space="preserve">— Plateforme de Monitoring Industriel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D4500A"/>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D4500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A4A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2026-04-15T10:35:30.244Z</dcterms:created>
  <dcterms:modified xsi:type="dcterms:W3CDTF">2026-04-15T10:35:30.245Z</dcterms:modified>
</cp:coreProperties>
</file>

<file path=docProps/custom.xml><?xml version="1.0" encoding="utf-8"?>
<Properties xmlns="http://schemas.openxmlformats.org/officeDocument/2006/custom-properties" xmlns:vt="http://schemas.openxmlformats.org/officeDocument/2006/docPropsVTypes"/>
</file>