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Processus Production</w:t>
      </w:r>
    </w:p>
    <w:p>
      <w:r>
        <w:t>1.1. Contexte et hypothèses</w:t>
      </w:r>
    </w:p>
    <w:p>
      <w:r>
        <w:t>[Contenu à remplacer]</w:t>
      </w:r>
    </w:p>
    <w:p>
      <w:r>
        <w:t>1.2. Principales règles de gestion</w:t>
      </w:r>
    </w:p>
    <w:p>
      <w:r>
        <w:t>[Contenu à remplacer]</w:t>
      </w:r>
    </w:p>
    <w:p>
      <w:r>
        <w:t>1.3. Documents et statistiques</w:t>
      </w:r>
    </w:p>
    <w:p>
      <w:r>
        <w:t>[Contenu à remplacer]</w:t>
      </w:r>
    </w:p>
    <w:p>
      <w:r>
        <w:t>1.4. Volume des données</w:t>
      </w:r>
    </w:p>
    <w:p>
      <w:r>
        <w:t>[Contenu à remplacer]</w:t>
      </w:r>
    </w:p>
    <w:p>
      <w:r>
        <w:t>1.5. Écarts critiques et interfaces</w:t>
      </w:r>
    </w:p>
    <w:p>
      <w:r>
        <w:t>[Contenu à remplacer]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