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From River to Financial Close: A Developer, Lender and Government Framework for Hydropower Projects in Africa</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1.0 release candidate 1 (pre-publication review)</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From River to Financial Close: A Developer, Lender and Government Framework for Hydropower Projects in Africa. First edition, version 1.0 release candidate 1 (pre-publication). Paperback ISBN-13: 979-8178961780. Independently published.</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35"/>
            <w:shd w:val="clear" w:color="auto" w:fill="0B3020"/>
          </w:tcPr>
          <w:p>
            <w:pPr>
              <w:spacing w:after="0"/>
            </w:pPr>
            <w:r>
              <w:rPr>
                <w:b/>
                <w:color w:val="FFFFFF"/>
                <w:sz w:val="16"/>
              </w:rPr>
              <w:t>Book</w:t>
            </w:r>
          </w:p>
        </w:tc>
        <w:tc>
          <w:tcPr>
            <w:tcW w:type="dxa" w:w="3188"/>
            <w:shd w:val="clear" w:color="auto" w:fill="0B3020"/>
          </w:tcPr>
          <w:p>
            <w:pPr>
              <w:spacing w:after="0"/>
            </w:pPr>
            <w:r>
              <w:rPr>
                <w:b/>
                <w:color w:val="FFFFFF"/>
                <w:sz w:val="16"/>
              </w:rPr>
              <w:t>Subject</w:t>
            </w:r>
          </w:p>
        </w:tc>
        <w:tc>
          <w:tcPr>
            <w:tcW w:type="dxa" w:w="4348"/>
            <w:shd w:val="clear" w:color="auto" w:fill="0B3020"/>
          </w:tcPr>
          <w:p>
            <w:pPr>
              <w:spacing w:after="0"/>
            </w:pPr>
            <w:r>
              <w:rPr>
                <w:b/>
                <w:color w:val="FFFFFF"/>
                <w:sz w:val="16"/>
              </w:rPr>
              <w:t>Central question</w:t>
            </w:r>
          </w:p>
        </w:tc>
        <w:tc>
          <w:tcPr>
            <w:tcW w:type="dxa" w:w="1667"/>
            <w:shd w:val="clear" w:color="auto" w:fill="0B3020"/>
          </w:tcPr>
          <w:p>
            <w:pPr>
              <w:spacing w:after="0"/>
            </w:pPr>
            <w:r>
              <w:rPr>
                <w:b/>
                <w:color w:val="FFFFFF"/>
                <w:sz w:val="16"/>
              </w:rPr>
              <w:t>Status</w:t>
            </w:r>
          </w:p>
        </w:tc>
      </w:tr>
      <w:tr>
        <w:tc>
          <w:tcPr>
            <w:tcW w:type="dxa" w:w="435"/>
          </w:tcPr>
          <w:p>
            <w:pPr>
              <w:spacing w:after="0"/>
            </w:pPr>
            <w:r>
              <w:rPr>
                <w:color w:val="1D1D1D"/>
                <w:sz w:val="16"/>
              </w:rPr>
              <w:t>Book 1</w:t>
            </w:r>
          </w:p>
        </w:tc>
        <w:tc>
          <w:tcPr>
            <w:tcW w:type="dxa" w:w="3188"/>
          </w:tcPr>
          <w:p>
            <w:pPr>
              <w:spacing w:after="0"/>
            </w:pPr>
            <w:r>
              <w:rPr>
                <w:color w:val="1D1D1D"/>
                <w:sz w:val="16"/>
              </w:rPr>
              <w:t>Mini grids</w:t>
            </w:r>
          </w:p>
        </w:tc>
        <w:tc>
          <w:tcPr>
            <w:tcW w:type="dxa" w:w="4348"/>
          </w:tcPr>
          <w:p>
            <w:pPr>
              <w:spacing w:after="0"/>
            </w:pPr>
            <w:r>
              <w:rPr>
                <w:color w:val="1D1D1D"/>
                <w:sz w:val="16"/>
              </w:rPr>
              <w:t>Can this mini grid become a sustainable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2</w:t>
            </w:r>
          </w:p>
        </w:tc>
        <w:tc>
          <w:tcPr>
            <w:tcW w:type="dxa" w:w="3188"/>
            <w:shd w:val="clear" w:color="auto" w:fill="FAF8F2"/>
          </w:tcPr>
          <w:p>
            <w:pPr>
              <w:spacing w:after="0"/>
            </w:pPr>
            <w:r>
              <w:rPr>
                <w:color w:val="1D1D1D"/>
                <w:sz w:val="16"/>
              </w:rPr>
              <w:t>Solar home systems (PAYGo)</w:t>
            </w:r>
          </w:p>
        </w:tc>
        <w:tc>
          <w:tcPr>
            <w:tcW w:type="dxa" w:w="4348"/>
            <w:shd w:val="clear" w:color="auto" w:fill="FAF8F2"/>
          </w:tcPr>
          <w:p>
            <w:pPr>
              <w:spacing w:after="0"/>
            </w:pPr>
            <w:r>
              <w:rPr>
                <w:color w:val="1D1D1D"/>
                <w:sz w:val="16"/>
              </w:rPr>
              <w:t>Can PAYGo solar become profitable and financeable?</w:t>
            </w:r>
          </w:p>
        </w:tc>
        <w:tc>
          <w:tcPr>
            <w:tcW w:type="dxa" w:w="1667"/>
            <w:shd w:val="clear" w:color="auto" w:fill="FAF8F2"/>
          </w:tcPr>
          <w:p>
            <w:pPr>
              <w:spacing w:after="0"/>
            </w:pPr>
            <w:r>
              <w:rPr>
                <w:color w:val="1D1D1D"/>
                <w:sz w:val="16"/>
              </w:rPr>
              <w:t>First edition</w:t>
            </w:r>
          </w:p>
        </w:tc>
      </w:tr>
      <w:tr>
        <w:tc>
          <w:tcPr>
            <w:tcW w:type="dxa" w:w="435"/>
          </w:tcPr>
          <w:p>
            <w:pPr>
              <w:spacing w:after="0"/>
            </w:pPr>
            <w:r>
              <w:rPr>
                <w:color w:val="1D1D1D"/>
                <w:sz w:val="16"/>
              </w:rPr>
              <w:t>Book 3</w:t>
            </w:r>
          </w:p>
        </w:tc>
        <w:tc>
          <w:tcPr>
            <w:tcW w:type="dxa" w:w="3188"/>
          </w:tcPr>
          <w:p>
            <w:pPr>
              <w:spacing w:after="0"/>
            </w:pPr>
            <w:r>
              <w:rPr>
                <w:color w:val="1D1D1D"/>
                <w:sz w:val="16"/>
              </w:rPr>
              <w:t>Clean cooking</w:t>
            </w:r>
          </w:p>
        </w:tc>
        <w:tc>
          <w:tcPr>
            <w:tcW w:type="dxa" w:w="4348"/>
          </w:tcPr>
          <w:p>
            <w:pPr>
              <w:spacing w:after="0"/>
            </w:pPr>
            <w:r>
              <w:rPr>
                <w:color w:val="1D1D1D"/>
                <w:sz w:val="16"/>
              </w:rPr>
              <w:t>Can clean cooking scale as a commercial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4</w:t>
            </w:r>
          </w:p>
        </w:tc>
        <w:tc>
          <w:tcPr>
            <w:tcW w:type="dxa" w:w="3188"/>
            <w:shd w:val="clear" w:color="auto" w:fill="FAF8F2"/>
          </w:tcPr>
          <w:p>
            <w:pPr>
              <w:spacing w:after="0"/>
            </w:pPr>
            <w:r>
              <w:rPr>
                <w:color w:val="1D1D1D"/>
                <w:sz w:val="16"/>
              </w:rPr>
              <w:t>Commercial and industrial solar with storage</w:t>
            </w:r>
          </w:p>
        </w:tc>
        <w:tc>
          <w:tcPr>
            <w:tcW w:type="dxa" w:w="4348"/>
            <w:shd w:val="clear" w:color="auto" w:fill="FAF8F2"/>
          </w:tcPr>
          <w:p>
            <w:pPr>
              <w:spacing w:after="0"/>
            </w:pPr>
            <w:r>
              <w:rPr>
                <w:color w:val="1D1D1D"/>
                <w:sz w:val="16"/>
              </w:rPr>
              <w:t>Should the customer invest, sign a PPA or use an energy service company?</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5</w:t>
            </w:r>
          </w:p>
        </w:tc>
        <w:tc>
          <w:tcPr>
            <w:tcW w:type="dxa" w:w="3188"/>
          </w:tcPr>
          <w:p>
            <w:pPr>
              <w:spacing w:after="0"/>
            </w:pPr>
            <w:r>
              <w:rPr>
                <w:color w:val="1D1D1D"/>
                <w:sz w:val="16"/>
              </w:rPr>
              <w:t>Energy access fund</w:t>
            </w:r>
          </w:p>
        </w:tc>
        <w:tc>
          <w:tcPr>
            <w:tcW w:type="dxa" w:w="4348"/>
          </w:tcPr>
          <w:p>
            <w:pPr>
              <w:spacing w:after="0"/>
            </w:pPr>
            <w:r>
              <w:rPr>
                <w:color w:val="1D1D1D"/>
                <w:sz w:val="16"/>
              </w:rPr>
              <w:t>Can a fund mobilise capital and generate sustainable returns?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6</w:t>
            </w:r>
          </w:p>
        </w:tc>
        <w:tc>
          <w:tcPr>
            <w:tcW w:type="dxa" w:w="3188"/>
            <w:shd w:val="clear" w:color="auto" w:fill="FAF8F2"/>
          </w:tcPr>
          <w:p>
            <w:pPr>
              <w:spacing w:after="0"/>
            </w:pPr>
            <w:r>
              <w:rPr>
                <w:color w:val="1D1D1D"/>
                <w:sz w:val="16"/>
              </w:rPr>
              <w:t>Power utilities</w:t>
            </w:r>
          </w:p>
        </w:tc>
        <w:tc>
          <w:tcPr>
            <w:tcW w:type="dxa" w:w="4348"/>
            <w:shd w:val="clear" w:color="auto" w:fill="FAF8F2"/>
          </w:tcPr>
          <w:p>
            <w:pPr>
              <w:spacing w:after="0"/>
            </w:pPr>
            <w:r>
              <w:rPr>
                <w:color w:val="1D1D1D"/>
                <w:sz w:val="16"/>
              </w:rPr>
              <w:t>Can the utility become financially sustainable?</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7</w:t>
            </w:r>
          </w:p>
        </w:tc>
        <w:tc>
          <w:tcPr>
            <w:tcW w:type="dxa" w:w="3188"/>
          </w:tcPr>
          <w:p>
            <w:pPr>
              <w:spacing w:after="0"/>
            </w:pPr>
            <w:r>
              <w:rPr>
                <w:color w:val="1D1D1D"/>
                <w:sz w:val="16"/>
              </w:rPr>
              <w:t>Hydropower: this book</w:t>
            </w:r>
          </w:p>
        </w:tc>
        <w:tc>
          <w:tcPr>
            <w:tcW w:type="dxa" w:w="4348"/>
          </w:tcPr>
          <w:p>
            <w:pPr>
              <w:spacing w:after="0"/>
            </w:pPr>
            <w:r>
              <w:rPr>
                <w:color w:val="1D1D1D"/>
                <w:sz w:val="16"/>
              </w:rPr>
              <w:t>Can this hydropower project be developed to financial close and financed on terms the developer, the lenders and the state can each accept?</w:t>
            </w:r>
          </w:p>
        </w:tc>
        <w:tc>
          <w:tcPr>
            <w:tcW w:type="dxa" w:w="1667"/>
          </w:tcPr>
          <w:p>
            <w:pPr>
              <w:spacing w:after="0"/>
            </w:pPr>
            <w:r>
              <w:rPr>
                <w:color w:val="1D1D1D"/>
                <w:sz w:val="16"/>
              </w:rPr>
              <w:t>First edition, v1.0 RC1</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07"/>
            <w:shd w:val="clear" w:color="auto" w:fill="0B3020"/>
          </w:tcPr>
          <w:p>
            <w:pPr>
              <w:spacing w:after="0"/>
            </w:pPr>
            <w:r>
              <w:rPr>
                <w:b/>
                <w:color w:val="FFFFFF"/>
                <w:sz w:val="16"/>
              </w:rPr>
              <w:t>Product</w:t>
            </w:r>
          </w:p>
        </w:tc>
        <w:tc>
          <w:tcPr>
            <w:tcW w:type="dxa" w:w="4477"/>
            <w:shd w:val="clear" w:color="auto" w:fill="0B3020"/>
          </w:tcPr>
          <w:p>
            <w:pPr>
              <w:spacing w:after="0"/>
            </w:pPr>
            <w:r>
              <w:rPr>
                <w:b/>
                <w:color w:val="FFFFFF"/>
                <w:sz w:val="16"/>
              </w:rPr>
              <w:t>Name</w:t>
            </w:r>
          </w:p>
        </w:tc>
        <w:tc>
          <w:tcPr>
            <w:tcW w:type="dxa" w:w="4553"/>
            <w:shd w:val="clear" w:color="auto" w:fill="0B3020"/>
          </w:tcPr>
          <w:p>
            <w:pPr>
              <w:spacing w:after="0"/>
            </w:pPr>
            <w:r>
              <w:rPr>
                <w:b/>
                <w:color w:val="FFFFFF"/>
                <w:sz w:val="16"/>
              </w:rPr>
              <w:t>Role</w:t>
            </w:r>
          </w:p>
        </w:tc>
      </w:tr>
      <w:tr>
        <w:tc>
          <w:tcPr>
            <w:tcW w:type="dxa" w:w="607"/>
          </w:tcPr>
          <w:p>
            <w:pPr>
              <w:spacing w:after="0"/>
            </w:pPr>
            <w:r>
              <w:rPr>
                <w:color w:val="1D1D1D"/>
                <w:sz w:val="16"/>
              </w:rPr>
              <w:t>Book</w:t>
            </w:r>
          </w:p>
        </w:tc>
        <w:tc>
          <w:tcPr>
            <w:tcW w:type="dxa" w:w="4477"/>
          </w:tcPr>
          <w:p>
            <w:pPr>
              <w:spacing w:after="0"/>
            </w:pPr>
            <w:r>
              <w:rPr>
                <w:color w:val="1D1D1D"/>
                <w:sz w:val="16"/>
              </w:rPr>
              <w:t>Hydropower Development and Finance (this book)</w:t>
            </w:r>
          </w:p>
        </w:tc>
        <w:tc>
          <w:tcPr>
            <w:tcW w:type="dxa" w:w="4553"/>
          </w:tcPr>
          <w:p>
            <w:pPr>
              <w:spacing w:after="0"/>
            </w:pPr>
            <w:r>
              <w:rPr>
                <w:color w:val="1D1D1D"/>
                <w:sz w:val="16"/>
              </w:rPr>
              <w:t>Explains the method and why it works</w:t>
            </w:r>
          </w:p>
        </w:tc>
      </w:tr>
      <w:tr>
        <w:tc>
          <w:tcPr>
            <w:tcW w:type="dxa" w:w="607"/>
            <w:shd w:val="clear" w:color="auto" w:fill="FAF8F2"/>
          </w:tcPr>
          <w:p>
            <w:pPr>
              <w:spacing w:after="0"/>
            </w:pPr>
            <w:r>
              <w:rPr>
                <w:color w:val="1D1D1D"/>
                <w:sz w:val="16"/>
              </w:rPr>
              <w:t>Model</w:t>
            </w:r>
          </w:p>
        </w:tc>
        <w:tc>
          <w:tcPr>
            <w:tcW w:type="dxa" w:w="4477"/>
            <w:shd w:val="clear" w:color="auto" w:fill="FAF8F2"/>
          </w:tcPr>
          <w:p>
            <w:pPr>
              <w:spacing w:after="0"/>
            </w:pPr>
            <w:r>
              <w:rPr>
                <w:color w:val="1D1D1D"/>
                <w:sz w:val="16"/>
              </w:rPr>
              <w:t>MODEL 7: Hydropower Development and Finance Model, v1.0 RC1</w:t>
            </w:r>
          </w:p>
        </w:tc>
        <w:tc>
          <w:tcPr>
            <w:tcW w:type="dxa" w:w="4553"/>
            <w:shd w:val="clear" w:color="auto" w:fill="FAF8F2"/>
          </w:tcPr>
          <w:p>
            <w:pPr>
              <w:spacing w:after="0"/>
            </w:pPr>
            <w:r>
              <w:rPr>
                <w:color w:val="1D1D1D"/>
                <w:sz w:val="16"/>
              </w:rPr>
              <w:t>Quantifies the method: annual, 40-period, integrated project, utility and public-finance model with a development module, a 9-gate development screen, the 23 financial close gates, a framework map and a book consistency check</w:t>
            </w:r>
          </w:p>
        </w:tc>
      </w:tr>
      <w:tr>
        <w:tc>
          <w:tcPr>
            <w:tcW w:type="dxa" w:w="607"/>
          </w:tcPr>
          <w:p>
            <w:pPr>
              <w:spacing w:after="0"/>
            </w:pPr>
            <w:r>
              <w:rPr>
                <w:color w:val="1D1D1D"/>
                <w:sz w:val="16"/>
              </w:rPr>
              <w:t>Manual</w:t>
            </w:r>
          </w:p>
        </w:tc>
        <w:tc>
          <w:tcPr>
            <w:tcW w:type="dxa" w:w="4477"/>
          </w:tcPr>
          <w:p>
            <w:pPr>
              <w:spacing w:after="0"/>
            </w:pPr>
            <w:r>
              <w:rPr>
                <w:color w:val="1D1D1D"/>
                <w:sz w:val="16"/>
              </w:rPr>
              <w:t>MANUAL 7: User and Methodology Manual, v1.0 RC1</w:t>
            </w:r>
          </w:p>
        </w:tc>
        <w:tc>
          <w:tcPr>
            <w:tcW w:type="dxa" w:w="4553"/>
          </w:tcPr>
          <w:p>
            <w:pPr>
              <w:spacing w:after="0"/>
            </w:pPr>
            <w:r>
              <w:rPr>
                <w:color w:val="1D1D1D"/>
                <w:sz w:val="16"/>
              </w:rPr>
              <w:t>Teaches the reader to operate the model</w:t>
            </w:r>
          </w:p>
        </w:tc>
      </w:tr>
      <w:tr>
        <w:tc>
          <w:tcPr>
            <w:tcW w:type="dxa" w:w="607"/>
            <w:shd w:val="clear" w:color="auto" w:fill="FAF8F2"/>
          </w:tcPr>
          <w:p>
            <w:pPr>
              <w:spacing w:after="0"/>
            </w:pPr>
            <w:r>
              <w:rPr>
                <w:color w:val="1D1D1D"/>
                <w:sz w:val="16"/>
              </w:rPr>
              <w:t>Case</w:t>
            </w:r>
          </w:p>
        </w:tc>
        <w:tc>
          <w:tcPr>
            <w:tcW w:type="dxa" w:w="4477"/>
            <w:shd w:val="clear" w:color="auto" w:fill="FAF8F2"/>
          </w:tcPr>
          <w:p>
            <w:pPr>
              <w:spacing w:after="0"/>
            </w:pPr>
            <w:r>
              <w:rPr>
                <w:color w:val="1D1D1D"/>
                <w:sz w:val="16"/>
              </w:rPr>
              <w:t>CASE 7: Kasiri River Hydro, v1.0 RC1</w:t>
            </w:r>
          </w:p>
        </w:tc>
        <w:tc>
          <w:tcPr>
            <w:tcW w:type="dxa" w:w="4553"/>
            <w:shd w:val="clear" w:color="auto" w:fill="FAF8F2"/>
          </w:tcPr>
          <w:p>
            <w:pPr>
              <w:spacing w:after="0"/>
            </w:pPr>
            <w:r>
              <w:rPr>
                <w:color w:val="1D1D1D"/>
                <w:sz w:val="16"/>
              </w:rPr>
              <w:t>Demonstrates the method on a fictional 60 MW run-of-river project</w:t>
            </w:r>
          </w:p>
        </w:tc>
      </w:tr>
      <w:tr>
        <w:tc>
          <w:tcPr>
            <w:tcW w:type="dxa" w:w="607"/>
          </w:tcPr>
          <w:p>
            <w:pPr>
              <w:spacing w:after="0"/>
            </w:pPr>
            <w:r>
              <w:rPr>
                <w:color w:val="1D1D1D"/>
                <w:sz w:val="16"/>
              </w:rPr>
              <w:t>Training</w:t>
            </w:r>
          </w:p>
        </w:tc>
        <w:tc>
          <w:tcPr>
            <w:tcW w:type="dxa" w:w="4477"/>
          </w:tcPr>
          <w:p>
            <w:pPr>
              <w:spacing w:after="0"/>
            </w:pPr>
            <w:r>
              <w:rPr>
                <w:color w:val="1D1D1D"/>
                <w:sz w:val="16"/>
              </w:rPr>
              <w:t>Video course</w:t>
            </w:r>
          </w:p>
        </w:tc>
        <w:tc>
          <w:tcPr>
            <w:tcW w:type="dxa" w:w="4553"/>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pPr>
        <w:pStyle w:val="Heading2"/>
      </w:pPr>
      <w:r>
        <w:t>What this book is, and what it is not</w:t>
      </w:r>
    </w:p>
    <w:p>
      <w:pPr>
        <w:jc w:val="both"/>
      </w:pPr>
      <w:r>
        <w:rPr/>
        <w:t>This is an investment committee guide to developing and financing hydropower projects in Africa. It connects hydrology, development risk, the power purchase agreement, construction, project finance, the developer's returns, the buyer's creditworthiness and the state's exposure in one route to financial close, and it asks for evidence at every step.</w:t>
      </w:r>
    </w:p>
    <w:p>
      <w:pPr>
        <w:jc w:val="both"/>
      </w:pPr>
      <w:r>
        <w:rPr/>
        <w:t>It is not a hydropower engineering textbook: the detailed design of dams, waterways and turbines is covered well elsewhere. But a decision-maker has to be able to challenge the engineer's numbers, so the book carries a technical reference, Annexes N to R, on hydrology and energy, layout and civil works, electromechanical equipment, construction and operation, and environmental and social due diligence, at the depth needed to ask the right questions and read the answers. It is not a general project finance book: debt sizing, cover ratios and security packages are treated only as far as hydro and African buyers change them. And it is not a guide to writing a feasibility study.</w:t>
      </w:r>
    </w:p>
    <w:p>
      <w:pPr>
        <w:jc w:val="both"/>
      </w:pPr>
      <w:r>
        <w:rPr/>
        <w:t>It is a decision framework for four questions that every hydro project faces before anyone puts more money into it. Should the project proceed? Who should fund each stage? Who should carry each risk? And is it actually ready to close?</w:t>
      </w:r>
    </w:p>
    <w:p>
      <w:pPr>
        <w:jc w:val="both"/>
      </w:pPr>
      <w:r>
        <w:rPr/>
        <w:t>Africa is not a chapter of the book; it is the setting of every chapter. Currency, the creditworthiness of state utilities, the role of development finance institutions and blended finance, the cost of transmission, the fiscal capacity of the state and the risk of regulatory change shape the answers throughout, and the evidence cited comes mostly from African projects.</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Four ideas that run through the book</w:t>
      </w:r>
    </w:p>
    <w:p>
      <w:pPr>
        <w:jc w:val="both"/>
      </w:pPr>
      <w:r>
        <w:rPr/>
        <w:t>Four ideas recur in every chapter, and together they are the book's method.</w:t>
      </w:r>
    </w:p>
    <w:p>
      <w:pPr>
        <w:jc w:val="both"/>
      </w:pPr>
      <w:r>
        <w:rPr/>
        <w:t>The first is that a hydro project is three investments in one asset: a development option, a construction contract and an operating annuity. Each has its own risk, its own capital, its own cost of capital and its own way of failing. A project can be a good asset after commercial operation and a poor decision at the development stage, and the Kasiri case shows exactly that.</w:t>
      </w:r>
    </w:p>
    <w:p>
      <w:pPr>
        <w:jc w:val="both"/>
      </w:pPr>
      <w:r>
        <w:rPr/>
        <w:t>The second is that "feasible", "bankable", "investable", "affordable" and "ready" are different words for different tests. The book separates eight questions and answers each with its own evidence.</w:t>
      </w:r>
    </w:p>
    <w:p>
      <w:pPr>
        <w:jc w:val="both"/>
      </w:pPr>
      <w:r>
        <w:rPr/>
        <w:t>The third is that a project closes only if three parties accept it at once: the developer, the lenders and the state. A structure that satisfies two of them by moving risk onto the third is not a solution; it is a transfer, and the book measures it.</w:t>
      </w:r>
    </w:p>
    <w:p>
      <w:pPr>
        <w:jc w:val="both"/>
      </w:pPr>
      <w:r>
        <w:rPr/>
        <w:t>The fourth is that financial close is the result of evidence, not of negotiation alone. The book's 23 readiness gates, applied in the model, turn the eight questions into a close decision: STOP, NOT READY, CONDITIONAL GO or GO.</w:t>
      </w:r>
    </w:p>
    <w:p>
      <w:pPr>
        <w:jc w:val="both"/>
      </w:pPr>
      <w:r>
        <w:rPr/>
        <w:t>The second and fourth ideas together form the Hydro Readiness Framework™, set out in the Introduction: eight questions, 23 gates, one financial close decision.</w:t>
      </w:r>
    </w:p>
    <w:p>
      <w:pPr>
        <w:pStyle w:val="Heading2"/>
      </w:pPr>
      <w:r>
        <w:t>How this book relates to other works</w:t>
      </w:r>
    </w:p>
    <w:p>
      <w:pPr>
        <w:jc w:val="both"/>
      </w:pPr>
      <w:r>
        <w:rPr/>
        <w:t>Book 7 is not the first work to connect hydropower with finance, and it does not try to replace the works that came before it.</w:t>
      </w:r>
    </w:p>
    <w:p>
      <w:pPr>
        <w:jc w:val="both"/>
      </w:pPr>
      <w:r>
        <w:rPr/>
        <w:t xml:space="preserve">The most complete public guide is the IFC's </w:t>
      </w:r>
      <w:r>
        <w:rPr>
          <w:i/>
        </w:rPr>
        <w:t>Hydroelectric Power: A Guide for Developers and Investors</w:t>
      </w:r>
      <w:r>
        <w:rPr/>
        <w:t>, published in 2015 [LIT:S1]. It covers the whole development cycle, from site selection to operation. By its own account, its technical sections "are more detailed and can be used as reference, while the permitting/licensing and financing sections are intended more as a high-level review" [LIT:S1]. Book 7 starts where that guide stops. The IFC guide explains how a hydro project is developed; this book explains how to decide whether it should continue, how it should be financed, who should bear each risk and whether it is ready to close.</w:t>
      </w:r>
    </w:p>
    <w:p>
      <w:pPr>
        <w:jc w:val="both"/>
      </w:pPr>
      <w:r>
        <w:rPr/>
        <w:t xml:space="preserve">The closest predecessor in purpose appears to be the </w:t>
      </w:r>
      <w:r>
        <w:rPr>
          <w:i/>
        </w:rPr>
        <w:t>Hydro Finance Handbook</w:t>
      </w:r>
      <w:r>
        <w:rPr/>
        <w:t xml:space="preserve"> of 2008, described as a companion to a hydro finance tutorial at HydroVision 2008 and as covering the financial aspects of hydro development and the steps towards financial close [LIT:S2]. We could see only a search summary of it, and its publisher and authors are not confirmed here, so the comparison rests on that description. On that basis, Book 7 differs in three ways: it values the development stage itself, before any financing; it tests the project from the positions of the developer, the lenders and the state at once; and it treats financial close as the outcome of 23 evidence gates rather than as a sequence of steps.</w:t>
      </w:r>
    </w:p>
    <w:p>
      <w:pPr>
        <w:jc w:val="both"/>
      </w:pPr>
      <w:r>
        <w:rPr/>
        <w:t>The University of Cambridge Institute for Sustainability Leadership published in 2019 an introduction to the concepts and terminology of financing sustainable hydropower in emerging markets [LIT:S3]. It introduces the terms and concepts of finance for large hydropower in emerging markets, for readers new to finance, to hydropower or to both. This book assumes that grounding and uses it to reach a decision.</w:t>
      </w:r>
    </w:p>
    <w:p>
      <w:pPr>
        <w:jc w:val="both"/>
      </w:pPr>
      <w:r>
        <w:rPr/>
        <w:t>General project finance works treat debt sizing, cash flow available for debt service and lender requirements in far more depth than this book does, among them Gatti's textbook [LIT:S5] and, for the power sector, Nongena's practical guide to senior debt for electricity projects, listed by Springer for 2026 [LIT:S4]. They are not specific to hydrology, to African utilities or to the state's balance sheet. Readers who need the full mechanics of project finance should read them alongside this book.</w:t>
      </w:r>
    </w:p>
    <w:p>
      <w:pPr>
        <w:keepNext/>
      </w:pPr>
      <w:r>
        <w:rPr>
          <w:b/>
          <w:color w:val="0B3020"/>
          <w:sz w:val="18"/>
        </w:rPr>
        <w:t>Table P.1. What this book adds to existing works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80"/>
            <w:shd w:val="clear" w:color="auto" w:fill="0B3020"/>
          </w:tcPr>
          <w:p>
            <w:pPr>
              <w:spacing w:after="0"/>
            </w:pPr>
            <w:r>
              <w:rPr>
                <w:b/>
                <w:color w:val="FFFFFF"/>
                <w:sz w:val="16"/>
              </w:rPr>
              <w:t>Work</w:t>
            </w:r>
          </w:p>
        </w:tc>
        <w:tc>
          <w:tcPr>
            <w:tcW w:type="dxa" w:w="2653"/>
            <w:shd w:val="clear" w:color="auto" w:fill="0B3020"/>
          </w:tcPr>
          <w:p>
            <w:pPr>
              <w:spacing w:after="0"/>
            </w:pPr>
            <w:r>
              <w:rPr>
                <w:b/>
                <w:color w:val="FFFFFF"/>
                <w:sz w:val="16"/>
              </w:rPr>
              <w:t>Its strength</w:t>
            </w:r>
          </w:p>
        </w:tc>
        <w:tc>
          <w:tcPr>
            <w:tcW w:type="dxa" w:w="2653"/>
            <w:shd w:val="clear" w:color="auto" w:fill="0B3020"/>
          </w:tcPr>
          <w:p>
            <w:pPr>
              <w:spacing w:after="0"/>
            </w:pPr>
            <w:r>
              <w:rPr>
                <w:b/>
                <w:color w:val="FFFFFF"/>
                <w:sz w:val="16"/>
              </w:rPr>
              <w:t>What it leaves to others</w:t>
            </w:r>
          </w:p>
        </w:tc>
        <w:tc>
          <w:tcPr>
            <w:tcW w:type="dxa" w:w="2653"/>
            <w:shd w:val="clear" w:color="auto" w:fill="0B3020"/>
          </w:tcPr>
          <w:p>
            <w:pPr>
              <w:spacing w:after="0"/>
            </w:pPr>
            <w:r>
              <w:rPr>
                <w:b/>
                <w:color w:val="FFFFFF"/>
                <w:sz w:val="16"/>
              </w:rPr>
              <w:t>What this book adds</w:t>
            </w:r>
          </w:p>
        </w:tc>
      </w:tr>
      <w:tr>
        <w:tc>
          <w:tcPr>
            <w:tcW w:type="dxa" w:w="1680"/>
          </w:tcPr>
          <w:p>
            <w:pPr>
              <w:spacing w:after="0"/>
            </w:pPr>
            <w:r>
              <w:rPr>
                <w:color w:val="1D1D1D"/>
                <w:sz w:val="16"/>
              </w:rPr>
              <w:t>IFC guide (2015) [LIT:S1]</w:t>
            </w:r>
          </w:p>
        </w:tc>
        <w:tc>
          <w:tcPr>
            <w:tcW w:type="dxa" w:w="2653"/>
          </w:tcPr>
          <w:p>
            <w:pPr>
              <w:spacing w:after="0"/>
            </w:pPr>
            <w:r>
              <w:rPr>
                <w:color w:val="1D1D1D"/>
                <w:sz w:val="16"/>
              </w:rPr>
              <w:t>Full development cycle; detailed technical reference</w:t>
            </w:r>
          </w:p>
        </w:tc>
        <w:tc>
          <w:tcPr>
            <w:tcW w:type="dxa" w:w="2653"/>
          </w:tcPr>
          <w:p>
            <w:pPr>
              <w:spacing w:after="0"/>
            </w:pPr>
            <w:r>
              <w:rPr>
                <w:color w:val="1D1D1D"/>
                <w:sz w:val="16"/>
              </w:rPr>
              <w:t>Financing and permitting as a high-level review</w:t>
            </w:r>
          </w:p>
        </w:tc>
        <w:tc>
          <w:tcPr>
            <w:tcW w:type="dxa" w:w="2653"/>
          </w:tcPr>
          <w:p>
            <w:pPr>
              <w:spacing w:after="0"/>
            </w:pPr>
            <w:r>
              <w:rPr>
                <w:color w:val="1D1D1D"/>
                <w:sz w:val="16"/>
              </w:rPr>
              <w:t>The decisions to continue, finance and close, with the developer's, lenders' and state's tests side by side</w:t>
            </w:r>
          </w:p>
        </w:tc>
      </w:tr>
      <w:tr>
        <w:tc>
          <w:tcPr>
            <w:tcW w:type="dxa" w:w="1680"/>
            <w:shd w:val="clear" w:color="auto" w:fill="FAF8F2"/>
          </w:tcPr>
          <w:p>
            <w:pPr>
              <w:spacing w:after="0"/>
            </w:pPr>
            <w:r>
              <w:rPr>
                <w:color w:val="1D1D1D"/>
                <w:sz w:val="16"/>
              </w:rPr>
              <w:t>Hydro Finance Handbook (2008) [LIT:S2]</w:t>
            </w:r>
          </w:p>
        </w:tc>
        <w:tc>
          <w:tcPr>
            <w:tcW w:type="dxa" w:w="2653"/>
            <w:shd w:val="clear" w:color="auto" w:fill="FAF8F2"/>
          </w:tcPr>
          <w:p>
            <w:pPr>
              <w:spacing w:after="0"/>
            </w:pPr>
            <w:r>
              <w:rPr>
                <w:color w:val="1D1D1D"/>
                <w:sz w:val="16"/>
              </w:rPr>
              <w:t>Financial aspects and the steps to financial close, as described in a search summary</w:t>
            </w:r>
          </w:p>
        </w:tc>
        <w:tc>
          <w:tcPr>
            <w:tcW w:type="dxa" w:w="2653"/>
            <w:shd w:val="clear" w:color="auto" w:fill="FAF8F2"/>
          </w:tcPr>
          <w:p>
            <w:pPr>
              <w:spacing w:after="0"/>
            </w:pPr>
            <w:r>
              <w:rPr>
                <w:color w:val="1D1D1D"/>
                <w:sz w:val="16"/>
              </w:rPr>
              <w:t>Not confirmed: the full text was not seen</w:t>
            </w:r>
          </w:p>
        </w:tc>
        <w:tc>
          <w:tcPr>
            <w:tcW w:type="dxa" w:w="2653"/>
            <w:shd w:val="clear" w:color="auto" w:fill="FAF8F2"/>
          </w:tcPr>
          <w:p>
            <w:pPr>
              <w:spacing w:after="0"/>
            </w:pPr>
            <w:r>
              <w:rPr>
                <w:color w:val="1D1D1D"/>
                <w:sz w:val="16"/>
              </w:rPr>
              <w:t>Risk-weighted development value; the state's test alongside the lenders'; 23 evidence gates; a working model</w:t>
            </w:r>
          </w:p>
        </w:tc>
      </w:tr>
      <w:tr>
        <w:tc>
          <w:tcPr>
            <w:tcW w:type="dxa" w:w="1680"/>
          </w:tcPr>
          <w:p>
            <w:pPr>
              <w:spacing w:after="0"/>
            </w:pPr>
            <w:r>
              <w:rPr>
                <w:color w:val="1D1D1D"/>
                <w:sz w:val="16"/>
              </w:rPr>
              <w:t>CISL working paper (2019) [LIT:S3]</w:t>
            </w:r>
          </w:p>
        </w:tc>
        <w:tc>
          <w:tcPr>
            <w:tcW w:type="dxa" w:w="2653"/>
          </w:tcPr>
          <w:p>
            <w:pPr>
              <w:spacing w:after="0"/>
            </w:pPr>
            <w:r>
              <w:rPr>
                <w:color w:val="1D1D1D"/>
                <w:sz w:val="16"/>
              </w:rPr>
              <w:t>Concepts and terminology for readers new to finance, hydropower or both</w:t>
            </w:r>
          </w:p>
        </w:tc>
        <w:tc>
          <w:tcPr>
            <w:tcW w:type="dxa" w:w="2653"/>
          </w:tcPr>
          <w:p>
            <w:pPr>
              <w:spacing w:after="0"/>
            </w:pPr>
            <w:r>
              <w:rPr>
                <w:color w:val="1D1D1D"/>
                <w:sz w:val="16"/>
              </w:rPr>
              <w:t>A method for deciding</w:t>
            </w:r>
          </w:p>
        </w:tc>
        <w:tc>
          <w:tcPr>
            <w:tcW w:type="dxa" w:w="2653"/>
          </w:tcPr>
          <w:p>
            <w:pPr>
              <w:spacing w:after="0"/>
            </w:pPr>
            <w:r>
              <w:rPr>
                <w:color w:val="1D1D1D"/>
                <w:sz w:val="16"/>
              </w:rPr>
              <w:t>A decision sequence with numbers at every step</w:t>
            </w:r>
          </w:p>
        </w:tc>
      </w:tr>
      <w:tr>
        <w:tc>
          <w:tcPr>
            <w:tcW w:type="dxa" w:w="1680"/>
            <w:shd w:val="clear" w:color="auto" w:fill="FAF8F2"/>
          </w:tcPr>
          <w:p>
            <w:pPr>
              <w:spacing w:after="0"/>
            </w:pPr>
            <w:r>
              <w:rPr>
                <w:color w:val="1D1D1D"/>
                <w:sz w:val="16"/>
              </w:rPr>
              <w:t>Project finance texts [LIT:S4; LIT:S5]</w:t>
            </w:r>
          </w:p>
        </w:tc>
        <w:tc>
          <w:tcPr>
            <w:tcW w:type="dxa" w:w="2653"/>
            <w:shd w:val="clear" w:color="auto" w:fill="FAF8F2"/>
          </w:tcPr>
          <w:p>
            <w:pPr>
              <w:spacing w:after="0"/>
            </w:pPr>
            <w:r>
              <w:rPr>
                <w:color w:val="1D1D1D"/>
                <w:sz w:val="16"/>
              </w:rPr>
              <w:t>Depth in cash flow, debt sizing and security</w:t>
            </w:r>
          </w:p>
        </w:tc>
        <w:tc>
          <w:tcPr>
            <w:tcW w:type="dxa" w:w="2653"/>
            <w:shd w:val="clear" w:color="auto" w:fill="FAF8F2"/>
          </w:tcPr>
          <w:p>
            <w:pPr>
              <w:spacing w:after="0"/>
            </w:pPr>
            <w:r>
              <w:rPr>
                <w:color w:val="1D1D1D"/>
                <w:sz w:val="16"/>
              </w:rPr>
              <w:t>Hydrology, African utilities, sovereign exposure</w:t>
            </w:r>
          </w:p>
        </w:tc>
        <w:tc>
          <w:tcPr>
            <w:tcW w:type="dxa" w:w="2653"/>
            <w:shd w:val="clear" w:color="auto" w:fill="FAF8F2"/>
          </w:tcPr>
          <w:p>
            <w:pPr>
              <w:spacing w:after="0"/>
            </w:pPr>
            <w:r>
              <w:rPr>
                <w:color w:val="1D1D1D"/>
                <w:sz w:val="16"/>
              </w:rPr>
              <w:t>Hydro-specific lender cases, buyer payment capacity, contingent liabilities</w:t>
            </w:r>
          </w:p>
        </w:tc>
      </w:tr>
      <w:tr>
        <w:tc>
          <w:tcPr>
            <w:tcW w:type="dxa" w:w="1680"/>
          </w:tcPr>
          <w:p>
            <w:pPr>
              <w:spacing w:after="0"/>
            </w:pPr>
            <w:r>
              <w:rPr>
                <w:color w:val="1D1D1D"/>
                <w:sz w:val="16"/>
              </w:rPr>
              <w:t>This book</w:t>
            </w:r>
          </w:p>
        </w:tc>
        <w:tc>
          <w:tcPr>
            <w:tcW w:type="dxa" w:w="2653"/>
          </w:tcPr>
          <w:p>
            <w:pPr>
              <w:spacing w:after="0"/>
            </w:pPr>
            <w:r>
              <w:rPr>
                <w:color w:val="1D1D1D"/>
                <w:sz w:val="16"/>
              </w:rPr>
              <w:t>An investment committee framework for hydro in Africa, from river to financial close</w:t>
            </w:r>
          </w:p>
        </w:tc>
        <w:tc>
          <w:tcPr>
            <w:tcW w:type="dxa" w:w="2653"/>
          </w:tcPr>
          <w:p>
            <w:pPr>
              <w:spacing w:after="0"/>
            </w:pPr>
            <w:r>
              <w:rPr>
                <w:color w:val="1D1D1D"/>
                <w:sz w:val="16"/>
              </w:rPr>
              <w:t>Detailed engineering design, covered by the IFC guide and engineering texts</w:t>
            </w:r>
          </w:p>
        </w:tc>
        <w:tc>
          <w:tcPr>
            <w:tcW w:type="dxa" w:w="2653"/>
          </w:tcPr>
          <w:p>
            <w:pPr>
              <w:spacing w:after="0"/>
            </w:pPr>
          </w:p>
        </w:tc>
      </w:tr>
    </w:tbl>
    <w:p>
      <w:pPr>
        <w:spacing w:after="40"/>
      </w:pPr>
    </w:p>
    <w:p>
      <w:pPr>
        <w:jc w:val="both"/>
      </w:pPr>
      <w:r>
        <w:rPr>
          <w:i/>
        </w:rPr>
        <w:t>Note: The table compares purpose and coverage as stated by each work, or for the 2008 handbook as described in a search summary; it is not a ranking.</w:t>
      </w:r>
    </w:p>
    <w:p>
      <w:pPr>
        <w:jc w:val="both"/>
      </w:pPr>
      <w:r>
        <w:rPr/>
        <w:t xml:space="preserve">The book also has a companion in the author's own work. The author's </w:t>
      </w:r>
      <w:r>
        <w:rPr>
          <w:i/>
        </w:rPr>
        <w:t>Bankable Is Not Enough</w:t>
      </w:r>
      <w:r>
        <w:rPr/>
        <w:t xml:space="preserve"> argues, across African independent power projects, that bankability alone can produce poor power deals. Book 7 applies that argument inside one sector, where the capital is heavy, the revenue depends on a river and the state is almost always a party, and turns it into a method for deciding whether a project should be developed, financed and closed.</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2, 4 and 15. It comes from the author's earlier policy paper on hydro and public liabilities, which is now a companion paper to this book.</w:t>
      </w:r>
    </w:p>
    <w:p>
      <w:pPr>
        <w:pStyle w:val="Heading2"/>
      </w:pPr>
      <w:r>
        <w:t>Companion materials</w:t>
      </w:r>
    </w:p>
    <w:p>
      <w:pPr>
        <w:jc w:val="both"/>
      </w:pPr>
      <w:r>
        <w:rPr/>
        <w:t>The materials that accompany this book are kept together in one online folder. Scan the code below with a phone camera, or type the address into a web browser.</w:t>
      </w:r>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qr_companion.png"/>
                    <pic:cNvPicPr/>
                  </pic:nvPicPr>
                  <pic:blipFill>
                    <a:blip r:embed="rId12"/>
                    <a:stretch>
                      <a:fillRect/>
                    </a:stretch>
                  </pic:blipFill>
                  <pic:spPr>
                    <a:xfrm>
                      <a:off x="0" y="0"/>
                      <a:ext cx="1260000" cy="1260000"/>
                    </a:xfrm>
                    <a:prstGeom prst="rect"/>
                  </pic:spPr>
                </pic:pic>
              </a:graphicData>
            </a:graphic>
          </wp:inline>
        </w:drawing>
      </w:r>
    </w:p>
    <w:p>
      <w:r>
        <w:rPr>
          <w:i/>
          <w:color w:val="666666"/>
          <w:sz w:val="17"/>
        </w:rPr>
        <w:t>Scan to open the companion materials of Book 7.</w:t>
      </w:r>
    </w:p>
    <w:p>
      <w:pPr>
        <w:jc w:val="both"/>
      </w:pPr>
      <w:r>
        <w:rPr/>
        <w:t>The address, if you prefer to type it:</w:t>
      </w:r>
    </w:p>
    <w:p>
      <w:pPr>
        <w:jc w:val="both"/>
      </w:pPr>
      <w:r>
        <w:rPr/>
        <w:t>https://drive.google.com/drive/folders/1cLpEF8qvR_OMg0JKVFHKvLxtROvZAmfr</w:t>
      </w:r>
    </w:p>
    <w:p>
      <w:pPr>
        <w:jc w:val="both"/>
      </w:pPr>
      <w:r>
        <w:rPr/>
        <w:t>The folder holds seven sub-folders:</w:t>
      </w:r>
    </w:p>
    <w:p>
      <w:pPr>
        <w:spacing w:after="60"/>
        <w:ind w:left="397" w:hanging="397"/>
      </w:pPr>
      <w:r>
        <w:rPr/>
        <w:t>•</w:t>
        <w:tab/>
      </w:r>
      <w:r>
        <w:rPr>
          <w:b/>
        </w:rPr>
        <w:t>01_Hydro_Readiness_Framework</w:t>
      </w:r>
      <w:r>
        <w:rPr/>
        <w:t>: the full book in PDF, and the eight questions, the 23 gates and the decision ladder as a stand-alone reference.</w:t>
      </w:r>
    </w:p>
    <w:p>
      <w:pPr>
        <w:spacing w:after="60"/>
        <w:ind w:left="397" w:hanging="397"/>
      </w:pPr>
      <w:r>
        <w:rPr/>
        <w:t>•</w:t>
        <w:tab/>
      </w:r>
      <w:r>
        <w:rPr>
          <w:b/>
        </w:rPr>
        <w:t>02_Bankable_Hydro_Model</w:t>
      </w:r>
      <w:r>
        <w:rPr/>
        <w:t>: MODEL 7, the workbook behind every number in this book, with its test reports.</w:t>
      </w:r>
    </w:p>
    <w:p>
      <w:pPr>
        <w:spacing w:after="60"/>
        <w:ind w:left="397" w:hanging="397"/>
      </w:pPr>
      <w:r>
        <w:rPr/>
        <w:t>•</w:t>
        <w:tab/>
      </w:r>
      <w:r>
        <w:rPr>
          <w:b/>
        </w:rPr>
        <w:t>03_Model_User_Manual</w:t>
      </w:r>
      <w:r>
        <w:rPr/>
        <w:t>: MANUAL 7, the user and methodology manual, a narrated video guide to the model with English subtitles, and an audio guide.</w:t>
      </w:r>
    </w:p>
    <w:p>
      <w:pPr>
        <w:spacing w:after="60"/>
        <w:ind w:left="397" w:hanging="397"/>
      </w:pPr>
      <w:r>
        <w:rPr/>
        <w:t>•</w:t>
        <w:tab/>
      </w:r>
      <w:r>
        <w:rPr>
          <w:b/>
        </w:rPr>
        <w:t>04_Kasiri_River_Case</w:t>
      </w:r>
      <w:r>
        <w:rPr/>
        <w:t>: the worked case of Chapter 18 and its key figures.</w:t>
      </w:r>
    </w:p>
    <w:p>
      <w:pPr>
        <w:spacing w:after="60"/>
        <w:ind w:left="397" w:hanging="397"/>
      </w:pPr>
      <w:r>
        <w:rPr/>
        <w:t>•</w:t>
        <w:tab/>
      </w:r>
      <w:r>
        <w:rPr>
          <w:b/>
        </w:rPr>
        <w:t>05_Transaction_Tools</w:t>
      </w:r>
      <w:r>
        <w:rPr/>
        <w:t>: editable versions of the checklists and templates of Annexes A to I.</w:t>
      </w:r>
    </w:p>
    <w:p>
      <w:pPr>
        <w:spacing w:after="60"/>
        <w:ind w:left="397" w:hanging="397"/>
      </w:pPr>
      <w:r>
        <w:rPr/>
        <w:t>•</w:t>
        <w:tab/>
      </w:r>
      <w:r>
        <w:rPr>
          <w:b/>
        </w:rPr>
        <w:t>06_Technical_Due_Diligence</w:t>
      </w:r>
      <w:r>
        <w:rPr/>
        <w:t>: Annexes N to R as a stand-alone reference, in PDF and Word.</w:t>
      </w:r>
    </w:p>
    <w:p>
      <w:pPr>
        <w:spacing w:after="60"/>
        <w:ind w:left="397" w:hanging="397"/>
      </w:pPr>
      <w:r>
        <w:rPr/>
        <w:t>•</w:t>
        <w:tab/>
      </w:r>
      <w:r>
        <w:rPr>
          <w:b/>
        </w:rPr>
        <w:t>07_Sources_and_References</w:t>
      </w:r>
      <w:r>
        <w:rPr/>
        <w:t>: the source list with its verification status, and the research files behind it.</w:t>
      </w:r>
    </w:p>
    <w:p>
      <w:pPr>
        <w:jc w:val="both"/>
      </w:pPr>
      <w:r>
        <w:rPr/>
        <w:t>To use the materials:</w:t>
      </w:r>
    </w:p>
    <w:p>
      <w:pPr>
        <w:spacing w:after="60"/>
        <w:ind w:left="397" w:hanging="397"/>
      </w:pPr>
      <w:r>
        <w:rPr/>
        <w:t>1.</w:t>
        <w:tab/>
        <w:t>Open the folder in a web browser. The files can be viewed and downloaded, not edited in place.</w:t>
      </w:r>
    </w:p>
    <w:p>
      <w:pPr>
        <w:spacing w:after="60"/>
        <w:ind w:left="397" w:hanging="397"/>
      </w:pPr>
      <w:r>
        <w:rPr/>
        <w:t>2.</w:t>
        <w:tab/>
        <w:t>Download the workbook and open it in Microsoft Excel or a compatible spreadsheet program. It contains no macros.</w:t>
      </w:r>
    </w:p>
    <w:p>
      <w:pPr>
        <w:spacing w:after="60"/>
        <w:ind w:left="397" w:hanging="397"/>
      </w:pPr>
      <w:r>
        <w:rPr/>
        <w:t>3.</w:t>
        <w:tab/>
        <w:t>Start on the cover sheet of the workbook, then follow the video guide or the quick start in the manual.</w:t>
      </w:r>
    </w:p>
    <w:p>
      <w:pPr>
        <w:spacing w:after="60"/>
        <w:ind w:left="397" w:hanging="397"/>
      </w:pPr>
      <w:r>
        <w:rPr/>
        <w:t>4.</w:t>
        <w:tab/>
        <w:t>Work on your own copy. Replace the illustrative Kasiri inputs with project data only in that copy, and keep a record of each assumption and its source.</w:t>
      </w:r>
    </w:p>
    <w:p>
      <w:pPr>
        <w:spacing w:after="60"/>
        <w:ind w:left="397" w:hanging="397"/>
      </w:pPr>
      <w:r>
        <w:rPr/>
        <w:t>5.</w:t>
        <w:tab/>
        <w:t>Check that the version on the workbook cover matches the version of this book. Updated materials may be added to the same folder under a new version number.</w:t>
      </w:r>
    </w:p>
    <w:p>
      <w:pPr>
        <w:jc w:val="both"/>
      </w:pPr>
      <w:r>
        <w:rPr/>
        <w:t>If the code or the address no longer opens the folder, look for an updated address on the author's page of the bookseller where you bought this book.</w:t>
      </w:r>
    </w:p>
    <w:p>
      <w:pPr>
        <w:pStyle w:val="Heading2"/>
      </w:pPr>
      <w:r>
        <w:t>Conventions</w:t>
      </w:r>
    </w:p>
    <w:p>
      <w:pPr>
        <w:jc w:val="both"/>
      </w:pPr>
      <w:r>
        <w:rPr/>
        <w:t>The Kasiri case runs on model time: development from 2021, financial close in 2027 and commercial operation in 2030. When the book says that Tamarind is at the start of permitting, it refers to the stage reached, not to a calendar date.</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Several numbers in this book are easily misread as findings about African hydro. Most of them are not, and the table below gives the status of each.</w:t>
      </w:r>
    </w:p>
    <w:p>
      <w:pPr>
        <w:keepNext/>
      </w:pPr>
      <w:r>
        <w:rPr>
          <w:b/>
          <w:color w:val="0B3020"/>
          <w:sz w:val="18"/>
        </w:rPr>
        <w:t>Table P.2. Status of the key numbers used in the book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728"/>
            <w:shd w:val="clear" w:color="auto" w:fill="0B3020"/>
          </w:tcPr>
          <w:p>
            <w:pPr>
              <w:spacing w:after="0"/>
            </w:pPr>
            <w:r>
              <w:rPr>
                <w:b/>
                <w:color w:val="FFFFFF"/>
                <w:sz w:val="16"/>
              </w:rPr>
              <w:t>Number</w:t>
            </w:r>
          </w:p>
        </w:tc>
        <w:tc>
          <w:tcPr>
            <w:tcW w:type="dxa" w:w="1455"/>
            <w:shd w:val="clear" w:color="auto" w:fill="0B3020"/>
          </w:tcPr>
          <w:p>
            <w:pPr>
              <w:spacing w:after="0"/>
            </w:pPr>
            <w:r>
              <w:rPr>
                <w:b/>
                <w:color w:val="FFFFFF"/>
                <w:sz w:val="16"/>
              </w:rPr>
              <w:t>Value</w:t>
            </w:r>
          </w:p>
        </w:tc>
        <w:tc>
          <w:tcPr>
            <w:tcW w:type="dxa" w:w="2728"/>
            <w:shd w:val="clear" w:color="auto" w:fill="0B3020"/>
          </w:tcPr>
          <w:p>
            <w:pPr>
              <w:spacing w:after="0"/>
            </w:pPr>
            <w:r>
              <w:rPr>
                <w:b/>
                <w:color w:val="FFFFFF"/>
                <w:sz w:val="16"/>
              </w:rPr>
              <w:t>Status</w:t>
            </w:r>
          </w:p>
        </w:tc>
        <w:tc>
          <w:tcPr>
            <w:tcW w:type="dxa" w:w="2728"/>
            <w:shd w:val="clear" w:color="auto" w:fill="0B3020"/>
          </w:tcPr>
          <w:p>
            <w:pPr>
              <w:spacing w:after="0"/>
            </w:pPr>
            <w:r>
              <w:rPr>
                <w:b/>
                <w:color w:val="FFFFFF"/>
                <w:sz w:val="16"/>
              </w:rPr>
              <w:t>What it is not</w:t>
            </w:r>
          </w:p>
        </w:tc>
      </w:tr>
      <w:tr>
        <w:tc>
          <w:tcPr>
            <w:tcW w:type="dxa" w:w="2728"/>
          </w:tcPr>
          <w:p>
            <w:pPr>
              <w:spacing w:after="0"/>
            </w:pPr>
            <w:r>
              <w:rPr>
                <w:color w:val="1D1D1D"/>
                <w:sz w:val="16"/>
              </w:rPr>
              <w:t>Kasiri capacity factor</w:t>
            </w:r>
          </w:p>
        </w:tc>
        <w:tc>
          <w:tcPr>
            <w:tcW w:type="dxa" w:w="1455"/>
          </w:tcPr>
          <w:p>
            <w:pPr>
              <w:spacing w:after="0"/>
            </w:pPr>
            <w:r>
              <w:rPr>
                <w:color w:val="1D1D1D"/>
                <w:sz w:val="16"/>
              </w:rPr>
              <w:t>55.6%</w:t>
            </w:r>
          </w:p>
        </w:tc>
        <w:tc>
          <w:tcPr>
            <w:tcW w:type="dxa" w:w="2728"/>
          </w:tcPr>
          <w:p>
            <w:pPr>
              <w:spacing w:after="0"/>
            </w:pPr>
            <w:r>
              <w:rPr>
                <w:color w:val="1D1D1D"/>
                <w:sz w:val="16"/>
              </w:rPr>
              <w:t>Illustrative case output</w:t>
            </w:r>
          </w:p>
        </w:tc>
        <w:tc>
          <w:tcPr>
            <w:tcW w:type="dxa" w:w="2728"/>
          </w:tcPr>
          <w:p>
            <w:pPr>
              <w:spacing w:after="0"/>
            </w:pPr>
            <w:r>
              <w:rPr>
                <w:color w:val="1D1D1D"/>
                <w:sz w:val="16"/>
              </w:rPr>
              <w:t>A benchmark for African hydro; IRENA's figures are cited separately in Chapters 2 and 3</w:t>
            </w:r>
          </w:p>
        </w:tc>
      </w:tr>
      <w:tr>
        <w:tc>
          <w:tcPr>
            <w:tcW w:type="dxa" w:w="2728"/>
            <w:shd w:val="clear" w:color="auto" w:fill="FAF8F2"/>
          </w:tcPr>
          <w:p>
            <w:pPr>
              <w:spacing w:after="0"/>
            </w:pPr>
            <w:r>
              <w:rPr>
                <w:color w:val="1D1D1D"/>
                <w:sz w:val="16"/>
              </w:rPr>
              <w:t>Probability of reaching close from reconnaissance</w:t>
            </w:r>
          </w:p>
        </w:tc>
        <w:tc>
          <w:tcPr>
            <w:tcW w:type="dxa" w:w="1455"/>
            <w:shd w:val="clear" w:color="auto" w:fill="FAF8F2"/>
          </w:tcPr>
          <w:p>
            <w:pPr>
              <w:spacing w:after="0"/>
            </w:pPr>
            <w:r>
              <w:rPr>
                <w:color w:val="1D1D1D"/>
                <w:sz w:val="16"/>
              </w:rPr>
              <w:t>15%</w:t>
            </w:r>
          </w:p>
        </w:tc>
        <w:tc>
          <w:tcPr>
            <w:tcW w:type="dxa" w:w="2728"/>
            <w:shd w:val="clear" w:color="auto" w:fill="FAF8F2"/>
          </w:tcPr>
          <w:p>
            <w:pPr>
              <w:spacing w:after="0"/>
            </w:pPr>
            <w:r>
              <w:rPr>
                <w:color w:val="1D1D1D"/>
                <w:sz w:val="16"/>
              </w:rPr>
              <w:t>Model assumption, informed by Chapter 5</w:t>
            </w:r>
          </w:p>
        </w:tc>
        <w:tc>
          <w:tcPr>
            <w:tcW w:type="dxa" w:w="2728"/>
            <w:shd w:val="clear" w:color="auto" w:fill="FAF8F2"/>
          </w:tcPr>
          <w:p>
            <w:pPr>
              <w:spacing w:after="0"/>
            </w:pPr>
            <w:r>
              <w:rPr>
                <w:color w:val="1D1D1D"/>
                <w:sz w:val="16"/>
              </w:rPr>
              <w:t>A measured attrition rate; none is published for African hydro</w:t>
            </w:r>
          </w:p>
        </w:tc>
      </w:tr>
      <w:tr>
        <w:tc>
          <w:tcPr>
            <w:tcW w:type="dxa" w:w="2728"/>
          </w:tcPr>
          <w:p>
            <w:pPr>
              <w:spacing w:after="0"/>
            </w:pPr>
            <w:r>
              <w:rPr>
                <w:color w:val="1D1D1D"/>
                <w:sz w:val="16"/>
              </w:rPr>
              <w:t>Real cost overrun of large dams, reference-class median and mean</w:t>
            </w:r>
          </w:p>
        </w:tc>
        <w:tc>
          <w:tcPr>
            <w:tcW w:type="dxa" w:w="1455"/>
          </w:tcPr>
          <w:p>
            <w:pPr>
              <w:spacing w:after="0"/>
            </w:pPr>
            <w:r>
              <w:rPr>
                <w:color w:val="1D1D1D"/>
                <w:sz w:val="16"/>
              </w:rPr>
              <w:t>27% and 96%</w:t>
            </w:r>
          </w:p>
        </w:tc>
        <w:tc>
          <w:tcPr>
            <w:tcW w:type="dxa" w:w="2728"/>
          </w:tcPr>
          <w:p>
            <w:pPr>
              <w:spacing w:after="0"/>
            </w:pPr>
            <w:r>
              <w:rPr>
                <w:color w:val="1D1D1D"/>
                <w:sz w:val="16"/>
              </w:rPr>
              <w:t>Public evidence [HY-08]</w:t>
            </w:r>
          </w:p>
        </w:tc>
        <w:tc>
          <w:tcPr>
            <w:tcW w:type="dxa" w:w="2728"/>
          </w:tcPr>
          <w:p>
            <w:pPr>
              <w:spacing w:after="0"/>
            </w:pPr>
            <w:r>
              <w:rPr>
                <w:color w:val="1D1D1D"/>
                <w:sz w:val="16"/>
              </w:rPr>
              <w:t>A forecast for any one project</w:t>
            </w:r>
          </w:p>
        </w:tc>
      </w:tr>
      <w:tr>
        <w:tc>
          <w:tcPr>
            <w:tcW w:type="dxa" w:w="2728"/>
            <w:shd w:val="clear" w:color="auto" w:fill="FAF8F2"/>
          </w:tcPr>
          <w:p>
            <w:pPr>
              <w:spacing w:after="0"/>
            </w:pPr>
            <w:r>
              <w:rPr>
                <w:color w:val="1D1D1D"/>
                <w:sz w:val="16"/>
              </w:rPr>
              <w:t>Development premium</w:t>
            </w:r>
          </w:p>
        </w:tc>
        <w:tc>
          <w:tcPr>
            <w:tcW w:type="dxa" w:w="1455"/>
            <w:shd w:val="clear" w:color="auto" w:fill="FAF8F2"/>
          </w:tcPr>
          <w:p>
            <w:pPr>
              <w:spacing w:after="0"/>
            </w:pPr>
            <w:r>
              <w:rPr>
                <w:color w:val="1D1D1D"/>
                <w:sz w:val="16"/>
              </w:rPr>
              <w:t>3% of plant cost</w:t>
            </w:r>
          </w:p>
        </w:tc>
        <w:tc>
          <w:tcPr>
            <w:tcW w:type="dxa" w:w="2728"/>
            <w:shd w:val="clear" w:color="auto" w:fill="FAF8F2"/>
          </w:tcPr>
          <w:p>
            <w:pPr>
              <w:spacing w:after="0"/>
            </w:pPr>
            <w:r>
              <w:rPr>
                <w:color w:val="1D1D1D"/>
                <w:sz w:val="16"/>
              </w:rPr>
              <w:t>Model assumption</w:t>
            </w:r>
          </w:p>
        </w:tc>
        <w:tc>
          <w:tcPr>
            <w:tcW w:type="dxa" w:w="2728"/>
            <w:shd w:val="clear" w:color="auto" w:fill="FAF8F2"/>
          </w:tcPr>
          <w:p>
            <w:pPr>
              <w:spacing w:after="0"/>
            </w:pPr>
            <w:r>
              <w:rPr>
                <w:color w:val="1D1D1D"/>
                <w:sz w:val="16"/>
              </w:rPr>
              <w:t>A market rate; no public data were found [DE:BENCH]</w:t>
            </w:r>
          </w:p>
        </w:tc>
      </w:tr>
      <w:tr>
        <w:tc>
          <w:tcPr>
            <w:tcW w:type="dxa" w:w="2728"/>
          </w:tcPr>
          <w:p>
            <w:pPr>
              <w:spacing w:after="0"/>
            </w:pPr>
            <w:r>
              <w:rPr>
                <w:color w:val="1D1D1D"/>
                <w:sz w:val="16"/>
              </w:rPr>
              <w:t>Developer IRR on the success path</w:t>
            </w:r>
          </w:p>
        </w:tc>
        <w:tc>
          <w:tcPr>
            <w:tcW w:type="dxa" w:w="1455"/>
          </w:tcPr>
          <w:p>
            <w:pPr>
              <w:spacing w:after="0"/>
            </w:pPr>
            <w:r>
              <w:rPr>
                <w:color w:val="1D1D1D"/>
                <w:sz w:val="16"/>
              </w:rPr>
              <w:t>16.0%</w:t>
            </w:r>
          </w:p>
        </w:tc>
        <w:tc>
          <w:tcPr>
            <w:tcW w:type="dxa" w:w="2728"/>
          </w:tcPr>
          <w:p>
            <w:pPr>
              <w:spacing w:after="0"/>
            </w:pPr>
            <w:r>
              <w:rPr>
                <w:color w:val="1D1D1D"/>
                <w:sz w:val="16"/>
              </w:rPr>
              <w:t>Illustrative case output</w:t>
            </w:r>
          </w:p>
        </w:tc>
        <w:tc>
          <w:tcPr>
            <w:tcW w:type="dxa" w:w="2728"/>
          </w:tcPr>
          <w:p>
            <w:pPr>
              <w:spacing w:after="0"/>
            </w:pPr>
            <w:r>
              <w:rPr>
                <w:color w:val="1D1D1D"/>
                <w:sz w:val="16"/>
              </w:rPr>
              <w:t>An expected return</w:t>
            </w:r>
          </w:p>
        </w:tc>
      </w:tr>
      <w:tr>
        <w:tc>
          <w:tcPr>
            <w:tcW w:type="dxa" w:w="2728"/>
            <w:shd w:val="clear" w:color="auto" w:fill="FAF8F2"/>
          </w:tcPr>
          <w:p>
            <w:pPr>
              <w:spacing w:after="0"/>
            </w:pPr>
            <w:r>
              <w:rPr>
                <w:color w:val="1D1D1D"/>
                <w:sz w:val="16"/>
              </w:rPr>
              <w:t>Developer's risk-weighted NPV</w:t>
            </w:r>
          </w:p>
        </w:tc>
        <w:tc>
          <w:tcPr>
            <w:tcW w:type="dxa" w:w="1455"/>
            <w:shd w:val="clear" w:color="auto" w:fill="FAF8F2"/>
          </w:tcPr>
          <w:p>
            <w:pPr>
              <w:spacing w:after="0"/>
            </w:pPr>
            <w:r>
              <w:rPr>
                <w:color w:val="1D1D1D"/>
                <w:sz w:val="16"/>
              </w:rPr>
              <w:t>USD −0.95 million</w:t>
            </w:r>
          </w:p>
        </w:tc>
        <w:tc>
          <w:tcPr>
            <w:tcW w:type="dxa" w:w="2728"/>
            <w:shd w:val="clear" w:color="auto" w:fill="FAF8F2"/>
          </w:tcPr>
          <w:p>
            <w:pPr>
              <w:spacing w:after="0"/>
            </w:pPr>
            <w:r>
              <w:rPr>
                <w:color w:val="1D1D1D"/>
                <w:sz w:val="16"/>
              </w:rPr>
              <w:t>Illustrative case output</w:t>
            </w:r>
          </w:p>
        </w:tc>
        <w:tc>
          <w:tcPr>
            <w:tcW w:type="dxa" w:w="2728"/>
            <w:shd w:val="clear" w:color="auto" w:fill="FAF8F2"/>
          </w:tcPr>
          <w:p>
            <w:pPr>
              <w:spacing w:after="0"/>
            </w:pPr>
            <w:r>
              <w:rPr>
                <w:color w:val="1D1D1D"/>
                <w:sz w:val="16"/>
              </w:rPr>
              <w:t>A valuation of any real position</w:t>
            </w:r>
          </w:p>
        </w:tc>
      </w:tr>
      <w:tr>
        <w:tc>
          <w:tcPr>
            <w:tcW w:type="dxa" w:w="2728"/>
          </w:tcPr>
          <w:p>
            <w:pPr>
              <w:spacing w:after="0"/>
            </w:pPr>
            <w:r>
              <w:rPr>
                <w:color w:val="1D1D1D"/>
                <w:sz w:val="16"/>
              </w:rPr>
              <w:t>Financial close decision</w:t>
            </w:r>
          </w:p>
        </w:tc>
        <w:tc>
          <w:tcPr>
            <w:tcW w:type="dxa" w:w="1455"/>
          </w:tcPr>
          <w:p>
            <w:pPr>
              <w:spacing w:after="0"/>
            </w:pPr>
            <w:r>
              <w:rPr>
                <w:color w:val="1D1D1D"/>
                <w:sz w:val="16"/>
              </w:rPr>
              <w:t>STOP: a critical gate is not met</w:t>
            </w:r>
          </w:p>
        </w:tc>
        <w:tc>
          <w:tcPr>
            <w:tcW w:type="dxa" w:w="2728"/>
          </w:tcPr>
          <w:p>
            <w:pPr>
              <w:spacing w:after="0"/>
            </w:pPr>
            <w:r>
              <w:rPr>
                <w:color w:val="1D1D1D"/>
                <w:sz w:val="16"/>
              </w:rPr>
              <w:t>Illustrative case output, from evidence statuses entered for the case</w:t>
            </w:r>
          </w:p>
        </w:tc>
        <w:tc>
          <w:tcPr>
            <w:tcW w:type="dxa" w:w="2728"/>
          </w:tcPr>
          <w:p>
            <w:pPr>
              <w:spacing w:after="0"/>
            </w:pPr>
            <w:r>
              <w:rPr>
                <w:color w:val="1D1D1D"/>
                <w:sz w:val="16"/>
              </w:rPr>
              <w:t>A verdict on any real project</w:t>
            </w:r>
          </w:p>
        </w:tc>
      </w:tr>
    </w:tbl>
    <w:p>
      <w:pPr>
        <w:spacing w:after="40"/>
      </w:pP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1.0 release candidate 1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recalculated in LibreOffice, reproduced cell by cell by a second calculation engine, adversarially reviewed twice and corrected; Annex K gives the results);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The Hydro Readiness Framework™: eight questions, 23 gates, one financial close decision</w:t>
      </w:r>
    </w:p>
    <w:p>
      <w:pPr>
        <w:jc w:val="both"/>
      </w:pPr>
      <w:r>
        <w:rPr/>
        <w:t>Hydro projects are often described as "feasible" or "bankable" as if those words meant one thing. The book separates eight questions, because a project can pass one and fail the next, and each is answered by a different document or test. Each question must be accepted by a particular party, and each is tested by a set of the 23 financial close gates of Chapter 17. The eighth question, ready to close, is the sum of the other seven.</w:t>
      </w:r>
    </w:p>
    <w:p>
      <w:pPr>
        <w:jc w:val="center"/>
      </w:pPr>
      <w:r>
        <w:drawing>
          <wp:inline xmlns:a="http://schemas.openxmlformats.org/drawingml/2006/main" xmlns:pic="http://schemas.openxmlformats.org/drawingml/2006/picture">
            <wp:extent cx="5400000" cy="3625250"/>
            <wp:docPr id="3" name="Picture 3"/>
            <wp:cNvGraphicFramePr>
              <a:graphicFrameLocks noChangeAspect="1"/>
            </wp:cNvGraphicFramePr>
            <a:graphic>
              <a:graphicData uri="http://schemas.openxmlformats.org/drawingml/2006/picture">
                <pic:pic>
                  <pic:nvPicPr>
                    <pic:cNvPr id="0" name="fig0_1_framework.png"/>
                    <pic:cNvPicPr/>
                  </pic:nvPicPr>
                  <pic:blipFill>
                    <a:blip r:embed="rId13"/>
                    <a:stretch>
                      <a:fillRect/>
                    </a:stretch>
                  </pic:blipFill>
                  <pic:spPr>
                    <a:xfrm>
                      <a:off x="0" y="0"/>
                      <a:ext cx="5400000" cy="3625250"/>
                    </a:xfrm>
                    <a:prstGeom prst="rect"/>
                  </pic:spPr>
                </pic:pic>
              </a:graphicData>
            </a:graphic>
          </wp:inline>
        </w:drawing>
      </w:r>
    </w:p>
    <w:p>
      <w:r>
        <w:rPr>
          <w:i/>
          <w:color w:val="666666"/>
          <w:sz w:val="17"/>
        </w:rPr>
        <w:t>Figure 0.1. The Hydro Readiness Framework: three parties, eight questions, 23 evidence gates and one close decision. Source: the author; gate mapping as in MODEL 7, sheet 30A_CLOSE_READINESS.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38"/>
            <w:shd w:val="clear" w:color="auto" w:fill="0B3020"/>
          </w:tcPr>
          <w:p>
            <w:pPr>
              <w:spacing w:after="0"/>
            </w:pPr>
            <w:r>
              <w:rPr>
                <w:b/>
                <w:color w:val="FFFFFF"/>
                <w:sz w:val="16"/>
              </w:rPr>
              <w:t>Question</w:t>
            </w:r>
          </w:p>
        </w:tc>
        <w:tc>
          <w:tcPr>
            <w:tcW w:type="dxa" w:w="2863"/>
            <w:shd w:val="clear" w:color="auto" w:fill="0B3020"/>
          </w:tcPr>
          <w:p>
            <w:pPr>
              <w:spacing w:after="0"/>
            </w:pPr>
            <w:r>
              <w:rPr>
                <w:b/>
                <w:color w:val="FFFFFF"/>
                <w:sz w:val="16"/>
              </w:rPr>
              <w:t>Answered by</w:t>
            </w:r>
          </w:p>
        </w:tc>
        <w:tc>
          <w:tcPr>
            <w:tcW w:type="dxa" w:w="907"/>
            <w:shd w:val="clear" w:color="auto" w:fill="0B3020"/>
          </w:tcPr>
          <w:p>
            <w:pPr>
              <w:spacing w:after="0"/>
            </w:pPr>
            <w:r>
              <w:rPr>
                <w:b/>
                <w:color w:val="FFFFFF"/>
                <w:sz w:val="16"/>
              </w:rPr>
              <w:t>Must be accepted by</w:t>
            </w:r>
          </w:p>
        </w:tc>
        <w:tc>
          <w:tcPr>
            <w:tcW w:type="dxa" w:w="668"/>
            <w:shd w:val="clear" w:color="auto" w:fill="0B3020"/>
          </w:tcPr>
          <w:p>
            <w:pPr>
              <w:spacing w:after="0"/>
            </w:pPr>
            <w:r>
              <w:rPr>
                <w:b/>
                <w:color w:val="FFFFFF"/>
                <w:sz w:val="16"/>
              </w:rPr>
              <w:t>Gates</w:t>
            </w:r>
          </w:p>
        </w:tc>
        <w:tc>
          <w:tcPr>
            <w:tcW w:type="dxa" w:w="2863"/>
            <w:shd w:val="clear" w:color="auto" w:fill="0B3020"/>
          </w:tcPr>
          <w:p>
            <w:pPr>
              <w:spacing w:after="0"/>
            </w:pPr>
            <w:r>
              <w:rPr>
                <w:b/>
                <w:color w:val="FFFFFF"/>
                <w:sz w:val="16"/>
              </w:rPr>
              <w:t>Typical trap</w:t>
            </w:r>
          </w:p>
        </w:tc>
      </w:tr>
      <w:tr>
        <w:tc>
          <w:tcPr>
            <w:tcW w:type="dxa" w:w="2338"/>
          </w:tcPr>
          <w:p>
            <w:pPr>
              <w:spacing w:after="0"/>
            </w:pPr>
            <w:r>
              <w:rPr>
                <w:color w:val="1D1D1D"/>
                <w:sz w:val="16"/>
              </w:rPr>
              <w:t>Q1. Is the site technically viable?</w:t>
            </w:r>
          </w:p>
        </w:tc>
        <w:tc>
          <w:tcPr>
            <w:tcW w:type="dxa" w:w="2863"/>
          </w:tcPr>
          <w:p>
            <w:pPr>
              <w:spacing w:after="0"/>
            </w:pPr>
            <w:r>
              <w:rPr>
                <w:color w:val="1D1D1D"/>
                <w:sz w:val="16"/>
              </w:rPr>
              <w:t>Feasibility study and geotechnical investigation (Chapters 2, 3, 9)</w:t>
            </w:r>
          </w:p>
        </w:tc>
        <w:tc>
          <w:tcPr>
            <w:tcW w:type="dxa" w:w="907"/>
          </w:tcPr>
          <w:p>
            <w:pPr>
              <w:spacing w:after="0"/>
            </w:pPr>
            <w:r>
              <w:rPr>
                <w:color w:val="1D1D1D"/>
                <w:sz w:val="16"/>
              </w:rPr>
              <w:t>Developer, lenders</w:t>
            </w:r>
          </w:p>
        </w:tc>
        <w:tc>
          <w:tcPr>
            <w:tcW w:type="dxa" w:w="668"/>
          </w:tcPr>
          <w:p>
            <w:pPr>
              <w:spacing w:after="0"/>
            </w:pPr>
            <w:r>
              <w:rPr>
                <w:color w:val="1D1D1D"/>
                <w:sz w:val="16"/>
              </w:rPr>
              <w:t>1 to 4</w:t>
            </w:r>
          </w:p>
        </w:tc>
        <w:tc>
          <w:tcPr>
            <w:tcW w:type="dxa" w:w="2863"/>
          </w:tcPr>
          <w:p>
            <w:pPr>
              <w:spacing w:after="0"/>
            </w:pPr>
            <w:r>
              <w:rPr>
                <w:color w:val="1D1D1D"/>
                <w:sz w:val="16"/>
              </w:rPr>
              <w:t>A feasibility study built on a short or synthetic flow record presented as a long one</w:t>
            </w:r>
          </w:p>
        </w:tc>
      </w:tr>
      <w:tr>
        <w:tc>
          <w:tcPr>
            <w:tcW w:type="dxa" w:w="2338"/>
            <w:shd w:val="clear" w:color="auto" w:fill="FAF8F2"/>
          </w:tcPr>
          <w:p>
            <w:pPr>
              <w:spacing w:after="0"/>
            </w:pPr>
            <w:r>
              <w:rPr>
                <w:color w:val="1D1D1D"/>
                <w:sz w:val="16"/>
              </w:rPr>
              <w:t>Q2. Is the project developable?</w:t>
            </w:r>
          </w:p>
        </w:tc>
        <w:tc>
          <w:tcPr>
            <w:tcW w:type="dxa" w:w="2863"/>
            <w:shd w:val="clear" w:color="auto" w:fill="FAF8F2"/>
          </w:tcPr>
          <w:p>
            <w:pPr>
              <w:spacing w:after="0"/>
            </w:pPr>
            <w:r>
              <w:rPr>
                <w:color w:val="1D1D1D"/>
                <w:sz w:val="16"/>
              </w:rPr>
              <w:t>Consent sequence, land and water rights, PPA route (Chapters 5, 7)</w:t>
            </w:r>
          </w:p>
        </w:tc>
        <w:tc>
          <w:tcPr>
            <w:tcW w:type="dxa" w:w="907"/>
            <w:shd w:val="clear" w:color="auto" w:fill="FAF8F2"/>
          </w:tcPr>
          <w:p>
            <w:pPr>
              <w:spacing w:after="0"/>
            </w:pPr>
            <w:r>
              <w:rPr>
                <w:color w:val="1D1D1D"/>
                <w:sz w:val="16"/>
              </w:rPr>
              <w:t>Developer, state</w:t>
            </w:r>
          </w:p>
        </w:tc>
        <w:tc>
          <w:tcPr>
            <w:tcW w:type="dxa" w:w="668"/>
            <w:shd w:val="clear" w:color="auto" w:fill="FAF8F2"/>
          </w:tcPr>
          <w:p>
            <w:pPr>
              <w:spacing w:after="0"/>
            </w:pPr>
            <w:r>
              <w:rPr>
                <w:color w:val="1D1D1D"/>
                <w:sz w:val="16"/>
              </w:rPr>
              <w:t>5 to 10</w:t>
            </w:r>
          </w:p>
        </w:tc>
        <w:tc>
          <w:tcPr>
            <w:tcW w:type="dxa" w:w="2863"/>
            <w:shd w:val="clear" w:color="auto" w:fill="FAF8F2"/>
          </w:tcPr>
          <w:p>
            <w:pPr>
              <w:spacing w:after="0"/>
            </w:pPr>
            <w:r>
              <w:rPr>
                <w:color w:val="1D1D1D"/>
                <w:sz w:val="16"/>
              </w:rPr>
              <w:t>Spending on bankable feasibility before the PPA route and water rights are secure</w:t>
            </w:r>
          </w:p>
        </w:tc>
      </w:tr>
      <w:tr>
        <w:tc>
          <w:tcPr>
            <w:tcW w:type="dxa" w:w="2338"/>
          </w:tcPr>
          <w:p>
            <w:pPr>
              <w:spacing w:after="0"/>
            </w:pPr>
            <w:r>
              <w:rPr>
                <w:color w:val="1D1D1D"/>
                <w:sz w:val="16"/>
              </w:rPr>
              <w:t>Q3. Is it economic for the power system?</w:t>
            </w:r>
          </w:p>
        </w:tc>
        <w:tc>
          <w:tcPr>
            <w:tcW w:type="dxa" w:w="2863"/>
          </w:tcPr>
          <w:p>
            <w:pPr>
              <w:spacing w:after="0"/>
            </w:pPr>
            <w:r>
              <w:rPr>
                <w:color w:val="1D1D1D"/>
                <w:sz w:val="16"/>
              </w:rPr>
              <w:t>Least-cost plan, LCOE against alternatives (Chapters 3, 4)</w:t>
            </w:r>
          </w:p>
        </w:tc>
        <w:tc>
          <w:tcPr>
            <w:tcW w:type="dxa" w:w="907"/>
          </w:tcPr>
          <w:p>
            <w:pPr>
              <w:spacing w:after="0"/>
            </w:pPr>
            <w:r>
              <w:rPr>
                <w:color w:val="1D1D1D"/>
                <w:sz w:val="16"/>
              </w:rPr>
              <w:t>State</w:t>
            </w:r>
          </w:p>
        </w:tc>
        <w:tc>
          <w:tcPr>
            <w:tcW w:type="dxa" w:w="668"/>
          </w:tcPr>
          <w:p>
            <w:pPr>
              <w:spacing w:after="0"/>
            </w:pPr>
            <w:r>
              <w:rPr>
                <w:color w:val="1D1D1D"/>
                <w:sz w:val="16"/>
              </w:rPr>
              <w:t>11, 12</w:t>
            </w:r>
          </w:p>
        </w:tc>
        <w:tc>
          <w:tcPr>
            <w:tcW w:type="dxa" w:w="2863"/>
          </w:tcPr>
          <w:p>
            <w:pPr>
              <w:spacing w:after="0"/>
            </w:pPr>
            <w:r>
              <w:rPr>
                <w:color w:val="1D1D1D"/>
                <w:sz w:val="16"/>
              </w:rPr>
              <w:t>Quoting plant cost when the system pays for plant and line</w:t>
            </w:r>
          </w:p>
        </w:tc>
      </w:tr>
      <w:tr>
        <w:tc>
          <w:tcPr>
            <w:tcW w:type="dxa" w:w="2338"/>
            <w:shd w:val="clear" w:color="auto" w:fill="FAF8F2"/>
          </w:tcPr>
          <w:p>
            <w:pPr>
              <w:spacing w:after="0"/>
            </w:pPr>
            <w:r>
              <w:rPr>
                <w:color w:val="1D1D1D"/>
                <w:sz w:val="16"/>
              </w:rPr>
              <w:t>Q4. Is it investable for the developer?</w:t>
            </w:r>
          </w:p>
        </w:tc>
        <w:tc>
          <w:tcPr>
            <w:tcW w:type="dxa" w:w="2863"/>
            <w:shd w:val="clear" w:color="auto" w:fill="FAF8F2"/>
          </w:tcPr>
          <w:p>
            <w:pPr>
              <w:spacing w:after="0"/>
            </w:pPr>
            <w:r>
              <w:rPr>
                <w:color w:val="1D1D1D"/>
                <w:sz w:val="16"/>
              </w:rPr>
              <w:t>Risk-weighted development NPV, premium, sell-down value (Chapters 6, 14)</w:t>
            </w:r>
          </w:p>
        </w:tc>
        <w:tc>
          <w:tcPr>
            <w:tcW w:type="dxa" w:w="907"/>
            <w:shd w:val="clear" w:color="auto" w:fill="FAF8F2"/>
          </w:tcPr>
          <w:p>
            <w:pPr>
              <w:spacing w:after="0"/>
            </w:pPr>
            <w:r>
              <w:rPr>
                <w:color w:val="1D1D1D"/>
                <w:sz w:val="16"/>
              </w:rPr>
              <w:t>Developer</w:t>
            </w:r>
          </w:p>
        </w:tc>
        <w:tc>
          <w:tcPr>
            <w:tcW w:type="dxa" w:w="668"/>
            <w:shd w:val="clear" w:color="auto" w:fill="FAF8F2"/>
          </w:tcPr>
          <w:p>
            <w:pPr>
              <w:spacing w:after="0"/>
            </w:pPr>
            <w:r>
              <w:rPr>
                <w:color w:val="1D1D1D"/>
                <w:sz w:val="16"/>
              </w:rPr>
              <w:t>19</w:t>
            </w:r>
          </w:p>
        </w:tc>
        <w:tc>
          <w:tcPr>
            <w:tcW w:type="dxa" w:w="2863"/>
            <w:shd w:val="clear" w:color="auto" w:fill="FAF8F2"/>
          </w:tcPr>
          <w:p>
            <w:pPr>
              <w:spacing w:after="0"/>
            </w:pPr>
            <w:r>
              <w:rPr>
                <w:color w:val="1D1D1D"/>
                <w:sz w:val="16"/>
              </w:rPr>
              <w:t>Reading the equity IRR at close as the developer's return, ignoring at-risk spend and the chance of failure</w:t>
            </w:r>
          </w:p>
        </w:tc>
      </w:tr>
      <w:tr>
        <w:tc>
          <w:tcPr>
            <w:tcW w:type="dxa" w:w="2338"/>
          </w:tcPr>
          <w:p>
            <w:pPr>
              <w:spacing w:after="0"/>
            </w:pPr>
            <w:r>
              <w:rPr>
                <w:color w:val="1D1D1D"/>
                <w:sz w:val="16"/>
              </w:rPr>
              <w:t>Q5. Is it bankable?</w:t>
            </w:r>
          </w:p>
        </w:tc>
        <w:tc>
          <w:tcPr>
            <w:tcW w:type="dxa" w:w="2863"/>
          </w:tcPr>
          <w:p>
            <w:pPr>
              <w:spacing w:after="0"/>
            </w:pPr>
            <w:r>
              <w:rPr>
                <w:color w:val="1D1D1D"/>
                <w:sz w:val="16"/>
              </w:rPr>
              <w:t>Lender case, DSCR, LLCR, security package (Chapters 12, 13)</w:t>
            </w:r>
          </w:p>
        </w:tc>
        <w:tc>
          <w:tcPr>
            <w:tcW w:type="dxa" w:w="907"/>
          </w:tcPr>
          <w:p>
            <w:pPr>
              <w:spacing w:after="0"/>
            </w:pPr>
            <w:r>
              <w:rPr>
                <w:color w:val="1D1D1D"/>
                <w:sz w:val="16"/>
              </w:rPr>
              <w:t>Lenders</w:t>
            </w:r>
          </w:p>
        </w:tc>
        <w:tc>
          <w:tcPr>
            <w:tcW w:type="dxa" w:w="668"/>
          </w:tcPr>
          <w:p>
            <w:pPr>
              <w:spacing w:after="0"/>
            </w:pPr>
            <w:r>
              <w:rPr>
                <w:color w:val="1D1D1D"/>
                <w:sz w:val="16"/>
              </w:rPr>
              <w:t>17, 18, 20, 23</w:t>
            </w:r>
          </w:p>
        </w:tc>
        <w:tc>
          <w:tcPr>
            <w:tcW w:type="dxa" w:w="2863"/>
          </w:tcPr>
          <w:p>
            <w:pPr>
              <w:spacing w:after="0"/>
            </w:pPr>
            <w:r>
              <w:rPr>
                <w:color w:val="1D1D1D"/>
                <w:sz w:val="16"/>
              </w:rPr>
              <w:t>A project protected by backstops, so that lenders see none of the risk</w:t>
            </w:r>
          </w:p>
        </w:tc>
      </w:tr>
      <w:tr>
        <w:tc>
          <w:tcPr>
            <w:tcW w:type="dxa" w:w="2338"/>
            <w:shd w:val="clear" w:color="auto" w:fill="FAF8F2"/>
          </w:tcPr>
          <w:p>
            <w:pPr>
              <w:spacing w:after="0"/>
            </w:pPr>
            <w:r>
              <w:rPr>
                <w:color w:val="1D1D1D"/>
                <w:sz w:val="16"/>
              </w:rPr>
              <w:t>Q6. Is it buildable on budget?</w:t>
            </w:r>
          </w:p>
        </w:tc>
        <w:tc>
          <w:tcPr>
            <w:tcW w:type="dxa" w:w="2863"/>
            <w:shd w:val="clear" w:color="auto" w:fill="FAF8F2"/>
          </w:tcPr>
          <w:p>
            <w:pPr>
              <w:spacing w:after="0"/>
            </w:pPr>
            <w:r>
              <w:rPr>
                <w:color w:val="1D1D1D"/>
                <w:sz w:val="16"/>
              </w:rPr>
              <w:t>Contract structure, contingency, reference class (Chapters 9, 10)</w:t>
            </w:r>
          </w:p>
        </w:tc>
        <w:tc>
          <w:tcPr>
            <w:tcW w:type="dxa" w:w="907"/>
            <w:shd w:val="clear" w:color="auto" w:fill="FAF8F2"/>
          </w:tcPr>
          <w:p>
            <w:pPr>
              <w:spacing w:after="0"/>
            </w:pPr>
            <w:r>
              <w:rPr>
                <w:color w:val="1D1D1D"/>
                <w:sz w:val="16"/>
              </w:rPr>
              <w:t>Developer, lenders</w:t>
            </w:r>
          </w:p>
        </w:tc>
        <w:tc>
          <w:tcPr>
            <w:tcW w:type="dxa" w:w="668"/>
            <w:shd w:val="clear" w:color="auto" w:fill="FAF8F2"/>
          </w:tcPr>
          <w:p>
            <w:pPr>
              <w:spacing w:after="0"/>
            </w:pPr>
            <w:r>
              <w:rPr>
                <w:color w:val="1D1D1D"/>
                <w:sz w:val="16"/>
              </w:rPr>
              <w:t>13, 14, 22</w:t>
            </w:r>
          </w:p>
        </w:tc>
        <w:tc>
          <w:tcPr>
            <w:tcW w:type="dxa" w:w="2863"/>
            <w:shd w:val="clear" w:color="auto" w:fill="FAF8F2"/>
          </w:tcPr>
          <w:p>
            <w:pPr>
              <w:spacing w:after="0"/>
            </w:pPr>
            <w:r>
              <w:rPr>
                <w:color w:val="1D1D1D"/>
                <w:sz w:val="16"/>
              </w:rPr>
              <w:t>A "fixed-price" EPC contract with ground conditions excluded</w:t>
            </w:r>
          </w:p>
        </w:tc>
      </w:tr>
      <w:tr>
        <w:tc>
          <w:tcPr>
            <w:tcW w:type="dxa" w:w="2338"/>
          </w:tcPr>
          <w:p>
            <w:pPr>
              <w:spacing w:after="0"/>
            </w:pPr>
            <w:r>
              <w:rPr>
                <w:color w:val="1D1D1D"/>
                <w:sz w:val="16"/>
              </w:rPr>
              <w:t>Q7. Is it affordable for the buyer and the state?</w:t>
            </w:r>
          </w:p>
        </w:tc>
        <w:tc>
          <w:tcPr>
            <w:tcW w:type="dxa" w:w="2863"/>
          </w:tcPr>
          <w:p>
            <w:pPr>
              <w:spacing w:after="0"/>
            </w:pPr>
            <w:r>
              <w:rPr>
                <w:color w:val="1D1D1D"/>
                <w:sz w:val="16"/>
              </w:rPr>
              <w:t>Payment capacity, support package, contingent liabilities (Chapter 15)</w:t>
            </w:r>
          </w:p>
        </w:tc>
        <w:tc>
          <w:tcPr>
            <w:tcW w:type="dxa" w:w="907"/>
          </w:tcPr>
          <w:p>
            <w:pPr>
              <w:spacing w:after="0"/>
            </w:pPr>
            <w:r>
              <w:rPr>
                <w:color w:val="1D1D1D"/>
                <w:sz w:val="16"/>
              </w:rPr>
              <w:t>State</w:t>
            </w:r>
          </w:p>
        </w:tc>
        <w:tc>
          <w:tcPr>
            <w:tcW w:type="dxa" w:w="668"/>
          </w:tcPr>
          <w:p>
            <w:pPr>
              <w:spacing w:after="0"/>
            </w:pPr>
            <w:r>
              <w:rPr>
                <w:color w:val="1D1D1D"/>
                <w:sz w:val="16"/>
              </w:rPr>
              <w:t>15, 16, 21</w:t>
            </w:r>
          </w:p>
        </w:tc>
        <w:tc>
          <w:tcPr>
            <w:tcW w:type="dxa" w:w="2863"/>
          </w:tcPr>
          <w:p>
            <w:pPr>
              <w:spacing w:after="0"/>
            </w:pPr>
            <w:r>
              <w:rPr>
                <w:color w:val="1D1D1D"/>
                <w:sz w:val="16"/>
              </w:rPr>
              <w:t>A bankable project whose arrangements move the risk onto the Treasury</w:t>
            </w:r>
          </w:p>
        </w:tc>
      </w:tr>
      <w:tr>
        <w:tc>
          <w:tcPr>
            <w:tcW w:type="dxa" w:w="2338"/>
            <w:shd w:val="clear" w:color="auto" w:fill="FAF8F2"/>
          </w:tcPr>
          <w:p>
            <w:pPr>
              <w:spacing w:after="0"/>
            </w:pPr>
            <w:r>
              <w:rPr>
                <w:color w:val="1D1D1D"/>
                <w:sz w:val="16"/>
              </w:rPr>
              <w:t>Q8. Is it ready to close?</w:t>
            </w:r>
          </w:p>
        </w:tc>
        <w:tc>
          <w:tcPr>
            <w:tcW w:type="dxa" w:w="2863"/>
            <w:shd w:val="clear" w:color="auto" w:fill="FAF8F2"/>
          </w:tcPr>
          <w:p>
            <w:pPr>
              <w:spacing w:after="0"/>
            </w:pPr>
            <w:r>
              <w:rPr>
                <w:color w:val="1D1D1D"/>
                <w:sz w:val="16"/>
              </w:rPr>
              <w:t>Evidence-based financial close gates (Chapter 17)</w:t>
            </w:r>
          </w:p>
        </w:tc>
        <w:tc>
          <w:tcPr>
            <w:tcW w:type="dxa" w:w="907"/>
            <w:shd w:val="clear" w:color="auto" w:fill="FAF8F2"/>
          </w:tcPr>
          <w:p>
            <w:pPr>
              <w:spacing w:after="0"/>
            </w:pPr>
            <w:r>
              <w:rPr>
                <w:color w:val="1D1D1D"/>
                <w:sz w:val="16"/>
              </w:rPr>
              <w:t>All three</w:t>
            </w:r>
          </w:p>
        </w:tc>
        <w:tc>
          <w:tcPr>
            <w:tcW w:type="dxa" w:w="668"/>
            <w:shd w:val="clear" w:color="auto" w:fill="FAF8F2"/>
          </w:tcPr>
          <w:p>
            <w:pPr>
              <w:spacing w:after="0"/>
            </w:pPr>
            <w:r>
              <w:rPr>
                <w:color w:val="1D1D1D"/>
                <w:sz w:val="16"/>
              </w:rPr>
              <w:t>All 23</w:t>
            </w:r>
          </w:p>
        </w:tc>
        <w:tc>
          <w:tcPr>
            <w:tcW w:type="dxa" w:w="2863"/>
            <w:shd w:val="clear" w:color="auto" w:fill="FAF8F2"/>
          </w:tcPr>
          <w:p>
            <w:pPr>
              <w:spacing w:after="0"/>
            </w:pPr>
            <w:r>
              <w:rPr>
                <w:color w:val="1D1D1D"/>
                <w:sz w:val="16"/>
              </w:rPr>
              <w:t>Treating a signed term sheet as a closed deal</w:t>
            </w:r>
          </w:p>
        </w:tc>
      </w:tr>
    </w:tbl>
    <w:p>
      <w:pPr>
        <w:spacing w:after="40"/>
      </w:pPr>
    </w:p>
    <w:p>
      <w:pPr>
        <w:jc w:val="both"/>
      </w:pPr>
      <w:r>
        <w:rPr/>
        <w:t>A project that passes Q1 to Q7 on evidence reaches CONDITIONAL GO when every critical gate is met, and GO when all 23 are. For Kasiri, at the start of permitting, the answer is STOP: the framework does not say the project is bad, it says which questions are still open and who has to close them.</w:t>
      </w: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jc w:val="both"/>
      </w:pPr>
      <w:r>
        <w:rPr>
          <w:i/>
        </w:rPr>
        <w:t>Who must accept the answer: the developer, the lenders and the state.</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[A2:S65].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worldwide, that private participation falls sharply with plant size: 74 percent of plants below 10 MW against 8 percent of plants above 2,500 MW [HY-06]. Uganda's GET FiT programme supported a portfolio of mostly small private hydro plants; KfW expected about EUR 94 million of public money to allow about EUR 450 million of private investment [DE:S35].</w:t>
      </w:r>
    </w:p>
    <w:p>
      <w:pPr>
        <w:jc w:val="both"/>
      </w:pPr>
      <w:r>
        <w:rPr/>
        <w:t>Development finance institutions increasingly co-develop. IFC InfraVentures funds a minority share of development costs, on average about USD 4 million for a 20 to 30 percent share [DE:S2]. The African Development Bank's Sustainable Energy Fund for Africa granted about USD 1 million to prepare a 7.8 MW community hydro project in Kenya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in preparation since at least 2009 without reaching financial close [A2:S21; A2:S22].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the water allocated for generation in 2024 was 16 billion cubic metres [R1:S1], about half the 2023 allocation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 xml:space="preserve">The companion workbook, MODEL 7, is an annual, 40-period model with 41 sheets, including a cover sheet, and about 11,300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 The workbook, its manual and the other companion materials can be downloaded from the folder described under Companion materials, in the Preface. Two sheets connect it to this book: </w:t>
      </w:r>
      <w:r>
        <w:rPr>
          <w:i/>
        </w:rPr>
        <w:t>34_FRAMEWORK_MAP</w:t>
      </w:r>
      <w:r>
        <w:rPr/>
        <w:t xml:space="preserve"> links each of the 23 gates to its framework question, the party that must accept it, the sheet that tests it and the chapters that discuss it; </w:t>
      </w:r>
      <w:r>
        <w:rPr>
          <w:i/>
        </w:rPr>
        <w:t>35_BOOK_CHECK</w:t>
      </w:r>
      <w:r>
        <w:rPr/>
        <w:t xml:space="preserve"> compares the live model with every Kasiri figure printed here and reads ALL PASS with the default inputs.</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jc w:val="both"/>
      </w:pPr>
      <w:r>
        <w:rPr>
          <w:i/>
        </w:rPr>
        <w:t>Who must accept the answer: the developer and the lenders.</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says that flow data should cover at least 15 years for reliable statements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classes plants above 10 MW as large hydro and reports a weighted average capacity factor of 48 percent for large hydro commissioned in Africa between 2018 and 2024, within a 5th to 95th percentile band of 33 to 81 percent [HY-01]. Chapter 3 compares Kasiri with both size classes.</w:t>
      </w:r>
    </w:p>
    <w:p>
      <w:pPr>
        <w:jc w:val="center"/>
      </w:pPr>
      <w:r>
        <w:drawing>
          <wp:inline xmlns:a="http://schemas.openxmlformats.org/drawingml/2006/main" xmlns:pic="http://schemas.openxmlformats.org/drawingml/2006/picture">
            <wp:extent cx="5400000" cy="2182978"/>
            <wp:docPr id="4" name="Picture 4"/>
            <wp:cNvGraphicFramePr>
              <a:graphicFrameLocks noChangeAspect="1"/>
            </wp:cNvGraphicFramePr>
            <a:graphic>
              <a:graphicData uri="http://schemas.openxmlformats.org/drawingml/2006/picture">
                <pic:pic>
                  <pic:nvPicPr>
                    <pic:cNvPr id="0" name="fig2_1_hydrology.png"/>
                    <pic:cNvPicPr/>
                  </pic:nvPicPr>
                  <pic:blipFill>
                    <a:blip r:embed="rId14"/>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The IFC guide notes that even monthly averaging can overstate energy by 10 percent or more against shorter averaging periods [DE:S1]. For a bankable estimate, energy should be computed month by month, or more finely,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or under a deemed-energy clause could have delivered,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For 2024 the Zambezi River Authority allocated 16 billion cubic metres of water for generation at Kariba [R1:S1], against 30 billion in 2023 according to news reporting [CL-04]. The model's default of 55 percent of normal flow is set close to the depth of that cut, and it is held for three years.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climate-related supply disruption within each region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pPr>
        <w:jc w:val="both"/>
      </w:pPr>
      <w:r>
        <w:rPr/>
        <w:t>The technical reference for this chapter is Annex N, which sets out the engineering and environmental detail behind it and the questions to put to the project's engineers.</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jc w:val="both"/>
      </w:pPr>
      <w:r>
        <w:rPr>
          <w:i/>
        </w:rPr>
        <w:t>Who must accept the answer: the developer and the state, as planner of the power system.</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jc w:val="both"/>
      </w:pPr>
      <w:r>
        <w:rPr/>
        <w:t>Kasiri is designed with two Francis units of about 30 MW each, a case fact set for this edition. A single unit would have to stop in the driest months, when the river falls below the minimum flow a Francis turbine can pass; two units keep the plant running through the dry season, which is what the model's monthly energy calculation assumes. Annex P sets out the turbine choice and the minimum-flow test.</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For plants commissioned in Africa between 2018 and 2024, IRENA reports capacity factors of 33, 48 and 81 percent at the 5th percentile, weighted average and 95th percentile for large hydro (above 10 MW), and 50, 55 and 66 percent for small hydro (10 MW or less) [HY-01]. Kasiri's 55.6% is above the large-hydro average, the class a 60 MW plant belongs to, and close to the small-hydro average. It is an illustrative input, not evidence that the site is better than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USD 4,084 per kW for small hydro (10 MW or less) in 2018 to 2024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is close to the median of 9.8 percent of total plant cost in the IFC guide's sample of appraised plants, within a range of 5.4 to 12.6 percent [DE:S1]. That comparison flatters the case. The model charges the 10 percent on a subtotal that includes development costs and the contractor's premium, which carry no physical risk; on the six base cost lines alone it comes to about USD 12.7 million, below the USD 13.4 to 14.4 million that the IFC guide's industry practice of 15 percent on civil works and 7.5 to 10 percent on equipment would give [DE:S1]. Annex O works through the comparison. A lender's technical adviser would ask for more contingency on the tunnel and the civil works.</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Chapters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 first three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pPr>
        <w:jc w:val="both"/>
      </w:pPr>
      <w:r>
        <w:rPr/>
        <w:t>The technical references for this chapter are Annexes N, O and P, which set out the engineering and environmental detail behind it and the questions to put to the project's engineers.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jc w:val="both"/>
      </w:pPr>
      <w:r>
        <w:rPr>
          <w:i/>
        </w:rPr>
        <w:t>Who must accept the answer: the developer and the state, as owner of the buyer.</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amid corruption investigations involving one of the construction contractors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 20-year term; the model assumes a five-year extension at the same tariff, a gap Chapter 8 discusses. That is well above the standard tariffs quoted above, for two reasons: Kasiri is too large to be eligible for them, and its unit cost is higher than that of the plants they were set for. Chapter 12 shows how close the tariff is to the level the project needs, and Chapter 14 shows how the developer's return depends on it. A tariff of 116 USD per MWh in 2026 dollars would bring the private equity return to the 15 percent target.</w:t>
      </w:r>
    </w:p>
    <w:p>
      <w:pPr>
        <w:jc w:val="both"/>
      </w:pPr>
      <w:r>
        <w:rPr/>
        <w:t>The choice also shows in the model's 9-gate development screen. Its regulation and PPA gate expects at least 20 percent of revenue to be fixed, as a capacity charge, before it reads anything better than a critical gap, because lenders in weak-buyer markets prefer revenue that does not depend on the river. Kasiri's energy-only tariff has no fixed revenue, so the gate reads CRITICAL GAP for that reason alone. The threshold is an editable model assumption, not a rule: an energy-only tariff can be bankable, as Chapter 12 shows, if the debt is sized on a downside energy case and the reserve covers a drought.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Because the money arrives early, when equity is most expensive, a premium of that kind is worth more to the equity investor than its share of lifetime revenue suggests.</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jc w:val="both"/>
      </w:pPr>
      <w:r>
        <w:rPr>
          <w:i/>
        </w:rPr>
        <w:t>Who must accept the answer: the developer.</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noted that development and construction of a hydro project can take eight to ten years [DE:S2]. Ngonye Falls in Zambia has been in development for more than a decade without reaching financial close [DE:S3], and Nyagak III in Uganda took about ten years from its launch in 2015 to commissioning in 2025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might also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at the start of permitting, with PPA discussions under way.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jc w:val="both"/>
      </w:pPr>
      <w:r>
        <w:rPr>
          <w:i/>
        </w:rPr>
        <w:t>Who must accept the answer: the developer and any co-developer.</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in 2007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 Across the plants appraised for the IFC guide, project development, engineering and environmental and social costs together had a median of 7.5 percent of total plant cost, within a range of 3.0 to 17.2 percent [DE:S1]; that scope is wider than a development budget.</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later stage costs less in expectation than spending that cannot, because it is incurred only if the earlier stages succeed.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5" name="Picture 5"/>
            <wp:cNvGraphicFramePr>
              <a:graphicFrameLocks noChangeAspect="1"/>
            </wp:cNvGraphicFramePr>
            <a:graphic>
              <a:graphicData uri="http://schemas.openxmlformats.org/drawingml/2006/picture">
                <pic:pic>
                  <pic:nvPicPr>
                    <pic:cNvPr id="0" name="fig6_1_position_value.png"/>
                    <pic:cNvPicPr/>
                  </pic:nvPicPr>
                  <pic:blipFill>
                    <a:blip r:embed="rId15"/>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jc w:val="both"/>
      </w:pPr>
      <w:r>
        <w:rPr>
          <w:i/>
        </w:rPr>
        <w:t>Who must accept the answer: the developer and the state.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04"/>
            <w:shd w:val="clear" w:color="auto" w:fill="0B3020"/>
          </w:tcPr>
          <w:p>
            <w:pPr>
              <w:spacing w:after="0"/>
            </w:pPr>
            <w:r>
              <w:rPr>
                <w:b/>
                <w:color w:val="FFFFFF"/>
                <w:sz w:val="16"/>
              </w:rPr>
              <w:t>Consent</w:t>
            </w:r>
          </w:p>
        </w:tc>
        <w:tc>
          <w:tcPr>
            <w:tcW w:type="dxa" w:w="2202"/>
            <w:shd w:val="clear" w:color="auto" w:fill="0B3020"/>
          </w:tcPr>
          <w:p>
            <w:pPr>
              <w:spacing w:after="0"/>
            </w:pPr>
            <w:r>
              <w:rPr>
                <w:b/>
                <w:color w:val="FFFFFF"/>
                <w:sz w:val="16"/>
              </w:rPr>
              <w:t>Typical authority</w:t>
            </w:r>
          </w:p>
        </w:tc>
        <w:tc>
          <w:tcPr>
            <w:tcW w:type="dxa" w:w="2397"/>
            <w:shd w:val="clear" w:color="auto" w:fill="0B3020"/>
          </w:tcPr>
          <w:p>
            <w:pPr>
              <w:spacing w:after="0"/>
            </w:pPr>
            <w:r>
              <w:rPr>
                <w:b/>
                <w:color w:val="FFFFFF"/>
                <w:sz w:val="16"/>
              </w:rPr>
              <w:t>Depends on</w:t>
            </w:r>
          </w:p>
        </w:tc>
        <w:tc>
          <w:tcPr>
            <w:tcW w:type="dxa" w:w="2935"/>
            <w:shd w:val="clear" w:color="auto" w:fill="0B3020"/>
          </w:tcPr>
          <w:p>
            <w:pPr>
              <w:spacing w:after="0"/>
            </w:pPr>
            <w:r>
              <w:rPr>
                <w:b/>
                <w:color w:val="FFFFFF"/>
                <w:sz w:val="16"/>
              </w:rPr>
              <w:t>Why lenders care</w:t>
            </w:r>
          </w:p>
        </w:tc>
      </w:tr>
      <w:tr>
        <w:tc>
          <w:tcPr>
            <w:tcW w:type="dxa" w:w="2104"/>
          </w:tcPr>
          <w:p>
            <w:pPr>
              <w:spacing w:after="0"/>
            </w:pPr>
            <w:r>
              <w:rPr>
                <w:color w:val="1D1D1D"/>
                <w:sz w:val="16"/>
              </w:rPr>
              <w:t>Water use permit or water right</w:t>
            </w:r>
          </w:p>
        </w:tc>
        <w:tc>
          <w:tcPr>
            <w:tcW w:type="dxa" w:w="2202"/>
          </w:tcPr>
          <w:p>
            <w:pPr>
              <w:spacing w:after="0"/>
            </w:pPr>
            <w:r>
              <w:rPr>
                <w:color w:val="1D1D1D"/>
                <w:sz w:val="16"/>
              </w:rPr>
              <w:t>Water resources authority</w:t>
            </w:r>
          </w:p>
        </w:tc>
        <w:tc>
          <w:tcPr>
            <w:tcW w:type="dxa" w:w="2397"/>
          </w:tcPr>
          <w:p>
            <w:pPr>
              <w:spacing w:after="0"/>
            </w:pPr>
            <w:r>
              <w:rPr>
                <w:color w:val="1D1D1D"/>
                <w:sz w:val="16"/>
              </w:rPr>
              <w:t>Hydrology study, environmental flow</w:t>
            </w:r>
          </w:p>
        </w:tc>
        <w:tc>
          <w:tcPr>
            <w:tcW w:type="dxa" w:w="2935"/>
          </w:tcPr>
          <w:p>
            <w:pPr>
              <w:spacing w:after="0"/>
            </w:pPr>
            <w:r>
              <w:rPr>
                <w:color w:val="1D1D1D"/>
                <w:sz w:val="16"/>
              </w:rPr>
              <w:t>Without it, the project has no legal right to the river</w:t>
            </w:r>
          </w:p>
        </w:tc>
      </w:tr>
      <w:tr>
        <w:tc>
          <w:tcPr>
            <w:tcW w:type="dxa" w:w="2104"/>
            <w:shd w:val="clear" w:color="auto" w:fill="FAF8F2"/>
          </w:tcPr>
          <w:p>
            <w:pPr>
              <w:spacing w:after="0"/>
            </w:pPr>
            <w:r>
              <w:rPr>
                <w:color w:val="1D1D1D"/>
                <w:sz w:val="16"/>
              </w:rPr>
              <w:t>Environmental and social approval</w:t>
            </w:r>
          </w:p>
        </w:tc>
        <w:tc>
          <w:tcPr>
            <w:tcW w:type="dxa" w:w="2202"/>
            <w:shd w:val="clear" w:color="auto" w:fill="FAF8F2"/>
          </w:tcPr>
          <w:p>
            <w:pPr>
              <w:spacing w:after="0"/>
            </w:pPr>
            <w:r>
              <w:rPr>
                <w:color w:val="1D1D1D"/>
                <w:sz w:val="16"/>
              </w:rPr>
              <w:t>Environment agency</w:t>
            </w:r>
          </w:p>
        </w:tc>
        <w:tc>
          <w:tcPr>
            <w:tcW w:type="dxa" w:w="2397"/>
            <w:shd w:val="clear" w:color="auto" w:fill="FAF8F2"/>
          </w:tcPr>
          <w:p>
            <w:pPr>
              <w:spacing w:after="0"/>
            </w:pPr>
            <w:r>
              <w:rPr>
                <w:color w:val="1D1D1D"/>
                <w:sz w:val="16"/>
              </w:rPr>
              <w:t>ESIA, public consultation</w:t>
            </w:r>
          </w:p>
        </w:tc>
        <w:tc>
          <w:tcPr>
            <w:tcW w:type="dxa" w:w="2935"/>
            <w:shd w:val="clear" w:color="auto" w:fill="FAF8F2"/>
          </w:tcPr>
          <w:p>
            <w:pPr>
              <w:spacing w:after="0"/>
            </w:pPr>
            <w:r>
              <w:rPr>
                <w:color w:val="1D1D1D"/>
                <w:sz w:val="16"/>
              </w:rPr>
              <w:t>Condition of lending under international standards</w:t>
            </w:r>
          </w:p>
        </w:tc>
      </w:tr>
      <w:tr>
        <w:tc>
          <w:tcPr>
            <w:tcW w:type="dxa" w:w="2104"/>
          </w:tcPr>
          <w:p>
            <w:pPr>
              <w:spacing w:after="0"/>
            </w:pPr>
            <w:r>
              <w:rPr>
                <w:color w:val="1D1D1D"/>
                <w:sz w:val="16"/>
              </w:rPr>
              <w:t>Generation licence</w:t>
            </w:r>
          </w:p>
        </w:tc>
        <w:tc>
          <w:tcPr>
            <w:tcW w:type="dxa" w:w="2202"/>
          </w:tcPr>
          <w:p>
            <w:pPr>
              <w:spacing w:after="0"/>
            </w:pPr>
            <w:r>
              <w:rPr>
                <w:color w:val="1D1D1D"/>
                <w:sz w:val="16"/>
              </w:rPr>
              <w:t>Electricity regulator</w:t>
            </w:r>
          </w:p>
        </w:tc>
        <w:tc>
          <w:tcPr>
            <w:tcW w:type="dxa" w:w="2397"/>
          </w:tcPr>
          <w:p>
            <w:pPr>
              <w:spacing w:after="0"/>
            </w:pPr>
            <w:r>
              <w:rPr>
                <w:color w:val="1D1D1D"/>
                <w:sz w:val="16"/>
              </w:rPr>
              <w:t>Feasibility, water permit, environmental approval</w:t>
            </w:r>
          </w:p>
        </w:tc>
        <w:tc>
          <w:tcPr>
            <w:tcW w:type="dxa" w:w="2935"/>
          </w:tcPr>
          <w:p>
            <w:pPr>
              <w:spacing w:after="0"/>
            </w:pPr>
            <w:r>
              <w:rPr>
                <w:color w:val="1D1D1D"/>
                <w:sz w:val="16"/>
              </w:rPr>
              <w:t>Required to sell power</w:t>
            </w:r>
          </w:p>
        </w:tc>
      </w:tr>
      <w:tr>
        <w:tc>
          <w:tcPr>
            <w:tcW w:type="dxa" w:w="2104"/>
            <w:shd w:val="clear" w:color="auto" w:fill="FAF8F2"/>
          </w:tcPr>
          <w:p>
            <w:pPr>
              <w:spacing w:after="0"/>
            </w:pPr>
            <w:r>
              <w:rPr>
                <w:color w:val="1D1D1D"/>
                <w:sz w:val="16"/>
              </w:rPr>
              <w:t>Land rights and resettlement</w:t>
            </w:r>
          </w:p>
        </w:tc>
        <w:tc>
          <w:tcPr>
            <w:tcW w:type="dxa" w:w="2202"/>
            <w:shd w:val="clear" w:color="auto" w:fill="FAF8F2"/>
          </w:tcPr>
          <w:p>
            <w:pPr>
              <w:spacing w:after="0"/>
            </w:pPr>
            <w:r>
              <w:rPr>
                <w:color w:val="1D1D1D"/>
                <w:sz w:val="16"/>
              </w:rPr>
              <w:t>Land authority, local government, communities</w:t>
            </w:r>
          </w:p>
        </w:tc>
        <w:tc>
          <w:tcPr>
            <w:tcW w:type="dxa" w:w="2397"/>
            <w:shd w:val="clear" w:color="auto" w:fill="FAF8F2"/>
          </w:tcPr>
          <w:p>
            <w:pPr>
              <w:spacing w:after="0"/>
            </w:pPr>
            <w:r>
              <w:rPr>
                <w:color w:val="1D1D1D"/>
                <w:sz w:val="16"/>
              </w:rPr>
              <w:t>Resettlement action plan, compensation</w:t>
            </w:r>
          </w:p>
        </w:tc>
        <w:tc>
          <w:tcPr>
            <w:tcW w:type="dxa" w:w="2935"/>
            <w:shd w:val="clear" w:color="auto" w:fill="FAF8F2"/>
          </w:tcPr>
          <w:p>
            <w:pPr>
              <w:spacing w:after="0"/>
            </w:pPr>
            <w:r>
              <w:rPr>
                <w:color w:val="1D1D1D"/>
                <w:sz w:val="16"/>
              </w:rPr>
              <w:t>Access for construction; reputational risk</w:t>
            </w:r>
          </w:p>
        </w:tc>
      </w:tr>
      <w:tr>
        <w:tc>
          <w:tcPr>
            <w:tcW w:type="dxa" w:w="2104"/>
          </w:tcPr>
          <w:p>
            <w:pPr>
              <w:spacing w:after="0"/>
            </w:pPr>
            <w:r>
              <w:rPr>
                <w:color w:val="1D1D1D"/>
                <w:sz w:val="16"/>
              </w:rPr>
              <w:t>Concession or implementation agreement</w:t>
            </w:r>
          </w:p>
        </w:tc>
        <w:tc>
          <w:tcPr>
            <w:tcW w:type="dxa" w:w="2202"/>
          </w:tcPr>
          <w:p>
            <w:pPr>
              <w:spacing w:after="0"/>
            </w:pPr>
            <w:r>
              <w:rPr>
                <w:color w:val="1D1D1D"/>
                <w:sz w:val="16"/>
              </w:rPr>
              <w:t>Government (energy and finance ministries)</w:t>
            </w:r>
          </w:p>
        </w:tc>
        <w:tc>
          <w:tcPr>
            <w:tcW w:type="dxa" w:w="2397"/>
          </w:tcPr>
          <w:p>
            <w:pPr>
              <w:spacing w:after="0"/>
            </w:pPr>
            <w:r>
              <w:rPr>
                <w:color w:val="1D1D1D"/>
                <w:sz w:val="16"/>
              </w:rPr>
              <w:t>Licence, PPA</w:t>
            </w:r>
          </w:p>
        </w:tc>
        <w:tc>
          <w:tcPr>
            <w:tcW w:type="dxa" w:w="2935"/>
          </w:tcPr>
          <w:p>
            <w:pPr>
              <w:spacing w:after="0"/>
            </w:pPr>
            <w:r>
              <w:rPr>
                <w:color w:val="1D1D1D"/>
                <w:sz w:val="16"/>
              </w:rPr>
              <w:t>Defines state obligations, including termination</w:t>
            </w:r>
          </w:p>
        </w:tc>
      </w:tr>
      <w:tr>
        <w:tc>
          <w:tcPr>
            <w:tcW w:type="dxa" w:w="2104"/>
            <w:shd w:val="clear" w:color="auto" w:fill="FAF8F2"/>
          </w:tcPr>
          <w:p>
            <w:pPr>
              <w:spacing w:after="0"/>
            </w:pPr>
            <w:r>
              <w:rPr>
                <w:color w:val="1D1D1D"/>
                <w:sz w:val="16"/>
              </w:rPr>
              <w:t>Grid connection agreement</w:t>
            </w:r>
          </w:p>
        </w:tc>
        <w:tc>
          <w:tcPr>
            <w:tcW w:type="dxa" w:w="2202"/>
            <w:shd w:val="clear" w:color="auto" w:fill="FAF8F2"/>
          </w:tcPr>
          <w:p>
            <w:pPr>
              <w:spacing w:after="0"/>
            </w:pPr>
            <w:r>
              <w:rPr>
                <w:color w:val="1D1D1D"/>
                <w:sz w:val="16"/>
              </w:rPr>
              <w:t>Transmission company or utility</w:t>
            </w:r>
          </w:p>
        </w:tc>
        <w:tc>
          <w:tcPr>
            <w:tcW w:type="dxa" w:w="2397"/>
            <w:shd w:val="clear" w:color="auto" w:fill="FAF8F2"/>
          </w:tcPr>
          <w:p>
            <w:pPr>
              <w:spacing w:after="0"/>
            </w:pPr>
            <w:r>
              <w:rPr>
                <w:color w:val="1D1D1D"/>
                <w:sz w:val="16"/>
              </w:rPr>
              <w:t>Grid study</w:t>
            </w:r>
          </w:p>
        </w:tc>
        <w:tc>
          <w:tcPr>
            <w:tcW w:type="dxa" w:w="2935"/>
            <w:shd w:val="clear" w:color="auto" w:fill="FAF8F2"/>
          </w:tcPr>
          <w:p>
            <w:pPr>
              <w:spacing w:after="0"/>
            </w:pPr>
            <w:r>
              <w:rPr>
                <w:color w:val="1D1D1D"/>
                <w:sz w:val="16"/>
              </w:rPr>
              <w:t>Evacuation and deemed energy</w:t>
            </w:r>
          </w:p>
        </w:tc>
      </w:tr>
      <w:tr>
        <w:tc>
          <w:tcPr>
            <w:tcW w:type="dxa" w:w="2104"/>
          </w:tcPr>
          <w:p>
            <w:pPr>
              <w:spacing w:after="0"/>
            </w:pPr>
            <w:r>
              <w:rPr>
                <w:color w:val="1D1D1D"/>
                <w:sz w:val="16"/>
              </w:rPr>
              <w:t>Dam safety approval</w:t>
            </w:r>
          </w:p>
        </w:tc>
        <w:tc>
          <w:tcPr>
            <w:tcW w:type="dxa" w:w="2202"/>
          </w:tcPr>
          <w:p>
            <w:pPr>
              <w:spacing w:after="0"/>
            </w:pPr>
            <w:r>
              <w:rPr>
                <w:color w:val="1D1D1D"/>
                <w:sz w:val="16"/>
              </w:rPr>
              <w:t>Dam safety authority, where one exists</w:t>
            </w:r>
          </w:p>
        </w:tc>
        <w:tc>
          <w:tcPr>
            <w:tcW w:type="dxa" w:w="2397"/>
          </w:tcPr>
          <w:p>
            <w:pPr>
              <w:spacing w:after="0"/>
            </w:pPr>
            <w:r>
              <w:rPr>
                <w:color w:val="1D1D1D"/>
                <w:sz w:val="16"/>
              </w:rPr>
              <w:t>Design review</w:t>
            </w:r>
          </w:p>
        </w:tc>
        <w:tc>
          <w:tcPr>
            <w:tcW w:type="dxa" w:w="2935"/>
          </w:tcPr>
          <w:p>
            <w:pPr>
              <w:spacing w:after="0"/>
            </w:pPr>
            <w:r>
              <w:rPr>
                <w:color w:val="1D1D1D"/>
                <w:sz w:val="16"/>
              </w:rPr>
              <w:t>Lenders expect international dam safety practice, such as the World Bank's dam safety requirements [HY-15; R2:S2]</w:t>
            </w:r>
          </w:p>
        </w:tc>
      </w:tr>
      <w:tr>
        <w:tc>
          <w:tcPr>
            <w:tcW w:type="dxa" w:w="2104"/>
            <w:shd w:val="clear" w:color="auto" w:fill="FAF8F2"/>
          </w:tcPr>
          <w:p>
            <w:pPr>
              <w:spacing w:after="0"/>
            </w:pPr>
            <w:r>
              <w:rPr>
                <w:color w:val="1D1D1D"/>
                <w:sz w:val="16"/>
              </w:rPr>
              <w:t>Tax, customs and exchange control approvals</w:t>
            </w:r>
          </w:p>
        </w:tc>
        <w:tc>
          <w:tcPr>
            <w:tcW w:type="dxa" w:w="2202"/>
            <w:shd w:val="clear" w:color="auto" w:fill="FAF8F2"/>
          </w:tcPr>
          <w:p>
            <w:pPr>
              <w:spacing w:after="0"/>
            </w:pPr>
            <w:r>
              <w:rPr>
                <w:color w:val="1D1D1D"/>
                <w:sz w:val="16"/>
              </w:rPr>
              <w:t>Revenue authority, central bank</w:t>
            </w:r>
          </w:p>
        </w:tc>
        <w:tc>
          <w:tcPr>
            <w:tcW w:type="dxa" w:w="2397"/>
            <w:shd w:val="clear" w:color="auto" w:fill="FAF8F2"/>
          </w:tcPr>
          <w:p>
            <w:pPr>
              <w:spacing w:after="0"/>
            </w:pPr>
            <w:r>
              <w:rPr>
                <w:color w:val="1D1D1D"/>
                <w:sz w:val="16"/>
              </w:rPr>
              <w:t>Investment registration</w:t>
            </w:r>
          </w:p>
        </w:tc>
        <w:tc>
          <w:tcPr>
            <w:tcW w:type="dxa" w:w="2935"/>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Act of 1999 requires the regulator to process a licence application within 180 days of receiving it [R2:S1;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offers a sector-specific certification, which its owners present as evidence for lenders' due diligence and for green bond investors and power buyers [HY-03; R2:S3].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financial close readiness sheet (Table 17.1) reads NOT MET.</w:t>
      </w:r>
    </w:p>
    <w:p>
      <w:pPr>
        <w:pStyle w:val="Heading2"/>
      </w:pPr>
      <w:r>
        <w:t>7.4 Resettlement</w:t>
      </w:r>
    </w:p>
    <w:p>
      <w:pPr>
        <w:jc w:val="both"/>
      </w:pPr>
      <w:r>
        <w:rPr/>
        <w:t>Resettlement is the item most likely to delay construction and the one with the largest reputational risk. Lenders expect a resettlement action plan that is approved, budgeted and implemented before the land is needed. At Rusumo Falls, livelihood restoration and local development costs roughly doubled during implementation, from about USD 18 million to about USD 38 million, largely to repair houses damaged by construction blasting and to fund extra local works requested by the governments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the automatic tests of Gates 5 and 6 of </w:t>
      </w:r>
      <w:r>
        <w:rPr>
          <w:i/>
        </w:rPr>
        <w:t>30A_CLOSE_READINESS</w:t>
      </w:r>
      <w:r>
        <w:rPr/>
        <w:t xml:space="preserve">; Gates 7 and 8, permits and land, are counted on evidence entered on that sheet. </w:t>
      </w:r>
      <w:r>
        <w:rPr>
          <w:i/>
        </w:rPr>
        <w:t>29_RISK_ALLOCATION</w:t>
      </w:r>
      <w:r>
        <w:rPr/>
        <w:t xml:space="preserve"> records who carries E&amp;S risk.</w:t>
      </w:r>
    </w:p>
    <w:p>
      <w:pPr>
        <w:jc w:val="both"/>
      </w:pPr>
      <w:r>
        <w:rPr/>
        <w:t>The technical reference for this chapter is Annex R, which sets out the engineering and environmental detail behind it and the questions to put to the project's engineers.</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jc w:val="both"/>
      </w:pPr>
      <w:r>
        <w:rPr>
          <w:i/>
        </w:rPr>
        <w:t>Who must accept the answer: the developer, the lenders and the state.</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[A2:S63].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Two consistency issues must be resolved before close: the gap between the 20-year PPA and the 25-year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jc w:val="both"/>
      </w:pPr>
      <w:r>
        <w:rPr>
          <w:i/>
        </w:rPr>
        <w:t>Who must accept the answer: the developer and the lenders.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electro-mechanical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 Because the debt is resized for each run, the overrun results differ slightly from the locked-financing stresses in Chapter 10.</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jc w:val="both"/>
      </w:pPr>
      <w:r>
        <w:rPr>
          <w:i/>
        </w:rPr>
        <w:t>Who must accept the answer: the developer and the lenders.</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is less reassuring. Across 245 large dams, the median real cost overrun was 27 percent and the mean 96 percent [HY-08]. That study covers large dams, so it probably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 and a two-year delay.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jc w:val="both"/>
      </w:pPr>
      <w:r>
        <w:rPr/>
        <w:t>African projects show the same pattern in practice. Bujagali in Uganda was reported in 2012 to have cost about USD 862 million, against about USD 582 million estimated for the cancelled 2001 design, about 48 percent more; the 2001 scope also included a 100 km transmission line, so the gap is not a like-for-like overrun [A2:S48; A2:S52]. Bui in Ghana rose from about USD 622 million to about USD 790 million, some 27 percent [A1:S38]. At Rusumo Falls, shared by Rwanda, Tanzania and Burundi, the main civil works contract rose by about 47 percent and livelihood restoration and local development costs doubled [A2:S16]. Delay is as common as overrun. Karuma in Uganda, contracted in 2013 for five years of construction, was commissioned in 2024 [A2:S40; A2:S41], and Kafue Gorge Lower in Zambia reached full operation about three years late, with about USD 312 million of capitalised interest in a total cost of about USD 2.0 billion [A1:S57; A1:S58; A1:S60]. Most of these were public projects, so the overrun fell on the utility or the budget. In a private project with locked debt it falls first on the sponsors, which is why the financing gap in the table above is the number to negotiate.</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Annex K lists this among the model's limitations.</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on a funding base </w:t>
      </w:r>
      <w:r>
        <w:rPr>
          <w:i/>
        </w:rPr>
        <w:t>K</w:t>
      </w:r>
      <w:r>
        <w:rPr/>
        <w:t xml:space="preserve">, with upfront fees </w:t>
      </w:r>
      <w:r>
        <w:rPr>
          <w:i/>
        </w:rPr>
        <w:t>f</w:t>
      </w:r>
      <w:r>
        <w:rPr/>
        <w:t>,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jc w:val="both"/>
      </w:pPr>
      <w:r>
        <w:rPr>
          <w:i/>
        </w:rPr>
        <w:t>Who must accept the answer: the lenders and the developer.</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In a sample of 25 projects, IRENA found annual operation and maintenance costs of 1 to 3 percent of total installed cost,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The World Bank's handbook on operation and maintenance strategies for hydropower sets out how owners can plan maintenance over the life of a plant and avoid costly rehabilitation of neglected assets [HY-07; R2:S4].</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11.6 Defects after commissioning</w:t>
      </w:r>
    </w:p>
    <w:p>
      <w:pPr>
        <w:jc w:val="both"/>
      </w:pPr>
      <w:r>
        <w:rPr/>
        <w:t>Recent African plants show that the operating phase can start with the construction phase unfinished. As section 9.4 noted, Uganda's Isimba plant was reported in 2021, two years after commissioning, to have nearly 700 unrepaired defects [A2:S34], and the contractor at Karuma asked for an additional Shs 148 billion, about USD 40 million, to repair defects [A2:S42]. Both were state-financed plants built under contractor-financed packages. For a private project, the protections are contractual: a defects liability period long enough to cover a full wet and dry cycle, retention and a performance bond that survive commissioning, an owner's engineer with authority to refuse take-over, and a lenders' adviser who reports on the punch list before completion is certified.</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pPr>
        <w:jc w:val="both"/>
      </w:pPr>
      <w:r>
        <w:rPr/>
        <w:t>The technical reference for this chapter is Annexes P and Q, which set out the engineering and environmental detail behind it and the questions to put to the project's engineers.</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jc w:val="both"/>
      </w:pPr>
      <w:r>
        <w:rPr>
          <w:i/>
        </w:rPr>
        <w:t>Who must accept the answer: the lenders.</w:t>
      </w:r>
    </w:p>
    <w:p>
      <w:pPr>
        <w:pStyle w:val="Heading2"/>
      </w:pPr>
      <w:r>
        <w:t>12.1 Tenor</w:t>
      </w:r>
    </w:p>
    <w:p>
      <w:pPr>
        <w:jc w:val="both"/>
      </w:pPr>
      <w:r>
        <w:rPr/>
        <w:t>For an asset that can run for fifty years or more, the length of the debt matters more for the tariff than almost any other financing term. Debt tenors from development finance institutions and commercial lenders for African hydro have rarely been longer than 15 to 18 years [PF-13]. Kikagati in Uganda closed with a 16-year loan from FMO and the Emerging Africa Infrastructure Fund [DE:S53]. Bugoye was refinanced in 2017 with 12-year debt from the same two lenders [DE:S29; DE:S30]. Nachtigal raised an 18-year euro tranche and a 21-year local-currency tranche guaranteed by IBRD [PF-11].</w:t>
      </w:r>
    </w:p>
    <w:p>
      <w:pPr>
        <w:jc w:val="both"/>
      </w:pPr>
      <w:r>
        <w:rPr/>
        <w:t>Kasiri's senior debt is repaid over 16 years after commercial operation at an all-in rate of 8 percent, with three quarters of it fixed or swapped, and is sized to a target DSCR of 1.35.</w:t>
      </w:r>
    </w:p>
    <w:p>
      <w:pPr>
        <w:pStyle w:val="Heading2"/>
      </w:pPr>
      <w:r>
        <w:t>12.2 Gearing and cover</w:t>
      </w:r>
    </w:p>
    <w:p>
      <w:pPr>
        <w:jc w:val="both"/>
      </w:pPr>
      <w:r>
        <w:rPr/>
        <w:t>Public evidence on gearing for small and medium African hydro sits between about 62 and 75 percent of total cost: about 70 percent at Nyamagasani 1, 75 percent at Nyamagasani 2 and about 62 percent at Kikagati (derived) [DE:S39b; DE:S39c; DE:S53]. The IFC's guide gives a usual DSCR range of 1.2 to 1.5 for small hydro, with cover above 1.0 under worst-case dry-year hydrology [DE:S1]. The most specific public covenant evidence for a large African hydro IPP is Nachtigal's lenders' base case, with a minimum DSCR of 1.45 and an average of 1.53, at a debt-to-equity ratio of 76:24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the funding base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3559"/>
            <w:shd w:val="clear" w:color="auto" w:fill="0B3020"/>
          </w:tcPr>
          <w:p>
            <w:pPr>
              <w:spacing w:after="0"/>
            </w:pPr>
            <w:r>
              <w:rPr>
                <w:b/>
                <w:color w:val="FFFFFF"/>
                <w:sz w:val="16"/>
              </w:rPr>
              <w:t>Lender case</w:t>
            </w:r>
          </w:p>
        </w:tc>
        <w:tc>
          <w:tcPr>
            <w:tcW w:type="dxa" w:w="2965"/>
            <w:shd w:val="clear" w:color="auto" w:fill="0B3020"/>
          </w:tcPr>
          <w:p>
            <w:pPr>
              <w:spacing w:after="0"/>
            </w:pPr>
            <w:r>
              <w:rPr>
                <w:b/>
                <w:color w:val="FFFFFF"/>
                <w:sz w:val="16"/>
              </w:rPr>
              <w:t>Debt capacity (USDm)</w:t>
            </w:r>
          </w:p>
        </w:tc>
        <w:tc>
          <w:tcPr>
            <w:tcW w:type="dxa" w:w="3114"/>
            <w:shd w:val="clear" w:color="auto" w:fill="0B3020"/>
          </w:tcPr>
          <w:p>
            <w:pPr>
              <w:spacing w:after="0"/>
            </w:pPr>
            <w:r>
              <w:rPr>
                <w:b/>
                <w:color w:val="FFFFFF"/>
                <w:sz w:val="16"/>
              </w:rPr>
              <w:t>Gearing on total uses</w:t>
            </w:r>
          </w:p>
        </w:tc>
      </w:tr>
      <w:tr>
        <w:tc>
          <w:tcPr>
            <w:tcW w:type="dxa" w:w="3559"/>
          </w:tcPr>
          <w:p>
            <w:pPr>
              <w:spacing w:after="0"/>
            </w:pPr>
            <w:r>
              <w:rPr>
                <w:color w:val="1D1D1D"/>
                <w:sz w:val="16"/>
              </w:rPr>
              <w:t>Ten-year P90 (default)</w:t>
            </w:r>
          </w:p>
        </w:tc>
        <w:tc>
          <w:tcPr>
            <w:tcW w:type="dxa" w:w="2965"/>
          </w:tcPr>
          <w:p>
            <w:pPr>
              <w:spacing w:after="0"/>
            </w:pPr>
            <w:r>
              <w:rPr>
                <w:color w:val="1D1D1D"/>
                <w:sz w:val="16"/>
              </w:rPr>
              <w:t>145</w:t>
            </w:r>
          </w:p>
        </w:tc>
        <w:tc>
          <w:tcPr>
            <w:tcW w:type="dxa" w:w="3114"/>
          </w:tcPr>
          <w:p>
            <w:pPr>
              <w:spacing w:after="0"/>
            </w:pPr>
            <w:r>
              <w:rPr>
                <w:color w:val="1D1D1D"/>
                <w:sz w:val="16"/>
              </w:rPr>
              <w:t>68%</w:t>
            </w:r>
          </w:p>
        </w:tc>
      </w:tr>
      <w:tr>
        <w:tc>
          <w:tcPr>
            <w:tcW w:type="dxa" w:w="3559"/>
            <w:shd w:val="clear" w:color="auto" w:fill="FAF8F2"/>
          </w:tcPr>
          <w:p>
            <w:pPr>
              <w:spacing w:after="0"/>
            </w:pPr>
            <w:r>
              <w:rPr>
                <w:color w:val="1D1D1D"/>
                <w:sz w:val="16"/>
              </w:rPr>
              <w:t>One-year P90, every year</w:t>
            </w:r>
          </w:p>
        </w:tc>
        <w:tc>
          <w:tcPr>
            <w:tcW w:type="dxa" w:w="2965"/>
            <w:shd w:val="clear" w:color="auto" w:fill="FAF8F2"/>
          </w:tcPr>
          <w:p>
            <w:pPr>
              <w:spacing w:after="0"/>
            </w:pPr>
            <w:r>
              <w:rPr>
                <w:color w:val="1D1D1D"/>
                <w:sz w:val="16"/>
              </w:rPr>
              <w:t>127</w:t>
            </w:r>
          </w:p>
        </w:tc>
        <w:tc>
          <w:tcPr>
            <w:tcW w:type="dxa" w:w="3114"/>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 except the comparison of contracting structures in section 9.5, where debt is resized for each structure.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jc w:val="both"/>
      </w:pPr>
      <w:r>
        <w:rPr>
          <w:i/>
        </w:rPr>
        <w:t>Who must accept the answer: the lenders and the state, which indemnifies most guarantees.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four local banks, coordinated by IFC [A2:S4].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would add currency risk to the project rather than remove it. Kasiri's mismatch sits with the utility, which earns in local currency and pays the PPA in dollars; the currency stress in Chapter 16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table shows the four with private equity; the fifth, fully public, has none. For each of the four, the full engine solves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among other risks, currency transfer restriction, war and civil disturbance and breach of contract, and its non-honouring cover protects against a government's failure to make a payment due under an unconditional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 R3:S3].</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by then owned by the Africa Renewable Energy Fund, refinanced its senior debt in 2017 with the Emerging Africa Infrastructure Fund and FMO [DE:S30]; Norfund, one of its original sponsors, had exited in 2015 [R3:S1].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jc w:val="both"/>
      </w:pPr>
      <w:r>
        <w:rPr>
          <w:i/>
        </w:rPr>
        <w:t>Who must accept the answer: the developer.</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6" name="Picture 6"/>
            <wp:cNvGraphicFramePr>
              <a:graphicFrameLocks noChangeAspect="1"/>
            </wp:cNvGraphicFramePr>
            <a:graphic>
              <a:graphicData uri="http://schemas.openxmlformats.org/drawingml/2006/picture">
                <pic:pic>
                  <pic:nvPicPr>
                    <pic:cNvPr id="0" name="fig14_1_developer_cf.png"/>
                    <pic:cNvPicPr/>
                  </pic:nvPicPr>
                  <pic:blipFill>
                    <a:blip r:embed="rId16"/>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26% of plant cost when the full model is run, because a larger premium also raises the plant cost, the debt and the equity the developer must put in; a first-order estimate that holds those fixed gives about 19%. Either figure is far above anything a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663"/>
            <w:shd w:val="clear" w:color="auto" w:fill="0B3020"/>
          </w:tcPr>
          <w:p>
            <w:pPr>
              <w:spacing w:after="0"/>
            </w:pPr>
            <w:r>
              <w:rPr>
                <w:b/>
                <w:color w:val="FFFFFF"/>
                <w:sz w:val="16"/>
              </w:rPr>
              <w:t>Case</w:t>
            </w:r>
          </w:p>
        </w:tc>
        <w:tc>
          <w:tcPr>
            <w:tcW w:type="dxa" w:w="2385"/>
            <w:shd w:val="clear" w:color="auto" w:fill="0B3020"/>
          </w:tcPr>
          <w:p>
            <w:pPr>
              <w:spacing w:after="0"/>
            </w:pPr>
            <w:r>
              <w:rPr>
                <w:b/>
                <w:color w:val="FFFFFF"/>
                <w:sz w:val="16"/>
              </w:rPr>
              <w:t>Risk-weighted NPV (USDm)</w:t>
            </w:r>
          </w:p>
        </w:tc>
        <w:tc>
          <w:tcPr>
            <w:tcW w:type="dxa" w:w="1590"/>
            <w:shd w:val="clear" w:color="auto" w:fill="0B3020"/>
          </w:tcPr>
          <w:p>
            <w:pPr>
              <w:spacing w:after="0"/>
            </w:pPr>
            <w:r>
              <w:rPr>
                <w:b/>
                <w:color w:val="FFFFFF"/>
                <w:sz w:val="16"/>
              </w:rPr>
              <w:t>Success-path IRR</w:t>
            </w:r>
          </w:p>
        </w:tc>
      </w:tr>
      <w:tr>
        <w:tc>
          <w:tcPr>
            <w:tcW w:type="dxa" w:w="5663"/>
          </w:tcPr>
          <w:p>
            <w:pPr>
              <w:spacing w:after="0"/>
            </w:pPr>
            <w:r>
              <w:rPr>
                <w:color w:val="1D1D1D"/>
                <w:sz w:val="16"/>
              </w:rPr>
              <w:t>Base</w:t>
            </w:r>
          </w:p>
        </w:tc>
        <w:tc>
          <w:tcPr>
            <w:tcW w:type="dxa" w:w="2385"/>
          </w:tcPr>
          <w:p>
            <w:pPr>
              <w:spacing w:after="0"/>
            </w:pPr>
            <w:r>
              <w:rPr>
                <w:color w:val="1D1D1D"/>
                <w:sz w:val="16"/>
              </w:rPr>
              <w:t>−0.95</w:t>
            </w:r>
          </w:p>
        </w:tc>
        <w:tc>
          <w:tcPr>
            <w:tcW w:type="dxa" w:w="1590"/>
          </w:tcPr>
          <w:p>
            <w:pPr>
              <w:spacing w:after="0"/>
            </w:pPr>
            <w:r>
              <w:rPr>
                <w:color w:val="1D1D1D"/>
                <w:sz w:val="16"/>
              </w:rPr>
              <w:t>16.0%</w:t>
            </w:r>
          </w:p>
        </w:tc>
      </w:tr>
      <w:tr>
        <w:tc>
          <w:tcPr>
            <w:tcW w:type="dxa" w:w="5663"/>
            <w:shd w:val="clear" w:color="auto" w:fill="FAF8F2"/>
          </w:tcPr>
          <w:p>
            <w:pPr>
              <w:spacing w:after="0"/>
            </w:pPr>
            <w:r>
              <w:rPr>
                <w:color w:val="1D1D1D"/>
                <w:sz w:val="16"/>
              </w:rPr>
              <w:t>Development discount rate 18% instead of 25%</w:t>
            </w:r>
          </w:p>
        </w:tc>
        <w:tc>
          <w:tcPr>
            <w:tcW w:type="dxa" w:w="2385"/>
            <w:shd w:val="clear" w:color="auto" w:fill="FAF8F2"/>
          </w:tcPr>
          <w:p>
            <w:pPr>
              <w:spacing w:after="0"/>
            </w:pPr>
            <w:r>
              <w:rPr>
                <w:color w:val="1D1D1D"/>
                <w:sz w:val="16"/>
              </w:rPr>
              <w:t>−1.02</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Development premium 6% instead of 3%</w:t>
            </w:r>
          </w:p>
        </w:tc>
        <w:tc>
          <w:tcPr>
            <w:tcW w:type="dxa" w:w="2385"/>
          </w:tcPr>
          <w:p>
            <w:pPr>
              <w:spacing w:after="0"/>
            </w:pPr>
            <w:r>
              <w:rPr>
                <w:color w:val="1D1D1D"/>
                <w:sz w:val="16"/>
              </w:rPr>
              <w:t>−0.82</w:t>
            </w:r>
          </w:p>
        </w:tc>
        <w:tc>
          <w:tcPr>
            <w:tcW w:type="dxa" w:w="1590"/>
          </w:tcPr>
          <w:p>
            <w:pPr>
              <w:spacing w:after="0"/>
            </w:pPr>
            <w:r>
              <w:rPr>
                <w:color w:val="1D1D1D"/>
                <w:sz w:val="16"/>
              </w:rPr>
              <w:t>18.6%</w:t>
            </w:r>
          </w:p>
        </w:tc>
      </w:tr>
      <w:tr>
        <w:tc>
          <w:tcPr>
            <w:tcW w:type="dxa" w:w="5663"/>
            <w:shd w:val="clear" w:color="auto" w:fill="FAF8F2"/>
          </w:tcPr>
          <w:p>
            <w:pPr>
              <w:spacing w:after="0"/>
            </w:pPr>
            <w:r>
              <w:rPr>
                <w:color w:val="1D1D1D"/>
                <w:sz w:val="16"/>
              </w:rPr>
              <w:t>Stage odds 10 points higher at every stage</w:t>
            </w:r>
          </w:p>
        </w:tc>
        <w:tc>
          <w:tcPr>
            <w:tcW w:type="dxa" w:w="2385"/>
            <w:shd w:val="clear" w:color="auto" w:fill="FAF8F2"/>
          </w:tcPr>
          <w:p>
            <w:pPr>
              <w:spacing w:after="0"/>
            </w:pPr>
            <w:r>
              <w:rPr>
                <w:color w:val="1D1D1D"/>
                <w:sz w:val="16"/>
              </w:rPr>
              <w:t>−0.96</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Grant funds half of the feasibility stage</w:t>
            </w:r>
          </w:p>
        </w:tc>
        <w:tc>
          <w:tcPr>
            <w:tcW w:type="dxa" w:w="2385"/>
          </w:tcPr>
          <w:p>
            <w:pPr>
              <w:spacing w:after="0"/>
            </w:pPr>
            <w:r>
              <w:rPr>
                <w:color w:val="1D1D1D"/>
                <w:sz w:val="16"/>
              </w:rPr>
              <w:t>−0.59</w:t>
            </w:r>
          </w:p>
        </w:tc>
        <w:tc>
          <w:tcPr>
            <w:tcW w:type="dxa" w:w="1590"/>
          </w:tcPr>
          <w:p>
            <w:pPr>
              <w:spacing w:after="0"/>
            </w:pPr>
            <w:r>
              <w:rPr>
                <w:color w:val="1D1D1D"/>
                <w:sz w:val="16"/>
              </w:rPr>
              <w:t>18.4%</w:t>
            </w:r>
          </w:p>
        </w:tc>
      </w:tr>
      <w:tr>
        <w:tc>
          <w:tcPr>
            <w:tcW w:type="dxa" w:w="5663"/>
            <w:shd w:val="clear" w:color="auto" w:fill="FAF8F2"/>
          </w:tcPr>
          <w:p>
            <w:pPr>
              <w:spacing w:after="0"/>
            </w:pPr>
            <w:r>
              <w:rPr>
                <w:color w:val="1D1D1D"/>
                <w:sz w:val="16"/>
              </w:rPr>
              <w:t>Tariff 10% higher</w:t>
            </w:r>
          </w:p>
        </w:tc>
        <w:tc>
          <w:tcPr>
            <w:tcW w:type="dxa" w:w="2385"/>
            <w:shd w:val="clear" w:color="auto" w:fill="FAF8F2"/>
          </w:tcPr>
          <w:p>
            <w:pPr>
              <w:spacing w:after="0"/>
            </w:pPr>
            <w:r>
              <w:rPr>
                <w:color w:val="1D1D1D"/>
                <w:sz w:val="16"/>
              </w:rPr>
              <w:t>−0.76</w:t>
            </w:r>
          </w:p>
        </w:tc>
        <w:tc>
          <w:tcPr>
            <w:tcW w:type="dxa" w:w="1590"/>
            <w:shd w:val="clear" w:color="auto" w:fill="FAF8F2"/>
          </w:tcPr>
          <w:p>
            <w:pPr>
              <w:spacing w:after="0"/>
            </w:pPr>
            <w:r>
              <w:rPr>
                <w:color w:val="1D1D1D"/>
                <w:sz w:val="16"/>
              </w:rPr>
              <w:t>20.7%</w:t>
            </w:r>
          </w:p>
        </w:tc>
      </w:tr>
      <w:tr>
        <w:tc>
          <w:tcPr>
            <w:tcW w:type="dxa" w:w="5663"/>
          </w:tcPr>
          <w:p>
            <w:pPr>
              <w:spacing w:after="0"/>
            </w:pPr>
            <w:r>
              <w:rPr>
                <w:color w:val="1D1D1D"/>
                <w:sz w:val="16"/>
              </w:rPr>
              <w:t>Rate, premium, odds and grant together (tariff unchanged)</w:t>
            </w:r>
          </w:p>
        </w:tc>
        <w:tc>
          <w:tcPr>
            <w:tcW w:type="dxa" w:w="2385"/>
          </w:tcPr>
          <w:p>
            <w:pPr>
              <w:spacing w:after="0"/>
            </w:pPr>
            <w:r>
              <w:rPr>
                <w:color w:val="1D1D1D"/>
                <w:sz w:val="16"/>
              </w:rPr>
              <w:t>−0.05</w:t>
            </w:r>
          </w:p>
        </w:tc>
        <w:tc>
          <w:tcPr>
            <w:tcW w:type="dxa" w:w="1590"/>
          </w:tcPr>
          <w:p>
            <w:pPr>
              <w:spacing w:after="0"/>
            </w:pPr>
            <w:r>
              <w:rPr>
                <w:color w:val="1D1D1D"/>
                <w:sz w:val="16"/>
              </w:rPr>
              <w:t>22.1%</w:t>
            </w:r>
          </w:p>
        </w:tc>
      </w:tr>
    </w:tbl>
    <w:p>
      <w:pPr>
        <w:spacing w:after="40"/>
      </w:pPr>
    </w:p>
    <w:p>
      <w:pPr>
        <w:jc w:val="both"/>
      </w:pPr>
      <w:r>
        <w:rPr/>
        <w:t>The risk-weighted NPV in this table, USD −0.95 million in the base case, differs from the value of the position at reconnaissance in Chapter 6, USD −1.20 million. Both answer the same question by different routes. The NPV discounts the nominal spend year by year in the development cash flow; the value by stage uses real stage budgets spent at mid-stage. Read the NPV for the decision to start, and the value by stage for pricing an entry.</w:t>
      </w: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the four development levers together, with the tariff unchanged,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Bugoye in Uganda illustrates the pattern: Norfund, one of the original sponsors, exited in 2015 [R3:S1], and by 2017 the plant was wholly owned by the Africa Renewable Energy Fund, which refinanced its debt [DE:S30].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jc w:val="both"/>
      </w:pPr>
      <w:r>
        <w:rPr>
          <w:i/>
        </w:rPr>
        <w:t>Who must accept the answer: the state.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ratio of the buyer's payment capacity to the PPA bill is about 6.0x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peak contingent exposure was about 2.7 percent of GDP, its fiscal screen was moderate in the base case and high under cost overruns, the offtaker stress or the currency step,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jc w:val="both"/>
      </w:pPr>
      <w:r>
        <w:rPr>
          <w:i/>
        </w:rPr>
        <w:t>Who must accept the answer: the developer, the lenders and the state.</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table shows the main ones for Kasiri.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7" name="Picture 7"/>
            <wp:cNvGraphicFramePr>
              <a:graphicFrameLocks noChangeAspect="1"/>
            </wp:cNvGraphicFramePr>
            <a:graphic>
              <a:graphicData uri="http://schemas.openxmlformats.org/drawingml/2006/picture">
                <pic:pic>
                  <pic:nvPicPr>
                    <pic:cNvPr id="0" name="fig16_1_tornado.png"/>
                    <pic:cNvPicPr/>
                  </pic:nvPicPr>
                  <pic:blipFill>
                    <a:blip r:embed="rId17"/>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a larger reserve, a cash sweep in wet years or a smaller loan, and should see the drought test before close.</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African experience gives the drought and buyer stresses a real shape. For 2024 the Zambezi River Authority cut the water allocated for generation at Kariba by about 47 percent [CL-04], and the output of the 1,080 MW Kariba North Bank station was reported at 98 MW in June 2024, down from 166 MW a month earlier [R3:S2]. On the buyer side, Ghana's Electricity Company owed the Bui Power Authority about USD 612 million in March 2023 [A1:S40]. Neither event is a tail case for the region; both are recent.</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jc w:val="both"/>
      </w:pPr>
      <w:r>
        <w:rPr>
          <w:i/>
        </w:rPr>
        <w:t>Who must accept the answer: the developer, the lenders and the state.</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shd w:val="clear" w:color="auto" w:fill="0B3020"/>
          </w:tcPr>
          <w:p>
            <w:pPr>
              <w:spacing w:after="0"/>
            </w:pPr>
            <w:r>
              <w:rPr>
                <w:b/>
                <w:color w:val="FFFFFF"/>
                <w:sz w:val="16"/>
              </w:rPr>
              <w:t>#</w:t>
            </w:r>
          </w:p>
        </w:tc>
        <w:tc>
          <w:tcPr>
            <w:tcW w:type="dxa" w:w="5669"/>
            <w:shd w:val="clear" w:color="auto" w:fill="0B3020"/>
          </w:tcPr>
          <w:p>
            <w:pPr>
              <w:spacing w:after="0"/>
            </w:pPr>
            <w:r>
              <w:rPr>
                <w:b/>
                <w:color w:val="FFFFFF"/>
                <w:sz w:val="16"/>
              </w:rPr>
              <w:t>Gate</w:t>
            </w:r>
          </w:p>
        </w:tc>
        <w:tc>
          <w:tcPr>
            <w:tcW w:type="dxa" w:w="756"/>
            <w:shd w:val="clear" w:color="auto" w:fill="0B3020"/>
          </w:tcPr>
          <w:p>
            <w:pPr>
              <w:spacing w:after="0"/>
            </w:pPr>
            <w:r>
              <w:rPr>
                <w:b/>
                <w:color w:val="FFFFFF"/>
                <w:sz w:val="16"/>
              </w:rPr>
              <w:t>Question</w:t>
            </w:r>
          </w:p>
        </w:tc>
        <w:tc>
          <w:tcPr>
            <w:tcW w:type="dxa" w:w="756"/>
            <w:shd w:val="clear" w:color="auto" w:fill="0B3020"/>
          </w:tcPr>
          <w:p>
            <w:pPr>
              <w:spacing w:after="0"/>
            </w:pPr>
            <w:r>
              <w:rPr>
                <w:b/>
                <w:color w:val="FFFFFF"/>
                <w:sz w:val="16"/>
              </w:rPr>
              <w:t>Critical</w:t>
            </w:r>
          </w:p>
        </w:tc>
        <w:tc>
          <w:tcPr>
            <w:tcW w:type="dxa" w:w="1890"/>
            <w:shd w:val="clear" w:color="auto" w:fill="0B3020"/>
          </w:tcPr>
          <w:p>
            <w:pPr>
              <w:spacing w:after="0"/>
            </w:pPr>
            <w:r>
              <w:rPr>
                <w:b/>
                <w:color w:val="FFFFFF"/>
                <w:sz w:val="16"/>
              </w:rPr>
              <w:t>Status</w:t>
            </w:r>
          </w:p>
        </w:tc>
      </w:tr>
      <w:tr>
        <w:tc>
          <w:tcPr>
            <w:tcW w:type="dxa" w:w="567"/>
          </w:tcPr>
          <w:p>
            <w:pPr>
              <w:spacing w:after="0"/>
            </w:pPr>
            <w:r>
              <w:rPr>
                <w:color w:val="1D1D1D"/>
                <w:sz w:val="16"/>
              </w:rPr>
              <w:t>1</w:t>
            </w:r>
          </w:p>
        </w:tc>
        <w:tc>
          <w:tcPr>
            <w:tcW w:type="dxa" w:w="5669"/>
          </w:tcPr>
          <w:p>
            <w:pPr>
              <w:spacing w:after="0"/>
            </w:pPr>
            <w:r>
              <w:rPr>
                <w:color w:val="1D1D1D"/>
                <w:sz w:val="16"/>
              </w:rPr>
              <w:t>Flow record of at least 15 years and independent hydrology review</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w:t>
            </w:r>
          </w:p>
        </w:tc>
        <w:tc>
          <w:tcPr>
            <w:tcW w:type="dxa" w:w="5669"/>
            <w:shd w:val="clear" w:color="auto" w:fill="FAF8F2"/>
          </w:tcPr>
          <w:p>
            <w:pPr>
              <w:spacing w:after="0"/>
            </w:pPr>
            <w:r>
              <w:rPr>
                <w:color w:val="1D1D1D"/>
                <w:sz w:val="16"/>
              </w:rPr>
              <w:t>P90 energy confirmed by the lenders' technical adviser</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3</w:t>
            </w:r>
          </w:p>
        </w:tc>
        <w:tc>
          <w:tcPr>
            <w:tcW w:type="dxa" w:w="5669"/>
          </w:tcPr>
          <w:p>
            <w:pPr>
              <w:spacing w:after="0"/>
            </w:pPr>
            <w:r>
              <w:rPr>
                <w:color w:val="1D1D1D"/>
                <w:sz w:val="16"/>
              </w:rPr>
              <w:t>Bankable feasibility study signed off by the lenders' technical adviser</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4</w:t>
            </w:r>
          </w:p>
        </w:tc>
        <w:tc>
          <w:tcPr>
            <w:tcW w:type="dxa" w:w="5669"/>
            <w:shd w:val="clear" w:color="auto" w:fill="FAF8F2"/>
          </w:tcPr>
          <w:p>
            <w:pPr>
              <w:spacing w:after="0"/>
            </w:pPr>
            <w:r>
              <w:rPr>
                <w:color w:val="1D1D1D"/>
                <w:sz w:val="16"/>
              </w:rPr>
              <w:t>Geotechnical investigation sufficient for a baseline report</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5</w:t>
            </w:r>
          </w:p>
        </w:tc>
        <w:tc>
          <w:tcPr>
            <w:tcW w:type="dxa" w:w="5669"/>
          </w:tcPr>
          <w:p>
            <w:pPr>
              <w:spacing w:after="0"/>
            </w:pPr>
            <w:r>
              <w:rPr>
                <w:color w:val="1D1D1D"/>
                <w:sz w:val="16"/>
              </w:rPr>
              <w:t>ESIA approved and compliant with lender standards</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6</w:t>
            </w:r>
          </w:p>
        </w:tc>
        <w:tc>
          <w:tcPr>
            <w:tcW w:type="dxa" w:w="5669"/>
            <w:shd w:val="clear" w:color="auto" w:fill="FAF8F2"/>
          </w:tcPr>
          <w:p>
            <w:pPr>
              <w:spacing w:after="0"/>
            </w:pPr>
            <w:r>
              <w:rPr>
                <w:color w:val="1D1D1D"/>
                <w:sz w:val="16"/>
              </w:rPr>
              <w:t>Resettlement action plan approved and funded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7</w:t>
            </w:r>
          </w:p>
        </w:tc>
        <w:tc>
          <w:tcPr>
            <w:tcW w:type="dxa" w:w="5669"/>
          </w:tcPr>
          <w:p>
            <w:pPr>
              <w:spacing w:after="0"/>
            </w:pPr>
            <w:r>
              <w:rPr>
                <w:color w:val="1D1D1D"/>
                <w:sz w:val="16"/>
              </w:rPr>
              <w:t>Generation licence and water-use permit granted</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8</w:t>
            </w:r>
          </w:p>
        </w:tc>
        <w:tc>
          <w:tcPr>
            <w:tcW w:type="dxa" w:w="5669"/>
            <w:shd w:val="clear" w:color="auto" w:fill="FAF8F2"/>
          </w:tcPr>
          <w:p>
            <w:pPr>
              <w:spacing w:after="0"/>
            </w:pPr>
            <w:r>
              <w:rPr>
                <w:color w:val="1D1D1D"/>
                <w:sz w:val="16"/>
              </w:rPr>
              <w:t>Land rights secured for all project areas</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NOT MET</w:t>
            </w:r>
          </w:p>
        </w:tc>
      </w:tr>
      <w:tr>
        <w:tc>
          <w:tcPr>
            <w:tcW w:type="dxa" w:w="567"/>
          </w:tcPr>
          <w:p>
            <w:pPr>
              <w:spacing w:after="0"/>
            </w:pPr>
            <w:r>
              <w:rPr>
                <w:color w:val="1D1D1D"/>
                <w:sz w:val="16"/>
              </w:rPr>
              <w:t>9</w:t>
            </w:r>
          </w:p>
        </w:tc>
        <w:tc>
          <w:tcPr>
            <w:tcW w:type="dxa" w:w="5669"/>
          </w:tcPr>
          <w:p>
            <w:pPr>
              <w:spacing w:after="0"/>
            </w:pPr>
            <w:r>
              <w:rPr>
                <w:color w:val="1D1D1D"/>
                <w:sz w:val="16"/>
              </w:rPr>
              <w:t>PPA signed and approved by the regulator</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10</w:t>
            </w:r>
          </w:p>
        </w:tc>
        <w:tc>
          <w:tcPr>
            <w:tcW w:type="dxa" w:w="5669"/>
            <w:shd w:val="clear" w:color="auto" w:fill="FAF8F2"/>
          </w:tcPr>
          <w:p>
            <w:pPr>
              <w:spacing w:after="0"/>
            </w:pPr>
            <w:r>
              <w:rPr>
                <w:color w:val="1D1D1D"/>
                <w:sz w:val="16"/>
              </w:rPr>
              <w:t>Implementation or concession agreement signed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11</w:t>
            </w:r>
          </w:p>
        </w:tc>
        <w:tc>
          <w:tcPr>
            <w:tcW w:type="dxa" w:w="5669"/>
          </w:tcPr>
          <w:p>
            <w:pPr>
              <w:spacing w:after="0"/>
            </w:pPr>
            <w:r>
              <w:rPr>
                <w:color w:val="1D1D1D"/>
                <w:sz w:val="16"/>
              </w:rPr>
              <w:t>Transmission financed (model test); signed grid connection agreement to be evidenced</w:t>
            </w:r>
          </w:p>
        </w:tc>
        <w:tc>
          <w:tcPr>
            <w:tcW w:type="dxa" w:w="756"/>
          </w:tcPr>
          <w:p>
            <w:pPr>
              <w:spacing w:after="0"/>
            </w:pPr>
            <w:r>
              <w:rPr>
                <w:color w:val="1D1D1D"/>
                <w:sz w:val="16"/>
              </w:rPr>
              <w:t>Q3</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12</w:t>
            </w:r>
          </w:p>
        </w:tc>
        <w:tc>
          <w:tcPr>
            <w:tcW w:type="dxa" w:w="5669"/>
            <w:shd w:val="clear" w:color="auto" w:fill="FAF8F2"/>
          </w:tcPr>
          <w:p>
            <w:pPr>
              <w:spacing w:after="0"/>
            </w:pPr>
            <w:r>
              <w:rPr>
                <w:color w:val="1D1D1D"/>
                <w:sz w:val="16"/>
              </w:rPr>
              <w:t>Transmission in service no later than plant COD</w:t>
            </w:r>
          </w:p>
        </w:tc>
        <w:tc>
          <w:tcPr>
            <w:tcW w:type="dxa" w:w="756"/>
            <w:shd w:val="clear" w:color="auto" w:fill="FAF8F2"/>
          </w:tcPr>
          <w:p>
            <w:pPr>
              <w:spacing w:after="0"/>
            </w:pPr>
            <w:r>
              <w:rPr>
                <w:color w:val="1D1D1D"/>
                <w:sz w:val="16"/>
              </w:rPr>
              <w:t>Q3</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13</w:t>
            </w:r>
          </w:p>
        </w:tc>
        <w:tc>
          <w:tcPr>
            <w:tcW w:type="dxa" w:w="5669"/>
          </w:tcPr>
          <w:p>
            <w:pPr>
              <w:spacing w:after="0"/>
            </w:pPr>
            <w:r>
              <w:rPr>
                <w:color w:val="1D1D1D"/>
                <w:sz w:val="16"/>
              </w:rPr>
              <w:t>EPC contract(s) signed with fixed price, completion date and LDs</w:t>
            </w:r>
          </w:p>
        </w:tc>
        <w:tc>
          <w:tcPr>
            <w:tcW w:type="dxa" w:w="756"/>
          </w:tcPr>
          <w:p>
            <w:pPr>
              <w:spacing w:after="0"/>
            </w:pPr>
            <w:r>
              <w:rPr>
                <w:color w:val="1D1D1D"/>
                <w:sz w:val="16"/>
              </w:rPr>
              <w:t>Q6</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14</w:t>
            </w:r>
          </w:p>
        </w:tc>
        <w:tc>
          <w:tcPr>
            <w:tcW w:type="dxa" w:w="5669"/>
            <w:shd w:val="clear" w:color="auto" w:fill="FAF8F2"/>
          </w:tcPr>
          <w:p>
            <w:pPr>
              <w:spacing w:after="0"/>
            </w:pPr>
            <w:r>
              <w:rPr>
                <w:color w:val="1D1D1D"/>
                <w:sz w:val="16"/>
              </w:rPr>
              <w:t>O&amp;M arrangements and owner's team in place</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15</w:t>
            </w:r>
          </w:p>
        </w:tc>
        <w:tc>
          <w:tcPr>
            <w:tcW w:type="dxa" w:w="5669"/>
          </w:tcPr>
          <w:p>
            <w:pPr>
              <w:spacing w:after="0"/>
            </w:pPr>
            <w:r>
              <w:rPr>
                <w:color w:val="1D1D1D"/>
                <w:sz w:val="16"/>
              </w:rPr>
              <w:t>Payment security of at least 6 months in place</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16</w:t>
            </w:r>
          </w:p>
        </w:tc>
        <w:tc>
          <w:tcPr>
            <w:tcW w:type="dxa" w:w="5669"/>
            <w:shd w:val="clear" w:color="auto" w:fill="FAF8F2"/>
          </w:tcPr>
          <w:p>
            <w:pPr>
              <w:spacing w:after="0"/>
            </w:pPr>
            <w:r>
              <w:rPr>
                <w:color w:val="1D1D1D"/>
                <w:sz w:val="16"/>
              </w:rPr>
              <w:t>Offtaker payment capacity at least 1.2x the PPA bill (worst of first 10 years)</w:t>
            </w:r>
          </w:p>
        </w:tc>
        <w:tc>
          <w:tcPr>
            <w:tcW w:type="dxa" w:w="756"/>
            <w:shd w:val="clear" w:color="auto" w:fill="FAF8F2"/>
          </w:tcPr>
          <w:p>
            <w:pPr>
              <w:spacing w:after="0"/>
            </w:pPr>
            <w:r>
              <w:rPr>
                <w:color w:val="1D1D1D"/>
                <w:sz w:val="16"/>
              </w:rPr>
              <w:t>Q7</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17</w:t>
            </w:r>
          </w:p>
        </w:tc>
        <w:tc>
          <w:tcPr>
            <w:tcW w:type="dxa" w:w="5669"/>
          </w:tcPr>
          <w:p>
            <w:pPr>
              <w:spacing w:after="0"/>
            </w:pPr>
            <w:r>
              <w:rPr>
                <w:color w:val="1D1D1D"/>
                <w:sz w:val="16"/>
              </w:rPr>
              <w:t>Financing plan fully committed (no financing gap)</w:t>
            </w:r>
          </w:p>
        </w:tc>
        <w:tc>
          <w:tcPr>
            <w:tcW w:type="dxa" w:w="756"/>
          </w:tcPr>
          <w:p>
            <w:pPr>
              <w:spacing w:after="0"/>
            </w:pPr>
            <w:r>
              <w:rPr>
                <w:color w:val="1D1D1D"/>
                <w:sz w:val="16"/>
              </w:rPr>
              <w:t>Q5</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18</w:t>
            </w:r>
          </w:p>
        </w:tc>
        <w:tc>
          <w:tcPr>
            <w:tcW w:type="dxa" w:w="5669"/>
            <w:shd w:val="clear" w:color="auto" w:fill="FAF8F2"/>
          </w:tcPr>
          <w:p>
            <w:pPr>
              <w:spacing w:after="0"/>
            </w:pPr>
            <w:r>
              <w:rPr>
                <w:color w:val="1D1D1D"/>
                <w:sz w:val="16"/>
              </w:rPr>
              <w:t>Minimum DSCR at or above the sizing target in the selected case</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19</w:t>
            </w:r>
          </w:p>
        </w:tc>
        <w:tc>
          <w:tcPr>
            <w:tcW w:type="dxa" w:w="5669"/>
          </w:tcPr>
          <w:p>
            <w:pPr>
              <w:spacing w:after="0"/>
            </w:pPr>
            <w:r>
              <w:rPr>
                <w:color w:val="1D1D1D"/>
                <w:sz w:val="16"/>
              </w:rPr>
              <w:t>Equity IRR at or above target (model test); signed equity commitments to be evidenced</w:t>
            </w:r>
          </w:p>
        </w:tc>
        <w:tc>
          <w:tcPr>
            <w:tcW w:type="dxa" w:w="756"/>
          </w:tcPr>
          <w:p>
            <w:pPr>
              <w:spacing w:after="0"/>
            </w:pPr>
            <w:r>
              <w:rPr>
                <w:color w:val="1D1D1D"/>
                <w:sz w:val="16"/>
              </w:rPr>
              <w:t>Q4</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20</w:t>
            </w:r>
          </w:p>
        </w:tc>
        <w:tc>
          <w:tcPr>
            <w:tcW w:type="dxa" w:w="5669"/>
            <w:shd w:val="clear" w:color="auto" w:fill="FAF8F2"/>
          </w:tcPr>
          <w:p>
            <w:pPr>
              <w:spacing w:after="0"/>
            </w:pPr>
            <w:r>
              <w:rPr>
                <w:color w:val="1D1D1D"/>
                <w:sz w:val="16"/>
              </w:rPr>
              <w:t>Political risk cover or guarantees signed</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NO EVIDENCE</w:t>
            </w:r>
          </w:p>
        </w:tc>
      </w:tr>
      <w:tr>
        <w:tc>
          <w:tcPr>
            <w:tcW w:type="dxa" w:w="567"/>
          </w:tcPr>
          <w:p>
            <w:pPr>
              <w:spacing w:after="0"/>
            </w:pPr>
            <w:r>
              <w:rPr>
                <w:color w:val="1D1D1D"/>
                <w:sz w:val="16"/>
              </w:rPr>
              <w:t>21</w:t>
            </w:r>
          </w:p>
        </w:tc>
        <w:tc>
          <w:tcPr>
            <w:tcW w:type="dxa" w:w="5669"/>
          </w:tcPr>
          <w:p>
            <w:pPr>
              <w:spacing w:after="0"/>
            </w:pPr>
            <w:r>
              <w:rPr>
                <w:color w:val="1D1D1D"/>
                <w:sz w:val="16"/>
              </w:rPr>
              <w:t>Fiscal screen not HIGH (model test); finance ministry approval of support to be evidenced</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22</w:t>
            </w:r>
          </w:p>
        </w:tc>
        <w:tc>
          <w:tcPr>
            <w:tcW w:type="dxa" w:w="5669"/>
            <w:shd w:val="clear" w:color="auto" w:fill="FAF8F2"/>
          </w:tcPr>
          <w:p>
            <w:pPr>
              <w:spacing w:after="0"/>
            </w:pPr>
            <w:r>
              <w:rPr>
                <w:color w:val="1D1D1D"/>
                <w:sz w:val="16"/>
              </w:rPr>
              <w:t>Insurance programme placed (construction all risks, DSU)</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23</w:t>
            </w:r>
          </w:p>
        </w:tc>
        <w:tc>
          <w:tcPr>
            <w:tcW w:type="dxa" w:w="5669"/>
          </w:tcPr>
          <w:p>
            <w:pPr>
              <w:spacing w:after="0"/>
            </w:pPr>
            <w:r>
              <w:rPr>
                <w:color w:val="1D1D1D"/>
                <w:sz w:val="16"/>
              </w:rPr>
              <w:t>Independent model audit completed</w:t>
            </w:r>
          </w:p>
        </w:tc>
        <w:tc>
          <w:tcPr>
            <w:tcW w:type="dxa" w:w="756"/>
          </w:tcPr>
          <w:p>
            <w:pPr>
              <w:spacing w:after="0"/>
            </w:pPr>
            <w:r>
              <w:rPr>
                <w:color w:val="1D1D1D"/>
                <w:sz w:val="16"/>
              </w:rPr>
              <w:t>Q5</w:t>
            </w:r>
          </w:p>
        </w:tc>
        <w:tc>
          <w:tcPr>
            <w:tcW w:type="dxa" w:w="756"/>
          </w:tcPr>
          <w:p>
            <w:pPr>
              <w:spacing w:after="0"/>
            </w:pPr>
            <w:r>
              <w:rPr>
                <w:color w:val="1D1D1D"/>
                <w:sz w:val="16"/>
              </w:rPr>
              <w:t>No</w:t>
            </w:r>
          </w:p>
        </w:tc>
        <w:tc>
          <w:tcPr>
            <w:tcW w:type="dxa" w:w="1890"/>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Reading the gates through the framework</w:t>
      </w:r>
    </w:p>
    <w:p>
      <w:pPr>
        <w:jc w:val="both"/>
      </w:pPr>
      <w:r>
        <w:rPr/>
        <w:t>The 23 gates are not a flat list. Each tests one of the eight questions of the Hydro Readiness Framework set out in the Introduction, and each question has to be accepted by a particular party. Read that way, Kasiri's STOP tells each party what it is waiting for.</w:t>
      </w:r>
    </w:p>
    <w:p>
      <w:pPr>
        <w:keepNext/>
      </w:pPr>
      <w:r>
        <w:rPr>
          <w:b/>
          <w:color w:val="0B3020"/>
          <w:sz w:val="18"/>
        </w:rPr>
        <w:t>Table 17.2. Kasiri River Hydro: readiness by framework question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457"/>
            <w:shd w:val="clear" w:color="auto" w:fill="0B3020"/>
          </w:tcPr>
          <w:p>
            <w:pPr>
              <w:spacing w:after="0"/>
            </w:pPr>
            <w:r>
              <w:rPr>
                <w:b/>
                <w:color w:val="FFFFFF"/>
                <w:sz w:val="16"/>
              </w:rPr>
              <w:t>Question</w:t>
            </w:r>
          </w:p>
        </w:tc>
        <w:tc>
          <w:tcPr>
            <w:tcW w:type="dxa" w:w="2619"/>
            <w:shd w:val="clear" w:color="auto" w:fill="0B3020"/>
          </w:tcPr>
          <w:p>
            <w:pPr>
              <w:spacing w:after="0"/>
            </w:pPr>
            <w:r>
              <w:rPr>
                <w:b/>
                <w:color w:val="FFFFFF"/>
                <w:sz w:val="16"/>
              </w:rPr>
              <w:t>Must be accepted by</w:t>
            </w:r>
          </w:p>
        </w:tc>
        <w:tc>
          <w:tcPr>
            <w:tcW w:type="dxa" w:w="629"/>
            <w:shd w:val="clear" w:color="auto" w:fill="0B3020"/>
          </w:tcPr>
          <w:p>
            <w:pPr>
              <w:spacing w:after="0"/>
            </w:pPr>
            <w:r>
              <w:rPr>
                <w:b/>
                <w:color w:val="FFFFFF"/>
                <w:sz w:val="16"/>
              </w:rPr>
              <w:t>Gates</w:t>
            </w:r>
          </w:p>
        </w:tc>
        <w:tc>
          <w:tcPr>
            <w:tcW w:type="dxa" w:w="629"/>
            <w:shd w:val="clear" w:color="auto" w:fill="0B3020"/>
          </w:tcPr>
          <w:p>
            <w:pPr>
              <w:spacing w:after="0"/>
            </w:pPr>
            <w:r>
              <w:rPr>
                <w:b/>
                <w:color w:val="FFFFFF"/>
                <w:sz w:val="16"/>
              </w:rPr>
              <w:t>Met</w:t>
            </w:r>
          </w:p>
        </w:tc>
        <w:tc>
          <w:tcPr>
            <w:tcW w:type="dxa" w:w="2305"/>
            <w:shd w:val="clear" w:color="auto" w:fill="0B3020"/>
          </w:tcPr>
          <w:p>
            <w:pPr>
              <w:spacing w:after="0"/>
            </w:pPr>
            <w:r>
              <w:rPr>
                <w:b/>
                <w:color w:val="FFFFFF"/>
                <w:sz w:val="16"/>
              </w:rPr>
              <w:t>Critical gates not met</w:t>
            </w:r>
          </w:p>
        </w:tc>
      </w:tr>
      <w:tr>
        <w:tc>
          <w:tcPr>
            <w:tcW w:type="dxa" w:w="3457"/>
          </w:tcPr>
          <w:p>
            <w:pPr>
              <w:spacing w:after="0"/>
            </w:pPr>
            <w:r>
              <w:rPr>
                <w:color w:val="1D1D1D"/>
                <w:sz w:val="16"/>
              </w:rPr>
              <w:t>Q1 Technically viable</w:t>
            </w:r>
          </w:p>
        </w:tc>
        <w:tc>
          <w:tcPr>
            <w:tcW w:type="dxa" w:w="2619"/>
          </w:tcPr>
          <w:p>
            <w:pPr>
              <w:spacing w:after="0"/>
            </w:pPr>
            <w:r>
              <w:rPr>
                <w:color w:val="1D1D1D"/>
                <w:sz w:val="16"/>
              </w:rPr>
              <w:t>Developer, lenders</w:t>
            </w:r>
          </w:p>
        </w:tc>
        <w:tc>
          <w:tcPr>
            <w:tcW w:type="dxa" w:w="629"/>
          </w:tcPr>
          <w:p>
            <w:pPr>
              <w:spacing w:after="0"/>
            </w:pPr>
            <w:r>
              <w:rPr>
                <w:color w:val="1D1D1D"/>
                <w:sz w:val="16"/>
              </w:rPr>
              <w:t>4</w:t>
            </w:r>
          </w:p>
        </w:tc>
        <w:tc>
          <w:tcPr>
            <w:tcW w:type="dxa" w:w="629"/>
          </w:tcPr>
          <w:p>
            <w:pPr>
              <w:spacing w:after="0"/>
            </w:pPr>
            <w:r>
              <w:rPr>
                <w:color w:val="1D1D1D"/>
                <w:sz w:val="16"/>
              </w:rPr>
              <w:t>0</w:t>
            </w:r>
          </w:p>
        </w:tc>
        <w:tc>
          <w:tcPr>
            <w:tcW w:type="dxa" w:w="2305"/>
          </w:tcPr>
          <w:p>
            <w:pPr>
              <w:spacing w:after="0"/>
            </w:pPr>
            <w:r>
              <w:rPr>
                <w:color w:val="1D1D1D"/>
                <w:sz w:val="16"/>
              </w:rPr>
              <w:t>2</w:t>
            </w:r>
          </w:p>
        </w:tc>
      </w:tr>
      <w:tr>
        <w:tc>
          <w:tcPr>
            <w:tcW w:type="dxa" w:w="3457"/>
            <w:shd w:val="clear" w:color="auto" w:fill="FAF8F2"/>
          </w:tcPr>
          <w:p>
            <w:pPr>
              <w:spacing w:after="0"/>
            </w:pPr>
            <w:r>
              <w:rPr>
                <w:color w:val="1D1D1D"/>
                <w:sz w:val="16"/>
              </w:rPr>
              <w:t>Q2 Developable</w:t>
            </w:r>
          </w:p>
        </w:tc>
        <w:tc>
          <w:tcPr>
            <w:tcW w:type="dxa" w:w="2619"/>
            <w:shd w:val="clear" w:color="auto" w:fill="FAF8F2"/>
          </w:tcPr>
          <w:p>
            <w:pPr>
              <w:spacing w:after="0"/>
            </w:pPr>
            <w:r>
              <w:rPr>
                <w:color w:val="1D1D1D"/>
                <w:sz w:val="16"/>
              </w:rPr>
              <w:t>Developer, state</w:t>
            </w:r>
          </w:p>
        </w:tc>
        <w:tc>
          <w:tcPr>
            <w:tcW w:type="dxa" w:w="629"/>
            <w:shd w:val="clear" w:color="auto" w:fill="FAF8F2"/>
          </w:tcPr>
          <w:p>
            <w:pPr>
              <w:spacing w:after="0"/>
            </w:pPr>
            <w:r>
              <w:rPr>
                <w:color w:val="1D1D1D"/>
                <w:sz w:val="16"/>
              </w:rPr>
              <w:t>6</w:t>
            </w:r>
          </w:p>
        </w:tc>
        <w:tc>
          <w:tcPr>
            <w:tcW w:type="dxa" w:w="629"/>
            <w:shd w:val="clear" w:color="auto" w:fill="FAF8F2"/>
          </w:tcPr>
          <w:p>
            <w:pPr>
              <w:spacing w:after="0"/>
            </w:pPr>
            <w:r>
              <w:rPr>
                <w:color w:val="1D1D1D"/>
                <w:sz w:val="16"/>
              </w:rPr>
              <w:t>1</w:t>
            </w:r>
          </w:p>
        </w:tc>
        <w:tc>
          <w:tcPr>
            <w:tcW w:type="dxa" w:w="2305"/>
            <w:shd w:val="clear" w:color="auto" w:fill="FAF8F2"/>
          </w:tcPr>
          <w:p>
            <w:pPr>
              <w:spacing w:after="0"/>
            </w:pPr>
            <w:r>
              <w:rPr>
                <w:color w:val="1D1D1D"/>
                <w:sz w:val="16"/>
              </w:rPr>
              <w:t>2</w:t>
            </w:r>
          </w:p>
        </w:tc>
      </w:tr>
      <w:tr>
        <w:tc>
          <w:tcPr>
            <w:tcW w:type="dxa" w:w="3457"/>
          </w:tcPr>
          <w:p>
            <w:pPr>
              <w:spacing w:after="0"/>
            </w:pPr>
            <w:r>
              <w:rPr>
                <w:color w:val="1D1D1D"/>
                <w:sz w:val="16"/>
              </w:rPr>
              <w:t>Q3 Economic for the system</w:t>
            </w:r>
          </w:p>
        </w:tc>
        <w:tc>
          <w:tcPr>
            <w:tcW w:type="dxa" w:w="2619"/>
          </w:tcPr>
          <w:p>
            <w:pPr>
              <w:spacing w:after="0"/>
            </w:pPr>
            <w:r>
              <w:rPr>
                <w:color w:val="1D1D1D"/>
                <w:sz w:val="16"/>
              </w:rPr>
              <w:t>State</w:t>
            </w:r>
          </w:p>
        </w:tc>
        <w:tc>
          <w:tcPr>
            <w:tcW w:type="dxa" w:w="629"/>
          </w:tcPr>
          <w:p>
            <w:pPr>
              <w:spacing w:after="0"/>
            </w:pPr>
            <w:r>
              <w:rPr>
                <w:color w:val="1D1D1D"/>
                <w:sz w:val="16"/>
              </w:rPr>
              <w:t>2</w:t>
            </w:r>
          </w:p>
        </w:tc>
        <w:tc>
          <w:tcPr>
            <w:tcW w:type="dxa" w:w="629"/>
          </w:tcPr>
          <w:p>
            <w:pPr>
              <w:spacing w:after="0"/>
            </w:pPr>
            <w:r>
              <w:rPr>
                <w:color w:val="1D1D1D"/>
                <w:sz w:val="16"/>
              </w:rPr>
              <w:t>2</w:t>
            </w:r>
          </w:p>
        </w:tc>
        <w:tc>
          <w:tcPr>
            <w:tcW w:type="dxa" w:w="2305"/>
          </w:tcPr>
          <w:p>
            <w:pPr>
              <w:spacing w:after="0"/>
            </w:pPr>
            <w:r>
              <w:rPr>
                <w:color w:val="1D1D1D"/>
                <w:sz w:val="16"/>
              </w:rPr>
              <w:t>0</w:t>
            </w:r>
          </w:p>
        </w:tc>
      </w:tr>
      <w:tr>
        <w:tc>
          <w:tcPr>
            <w:tcW w:type="dxa" w:w="3457"/>
            <w:shd w:val="clear" w:color="auto" w:fill="FAF8F2"/>
          </w:tcPr>
          <w:p>
            <w:pPr>
              <w:spacing w:after="0"/>
            </w:pPr>
            <w:r>
              <w:rPr>
                <w:color w:val="1D1D1D"/>
                <w:sz w:val="16"/>
              </w:rPr>
              <w:t>Q4 Investable for the developer</w:t>
            </w:r>
          </w:p>
        </w:tc>
        <w:tc>
          <w:tcPr>
            <w:tcW w:type="dxa" w:w="2619"/>
            <w:shd w:val="clear" w:color="auto" w:fill="FAF8F2"/>
          </w:tcPr>
          <w:p>
            <w:pPr>
              <w:spacing w:after="0"/>
            </w:pPr>
            <w:r>
              <w:rPr>
                <w:color w:val="1D1D1D"/>
                <w:sz w:val="16"/>
              </w:rPr>
              <w:t>Developer</w:t>
            </w:r>
          </w:p>
        </w:tc>
        <w:tc>
          <w:tcPr>
            <w:tcW w:type="dxa" w:w="629"/>
            <w:shd w:val="clear" w:color="auto" w:fill="FAF8F2"/>
          </w:tcPr>
          <w:p>
            <w:pPr>
              <w:spacing w:after="0"/>
            </w:pPr>
            <w:r>
              <w:rPr>
                <w:color w:val="1D1D1D"/>
                <w:sz w:val="16"/>
              </w:rPr>
              <w:t>1</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1</w:t>
            </w:r>
          </w:p>
        </w:tc>
      </w:tr>
      <w:tr>
        <w:tc>
          <w:tcPr>
            <w:tcW w:type="dxa" w:w="3457"/>
          </w:tcPr>
          <w:p>
            <w:pPr>
              <w:spacing w:after="0"/>
            </w:pPr>
            <w:r>
              <w:rPr>
                <w:color w:val="1D1D1D"/>
                <w:sz w:val="16"/>
              </w:rPr>
              <w:t>Q5 Bankable</w:t>
            </w:r>
          </w:p>
        </w:tc>
        <w:tc>
          <w:tcPr>
            <w:tcW w:type="dxa" w:w="2619"/>
          </w:tcPr>
          <w:p>
            <w:pPr>
              <w:spacing w:after="0"/>
            </w:pPr>
            <w:r>
              <w:rPr>
                <w:color w:val="1D1D1D"/>
                <w:sz w:val="16"/>
              </w:rPr>
              <w:t>Lenders</w:t>
            </w:r>
          </w:p>
        </w:tc>
        <w:tc>
          <w:tcPr>
            <w:tcW w:type="dxa" w:w="629"/>
          </w:tcPr>
          <w:p>
            <w:pPr>
              <w:spacing w:after="0"/>
            </w:pPr>
            <w:r>
              <w:rPr>
                <w:color w:val="1D1D1D"/>
                <w:sz w:val="16"/>
              </w:rPr>
              <w:t>4</w:t>
            </w:r>
          </w:p>
        </w:tc>
        <w:tc>
          <w:tcPr>
            <w:tcW w:type="dxa" w:w="629"/>
          </w:tcPr>
          <w:p>
            <w:pPr>
              <w:spacing w:after="0"/>
            </w:pPr>
            <w:r>
              <w:rPr>
                <w:color w:val="1D1D1D"/>
                <w:sz w:val="16"/>
              </w:rPr>
              <w:t>1</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Q6 Buildable on budget</w:t>
            </w:r>
          </w:p>
        </w:tc>
        <w:tc>
          <w:tcPr>
            <w:tcW w:type="dxa" w:w="2619"/>
            <w:shd w:val="clear" w:color="auto" w:fill="FAF8F2"/>
          </w:tcPr>
          <w:p>
            <w:pPr>
              <w:spacing w:after="0"/>
            </w:pPr>
            <w:r>
              <w:rPr>
                <w:color w:val="1D1D1D"/>
                <w:sz w:val="16"/>
              </w:rPr>
              <w:t>Developer, lenders</w:t>
            </w:r>
          </w:p>
        </w:tc>
        <w:tc>
          <w:tcPr>
            <w:tcW w:type="dxa" w:w="629"/>
            <w:shd w:val="clear" w:color="auto" w:fill="FAF8F2"/>
          </w:tcPr>
          <w:p>
            <w:pPr>
              <w:spacing w:after="0"/>
            </w:pPr>
            <w:r>
              <w:rPr>
                <w:color w:val="1D1D1D"/>
                <w:sz w:val="16"/>
              </w:rPr>
              <w:t>3</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0</w:t>
            </w:r>
          </w:p>
        </w:tc>
      </w:tr>
      <w:tr>
        <w:tc>
          <w:tcPr>
            <w:tcW w:type="dxa" w:w="3457"/>
          </w:tcPr>
          <w:p>
            <w:pPr>
              <w:spacing w:after="0"/>
            </w:pPr>
            <w:r>
              <w:rPr>
                <w:color w:val="1D1D1D"/>
                <w:sz w:val="16"/>
              </w:rPr>
              <w:t>Q7 Affordable for buyer and state</w:t>
            </w:r>
          </w:p>
        </w:tc>
        <w:tc>
          <w:tcPr>
            <w:tcW w:type="dxa" w:w="2619"/>
          </w:tcPr>
          <w:p>
            <w:pPr>
              <w:spacing w:after="0"/>
            </w:pPr>
            <w:r>
              <w:rPr>
                <w:color w:val="1D1D1D"/>
                <w:sz w:val="16"/>
              </w:rPr>
              <w:t>State</w:t>
            </w:r>
          </w:p>
        </w:tc>
        <w:tc>
          <w:tcPr>
            <w:tcW w:type="dxa" w:w="629"/>
          </w:tcPr>
          <w:p>
            <w:pPr>
              <w:spacing w:after="0"/>
            </w:pPr>
            <w:r>
              <w:rPr>
                <w:color w:val="1D1D1D"/>
                <w:sz w:val="16"/>
              </w:rPr>
              <w:t>3</w:t>
            </w:r>
          </w:p>
        </w:tc>
        <w:tc>
          <w:tcPr>
            <w:tcW w:type="dxa" w:w="629"/>
          </w:tcPr>
          <w:p>
            <w:pPr>
              <w:spacing w:after="0"/>
            </w:pPr>
            <w:r>
              <w:rPr>
                <w:color w:val="1D1D1D"/>
                <w:sz w:val="16"/>
              </w:rPr>
              <w:t>2</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Q8 Ready to close</w:t>
            </w:r>
          </w:p>
        </w:tc>
        <w:tc>
          <w:tcPr>
            <w:tcW w:type="dxa" w:w="2619"/>
            <w:shd w:val="clear" w:color="auto" w:fill="FAF8F2"/>
          </w:tcPr>
          <w:p>
            <w:pPr>
              <w:spacing w:after="0"/>
            </w:pPr>
            <w:r>
              <w:rPr>
                <w:color w:val="1D1D1D"/>
                <w:sz w:val="16"/>
              </w:rPr>
              <w:t>Developer, lenders, state</w:t>
            </w:r>
          </w:p>
        </w:tc>
        <w:tc>
          <w:tcPr>
            <w:tcW w:type="dxa" w:w="629"/>
            <w:shd w:val="clear" w:color="auto" w:fill="FAF8F2"/>
          </w:tcPr>
          <w:p>
            <w:pPr>
              <w:spacing w:after="0"/>
            </w:pPr>
            <w:r>
              <w:rPr>
                <w:color w:val="1D1D1D"/>
                <w:sz w:val="16"/>
              </w:rPr>
              <w:t>23</w:t>
            </w:r>
          </w:p>
        </w:tc>
        <w:tc>
          <w:tcPr>
            <w:tcW w:type="dxa" w:w="629"/>
            <w:shd w:val="clear" w:color="auto" w:fill="FAF8F2"/>
          </w:tcPr>
          <w:p>
            <w:pPr>
              <w:spacing w:after="0"/>
            </w:pPr>
            <w:r>
              <w:rPr>
                <w:color w:val="1D1D1D"/>
                <w:sz w:val="16"/>
              </w:rPr>
              <w:t>6</w:t>
            </w:r>
          </w:p>
        </w:tc>
        <w:tc>
          <w:tcPr>
            <w:tcW w:type="dxa" w:w="2305"/>
            <w:shd w:val="clear" w:color="auto" w:fill="FAF8F2"/>
          </w:tcPr>
          <w:p>
            <w:pPr>
              <w:spacing w:after="0"/>
            </w:pPr>
            <w:r>
              <w:rPr>
                <w:color w:val="1D1D1D"/>
                <w:sz w:val="16"/>
              </w:rPr>
              <w:t>7</w:t>
            </w:r>
          </w:p>
        </w:tc>
      </w:tr>
    </w:tbl>
    <w:p>
      <w:pPr>
        <w:spacing w:after="40"/>
      </w:pPr>
    </w:p>
    <w:p>
      <w:pPr>
        <w:jc w:val="center"/>
      </w:pPr>
      <w:r>
        <w:drawing>
          <wp:inline xmlns:a="http://schemas.openxmlformats.org/drawingml/2006/main" xmlns:pic="http://schemas.openxmlformats.org/drawingml/2006/picture">
            <wp:extent cx="5400000" cy="2331170"/>
            <wp:docPr id="8" name="Picture 8"/>
            <wp:cNvGraphicFramePr>
              <a:graphicFrameLocks noChangeAspect="1"/>
            </wp:cNvGraphicFramePr>
            <a:graphic>
              <a:graphicData uri="http://schemas.openxmlformats.org/drawingml/2006/picture">
                <pic:pic>
                  <pic:nvPicPr>
                    <pic:cNvPr id="0" name="fig17_1_readiness_map.png"/>
                    <pic:cNvPicPr/>
                  </pic:nvPicPr>
                  <pic:blipFill>
                    <a:blip r:embed="rId18"/>
                    <a:stretch>
                      <a:fillRect/>
                    </a:stretch>
                  </pic:blipFill>
                  <pic:spPr>
                    <a:xfrm>
                      <a:off x="0" y="0"/>
                      <a:ext cx="5400000" cy="2331170"/>
                    </a:xfrm>
                    <a:prstGeom prst="rect"/>
                  </pic:spPr>
                </pic:pic>
              </a:graphicData>
            </a:graphic>
          </wp:inline>
        </w:drawing>
      </w:r>
    </w:p>
    <w:p>
      <w:r>
        <w:rPr>
          <w:i/>
          <w:color w:val="666666"/>
          <w:sz w:val="17"/>
        </w:rPr>
        <w:t>Figure 17.1. Kasiri River Hydro: readiness map. Each square is one gate, grouped by framework question; the outline marks critical gates. Source: MODEL 7, sheet 30A_CLOSE_READINESS.</w:t>
      </w:r>
    </w:p>
    <w:p>
      <w:pPr>
        <w:jc w:val="both"/>
      </w:pPr>
      <w:r>
        <w:rPr/>
        <w:t>The map shows where the work is. The technical and development questions (Q1 and Q2) belong to the developer: four critical gates are open there, the flow record, the feasibility sign-off, the ESIA and land, and the remaining development budget pays for them. The investment question (Q4) and the financing gap under Q5 are one problem with two names: the tariff is slightly too low for the sponsors' target return. The state's questions are mostly answered: Q3 is met, and Q7 is met except for payment security. Construction (Q6) has no critical gate failing, but none met either, because the contracts are still drafts. One limitation should be stated plainly: Q3, whether the project is economic for the power system, is tested here only through the grid and transmission gates; a comparison with the utility's least-cost plan sits outside the model and should be added to the evidence file.</w:t>
      </w:r>
    </w:p>
    <w:p>
      <w:pPr>
        <w:jc w:val="both"/>
      </w:pPr>
      <w:r>
        <w:rPr/>
        <w:t>African projects show how long the path from mandate to close can be, and that it can stop. Kikagati in Uganda, a small private plant, reached financial close in 2019 with a 16-year loan [DE:S53]. Ruzizi III, a 206 MW regional project for the Democratic Republic of Congo, Rwanda and Burundi, has been under preparation for many years, and in 2025 the European Investment Bank was reported to be reviewing its financing because of the war in eastern Congo [A2:S22]. Gates measure readiness; they cannot remove a risk that no party is able to carry.</w:t>
      </w:r>
    </w:p>
    <w:p>
      <w:pPr>
        <w:pStyle w:val="Heading2"/>
      </w:pPr>
      <w:r>
        <w:t>17.5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17.6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the decision and the summary by framework question. </w:t>
      </w:r>
      <w:r>
        <w:rPr>
          <w:i/>
        </w:rPr>
        <w:t>34_FRAMEWORK_MAP</w:t>
      </w:r>
      <w:r>
        <w:rPr/>
        <w:t xml:space="preserve"> shows, for each gate, the question, the party that must accept it, the sheet that tests it and the chapters of this book. The dashboard shows the two levels side by side: the 9-gate bankability screen for the development stage and the 23-gate readiness test for the transaction stage.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jc w:val="both"/>
      </w:pPr>
      <w:r>
        <w:rPr>
          <w:i/>
        </w:rPr>
        <w:t>Who must accept the answer: the developer, the lenders and the state.</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set by the 70 percent gearing limit, which binds just before cover on the ten-year P90.</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The verdict by party</w:t>
      </w:r>
    </w:p>
    <w:p>
      <w:pPr>
        <w:jc w:val="both"/>
      </w:pPr>
      <w:r>
        <w:rPr/>
        <w:t>The framework asks each party its own question. On today's evidence, the three answers differ, and the recommendation follows from the difference.</w:t>
      </w:r>
    </w:p>
    <w:p>
      <w:pPr>
        <w:keepNext/>
      </w:pPr>
      <w:r>
        <w:rPr>
          <w:b/>
          <w:color w:val="0B3020"/>
          <w:sz w:val="18"/>
        </w:rPr>
        <w:t>Table 18.3. Kasiri River Hydro: the verdict by party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10"/>
            <w:shd w:val="clear" w:color="auto" w:fill="0B3020"/>
          </w:tcPr>
          <w:p>
            <w:pPr>
              <w:spacing w:after="0"/>
            </w:pPr>
            <w:r>
              <w:rPr>
                <w:b/>
                <w:color w:val="FFFFFF"/>
                <w:sz w:val="16"/>
              </w:rPr>
              <w:t>Party</w:t>
            </w:r>
          </w:p>
        </w:tc>
        <w:tc>
          <w:tcPr>
            <w:tcW w:type="dxa" w:w="2324"/>
            <w:shd w:val="clear" w:color="auto" w:fill="0B3020"/>
          </w:tcPr>
          <w:p>
            <w:pPr>
              <w:spacing w:after="0"/>
            </w:pPr>
            <w:r>
              <w:rPr>
                <w:b/>
                <w:color w:val="FFFFFF"/>
                <w:sz w:val="16"/>
              </w:rPr>
              <w:t>Its question</w:t>
            </w:r>
          </w:p>
        </w:tc>
        <w:tc>
          <w:tcPr>
            <w:tcW w:type="dxa" w:w="3402"/>
            <w:shd w:val="clear" w:color="auto" w:fill="0B3020"/>
          </w:tcPr>
          <w:p>
            <w:pPr>
              <w:spacing w:after="0"/>
            </w:pPr>
            <w:r>
              <w:rPr>
                <w:b/>
                <w:color w:val="FFFFFF"/>
                <w:sz w:val="16"/>
              </w:rPr>
              <w:t>Answer today</w:t>
            </w:r>
          </w:p>
        </w:tc>
        <w:tc>
          <w:tcPr>
            <w:tcW w:type="dxa" w:w="3402"/>
            <w:shd w:val="clear" w:color="auto" w:fill="0B3020"/>
          </w:tcPr>
          <w:p>
            <w:pPr>
              <w:spacing w:after="0"/>
            </w:pPr>
            <w:r>
              <w:rPr>
                <w:b/>
                <w:color w:val="FFFFFF"/>
                <w:sz w:val="16"/>
              </w:rPr>
              <w:t>What would change it</w:t>
            </w:r>
          </w:p>
        </w:tc>
      </w:tr>
      <w:tr>
        <w:tc>
          <w:tcPr>
            <w:tcW w:type="dxa" w:w="510"/>
          </w:tcPr>
          <w:p>
            <w:pPr>
              <w:spacing w:after="0"/>
            </w:pPr>
            <w:r>
              <w:rPr>
                <w:color w:val="1D1D1D"/>
                <w:sz w:val="16"/>
              </w:rPr>
              <w:t>Developer</w:t>
            </w:r>
          </w:p>
        </w:tc>
        <w:tc>
          <w:tcPr>
            <w:tcW w:type="dxa" w:w="2324"/>
          </w:tcPr>
          <w:p>
            <w:pPr>
              <w:spacing w:after="0"/>
            </w:pPr>
            <w:r>
              <w:rPr>
                <w:color w:val="1D1D1D"/>
                <w:sz w:val="16"/>
              </w:rPr>
              <w:t>Q4: is it investable?</w:t>
            </w:r>
          </w:p>
        </w:tc>
        <w:tc>
          <w:tcPr>
            <w:tcW w:type="dxa" w:w="3402"/>
          </w:tcPr>
          <w:p>
            <w:pPr>
              <w:spacing w:after="0"/>
            </w:pPr>
            <w:r>
              <w:rPr>
                <w:color w:val="1D1D1D"/>
                <w:sz w:val="16"/>
              </w:rPr>
              <w:t>Not from reconnaissance (risk-weighted value USD −0.95 million); yes from permitting (position worth USD 1.28 million)</w:t>
            </w:r>
          </w:p>
        </w:tc>
        <w:tc>
          <w:tcPr>
            <w:tcW w:type="dxa" w:w="3402"/>
          </w:tcPr>
          <w:p>
            <w:pPr>
              <w:spacing w:after="0"/>
            </w:pPr>
            <w:r>
              <w:rPr>
                <w:color w:val="1D1D1D"/>
                <w:sz w:val="16"/>
              </w:rPr>
              <w:t>A tariff at the sponsors' target, a higher premium, or grant funding for studies</w:t>
            </w:r>
          </w:p>
        </w:tc>
      </w:tr>
      <w:tr>
        <w:tc>
          <w:tcPr>
            <w:tcW w:type="dxa" w:w="510"/>
            <w:shd w:val="clear" w:color="auto" w:fill="FAF8F2"/>
          </w:tcPr>
          <w:p>
            <w:pPr>
              <w:spacing w:after="0"/>
            </w:pPr>
            <w:r>
              <w:rPr>
                <w:color w:val="1D1D1D"/>
                <w:sz w:val="16"/>
              </w:rPr>
              <w:t>Lenders</w:t>
            </w:r>
          </w:p>
        </w:tc>
        <w:tc>
          <w:tcPr>
            <w:tcW w:type="dxa" w:w="2324"/>
            <w:shd w:val="clear" w:color="auto" w:fill="FAF8F2"/>
          </w:tcPr>
          <w:p>
            <w:pPr>
              <w:spacing w:after="0"/>
            </w:pPr>
            <w:r>
              <w:rPr>
                <w:color w:val="1D1D1D"/>
                <w:sz w:val="16"/>
              </w:rPr>
              <w:t>Q5: is it bankable?</w:t>
            </w:r>
          </w:p>
        </w:tc>
        <w:tc>
          <w:tcPr>
            <w:tcW w:type="dxa" w:w="3402"/>
            <w:shd w:val="clear" w:color="auto" w:fill="FAF8F2"/>
          </w:tcPr>
          <w:p>
            <w:pPr>
              <w:spacing w:after="0"/>
            </w:pPr>
            <w:r>
              <w:rPr>
                <w:color w:val="1D1D1D"/>
                <w:sz w:val="16"/>
              </w:rPr>
              <w:t>On the base case, yes (minimum DSCR 1.53x); under a three-year drought, no (minimum DSCR 0.69x); financing gap USD 4.1 million</w:t>
            </w:r>
          </w:p>
        </w:tc>
        <w:tc>
          <w:tcPr>
            <w:tcW w:type="dxa" w:w="3402"/>
            <w:shd w:val="clear" w:color="auto" w:fill="FAF8F2"/>
          </w:tcPr>
          <w:p>
            <w:pPr>
              <w:spacing w:after="0"/>
            </w:pPr>
            <w:r>
              <w:rPr>
                <w:color w:val="1D1D1D"/>
                <w:sz w:val="16"/>
              </w:rPr>
              <w:t>A larger reserve or cash sweep; standby equity; closing the gap through the tariff</w:t>
            </w:r>
          </w:p>
        </w:tc>
      </w:tr>
      <w:tr>
        <w:tc>
          <w:tcPr>
            <w:tcW w:type="dxa" w:w="510"/>
          </w:tcPr>
          <w:p>
            <w:pPr>
              <w:spacing w:after="0"/>
            </w:pPr>
            <w:r>
              <w:rPr>
                <w:color w:val="1D1D1D"/>
                <w:sz w:val="16"/>
              </w:rPr>
              <w:t>State</w:t>
            </w:r>
          </w:p>
        </w:tc>
        <w:tc>
          <w:tcPr>
            <w:tcW w:type="dxa" w:w="2324"/>
          </w:tcPr>
          <w:p>
            <w:pPr>
              <w:spacing w:after="0"/>
            </w:pPr>
            <w:r>
              <w:rPr>
                <w:color w:val="1D1D1D"/>
                <w:sz w:val="16"/>
              </w:rPr>
              <w:t>Q3 and Q7: is it economic and affordable?</w:t>
            </w:r>
          </w:p>
        </w:tc>
        <w:tc>
          <w:tcPr>
            <w:tcW w:type="dxa" w:w="3402"/>
          </w:tcPr>
          <w:p>
            <w:pPr>
              <w:spacing w:after="0"/>
            </w:pPr>
            <w:r>
              <w:rPr>
                <w:color w:val="1D1D1D"/>
                <w:sz w:val="16"/>
              </w:rPr>
              <w:t>The buyer can pay (6.0x cover in the worst early year) and the fiscal screen reads "LOW additional fiscal pressure", but the consolidated fiscal NPV is USD −28 million</w:t>
            </w:r>
          </w:p>
        </w:tc>
        <w:tc>
          <w:tcPr>
            <w:tcW w:type="dxa" w:w="3402"/>
          </w:tcPr>
          <w:p>
            <w:pPr>
              <w:spacing w:after="0"/>
            </w:pPr>
            <w:r>
              <w:rPr>
                <w:color w:val="1D1D1D"/>
                <w:sz w:val="16"/>
              </w:rPr>
              <w:t>Evidence that the tariff is below the utility's avoided cost; a decision on payment security</w:t>
            </w:r>
          </w:p>
        </w:tc>
      </w:tr>
      <w:tr>
        <w:tc>
          <w:tcPr>
            <w:tcW w:type="dxa" w:w="510"/>
            <w:shd w:val="clear" w:color="auto" w:fill="FAF8F2"/>
          </w:tcPr>
          <w:p>
            <w:pPr>
              <w:spacing w:after="0"/>
            </w:pPr>
            <w:r>
              <w:rPr>
                <w:color w:val="1D1D1D"/>
                <w:sz w:val="16"/>
              </w:rPr>
              <w:t>All three</w:t>
            </w:r>
          </w:p>
        </w:tc>
        <w:tc>
          <w:tcPr>
            <w:tcW w:type="dxa" w:w="2324"/>
            <w:shd w:val="clear" w:color="auto" w:fill="FAF8F2"/>
          </w:tcPr>
          <w:p>
            <w:pPr>
              <w:spacing w:after="0"/>
            </w:pPr>
            <w:r>
              <w:rPr>
                <w:color w:val="1D1D1D"/>
                <w:sz w:val="16"/>
              </w:rPr>
              <w:t>Q8: is it ready to close?</w:t>
            </w:r>
          </w:p>
        </w:tc>
        <w:tc>
          <w:tcPr>
            <w:tcW w:type="dxa" w:w="3402"/>
            <w:shd w:val="clear" w:color="auto" w:fill="FAF8F2"/>
          </w:tcPr>
          <w:p>
            <w:pPr>
              <w:spacing w:after="0"/>
            </w:pPr>
            <w:r>
              <w:rPr>
                <w:color w:val="1D1D1D"/>
                <w:sz w:val="16"/>
              </w:rPr>
              <w:t>STOP: a critical gate is not met (6 of 23 gates)</w:t>
            </w:r>
          </w:p>
        </w:tc>
        <w:tc>
          <w:tcPr>
            <w:tcW w:type="dxa" w:w="3402"/>
            <w:shd w:val="clear" w:color="auto" w:fill="FAF8F2"/>
          </w:tcPr>
          <w:p>
            <w:pPr>
              <w:spacing w:after="0"/>
            </w:pPr>
            <w:r>
              <w:rPr>
                <w:color w:val="1D1D1D"/>
                <w:sz w:val="16"/>
              </w:rPr>
              <w:t>The work programme in Table 18.2</w:t>
            </w:r>
          </w:p>
        </w:tc>
      </w:tr>
    </w:tbl>
    <w:p>
      <w:pPr>
        <w:spacing w:after="40"/>
      </w:pPr>
    </w:p>
    <w:p>
      <w:pPr>
        <w:jc w:val="both"/>
      </w:pPr>
      <w:r>
        <w:rPr/>
        <w:t>The table shows why the case is a negotiation and not a calculation. A higher tariff answers the developer's question and part of the lenders', and makes the state's harder. The recommendation therefore asks for the tariff question to be settled on evidence of the utility's avoided cost, not on the developer's required return alone.</w:t>
      </w:r>
    </w:p>
    <w:p>
      <w:pPr>
        <w:pStyle w:val="Heading2"/>
      </w:pPr>
      <w:r>
        <w:t>18.8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18.9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 A defines the key results; Annexes B to I are checklists and templates for use on a live transaction; Annex J lists the public benchmark cases; Annex K records how the model was tested and what it does not do; Annex L lists every source cited, with its verification status; Annex M is a glossary. Annexes N to R follow in a separate part, the Technical due-diligence reference: each sets out what a decision-maker needs to know about one part of the engineering and environmental case, works it through on Kasiri where the case allows, and ends with decision tests for the investment and credit committees.</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and taxes, and less any project-funded transmission spending during operation</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life of the longest tranche, at the weighted interest rate,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57-month build planned, COD 2023; 7th unit coupled 27 Feb 2025</w:t>
            </w:r>
          </w:p>
        </w:tc>
        <w:tc>
          <w:tcPr>
            <w:tcW w:type="dxa" w:w="2570"/>
          </w:tcPr>
          <w:p>
            <w:pPr>
              <w:spacing w:after="0"/>
            </w:pPr>
            <w:r>
              <w:rPr>
                <w:color w:val="1D1D1D"/>
                <w:sz w:val="16"/>
              </w:rPr>
              <w:t>IBRD payment guarantee EUR 86m + loan guarantee EUR 171m (sovereign indemnity); MIGA up to EUR 224.8m; 76:24 debt:equity (PAD)</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 99.5% domestic revenue)</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91% domestic (bonds, payroll, public); China Exim ~US$1bn for E&amp;M;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commissioned Apr 2010</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(scheduled)</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dependency check on the workbook found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The findings and what was done</w:t>
      </w:r>
    </w:p>
    <w:p>
      <w:pPr>
        <w:jc w:val="both"/>
      </w:pPr>
      <w:r>
        <w:rPr/>
        <w:t>The full review, with formula-level evidence for each finding, is kept with the model files. The table records each finding and its status in this edition.</w:t>
      </w:r>
    </w:p>
    <w:p>
      <w:pPr>
        <w:keepNext/>
      </w:pPr>
      <w:r>
        <w:rPr>
          <w:b/>
          <w:color w:val="0B3020"/>
          <w:sz w:val="18"/>
        </w:rPr>
        <w:t>Table K.1. Adversarial review findings and their status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26"/>
            <w:shd w:val="clear" w:color="auto" w:fill="0B3020"/>
          </w:tcPr>
          <w:p>
            <w:pPr>
              <w:spacing w:after="0"/>
            </w:pPr>
            <w:r>
              <w:rPr>
                <w:b/>
                <w:color w:val="FFFFFF"/>
                <w:sz w:val="16"/>
              </w:rPr>
              <w:t>ID</w:t>
            </w:r>
          </w:p>
        </w:tc>
        <w:tc>
          <w:tcPr>
            <w:tcW w:type="dxa" w:w="551"/>
            <w:shd w:val="clear" w:color="auto" w:fill="0B3020"/>
          </w:tcPr>
          <w:p>
            <w:pPr>
              <w:spacing w:after="0"/>
            </w:pPr>
            <w:r>
              <w:rPr>
                <w:b/>
                <w:color w:val="FFFFFF"/>
                <w:sz w:val="16"/>
              </w:rPr>
              <w:t>Severity</w:t>
            </w:r>
          </w:p>
        </w:tc>
        <w:tc>
          <w:tcPr>
            <w:tcW w:type="dxa" w:w="4130"/>
            <w:shd w:val="clear" w:color="auto" w:fill="0B3020"/>
          </w:tcPr>
          <w:p>
            <w:pPr>
              <w:spacing w:after="0"/>
            </w:pPr>
            <w:r>
              <w:rPr>
                <w:b/>
                <w:color w:val="FFFFFF"/>
                <w:sz w:val="16"/>
              </w:rPr>
              <w:t>Finding (short)</w:t>
            </w:r>
          </w:p>
        </w:tc>
        <w:tc>
          <w:tcPr>
            <w:tcW w:type="dxa" w:w="4130"/>
            <w:shd w:val="clear" w:color="auto" w:fill="0B3020"/>
          </w:tcPr>
          <w:p>
            <w:pPr>
              <w:spacing w:after="0"/>
            </w:pPr>
            <w:r>
              <w:rPr>
                <w:b/>
                <w:color w:val="FFFFFF"/>
                <w:sz w:val="16"/>
              </w:rPr>
              <w:t>Status in this edition</w:t>
            </w:r>
          </w:p>
        </w:tc>
      </w:tr>
      <w:tr>
        <w:tc>
          <w:tcPr>
            <w:tcW w:type="dxa" w:w="826"/>
          </w:tcPr>
          <w:p>
            <w:pPr>
              <w:spacing w:after="0"/>
            </w:pPr>
            <w:r>
              <w:rPr>
                <w:color w:val="1D1D1D"/>
                <w:sz w:val="16"/>
              </w:rPr>
              <w:t>C-01</w:t>
            </w:r>
          </w:p>
        </w:tc>
        <w:tc>
          <w:tcPr>
            <w:tcW w:type="dxa" w:w="551"/>
          </w:tcPr>
          <w:p>
            <w:pPr>
              <w:spacing w:after="0"/>
            </w:pPr>
            <w:r>
              <w:rPr>
                <w:color w:val="1D1D1D"/>
                <w:sz w:val="16"/>
              </w:rPr>
              <w:t>Critical</w:t>
            </w:r>
          </w:p>
        </w:tc>
        <w:tc>
          <w:tcPr>
            <w:tcW w:type="dxa" w:w="4130"/>
          </w:tcPr>
          <w:p>
            <w:pPr>
              <w:spacing w:after="0"/>
            </w:pPr>
            <w:r>
              <w:rPr>
                <w:color w:val="1D1D1D"/>
                <w:sz w:val="16"/>
              </w:rPr>
              <w:t>Sovereign payment guarantee and budget backstop had no cap</w:t>
            </w:r>
          </w:p>
        </w:tc>
        <w:tc>
          <w:tcPr>
            <w:tcW w:type="dxa" w:w="4130"/>
          </w:tcPr>
          <w:p>
            <w:pPr>
              <w:spacing w:after="0"/>
            </w:pPr>
            <w:r>
              <w:rPr>
                <w:color w:val="1D1D1D"/>
                <w:sz w:val="16"/>
              </w:rPr>
              <w:t>Fixed: capped, reimbursed guarantee; arrears beyond the cap</w:t>
            </w:r>
          </w:p>
        </w:tc>
      </w:tr>
      <w:tr>
        <w:tc>
          <w:tcPr>
            <w:tcW w:type="dxa" w:w="826"/>
            <w:shd w:val="clear" w:color="auto" w:fill="FAF8F2"/>
          </w:tcPr>
          <w:p>
            <w:pPr>
              <w:spacing w:after="0"/>
            </w:pPr>
            <w:r>
              <w:rPr>
                <w:color w:val="1D1D1D"/>
                <w:sz w:val="16"/>
              </w:rPr>
              <w:t>C-02</w:t>
            </w:r>
          </w:p>
        </w:tc>
        <w:tc>
          <w:tcPr>
            <w:tcW w:type="dxa" w:w="551"/>
            <w:shd w:val="clear" w:color="auto" w:fill="FAF8F2"/>
          </w:tcPr>
          <w:p>
            <w:pPr>
              <w:spacing w:after="0"/>
            </w:pPr>
            <w:r>
              <w:rPr>
                <w:color w:val="1D1D1D"/>
                <w:sz w:val="16"/>
              </w:rPr>
              <w:t>Critical</w:t>
            </w:r>
          </w:p>
        </w:tc>
        <w:tc>
          <w:tcPr>
            <w:tcW w:type="dxa" w:w="4130"/>
            <w:shd w:val="clear" w:color="auto" w:fill="FAF8F2"/>
          </w:tcPr>
          <w:p>
            <w:pPr>
              <w:spacing w:after="0"/>
            </w:pPr>
            <w:r>
              <w:rPr>
                <w:color w:val="1D1D1D"/>
                <w:sz w:val="16"/>
              </w:rPr>
              <w:t>The utility could buy supply that did not exist</w:t>
            </w:r>
          </w:p>
        </w:tc>
        <w:tc>
          <w:tcPr>
            <w:tcW w:type="dxa" w:w="4130"/>
            <w:shd w:val="clear" w:color="auto" w:fill="FAF8F2"/>
          </w:tcPr>
          <w:p>
            <w:pPr>
              <w:spacing w:after="0"/>
            </w:pPr>
            <w:r>
              <w:rPr>
                <w:color w:val="1D1D1D"/>
                <w:sz w:val="16"/>
              </w:rPr>
              <w:t>Fixed: other supply capped; unserved demand shown</w:t>
            </w:r>
          </w:p>
        </w:tc>
      </w:tr>
      <w:tr>
        <w:tc>
          <w:tcPr>
            <w:tcW w:type="dxa" w:w="826"/>
          </w:tcPr>
          <w:p>
            <w:pPr>
              <w:spacing w:after="0"/>
            </w:pPr>
            <w:r>
              <w:rPr>
                <w:color w:val="1D1D1D"/>
                <w:sz w:val="16"/>
              </w:rPr>
              <w:t>C-03</w:t>
            </w:r>
          </w:p>
        </w:tc>
        <w:tc>
          <w:tcPr>
            <w:tcW w:type="dxa" w:w="551"/>
          </w:tcPr>
          <w:p>
            <w:pPr>
              <w:spacing w:after="0"/>
            </w:pPr>
            <w:r>
              <w:rPr>
                <w:color w:val="1D1D1D"/>
                <w:sz w:val="16"/>
              </w:rPr>
              <w:t>Critical</w:t>
            </w:r>
          </w:p>
        </w:tc>
        <w:tc>
          <w:tcPr>
            <w:tcW w:type="dxa" w:w="4130"/>
          </w:tcPr>
          <w:p>
            <w:pPr>
              <w:spacing w:after="0"/>
            </w:pPr>
            <w:r>
              <w:rPr>
                <w:color w:val="1D1D1D"/>
                <w:sz w:val="16"/>
              </w:rPr>
              <w:t>Fiscal perimeter excluded the state utility</w:t>
            </w:r>
          </w:p>
        </w:tc>
        <w:tc>
          <w:tcPr>
            <w:tcW w:type="dxa" w:w="4130"/>
          </w:tcPr>
          <w:p>
            <w:pPr>
              <w:spacing w:after="0"/>
            </w:pPr>
            <w:r>
              <w:rPr>
                <w:color w:val="1D1D1D"/>
                <w:sz w:val="16"/>
              </w:rPr>
              <w:t>Fixed: no-project counterfactual and consolidated fiscal NPV</w:t>
            </w:r>
          </w:p>
        </w:tc>
      </w:tr>
      <w:tr>
        <w:tc>
          <w:tcPr>
            <w:tcW w:type="dxa" w:w="826"/>
            <w:shd w:val="clear" w:color="auto" w:fill="FAF8F2"/>
          </w:tcPr>
          <w:p>
            <w:pPr>
              <w:spacing w:after="0"/>
            </w:pPr>
            <w:r>
              <w:rPr>
                <w:color w:val="1D1D1D"/>
                <w:sz w:val="16"/>
              </w:rPr>
              <w:t>H-01</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Debt service reserve never drawn</w:t>
            </w:r>
          </w:p>
        </w:tc>
        <w:tc>
          <w:tcPr>
            <w:tcW w:type="dxa" w:w="4130"/>
            <w:shd w:val="clear" w:color="auto" w:fill="FAF8F2"/>
          </w:tcPr>
          <w:p>
            <w:pPr>
              <w:spacing w:after="0"/>
            </w:pPr>
            <w:r>
              <w:rPr>
                <w:color w:val="1D1D1D"/>
                <w:sz w:val="16"/>
              </w:rPr>
              <w:t>Fixed: drawn first, released above target, topped up from cash</w:t>
            </w:r>
          </w:p>
        </w:tc>
      </w:tr>
      <w:tr>
        <w:tc>
          <w:tcPr>
            <w:tcW w:type="dxa" w:w="826"/>
          </w:tcPr>
          <w:p>
            <w:pPr>
              <w:spacing w:after="0"/>
            </w:pPr>
            <w:r>
              <w:rPr>
                <w:color w:val="1D1D1D"/>
                <w:sz w:val="16"/>
              </w:rPr>
              <w:t>H-02</w:t>
            </w:r>
          </w:p>
        </w:tc>
        <w:tc>
          <w:tcPr>
            <w:tcW w:type="dxa" w:w="551"/>
          </w:tcPr>
          <w:p>
            <w:pPr>
              <w:spacing w:after="0"/>
            </w:pPr>
            <w:r>
              <w:rPr>
                <w:color w:val="1D1D1D"/>
                <w:sz w:val="16"/>
              </w:rPr>
              <w:t>High</w:t>
            </w:r>
          </w:p>
        </w:tc>
        <w:tc>
          <w:tcPr>
            <w:tcW w:type="dxa" w:w="4130"/>
          </w:tcPr>
          <w:p>
            <w:pPr>
              <w:spacing w:after="0"/>
            </w:pPr>
            <w:r>
              <w:rPr>
                <w:color w:val="1D1D1D"/>
                <w:sz w:val="16"/>
              </w:rPr>
              <w:t>Locked debt did not lock the financing package</w:t>
            </w:r>
          </w:p>
        </w:tc>
        <w:tc>
          <w:tcPr>
            <w:tcW w:type="dxa" w:w="4130"/>
          </w:tcPr>
          <w:p>
            <w:pPr>
              <w:spacing w:after="0"/>
            </w:pPr>
            <w:r>
              <w:rPr>
                <w:color w:val="1D1D1D"/>
                <w:sz w:val="16"/>
              </w:rPr>
              <w:t>Fixed: tranches and principal schedule locked</w:t>
            </w:r>
          </w:p>
        </w:tc>
      </w:tr>
      <w:tr>
        <w:tc>
          <w:tcPr>
            <w:tcW w:type="dxa" w:w="826"/>
            <w:shd w:val="clear" w:color="auto" w:fill="FAF8F2"/>
          </w:tcPr>
          <w:p>
            <w:pPr>
              <w:spacing w:after="0"/>
            </w:pPr>
            <w:r>
              <w:rPr>
                <w:color w:val="1D1D1D"/>
                <w:sz w:val="16"/>
              </w:rPr>
              <w:t>H-03</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Low-demand stress did not propagate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H-04</w:t>
            </w:r>
          </w:p>
        </w:tc>
        <w:tc>
          <w:tcPr>
            <w:tcW w:type="dxa" w:w="551"/>
          </w:tcPr>
          <w:p>
            <w:pPr>
              <w:spacing w:after="0"/>
            </w:pPr>
            <w:r>
              <w:rPr>
                <w:color w:val="1D1D1D"/>
                <w:sz w:val="16"/>
              </w:rPr>
              <w:t>High</w:t>
            </w:r>
          </w:p>
        </w:tc>
        <w:tc>
          <w:tcPr>
            <w:tcW w:type="dxa" w:w="4130"/>
          </w:tcPr>
          <w:p>
            <w:pPr>
              <w:spacing w:after="0"/>
            </w:pPr>
            <w:r>
              <w:rPr>
                <w:color w:val="1D1D1D"/>
                <w:sz w:val="16"/>
              </w:rPr>
              <w:t>Transmission delay modelled as a rescheduled line</w:t>
            </w:r>
          </w:p>
        </w:tc>
        <w:tc>
          <w:tcPr>
            <w:tcW w:type="dxa" w:w="4130"/>
          </w:tcPr>
          <w:p>
            <w:pPr>
              <w:spacing w:after="0"/>
            </w:pPr>
            <w:r>
              <w:rPr>
                <w:color w:val="1D1D1D"/>
                <w:sz w:val="16"/>
              </w:rPr>
              <w:t>Fixed: late line with cost penalty</w:t>
            </w:r>
          </w:p>
        </w:tc>
      </w:tr>
      <w:tr>
        <w:tc>
          <w:tcPr>
            <w:tcW w:type="dxa" w:w="826"/>
            <w:shd w:val="clear" w:color="auto" w:fill="FAF8F2"/>
          </w:tcPr>
          <w:p>
            <w:pPr>
              <w:spacing w:after="0"/>
            </w:pPr>
            <w:r>
              <w:rPr>
                <w:color w:val="1D1D1D"/>
                <w:sz w:val="16"/>
              </w:rPr>
              <w:t>H-05</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Project-built transmission after COD dropped out of funding</w:t>
            </w:r>
          </w:p>
        </w:tc>
        <w:tc>
          <w:tcPr>
            <w:tcW w:type="dxa" w:w="4130"/>
            <w:shd w:val="clear" w:color="auto" w:fill="FAF8F2"/>
          </w:tcPr>
          <w:p>
            <w:pPr>
              <w:spacing w:after="0"/>
            </w:pPr>
            <w:r>
              <w:rPr>
                <w:color w:val="1D1D1D"/>
                <w:sz w:val="16"/>
              </w:rPr>
              <w:t>Fixed; new integrity check</w:t>
            </w:r>
          </w:p>
        </w:tc>
      </w:tr>
      <w:tr>
        <w:tc>
          <w:tcPr>
            <w:tcW w:type="dxa" w:w="826"/>
          </w:tcPr>
          <w:p>
            <w:pPr>
              <w:spacing w:after="0"/>
            </w:pPr>
            <w:r>
              <w:rPr>
                <w:color w:val="1D1D1D"/>
                <w:sz w:val="16"/>
              </w:rPr>
              <w:t>H-06</w:t>
            </w:r>
          </w:p>
        </w:tc>
        <w:tc>
          <w:tcPr>
            <w:tcW w:type="dxa" w:w="551"/>
          </w:tcPr>
          <w:p>
            <w:pPr>
              <w:spacing w:after="0"/>
            </w:pPr>
            <w:r>
              <w:rPr>
                <w:color w:val="1D1D1D"/>
                <w:sz w:val="16"/>
              </w:rPr>
              <w:t>High</w:t>
            </w:r>
          </w:p>
        </w:tc>
        <w:tc>
          <w:tcPr>
            <w:tcW w:type="dxa" w:w="4130"/>
          </w:tcPr>
          <w:p>
            <w:pPr>
              <w:spacing w:after="0"/>
            </w:pPr>
            <w:r>
              <w:rPr>
                <w:color w:val="1D1D1D"/>
                <w:sz w:val="16"/>
              </w:rPr>
              <w:t>Financing gap an artefact of equity-funded IDC and fees</w:t>
            </w:r>
          </w:p>
        </w:tc>
        <w:tc>
          <w:tcPr>
            <w:tcW w:type="dxa" w:w="4130"/>
          </w:tcPr>
          <w:p>
            <w:pPr>
              <w:spacing w:after="0"/>
            </w:pPr>
            <w:r>
              <w:rPr>
                <w:color w:val="1D1D1D"/>
                <w:sz w:val="16"/>
              </w:rPr>
              <w:t>Fixed: IDC and fees debt-funded within the gearing limit</w:t>
            </w:r>
          </w:p>
        </w:tc>
      </w:tr>
      <w:tr>
        <w:tc>
          <w:tcPr>
            <w:tcW w:type="dxa" w:w="826"/>
            <w:shd w:val="clear" w:color="auto" w:fill="FAF8F2"/>
          </w:tcPr>
          <w:p>
            <w:pPr>
              <w:spacing w:after="0"/>
            </w:pPr>
            <w:r>
              <w:rPr>
                <w:color w:val="1D1D1D"/>
                <w:sz w:val="16"/>
              </w:rPr>
              <w:t>H-07</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Gate metrics could be text or blank and mis-scored</w:t>
            </w:r>
          </w:p>
        </w:tc>
        <w:tc>
          <w:tcPr>
            <w:tcW w:type="dxa" w:w="4130"/>
            <w:shd w:val="clear" w:color="auto" w:fill="FAF8F2"/>
          </w:tcPr>
          <w:p>
            <w:pPr>
              <w:spacing w:after="0"/>
            </w:pPr>
            <w:r>
              <w:rPr>
                <w:color w:val="1D1D1D"/>
                <w:sz w:val="16"/>
              </w:rPr>
              <w:t>Fixed: explicit fallbacks</w:t>
            </w:r>
          </w:p>
        </w:tc>
      </w:tr>
      <w:tr>
        <w:tc>
          <w:tcPr>
            <w:tcW w:type="dxa" w:w="826"/>
          </w:tcPr>
          <w:p>
            <w:pPr>
              <w:spacing w:after="0"/>
            </w:pPr>
            <w:r>
              <w:rPr>
                <w:color w:val="1D1D1D"/>
                <w:sz w:val="16"/>
              </w:rPr>
              <w:t>H-08</w:t>
            </w:r>
          </w:p>
        </w:tc>
        <w:tc>
          <w:tcPr>
            <w:tcW w:type="dxa" w:w="551"/>
          </w:tcPr>
          <w:p>
            <w:pPr>
              <w:spacing w:after="0"/>
            </w:pPr>
            <w:r>
              <w:rPr>
                <w:color w:val="1D1D1D"/>
                <w:sz w:val="16"/>
              </w:rPr>
              <w:t>High</w:t>
            </w:r>
          </w:p>
        </w:tc>
        <w:tc>
          <w:tcPr>
            <w:tcW w:type="dxa" w:w="4130"/>
          </w:tcPr>
          <w:p>
            <w:pPr>
              <w:spacing w:after="0"/>
            </w:pPr>
            <w:r>
              <w:rPr>
                <w:color w:val="1D1D1D"/>
                <w:sz w:val="16"/>
              </w:rPr>
              <w:t>Closed-form structure screen inconsistent with the full engine</w:t>
            </w:r>
          </w:p>
        </w:tc>
        <w:tc>
          <w:tcPr>
            <w:tcW w:type="dxa" w:w="4130"/>
          </w:tcPr>
          <w:p>
            <w:pPr>
              <w:spacing w:after="0"/>
            </w:pPr>
            <w:r>
              <w:rPr>
                <w:color w:val="1D1D1D"/>
                <w:sz w:val="16"/>
              </w:rPr>
              <w:t>Fixed: tax and IDC included; full-engine tariffs reported; identity stated as such</w:t>
            </w:r>
          </w:p>
        </w:tc>
      </w:tr>
      <w:tr>
        <w:tc>
          <w:tcPr>
            <w:tcW w:type="dxa" w:w="826"/>
            <w:shd w:val="clear" w:color="auto" w:fill="FAF8F2"/>
          </w:tcPr>
          <w:p>
            <w:pPr>
              <w:spacing w:after="0"/>
            </w:pPr>
            <w:r>
              <w:rPr>
                <w:color w:val="1D1D1D"/>
                <w:sz w:val="16"/>
              </w:rPr>
              <w:t>H-09</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Contingent liabilities mixed stocks and flows</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H-10</w:t>
            </w:r>
          </w:p>
        </w:tc>
        <w:tc>
          <w:tcPr>
            <w:tcW w:type="dxa" w:w="551"/>
          </w:tcPr>
          <w:p>
            <w:pPr>
              <w:spacing w:after="0"/>
            </w:pPr>
            <w:r>
              <w:rPr>
                <w:color w:val="1D1D1D"/>
                <w:sz w:val="16"/>
              </w:rPr>
              <w:t>High</w:t>
            </w:r>
          </w:p>
        </w:tc>
        <w:tc>
          <w:tcPr>
            <w:tcW w:type="dxa" w:w="4130"/>
          </w:tcPr>
          <w:p>
            <w:pPr>
              <w:spacing w:after="0"/>
            </w:pPr>
            <w:r>
              <w:rPr>
                <w:color w:val="1D1D1D"/>
                <w:sz w:val="16"/>
              </w:rPr>
              <w:t>Stress sizes inconsistent with the evidence base</w:t>
            </w:r>
          </w:p>
        </w:tc>
        <w:tc>
          <w:tcPr>
            <w:tcW w:type="dxa" w:w="4130"/>
          </w:tcPr>
          <w:p>
            <w:pPr>
              <w:spacing w:after="0"/>
            </w:pPr>
            <w:r>
              <w:rPr>
                <w:color w:val="1D1D1D"/>
                <w:sz w:val="16"/>
              </w:rPr>
              <w:t>Partly fixed: reference-class mean overrun and deeper drought added; no currency pass-through (see M-06)</w:t>
            </w:r>
          </w:p>
        </w:tc>
      </w:tr>
      <w:tr>
        <w:tc>
          <w:tcPr>
            <w:tcW w:type="dxa" w:w="826"/>
            <w:shd w:val="clear" w:color="auto" w:fill="FAF8F2"/>
          </w:tcPr>
          <w:p>
            <w:pPr>
              <w:spacing w:after="0"/>
            </w:pPr>
            <w:r>
              <w:rPr>
                <w:color w:val="1D1D1D"/>
                <w:sz w:val="16"/>
              </w:rPr>
              <w:t>M-01</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LLCR covered only the commercial tranche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M-02</w:t>
            </w:r>
          </w:p>
        </w:tc>
        <w:tc>
          <w:tcPr>
            <w:tcW w:type="dxa" w:w="551"/>
          </w:tcPr>
          <w:p>
            <w:pPr>
              <w:spacing w:after="0"/>
            </w:pPr>
            <w:r>
              <w:rPr>
                <w:color w:val="1D1D1D"/>
                <w:sz w:val="16"/>
              </w:rPr>
              <w:t>Medium</w:t>
            </w:r>
          </w:p>
        </w:tc>
        <w:tc>
          <w:tcPr>
            <w:tcW w:type="dxa" w:w="4130"/>
          </w:tcPr>
          <w:p>
            <w:pPr>
              <w:spacing w:after="0"/>
            </w:pPr>
            <w:r>
              <w:rPr>
                <w:color w:val="1D1D1D"/>
                <w:sz w:val="16"/>
              </w:rPr>
              <w:t>No on-budget debt test in the fiscal gate</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M-03</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Regulatory gate threshold inconsistent</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M-04</w:t>
            </w:r>
          </w:p>
        </w:tc>
        <w:tc>
          <w:tcPr>
            <w:tcW w:type="dxa" w:w="551"/>
          </w:tcPr>
          <w:p>
            <w:pPr>
              <w:spacing w:after="0"/>
            </w:pPr>
            <w:r>
              <w:rPr>
                <w:color w:val="1D1D1D"/>
                <w:sz w:val="16"/>
              </w:rPr>
              <w:t>Medium</w:t>
            </w:r>
          </w:p>
        </w:tc>
        <w:tc>
          <w:tcPr>
            <w:tcW w:type="dxa" w:w="4130"/>
          </w:tcPr>
          <w:p>
            <w:pPr>
              <w:spacing w:after="0"/>
            </w:pPr>
            <w:r>
              <w:rPr>
                <w:color w:val="1D1D1D"/>
                <w:sz w:val="16"/>
              </w:rPr>
              <w:t>Lender case decorative; one-year P90 in every year</w:t>
            </w:r>
          </w:p>
        </w:tc>
        <w:tc>
          <w:tcPr>
            <w:tcW w:type="dxa" w:w="4130"/>
          </w:tcPr>
          <w:p>
            <w:pPr>
              <w:spacing w:after="0"/>
            </w:pPr>
            <w:r>
              <w:rPr>
                <w:color w:val="1D1D1D"/>
                <w:sz w:val="16"/>
              </w:rPr>
              <w:t>Addressed: ten-year P90 lender case with a separate drought test; one-year P90 run reported</w:t>
            </w:r>
          </w:p>
        </w:tc>
      </w:tr>
      <w:tr>
        <w:tc>
          <w:tcPr>
            <w:tcW w:type="dxa" w:w="826"/>
            <w:shd w:val="clear" w:color="auto" w:fill="FAF8F2"/>
          </w:tcPr>
          <w:p>
            <w:pPr>
              <w:spacing w:after="0"/>
            </w:pPr>
            <w:r>
              <w:rPr>
                <w:color w:val="1D1D1D"/>
                <w:sz w:val="16"/>
              </w:rPr>
              <w:t>M-05</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Royalty charged on energy not generated</w:t>
            </w:r>
          </w:p>
        </w:tc>
        <w:tc>
          <w:tcPr>
            <w:tcW w:type="dxa" w:w="4130"/>
            <w:shd w:val="clear" w:color="auto" w:fill="FAF8F2"/>
          </w:tcPr>
          <w:p>
            <w:pPr>
              <w:spacing w:after="0"/>
            </w:pPr>
            <w:r>
              <w:rPr>
                <w:color w:val="1D1D1D"/>
                <w:sz w:val="16"/>
              </w:rPr>
              <w:t>Fixed for the royalty</w:t>
            </w:r>
          </w:p>
        </w:tc>
      </w:tr>
      <w:tr>
        <w:tc>
          <w:tcPr>
            <w:tcW w:type="dxa" w:w="826"/>
          </w:tcPr>
          <w:p>
            <w:pPr>
              <w:spacing w:after="0"/>
            </w:pPr>
            <w:r>
              <w:rPr>
                <w:color w:val="1D1D1D"/>
                <w:sz w:val="16"/>
              </w:rPr>
              <w:t>M-06</w:t>
            </w:r>
          </w:p>
        </w:tc>
        <w:tc>
          <w:tcPr>
            <w:tcW w:type="dxa" w:w="551"/>
          </w:tcPr>
          <w:p>
            <w:pPr>
              <w:spacing w:after="0"/>
            </w:pPr>
            <w:r>
              <w:rPr>
                <w:color w:val="1D1D1D"/>
                <w:sz w:val="16"/>
              </w:rPr>
              <w:t>Medium</w:t>
            </w:r>
          </w:p>
        </w:tc>
        <w:tc>
          <w:tcPr>
            <w:tcW w:type="dxa" w:w="4130"/>
          </w:tcPr>
          <w:p>
            <w:pPr>
              <w:spacing w:after="0"/>
            </w:pPr>
            <w:r>
              <w:rPr>
                <w:color w:val="1D1D1D"/>
                <w:sz w:val="16"/>
              </w:rPr>
              <w:t>Currency step permanent in real terms</w:t>
            </w:r>
          </w:p>
        </w:tc>
        <w:tc>
          <w:tcPr>
            <w:tcW w:type="dxa" w:w="4130"/>
          </w:tcPr>
          <w:p>
            <w:pPr>
              <w:spacing w:after="0"/>
            </w:pPr>
            <w:r>
              <w:rPr>
                <w:color w:val="1D1D1D"/>
                <w:sz w:val="16"/>
              </w:rPr>
              <w:t>Not changed; stated as a limitation</w:t>
            </w:r>
          </w:p>
        </w:tc>
      </w:tr>
      <w:tr>
        <w:tc>
          <w:tcPr>
            <w:tcW w:type="dxa" w:w="826"/>
            <w:shd w:val="clear" w:color="auto" w:fill="FAF8F2"/>
          </w:tcPr>
          <w:p>
            <w:pPr>
              <w:spacing w:after="0"/>
            </w:pPr>
            <w:r>
              <w:rPr>
                <w:color w:val="1D1D1D"/>
                <w:sz w:val="16"/>
              </w:rPr>
              <w:t>M-07</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Tax losses consumed during the tax holiday</w:t>
            </w:r>
          </w:p>
        </w:tc>
        <w:tc>
          <w:tcPr>
            <w:tcW w:type="dxa" w:w="4130"/>
            <w:shd w:val="clear" w:color="auto" w:fill="FAF8F2"/>
          </w:tcPr>
          <w:p>
            <w:pPr>
              <w:spacing w:after="0"/>
            </w:pPr>
            <w:r>
              <w:rPr>
                <w:color w:val="1D1D1D"/>
                <w:sz w:val="16"/>
              </w:rPr>
              <w:t>Fixed for loss use; tax on cash revenue not changed</w:t>
            </w:r>
          </w:p>
        </w:tc>
      </w:tr>
      <w:tr>
        <w:tc>
          <w:tcPr>
            <w:tcW w:type="dxa" w:w="826"/>
          </w:tcPr>
          <w:p>
            <w:pPr>
              <w:spacing w:after="0"/>
            </w:pPr>
            <w:r>
              <w:rPr>
                <w:color w:val="1D1D1D"/>
                <w:sz w:val="16"/>
              </w:rPr>
              <w:t>M-08</w:t>
            </w:r>
          </w:p>
        </w:tc>
        <w:tc>
          <w:tcPr>
            <w:tcW w:type="dxa" w:w="551"/>
          </w:tcPr>
          <w:p>
            <w:pPr>
              <w:spacing w:after="0"/>
            </w:pPr>
            <w:r>
              <w:rPr>
                <w:color w:val="1D1D1D"/>
                <w:sz w:val="16"/>
              </w:rPr>
              <w:t>Medium</w:t>
            </w:r>
          </w:p>
        </w:tc>
        <w:tc>
          <w:tcPr>
            <w:tcW w:type="dxa" w:w="4130"/>
          </w:tcPr>
          <w:p>
            <w:pPr>
              <w:spacing w:after="0"/>
            </w:pPr>
            <w:r>
              <w:rPr>
                <w:color w:val="1D1D1D"/>
                <w:sz w:val="16"/>
              </w:rPr>
              <w:t>Screening measure added maxima from different years</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M-09</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Debt drawn pro rata, not equity first</w:t>
            </w:r>
          </w:p>
        </w:tc>
        <w:tc>
          <w:tcPr>
            <w:tcW w:type="dxa" w:w="4130"/>
            <w:shd w:val="clear" w:color="auto" w:fill="FAF8F2"/>
          </w:tcPr>
          <w:p>
            <w:pPr>
              <w:spacing w:after="0"/>
            </w:pPr>
            <w:r>
              <w:rPr>
                <w:color w:val="1D1D1D"/>
                <w:sz w:val="16"/>
              </w:rPr>
              <w:t>Not changed; stated as a limitation</w:t>
            </w:r>
          </w:p>
        </w:tc>
      </w:tr>
      <w:tr>
        <w:tc>
          <w:tcPr>
            <w:tcW w:type="dxa" w:w="826"/>
          </w:tcPr>
          <w:p>
            <w:pPr>
              <w:spacing w:after="0"/>
            </w:pPr>
            <w:r>
              <w:rPr>
                <w:color w:val="1D1D1D"/>
                <w:sz w:val="16"/>
              </w:rPr>
              <w:t>M-10</w:t>
            </w:r>
          </w:p>
        </w:tc>
        <w:tc>
          <w:tcPr>
            <w:tcW w:type="dxa" w:w="551"/>
          </w:tcPr>
          <w:p>
            <w:pPr>
              <w:spacing w:after="0"/>
            </w:pPr>
            <w:r>
              <w:rPr>
                <w:color w:val="1D1D1D"/>
                <w:sz w:val="16"/>
              </w:rPr>
              <w:t>Medium</w:t>
            </w:r>
          </w:p>
        </w:tc>
        <w:tc>
          <w:tcPr>
            <w:tcW w:type="dxa" w:w="4130"/>
          </w:tcPr>
          <w:p>
            <w:pPr>
              <w:spacing w:after="0"/>
            </w:pPr>
            <w:r>
              <w:rPr>
                <w:color w:val="1D1D1D"/>
                <w:sz w:val="16"/>
              </w:rPr>
              <w:t>Repayment check could not fail</w:t>
            </w:r>
          </w:p>
        </w:tc>
        <w:tc>
          <w:tcPr>
            <w:tcW w:type="dxa" w:w="4130"/>
          </w:tcPr>
          <w:p>
            <w:pPr>
              <w:spacing w:after="0"/>
            </w:pPr>
            <w:r>
              <w:rPr>
                <w:color w:val="1D1D1D"/>
                <w:sz w:val="16"/>
              </w:rPr>
              <w:t>Fixed: balloon check added</w:t>
            </w:r>
          </w:p>
        </w:tc>
      </w:tr>
      <w:tr>
        <w:tc>
          <w:tcPr>
            <w:tcW w:type="dxa" w:w="826"/>
            <w:shd w:val="clear" w:color="auto" w:fill="FAF8F2"/>
          </w:tcPr>
          <w:p>
            <w:pPr>
              <w:spacing w:after="0"/>
            </w:pPr>
            <w:r>
              <w:rPr>
                <w:color w:val="1D1D1D"/>
                <w:sz w:val="16"/>
              </w:rPr>
              <w:t>L-01 to L-07</w:t>
            </w:r>
          </w:p>
        </w:tc>
        <w:tc>
          <w:tcPr>
            <w:tcW w:type="dxa" w:w="551"/>
            <w:shd w:val="clear" w:color="auto" w:fill="FAF8F2"/>
          </w:tcPr>
          <w:p>
            <w:pPr>
              <w:spacing w:after="0"/>
            </w:pPr>
            <w:r>
              <w:rPr>
                <w:color w:val="1D1D1D"/>
                <w:sz w:val="16"/>
              </w:rPr>
              <w:t>Low</w:t>
            </w:r>
          </w:p>
        </w:tc>
        <w:tc>
          <w:tcPr>
            <w:tcW w:type="dxa" w:w="4130"/>
            <w:shd w:val="clear" w:color="auto" w:fill="FAF8F2"/>
          </w:tcPr>
          <w:p>
            <w:pPr>
              <w:spacing w:after="0"/>
            </w:pPr>
            <w:r>
              <w:rPr>
                <w:color w:val="1D1D1D"/>
                <w:sz w:val="16"/>
              </w:rPr>
              <w:t>Labels, memo rows, dashboard ordering, a tautological gate test</w:t>
            </w:r>
          </w:p>
        </w:tc>
        <w:tc>
          <w:tcPr>
            <w:tcW w:type="dxa" w:w="4130"/>
            <w:shd w:val="clear" w:color="auto" w:fill="FAF8F2"/>
          </w:tcPr>
          <w:p>
            <w:pPr>
              <w:spacing w:after="0"/>
            </w:pPr>
            <w:r>
              <w:rPr>
                <w:color w:val="1D1D1D"/>
                <w:sz w:val="16"/>
              </w:rPr>
              <w:t>Not recorded individually; to be closed before version 1.0</w:t>
            </w:r>
          </w:p>
        </w:tc>
      </w:tr>
    </w:tbl>
    <w:p>
      <w:pPr>
        <w:spacing w:after="40"/>
      </w:pPr>
    </w:p>
    <w:p>
      <w:pPr>
        <w:pStyle w:val="Heading3"/>
      </w:pPr>
      <w:r>
        <w:t>The integrity checks</w:t>
      </w:r>
    </w:p>
    <w:p>
      <w:pPr>
        <w:keepNext/>
      </w:pPr>
      <w:r>
        <w:rPr>
          <w:b/>
          <w:color w:val="0B3020"/>
          <w:sz w:val="18"/>
        </w:rPr>
        <w:t>Table K.2. Integrity checks in MODEL 7 and their result for the base case</w:t>
      </w:r>
    </w:p>
    <w:tbl>
      <w:tblPr>
        <w:tblStyle w:val="TableGrid"/>
        <w:tblW w:type="auto" w:w="0"/>
        <w:jc w:val="center"/>
        <w:tblLook w:firstColumn="1" w:firstRow="1" w:lastColumn="0" w:lastRow="0" w:noHBand="0" w:noVBand="1" w:val="04A0"/>
      </w:tblPr>
      <w:tblGrid>
        <w:gridCol w:w="4819"/>
        <w:gridCol w:w="4819"/>
      </w:tblGrid>
      <w:tr>
        <w:tc>
          <w:tcPr>
            <w:tcW w:type="dxa" w:w="8762"/>
            <w:shd w:val="clear" w:color="auto" w:fill="0B3020"/>
          </w:tcPr>
          <w:p>
            <w:pPr>
              <w:spacing w:after="0"/>
            </w:pPr>
            <w:r>
              <w:rPr>
                <w:b/>
                <w:color w:val="FFFFFF"/>
                <w:sz w:val="16"/>
              </w:rPr>
              <w:t>Check</w:t>
            </w:r>
          </w:p>
        </w:tc>
        <w:tc>
          <w:tcPr>
            <w:tcW w:type="dxa" w:w="876"/>
            <w:shd w:val="clear" w:color="auto" w:fill="0B3020"/>
          </w:tcPr>
          <w:p>
            <w:pPr>
              <w:spacing w:after="0"/>
            </w:pPr>
            <w:r>
              <w:rPr>
                <w:b/>
                <w:color w:val="FFFFFF"/>
                <w:sz w:val="16"/>
              </w:rPr>
              <w:t>Result</w:t>
            </w:r>
          </w:p>
        </w:tc>
      </w:tr>
      <w:tr>
        <w:tc>
          <w:tcPr>
            <w:tcW w:type="dxa" w:w="8762"/>
          </w:tcPr>
          <w:p>
            <w:pPr>
              <w:spacing w:after="0"/>
            </w:pPr>
            <w:r>
              <w:rPr>
                <w:color w:val="1D1D1D"/>
                <w:sz w:val="16"/>
              </w:rPr>
              <w:t>Sources = uses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Construction funding balances every year</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CAPEX phasing sums to 100%</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debt fully repaid by end of term</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fully repaid by end of term</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repayment within concession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tenor within concession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Timeline fits model horizon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Energy chain: delivered ≤ generation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Unpaid amounts non-negative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no forced balloon in final year</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DSRA balance never 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Project-funded transmission fully funded (construction + CFADS)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Structure check</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ALL CHECKS</w:t>
            </w:r>
          </w:p>
        </w:tc>
        <w:tc>
          <w:tcPr>
            <w:tcW w:type="dxa" w:w="876"/>
          </w:tcPr>
          <w:p>
            <w:pPr>
              <w:spacing w:after="0"/>
            </w:pPr>
            <w:r>
              <w:rPr>
                <w:color w:val="1D1D1D"/>
                <w:sz w:val="16"/>
              </w:rPr>
              <w:t>ALL OK</w:t>
            </w:r>
          </w:p>
        </w:tc>
      </w:tr>
    </w:tbl>
    <w:p>
      <w:pPr>
        <w:spacing w:after="40"/>
      </w:pPr>
    </w:p>
    <w:p>
      <w:pPr>
        <w:pStyle w:val="Heading3"/>
      </w:pPr>
      <w:r>
        <w:t>Independent model test</w:t>
      </w:r>
    </w:p>
    <w:p>
      <w:pPr>
        <w:jc w:val="both"/>
      </w:pPr>
      <w:r>
        <w:rPr/>
        <w:t>Before this version the workbook was tested a second time, by a reviewer working on copies and with no access to the generator's intentions. Microsoft Excel was not available for the test, so it relied on a second calculation engine and on a strict reading of the Excel formula grammar.</w:t>
      </w:r>
    </w:p>
    <w:p>
      <w:pPr>
        <w:keepNext/>
      </w:pPr>
      <w:r>
        <w:rPr>
          <w:b/>
          <w:color w:val="0B3020"/>
          <w:sz w:val="18"/>
        </w:rPr>
        <w:t>Table K.3. Independent test of MODEL 7: results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Test</w:t>
            </w:r>
          </w:p>
        </w:tc>
        <w:tc>
          <w:tcPr>
            <w:tcW w:type="dxa" w:w="4819"/>
            <w:shd w:val="clear" w:color="auto" w:fill="0B3020"/>
          </w:tcPr>
          <w:p>
            <w:pPr>
              <w:spacing w:after="0"/>
            </w:pPr>
            <w:r>
              <w:rPr>
                <w:b/>
                <w:color w:val="FFFFFF"/>
                <w:sz w:val="16"/>
              </w:rPr>
              <w:t>Result</w:t>
            </w:r>
          </w:p>
        </w:tc>
      </w:tr>
      <w:tr>
        <w:tc>
          <w:tcPr>
            <w:tcW w:type="dxa" w:w="4819"/>
          </w:tcPr>
          <w:p>
            <w:pPr>
              <w:spacing w:after="0"/>
            </w:pPr>
            <w:r>
              <w:rPr>
                <w:color w:val="1D1D1D"/>
                <w:sz w:val="16"/>
              </w:rPr>
              <w:t>Recalculation with a second, independent engine</w:t>
            </w:r>
          </w:p>
        </w:tc>
        <w:tc>
          <w:tcPr>
            <w:tcW w:type="dxa" w:w="4819"/>
          </w:tcPr>
          <w:p>
            <w:pPr>
              <w:spacing w:after="0"/>
            </w:pPr>
            <w:r>
              <w:rPr>
                <w:color w:val="1D1D1D"/>
                <w:sz w:val="16"/>
              </w:rPr>
              <w:t>All 11,166 formula cells agree with LibreOffice within a relative difference of one in a million</w:t>
            </w:r>
          </w:p>
        </w:tc>
      </w:tr>
      <w:tr>
        <w:tc>
          <w:tcPr>
            <w:tcW w:type="dxa" w:w="4819"/>
            <w:shd w:val="clear" w:color="auto" w:fill="FAF8F2"/>
          </w:tcPr>
          <w:p>
            <w:pPr>
              <w:spacing w:after="0"/>
            </w:pPr>
            <w:r>
              <w:rPr>
                <w:color w:val="1D1D1D"/>
                <w:sz w:val="16"/>
              </w:rPr>
              <w:t>Accounting identities computed outside the workbook (sources and uses, debt roll-forward, cash waterfall, energy, IRR and NPV)</w:t>
            </w:r>
          </w:p>
        </w:tc>
        <w:tc>
          <w:tcPr>
            <w:tcW w:type="dxa" w:w="4819"/>
            <w:shd w:val="clear" w:color="auto" w:fill="FAF8F2"/>
          </w:tcPr>
          <w:p>
            <w:pPr>
              <w:spacing w:after="0"/>
            </w:pPr>
            <w:r>
              <w:rPr>
                <w:color w:val="1D1D1D"/>
                <w:sz w:val="16"/>
              </w:rPr>
              <w:t>44 of 44 pass on the base case; stressed copies pass except where the developer IRR fault below applied</w:t>
            </w:r>
          </w:p>
        </w:tc>
      </w:tr>
      <w:tr>
        <w:tc>
          <w:tcPr>
            <w:tcW w:type="dxa" w:w="4819"/>
          </w:tcPr>
          <w:p>
            <w:pPr>
              <w:spacing w:after="0"/>
            </w:pPr>
            <w:r>
              <w:rPr>
                <w:color w:val="1D1D1D"/>
                <w:sz w:val="16"/>
              </w:rPr>
              <w:t>Behavioural tests (tariff, cost, flow, debt terms, hurdle, development odds)</w:t>
            </w:r>
          </w:p>
        </w:tc>
        <w:tc>
          <w:tcPr>
            <w:tcW w:type="dxa" w:w="4819"/>
          </w:tcPr>
          <w:p>
            <w:pPr>
              <w:spacing w:after="0"/>
            </w:pPr>
            <w:r>
              <w:rPr>
                <w:color w:val="1D1D1D"/>
                <w:sz w:val="16"/>
              </w:rPr>
              <w:t>Every result moved in the expected direction; with all development probabilities at one, the risk-weighted developer value equals the success-path value</w:t>
            </w:r>
          </w:p>
        </w:tc>
      </w:tr>
      <w:tr>
        <w:tc>
          <w:tcPr>
            <w:tcW w:type="dxa" w:w="4819"/>
            <w:shd w:val="clear" w:color="auto" w:fill="FAF8F2"/>
          </w:tcPr>
          <w:p>
            <w:pPr>
              <w:spacing w:after="0"/>
            </w:pPr>
            <w:r>
              <w:rPr>
                <w:color w:val="1D1D1D"/>
                <w:sz w:val="16"/>
              </w:rPr>
              <w:t>Integrity checks forced to fail</w:t>
            </w:r>
          </w:p>
        </w:tc>
        <w:tc>
          <w:tcPr>
            <w:tcW w:type="dxa" w:w="4819"/>
            <w:shd w:val="clear" w:color="auto" w:fill="FAF8F2"/>
          </w:tcPr>
          <w:p>
            <w:pPr>
              <w:spacing w:after="0"/>
            </w:pPr>
            <w:r>
              <w:rPr>
                <w:color w:val="1D1D1D"/>
                <w:sz w:val="16"/>
              </w:rPr>
              <w:t>Each check fired when its condition was broken</w:t>
            </w:r>
          </w:p>
        </w:tc>
      </w:tr>
      <w:tr>
        <w:tc>
          <w:tcPr>
            <w:tcW w:type="dxa" w:w="4819"/>
          </w:tcPr>
          <w:p>
            <w:pPr>
              <w:spacing w:after="0"/>
            </w:pPr>
            <w:r>
              <w:rPr>
                <w:color w:val="1D1D1D"/>
                <w:sz w:val="16"/>
              </w:rPr>
              <w:t>Published scenarios re-run</w:t>
            </w:r>
          </w:p>
        </w:tc>
        <w:tc>
          <w:tcPr>
            <w:tcW w:type="dxa" w:w="4819"/>
          </w:tcPr>
          <w:p>
            <w:pPr>
              <w:spacing w:after="0"/>
            </w:pPr>
            <w:r>
              <w:rPr>
                <w:color w:val="1D1D1D"/>
                <w:sz w:val="16"/>
              </w:rPr>
              <w:t>Eleven of eleven reproduce the stored results exactly</w:t>
            </w:r>
          </w:p>
        </w:tc>
      </w:tr>
      <w:tr>
        <w:tc>
          <w:tcPr>
            <w:tcW w:type="dxa" w:w="4819"/>
            <w:shd w:val="clear" w:color="auto" w:fill="FAF8F2"/>
          </w:tcPr>
          <w:p>
            <w:pPr>
              <w:spacing w:after="0"/>
            </w:pPr>
            <w:r>
              <w:rPr>
                <w:color w:val="1D1D1D"/>
                <w:sz w:val="16"/>
              </w:rPr>
              <w:t>Numbers in this book checked against the workbook</w:t>
            </w:r>
          </w:p>
        </w:tc>
        <w:tc>
          <w:tcPr>
            <w:tcW w:type="dxa" w:w="4819"/>
            <w:shd w:val="clear" w:color="auto" w:fill="FAF8F2"/>
          </w:tcPr>
          <w:p>
            <w:pPr>
              <w:spacing w:after="0"/>
            </w:pPr>
            <w:r>
              <w:rPr>
                <w:color w:val="1D1D1D"/>
                <w:sz w:val="16"/>
              </w:rPr>
              <w:t>48 of 48 match</w:t>
            </w:r>
          </w:p>
        </w:tc>
      </w:tr>
      <w:tr>
        <w:tc>
          <w:tcPr>
            <w:tcW w:type="dxa" w:w="4819"/>
          </w:tcPr>
          <w:p>
            <w:pPr>
              <w:spacing w:after="0"/>
            </w:pPr>
            <w:r>
              <w:rPr>
                <w:color w:val="1D1D1D"/>
                <w:sz w:val="16"/>
              </w:rPr>
              <w:t>Structure (circular references, array and volatile functions, external links, length and nesting limits)</w:t>
            </w:r>
          </w:p>
        </w:tc>
        <w:tc>
          <w:tcPr>
            <w:tcW w:type="dxa" w:w="4819"/>
          </w:tcPr>
          <w:p>
            <w:pPr>
              <w:spacing w:after="0"/>
            </w:pPr>
            <w:r>
              <w:rPr>
                <w:color w:val="1D1D1D"/>
                <w:sz w:val="16"/>
              </w:rPr>
              <w:t>None found</w:t>
            </w:r>
          </w:p>
        </w:tc>
      </w:tr>
    </w:tbl>
    <w:p>
      <w:pPr>
        <w:spacing w:after="40"/>
      </w:pPr>
    </w:p>
    <w:p>
      <w:pPr>
        <w:jc w:val="both"/>
      </w:pPr>
      <w:r>
        <w:rPr/>
        <w:t>The test found five faults, all corrected in this version. The most serious was in packaging, not in calculation: the recalculation step saved the workbook without the quotation marks Excel requires around sheet names that begin with a digit, in 10,818 formulas and four charts. A strict Excel grammar parser refused the file. The quotation marks are now restored automatically after every recalculation. The developer IRR returned a placeholder of minus 100 percent in six stress runs where a valid rate exists, because an error trap caught the first attempt before the fallback could run; it now tries three starting values in turn. Two input selectors accepted a value the model cannot use, and no validation showed an error message; both are corrected. With no debt, the minimum cover ratio showed a placeholder of 99 that let the readiness gate on cover read as met; the gate now requires debt to exist, and the average cover ratio no longer returns an error.</w:t>
      </w:r>
    </w:p>
    <w:p>
      <w:pPr>
        <w:jc w:val="both"/>
      </w:pPr>
      <w:r>
        <w:rPr/>
        <w:t>Three minor points remain open and are listed here so that users are not surprised. The model does not degrade gracefully at zero river flow, where division errors appear. The design flow is not linked to installed capacity or cost, so raising it changes nothing and lowering it reduces energy without reducing cost. With a zero tariff and locked debt, sponsors fund the shortfall indefinitely and no default is triggered. A second test then examined the 23 readiness gates and the critical formulas. In 54 recalculations, each of the twelve automatic gates changed status exactly at its threshold, the five possible decisions followed the stated ladder, and a case meeting all 23 gates was constructed and read GO. Project and equity IRR, NPV, DSCR, LLCR, LCOE, fiscal NPVs and every developer measure were recomputed independently from the workbook's own rows in five cases and matched to within rounding error. The test found that a blank or mistyped evidence status on a critical gate was ignored instead of counted as missing evidence, which could have produced a CONDITIONAL GO; it is now treated as no evidence. It also found that the first-order break-even development premium understated the full-model value, which Chapter 14 now reports; and that three gate labels promised a signed document while testing only a model number, which the labels now state. Two conventions are worth knowing: net present values are discounted at year end, and the levelised cost of energy is nominal, about USD 106 per MWh against about USD 84 in real 2026 terms.</w:t>
      </w: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 with one that tries three starting values and reports minus 100 percent only when no rate exists.</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currency step is permanent in real terms, with no pass-through to local prices.</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and reproduced by a second engine. A test in Microsoft Excel itself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LIT, works compared in the front matter; R1 to R4, sources added during the pre-publication source audit.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A1:S1</w:t>
            </w:r>
          </w:p>
        </w:tc>
        <w:tc>
          <w:tcPr>
            <w:tcW w:type="dxa" w:w="6024"/>
          </w:tcPr>
          <w:p>
            <w:pPr>
              <w:spacing w:after="0"/>
            </w:pPr>
            <w:r>
              <w:rPr>
                <w:color w:val="1D1D1D"/>
                <w:sz w:val="16"/>
              </w:rPr>
              <w:t>ENR, "Ethiopia Inaugurates $5B Renaissance Dam, Africa's Largest Hydropower Project". https://www.enr.com/articles/61317-ethiopia-inaugurates-5b-renaissance-dam-africas-largest-hydropower-project</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A1:S38</w:t>
            </w:r>
          </w:p>
        </w:tc>
        <w:tc>
          <w:tcPr>
            <w:tcW w:type="dxa" w:w="6024"/>
            <w:shd w:val="clear" w:color="auto" w:fill="FAF8F2"/>
          </w:tcPr>
          <w:p>
            <w:pPr>
              <w:spacing w:after="0"/>
            </w:pPr>
            <w:r>
              <w:rPr>
                <w:color w:val="1D1D1D"/>
                <w:sz w:val="16"/>
              </w:rPr>
              <w:t>Graphic Online, "The power of Bui Dam". https://graphic.com.gh/features/opinion/the-power-of-bui-dam.html</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A1:S40</w:t>
            </w:r>
          </w:p>
        </w:tc>
        <w:tc>
          <w:tcPr>
            <w:tcW w:type="dxa" w:w="6024"/>
          </w:tcPr>
          <w:p>
            <w:pPr>
              <w:spacing w:after="0"/>
            </w:pPr>
            <w:r>
              <w:rPr>
                <w:color w:val="1D1D1D"/>
                <w:sz w:val="16"/>
              </w:rPr>
              <w:t>Ghana News Agency, "ECG owes BPA US$612 million to Chief Executive Officer" (31 Mar 2023). https://gna.org.gh/2023/03/ecg-owes-bpa-us612-million-chief-executive-officer/</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A1:S53</w:t>
            </w:r>
          </w:p>
        </w:tc>
        <w:tc>
          <w:tcPr>
            <w:tcW w:type="dxa" w:w="6024"/>
            <w:shd w:val="clear" w:color="auto" w:fill="FAF8F2"/>
          </w:tcPr>
          <w:p>
            <w:pPr>
              <w:spacing w:after="0"/>
            </w:pPr>
            <w:r>
              <w:rPr>
                <w:color w:val="1D1D1D"/>
                <w:sz w:val="16"/>
              </w:rPr>
              <w:t>BankTrack / International Rivers, "Gibe 3: African Development Bank and European Investment Bank out. Who's in?" (2010). https://www.banktrack.org/news/gibe_3_african_development_bank_and_european_investment_bank_out_who_s_in_</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A1:S54</w:t>
            </w:r>
          </w:p>
        </w:tc>
        <w:tc>
          <w:tcPr>
            <w:tcW w:type="dxa" w:w="6024"/>
          </w:tcPr>
          <w:p>
            <w:pPr>
              <w:spacing w:after="0"/>
            </w:pPr>
            <w:r>
              <w:rPr>
                <w:color w:val="1D1D1D"/>
                <w:sz w:val="16"/>
              </w:rPr>
              <w:t>AidData, Project ID 105839: ICBC loan for Gibe III Hydro Power Generating Set Project. https://china.aiddata.org/projects/105839</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A1:S57</w:t>
            </w:r>
          </w:p>
        </w:tc>
        <w:tc>
          <w:tcPr>
            <w:tcW w:type="dxa" w:w="6024"/>
            <w:shd w:val="clear" w:color="auto" w:fill="FAF8F2"/>
          </w:tcPr>
          <w:p>
            <w:pPr>
              <w:spacing w:after="0"/>
            </w:pPr>
            <w:r>
              <w:rPr>
                <w:color w:val="1D1D1D"/>
                <w:sz w:val="16"/>
              </w:rPr>
              <w:t>AidData, Project ID 92289: ICBC and China Eximbank syndicated loan for Kafue Gorge Lower. https://china.aiddata.org/projects/92289</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A1:S58</w:t>
            </w:r>
          </w:p>
        </w:tc>
        <w:tc>
          <w:tcPr>
            <w:tcW w:type="dxa" w:w="6024"/>
          </w:tcPr>
          <w:p>
            <w:pPr>
              <w:spacing w:after="0"/>
            </w:pPr>
            <w:r>
              <w:rPr>
                <w:color w:val="1D1D1D"/>
                <w:sz w:val="16"/>
              </w:rPr>
              <w:t>Power Technology, "Kafue Gorge Lower (KGL) Power Station". https://www.power-technology.com/projects/kafue-gorge-lower-kgl-power-station/</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A1:S60</w:t>
            </w:r>
          </w:p>
        </w:tc>
        <w:tc>
          <w:tcPr>
            <w:tcW w:type="dxa" w:w="6024"/>
            <w:shd w:val="clear" w:color="auto" w:fill="FAF8F2"/>
          </w:tcPr>
          <w:p>
            <w:pPr>
              <w:spacing w:after="0"/>
            </w:pPr>
            <w:r>
              <w:rPr>
                <w:color w:val="1D1D1D"/>
                <w:sz w:val="16"/>
              </w:rPr>
              <w:t>African Energy, "Zambia cuts Kafue Gorge Lower cost to $2bn, enabling lower tariffs" (19 Dec 2023). https://www.africa-energy.com/news-centre/article/zambia-cuts-kafue-gorge-lower-cost-2bn-enabling-lower-tariffs</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A2:S4</w:t>
            </w:r>
          </w:p>
        </w:tc>
        <w:tc>
          <w:tcPr>
            <w:tcW w:type="dxa" w:w="6024"/>
          </w:tcPr>
          <w:p>
            <w:pPr>
              <w:spacing w:after="0"/>
            </w:pPr>
            <w:r>
              <w:rPr>
                <w:color w:val="1D1D1D"/>
                <w:sz w:val="16"/>
              </w:rPr>
              <w:t>Renewable Energy World , "EDF, IFC, Republic of Cameroon sign agreements to build 420-MW Nachtigal hydropower plant". https://www.renewableenergyworld.com/energy-business/energy-finance/edf-ifc-republic-of-cameroon-sign-agreements-to-build-420-mw-nachtigal-hydropower-plant/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A2:S16</w:t>
            </w:r>
          </w:p>
        </w:tc>
        <w:tc>
          <w:tcPr>
            <w:tcW w:type="dxa" w:w="6024"/>
            <w:shd w:val="clear" w:color="auto" w:fill="FAF8F2"/>
          </w:tcPr>
          <w:p>
            <w:pPr>
              <w:spacing w:after="0"/>
            </w:pPr>
            <w:r>
              <w:rPr>
                <w:color w:val="1D1D1D"/>
                <w:sz w:val="16"/>
              </w:rPr>
              <w:t>World Bank , Restructuring Paper RES00514, "AFR RI-Regional Rusumo Falls Hydroelectric Project (P075941)" (2025). https://documents1.worldbank.org/curated/en/099031425175016420/pdf/P075941-6b9b2d48-2b91-41d5-bc03-4a588d5ae309.pdf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A2:S21</w:t>
            </w:r>
          </w:p>
        </w:tc>
        <w:tc>
          <w:tcPr>
            <w:tcW w:type="dxa" w:w="6024"/>
          </w:tcPr>
          <w:p>
            <w:pPr>
              <w:spacing w:after="0"/>
            </w:pPr>
            <w:r>
              <w:rPr>
                <w:color w:val="1D1D1D"/>
                <w:sz w:val="16"/>
              </w:rPr>
              <w:t>EIB , Press release 2020-065 "One step closer to clean energy for 30 million people in Africa" (20 Feb 2020). https://www.eib.org/en/press/all/2020-065-one-step-closer-to-clean-energy-for-30-million-people-in-africa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A2:S22</w:t>
            </w:r>
          </w:p>
        </w:tc>
        <w:tc>
          <w:tcPr>
            <w:tcW w:type="dxa" w:w="6024"/>
            <w:shd w:val="clear" w:color="auto" w:fill="FAF8F2"/>
          </w:tcPr>
          <w:p>
            <w:pPr>
              <w:spacing w:after="0"/>
            </w:pPr>
            <w:r>
              <w:rPr>
                <w:color w:val="1D1D1D"/>
                <w:sz w:val="16"/>
              </w:rPr>
              <w:t>Engineering News (Reuters) , "EIB reviews financing for $760m hydro project over DRC war" (13 Mar 2025). https://www.engineeringnews.co.za/article/eib-reviews-financing-for-760m-hydro-project-over-drc-war-2025-03-13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A2:S34</w:t>
            </w:r>
          </w:p>
        </w:tc>
        <w:tc>
          <w:tcPr>
            <w:tcW w:type="dxa" w:w="6024"/>
          </w:tcPr>
          <w:p>
            <w:pPr>
              <w:spacing w:after="0"/>
            </w:pPr>
            <w:r>
              <w:rPr>
                <w:color w:val="1D1D1D"/>
                <w:sz w:val="16"/>
              </w:rPr>
              <w:t>AidData (China's Global Development Footprint) , Project ID 36216, Isimba. https://china.aiddata.org/projects/36216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A2:S40</w:t>
            </w:r>
          </w:p>
        </w:tc>
        <w:tc>
          <w:tcPr>
            <w:tcW w:type="dxa" w:w="6024"/>
            <w:shd w:val="clear" w:color="auto" w:fill="FAF8F2"/>
          </w:tcPr>
          <w:p>
            <w:pPr>
              <w:spacing w:after="0"/>
            </w:pPr>
            <w:r>
              <w:rPr>
                <w:color w:val="1D1D1D"/>
                <w:sz w:val="16"/>
              </w:rPr>
              <w:t>Eagle Online , "It's a milestone as Museveni commissions 600MW Karuma hydro power station" (26 Sep 2024). https://eagle.co.ug/2024/09/26/its-a-milestone-as-museveni-commissions-600mw-karuma-hydro-power-station</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A2:S41</w:t>
            </w:r>
          </w:p>
        </w:tc>
        <w:tc>
          <w:tcPr>
            <w:tcW w:type="dxa" w:w="6024"/>
          </w:tcPr>
          <w:p>
            <w:pPr>
              <w:spacing w:after="0"/>
            </w:pPr>
            <w:r>
              <w:rPr>
                <w:color w:val="1D1D1D"/>
                <w:sz w:val="16"/>
              </w:rPr>
              <w:t>Renewable Energy World , "600 MW Karuma hydropower plant commissioned in Uganda". https://www.renewableenergyworld.com/news/600-mw-karuma-hydropower-plant-commissioned-in-uganda/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A2:S42</w:t>
            </w:r>
          </w:p>
        </w:tc>
        <w:tc>
          <w:tcPr>
            <w:tcW w:type="dxa" w:w="6024"/>
            <w:shd w:val="clear" w:color="auto" w:fill="FAF8F2"/>
          </w:tcPr>
          <w:p>
            <w:pPr>
              <w:spacing w:after="0"/>
            </w:pPr>
            <w:r>
              <w:rPr>
                <w:color w:val="1D1D1D"/>
                <w:sz w:val="16"/>
              </w:rPr>
              <w:t>Daily Monitor , "Karuma dam contractor wants additional Shs148b to fix defects". https://www.monitor.co.ug/uganda/news/national/karuma-dam-contractor-wants-additional-shs148b-to-fix-defects-5570110</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A2:S45</w:t>
            </w:r>
          </w:p>
        </w:tc>
        <w:tc>
          <w:tcPr>
            <w:tcW w:type="dxa" w:w="6024"/>
          </w:tcPr>
          <w:p>
            <w:pPr>
              <w:spacing w:after="0"/>
            </w:pPr>
            <w:r>
              <w:rPr>
                <w:color w:val="1D1D1D"/>
                <w:sz w:val="16"/>
              </w:rPr>
              <w:t>IFC , "Public-Private Partnership Stories: Uganda: Nyagak Hydro" (09/2016). https://www.ifc.org/content/dam/ifc/doc/2010/2016-uganda-nyagak-hydro-ppp-brief.pdf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A2:S48</w:t>
            </w:r>
          </w:p>
        </w:tc>
        <w:tc>
          <w:tcPr>
            <w:tcW w:type="dxa" w:w="6024"/>
            <w:shd w:val="clear" w:color="auto" w:fill="FAF8F2"/>
          </w:tcPr>
          <w:p>
            <w:pPr>
              <w:spacing w:after="0"/>
            </w:pPr>
            <w:r>
              <w:rPr>
                <w:color w:val="1D1D1D"/>
                <w:sz w:val="16"/>
              </w:rPr>
              <w:t>World Bank / IFC , "Project Completion Note, Guarantee No. B-003-0-UG, IDA Partial Risk Guarantee… Bujagali Hydropower Project", Report No. 33722-UG (3 Oct 2005). https://documents1.worldbank.org/curated/en/655591468311069662/pdf/33722.pdf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A2:S52</w:t>
            </w:r>
          </w:p>
        </w:tc>
        <w:tc>
          <w:tcPr>
            <w:tcW w:type="dxa" w:w="6024"/>
          </w:tcPr>
          <w:p>
            <w:pPr>
              <w:spacing w:after="0"/>
            </w:pPr>
            <w:r>
              <w:rPr>
                <w:color w:val="1D1D1D"/>
                <w:sz w:val="16"/>
              </w:rPr>
              <w:t>The Independent (Uganda) , "Bujagali power expensive" (same as S37; cited for cost, lenders, tariff debate). https://independent.co.ug/bujagali-power-expensive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A2:S53</w:t>
            </w:r>
          </w:p>
        </w:tc>
        <w:tc>
          <w:tcPr>
            <w:tcW w:type="dxa" w:w="6024"/>
            <w:shd w:val="clear" w:color="auto" w:fill="FAF8F2"/>
          </w:tcPr>
          <w:p>
            <w:pPr>
              <w:spacing w:after="0"/>
            </w:pPr>
            <w:r>
              <w:rPr>
                <w:color w:val="1D1D1D"/>
                <w:sz w:val="16"/>
              </w:rPr>
              <w:t>(fetched 2026-10-04) World Bank , "Indemnity Agreement (Partial Risk Guarantee for the Private Power Generation (Bujagali) Project) between IDA and Republic of Uganda", conformed copy (18 Jul 2007). https://documents1.worldbank.org/curated/en/316361468119086474/pdf/B01301UG1IA10CONFORMED.pdf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A2:S57</w:t>
            </w:r>
          </w:p>
        </w:tc>
        <w:tc>
          <w:tcPr>
            <w:tcW w:type="dxa" w:w="6024"/>
          </w:tcPr>
          <w:p>
            <w:pPr>
              <w:spacing w:after="0"/>
            </w:pPr>
            <w:r>
              <w:rPr>
                <w:color w:val="1D1D1D"/>
                <w:sz w:val="16"/>
              </w:rPr>
              <w:t>Engineering News , "Batoka Gorge hydroelectric scheme, Zambia and Zimbabwe to update" (29 Mar 2024). https://www.engineeringnews.co.za/article/batoka-gorge-hydroelectric-scheme-zambia-and-zimbabwe-2024-03-29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A2:S63</w:t>
            </w:r>
          </w:p>
        </w:tc>
        <w:tc>
          <w:tcPr>
            <w:tcW w:type="dxa" w:w="6024"/>
            <w:shd w:val="clear" w:color="auto" w:fill="FAF8F2"/>
          </w:tcPr>
          <w:p>
            <w:pPr>
              <w:spacing w:after="0"/>
            </w:pPr>
            <w:r>
              <w:rPr>
                <w:color w:val="1D1D1D"/>
                <w:sz w:val="16"/>
              </w:rPr>
              <w:t>World Bank , "Project Appraisal Document … Nachtigal Hydropower Project", Report No. 122876-CM (2018), P157734; retrieved via the EWS mirror (fetched 2026-10-04). https://ewsdata.rightsindevelopment.org/files/documents/34/WB-P157734_j0tmCq4.pdf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A2:S65</w:t>
            </w:r>
          </w:p>
        </w:tc>
        <w:tc>
          <w:tcPr>
            <w:tcW w:type="dxa" w:w="6024"/>
          </w:tcPr>
          <w:p>
            <w:pPr>
              <w:spacing w:after="0"/>
            </w:pPr>
            <w:r>
              <w:rPr>
                <w:color w:val="1D1D1D"/>
                <w:sz w:val="16"/>
              </w:rPr>
              <w:t>The Citizen (Tanzania) , "Julius Nyerere Hydropower Project reaches major milestone with full turbine activation" (5 Apr 2025) (fetched 2026-10-04). https://thecitizen.co.tz/tanzania/news/national/julius-nyerere-hydropower-project-reaches-major-milestone-with-full-turbine-activation-4991572</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CL-01</w:t>
            </w:r>
          </w:p>
        </w:tc>
        <w:tc>
          <w:tcPr>
            <w:tcW w:type="dxa" w:w="6024"/>
            <w:shd w:val="clear" w:color="auto" w:fill="FAF8F2"/>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CL-02</w:t>
            </w:r>
          </w:p>
        </w:tc>
        <w:tc>
          <w:tcPr>
            <w:tcW w:type="dxa" w:w="6024"/>
          </w:tcPr>
          <w:p>
            <w:pPr>
              <w:spacing w:after="0"/>
            </w:pPr>
            <w:r>
              <w:rPr>
                <w:color w:val="1D1D1D"/>
                <w:sz w:val="16"/>
              </w:rPr>
              <w:t>Cervigni, Liden, Neumann, Strzepek (eds.) / World Bank (Africa Development Forum) (2015). Enhancing the Climate Resilience of Africa's Infrastructure: The Power and Water Sectors. Book. https://www.worldbank.org/content/dam/Worldbank/Feature%20Story/Africa/Conference%20Edition%20Enhancing%20Africas%20Infrastructure.pdf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CL-03</w:t>
            </w:r>
          </w:p>
        </w:tc>
        <w:tc>
          <w:tcPr>
            <w:tcW w:type="dxa" w:w="6024"/>
            <w:shd w:val="clear" w:color="auto" w:fill="FAF8F2"/>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CL-04</w:t>
            </w:r>
          </w:p>
        </w:tc>
        <w:tc>
          <w:tcPr>
            <w:tcW w:type="dxa" w:w="6024"/>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CL-06</w:t>
            </w:r>
          </w:p>
        </w:tc>
        <w:tc>
          <w:tcPr>
            <w:tcW w:type="dxa" w:w="6024"/>
            <w:shd w:val="clear" w:color="auto" w:fill="FAF8F2"/>
          </w:tcPr>
          <w:p>
            <w:pPr>
              <w:spacing w:after="0"/>
            </w:pPr>
            <w:r>
              <w:rPr>
                <w:color w:val="1D1D1D"/>
                <w:sz w:val="16"/>
              </w:rPr>
              <w:t>World Bank Group (PPIAF) (2023). Climate Toolkits for Infrastructure PPPs: Hydropower Sector. Toolkit. https://openknowledge.worldbank.org/bitstreams/5743a31b-98f9-48f6-9f91-68a2a08c22c3/download</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DE:BENCH</w:t>
            </w:r>
          </w:p>
        </w:tc>
        <w:tc>
          <w:tcPr>
            <w:tcW w:type="dxa" w:w="6024"/>
          </w:tcPr>
          <w:p>
            <w:pPr>
              <w:spacing w:after="0"/>
            </w:pPr>
            <w:r>
              <w:rPr>
                <w:color w:val="1D1D1D"/>
                <w:sz w:val="16"/>
              </w:rPr>
              <w:t>Benchmark table for development model defaults, development evidence file (research note). Records where no public data were found.</w:t>
            </w:r>
          </w:p>
        </w:tc>
        <w:tc>
          <w:tcPr>
            <w:tcW w:type="dxa" w:w="2811"/>
          </w:tcPr>
          <w:p>
            <w:pPr>
              <w:spacing w:after="0"/>
            </w:pPr>
            <w:r>
              <w:rPr>
                <w:color w:val="1D1D1D"/>
                <w:sz w:val="16"/>
              </w:rPr>
              <w:t>Research note</w:t>
            </w:r>
          </w:p>
        </w:tc>
      </w:tr>
      <w:tr>
        <w:tc>
          <w:tcPr>
            <w:tcW w:type="dxa" w:w="803"/>
            <w:shd w:val="clear" w:color="auto" w:fill="FAF8F2"/>
          </w:tcPr>
          <w:p>
            <w:pPr>
              <w:spacing w:after="0"/>
            </w:pPr>
            <w:r>
              <w:rPr>
                <w:color w:val="1D1D1D"/>
                <w:sz w:val="16"/>
              </w:rPr>
              <w:t>DE:S1</w:t>
            </w:r>
          </w:p>
        </w:tc>
        <w:tc>
          <w:tcPr>
            <w:tcW w:type="dxa" w:w="6024"/>
            <w:shd w:val="clear" w:color="auto" w:fill="FAF8F2"/>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w:t>
            </w:r>
          </w:p>
        </w:tc>
        <w:tc>
          <w:tcPr>
            <w:tcW w:type="dxa" w:w="6024"/>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w:t>
            </w:r>
          </w:p>
        </w:tc>
        <w:tc>
          <w:tcPr>
            <w:tcW w:type="dxa" w:w="6024"/>
            <w:shd w:val="clear" w:color="auto" w:fill="FAF8F2"/>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w:t>
            </w:r>
          </w:p>
        </w:tc>
        <w:tc>
          <w:tcPr>
            <w:tcW w:type="dxa" w:w="6024"/>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w:t>
            </w:r>
          </w:p>
        </w:tc>
        <w:tc>
          <w:tcPr>
            <w:tcW w:type="dxa" w:w="6024"/>
            <w:shd w:val="clear" w:color="auto" w:fill="FAF8F2"/>
          </w:tcPr>
          <w:p>
            <w:pPr>
              <w:spacing w:after="0"/>
            </w:pPr>
            <w:r>
              <w:rPr>
                <w:color w:val="1D1D1D"/>
                <w:sz w:val="16"/>
              </w:rPr>
              <w:t>WikiProcedure, "Uganda: Apply for Electricity Generation License". https://wikiprocedure.com/index.php/Uganda_-_Apply_for_Electricity_Generation_License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DE:S8</w:t>
            </w:r>
          </w:p>
        </w:tc>
        <w:tc>
          <w:tcPr>
            <w:tcW w:type="dxa" w:w="6024"/>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DE:S9</w:t>
            </w:r>
          </w:p>
        </w:tc>
        <w:tc>
          <w:tcPr>
            <w:tcW w:type="dxa" w:w="6024"/>
            <w:shd w:val="clear" w:color="auto" w:fill="FAF8F2"/>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DE:S12</w:t>
            </w:r>
          </w:p>
        </w:tc>
        <w:tc>
          <w:tcPr>
            <w:tcW w:type="dxa" w:w="6024"/>
          </w:tcPr>
          <w:p>
            <w:pPr>
              <w:spacing w:after="0"/>
            </w:pPr>
            <w:r>
              <w:rPr>
                <w:color w:val="1D1D1D"/>
                <w:sz w:val="16"/>
              </w:rPr>
              <w:t>Renewable Energy World, "Serengeti Energy reports small hydro project commissioned in Uganda". https://www.renewableenergyworld.com/hydro-power/serengeti-energy-reports-small-hydro-project-commissioned-in-uganda/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DE:S13</w:t>
            </w:r>
          </w:p>
        </w:tc>
        <w:tc>
          <w:tcPr>
            <w:tcW w:type="dxa" w:w="6024"/>
            <w:shd w:val="clear" w:color="auto" w:fill="FAF8F2"/>
          </w:tcPr>
          <w:p>
            <w:pPr>
              <w:spacing w:after="0"/>
            </w:pPr>
            <w:r>
              <w:rPr>
                <w:color w:val="1D1D1D"/>
                <w:sz w:val="16"/>
              </w:rPr>
              <w:t>World Bank Blogs, "Hydropower in Cameroon: made possible through local banks' participation &amp; novel infrastructure financing". https://blogs.worldbank.org/ppps/hydropower-cameroon-made-possible-through-local-banks-participation-novel-infrastructure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DE:S29</w:t>
            </w:r>
          </w:p>
        </w:tc>
        <w:tc>
          <w:tcPr>
            <w:tcW w:type="dxa" w:w="6024"/>
            <w:shd w:val="clear" w:color="auto" w:fill="FAF8F2"/>
          </w:tcPr>
          <w:p>
            <w:pPr>
              <w:spacing w:after="0"/>
            </w:pPr>
            <w:r>
              <w:rPr>
                <w:color w:val="1D1D1D"/>
                <w:sz w:val="16"/>
              </w:rPr>
              <w:t>Renewable Energy World, "Plant refinancing leading to more hydroelectric power in Uganda". https://www.renewableenergyworld.com/energy-business/energy-finance/plant-refinancing-leading-to-more-hydroelectric-power-in-uganda/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DE:S30</w:t>
            </w:r>
          </w:p>
        </w:tc>
        <w:tc>
          <w:tcPr>
            <w:tcW w:type="dxa" w:w="6024"/>
          </w:tcPr>
          <w:p>
            <w:pPr>
              <w:spacing w:after="0"/>
            </w:pPr>
            <w:r>
              <w:rPr>
                <w:color w:val="1D1D1D"/>
                <w:sz w:val="16"/>
              </w:rPr>
              <w:t>FMO project detail, Bugoye Hydro Limited (51836). https://www.fmo.nl/project-detail/51836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DE:S35</w:t>
            </w:r>
          </w:p>
        </w:tc>
        <w:tc>
          <w:tcPr>
            <w:tcW w:type="dxa" w:w="6024"/>
            <w:shd w:val="clear" w:color="auto" w:fill="FAF8F2"/>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w:t>
            </w:r>
          </w:p>
        </w:tc>
        <w:tc>
          <w:tcPr>
            <w:tcW w:type="dxa" w:w="6024"/>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DE:S39b</w:t>
            </w:r>
          </w:p>
        </w:tc>
        <w:tc>
          <w:tcPr>
            <w:tcW w:type="dxa" w:w="6024"/>
            <w:shd w:val="clear" w:color="auto" w:fill="FAF8F2"/>
          </w:tcPr>
          <w:p>
            <w:pPr>
              <w:spacing w:after="0"/>
            </w:pPr>
            <w:r>
              <w:rPr>
                <w:color w:val="1D1D1D"/>
                <w:sz w:val="16"/>
              </w:rPr>
              <w:t>Proparco, Nyamagasani 1. https://www.proparco.fr/en/carte-des-projets/nyamagasani-1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DE:S39c</w:t>
            </w:r>
          </w:p>
        </w:tc>
        <w:tc>
          <w:tcPr>
            <w:tcW w:type="dxa" w:w="6024"/>
          </w:tcPr>
          <w:p>
            <w:pPr>
              <w:spacing w:after="0"/>
            </w:pPr>
            <w:r>
              <w:rPr>
                <w:color w:val="1D1D1D"/>
                <w:sz w:val="16"/>
              </w:rPr>
              <w:t>Proparco, Nyamagasani 2. https://proparco.fr/en/carte-des-projets/nyamagasani-2</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DE:S40b</w:t>
            </w:r>
          </w:p>
        </w:tc>
        <w:tc>
          <w:tcPr>
            <w:tcW w:type="dxa" w:w="6024"/>
            <w:shd w:val="clear" w:color="auto" w:fill="FAF8F2"/>
          </w:tcPr>
          <w:p>
            <w:pPr>
              <w:spacing w:after="0"/>
            </w:pPr>
            <w:r>
              <w:rPr>
                <w:color w:val="1D1D1D"/>
                <w:sz w:val="16"/>
              </w:rPr>
              <w:t>FMO project detail, Africa EMS Nyamwamba Ltd (44304). https://www.fmo.nl/project-detail/44304</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DE:S42</w:t>
            </w:r>
          </w:p>
        </w:tc>
        <w:tc>
          <w:tcPr>
            <w:tcW w:type="dxa" w:w="6024"/>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DE:S44</w:t>
            </w:r>
          </w:p>
        </w:tc>
        <w:tc>
          <w:tcPr>
            <w:tcW w:type="dxa" w:w="6024"/>
            <w:shd w:val="clear" w:color="auto" w:fill="FAF8F2"/>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DE:S47</w:t>
            </w:r>
          </w:p>
        </w:tc>
        <w:tc>
          <w:tcPr>
            <w:tcW w:type="dxa" w:w="6024"/>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DE:S49</w:t>
            </w:r>
          </w:p>
        </w:tc>
        <w:tc>
          <w:tcPr>
            <w:tcW w:type="dxa" w:w="6024"/>
            <w:shd w:val="clear" w:color="auto" w:fill="FAF8F2"/>
          </w:tcPr>
          <w:p>
            <w:pPr>
              <w:spacing w:after="0"/>
            </w:pPr>
            <w:r>
              <w:rPr>
                <w:color w:val="1D1D1D"/>
                <w:sz w:val="16"/>
              </w:rPr>
              <w:t>Equator Principles Association, About. https://equator-principles.com/about/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DE:S50</w:t>
            </w:r>
          </w:p>
        </w:tc>
        <w:tc>
          <w:tcPr>
            <w:tcW w:type="dxa" w:w="6024"/>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DE:S51</w:t>
            </w:r>
          </w:p>
        </w:tc>
        <w:tc>
          <w:tcPr>
            <w:tcW w:type="dxa" w:w="6024"/>
            <w:shd w:val="clear" w:color="auto" w:fill="FAF8F2"/>
          </w:tcPr>
          <w:p>
            <w:pPr>
              <w:spacing w:after="0"/>
            </w:pPr>
            <w:r>
              <w:rPr>
                <w:color w:val="1D1D1D"/>
                <w:sz w:val="16"/>
              </w:rPr>
              <w:t>FMO project detail, Kikagati Power Company Ltd (52073). https://fmo.nl/project-detail/52073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DE:S52</w:t>
            </w:r>
          </w:p>
        </w:tc>
        <w:tc>
          <w:tcPr>
            <w:tcW w:type="dxa" w:w="6024"/>
          </w:tcPr>
          <w:p>
            <w:pPr>
              <w:spacing w:after="0"/>
            </w:pPr>
            <w:r>
              <w:rPr>
                <w:color w:val="1D1D1D"/>
                <w:sz w:val="16"/>
              </w:rPr>
              <w:t>FMO project detail, Elgon Hydro Siti (48986). https://www.fmo.nl/project-detail/48986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DE:S53</w:t>
            </w:r>
          </w:p>
        </w:tc>
        <w:tc>
          <w:tcPr>
            <w:tcW w:type="dxa" w:w="6024"/>
            <w:shd w:val="clear" w:color="auto" w:fill="FAF8F2"/>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FR-01</w:t>
            </w:r>
          </w:p>
        </w:tc>
        <w:tc>
          <w:tcPr>
            <w:tcW w:type="dxa" w:w="6024"/>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FR-09</w:t>
            </w:r>
          </w:p>
        </w:tc>
        <w:tc>
          <w:tcPr>
            <w:tcW w:type="dxa" w:w="6024"/>
            <w:shd w:val="clear" w:color="auto" w:fill="FAF8F2"/>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HY-01</w:t>
            </w:r>
          </w:p>
        </w:tc>
        <w:tc>
          <w:tcPr>
            <w:tcW w:type="dxa" w:w="6024"/>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HY-03</w:t>
            </w:r>
          </w:p>
        </w:tc>
        <w:tc>
          <w:tcPr>
            <w:tcW w:type="dxa" w:w="6024"/>
            <w:shd w:val="clear" w:color="auto" w:fill="FAF8F2"/>
          </w:tcPr>
          <w:p>
            <w:pPr>
              <w:spacing w:after="0"/>
            </w:pPr>
            <w:r>
              <w:rPr>
                <w:color w:val="1D1D1D"/>
                <w:sz w:val="16"/>
              </w:rPr>
              <w:t>Hydropower Sustainability Council / IHA (2021). Hydropower Sustainability Standard. Certification standard. https://hydrosustainability.org/standard</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HY-06</w:t>
            </w:r>
          </w:p>
        </w:tc>
        <w:tc>
          <w:tcPr>
            <w:tcW w:type="dxa" w:w="6024"/>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HY-07</w:t>
            </w:r>
          </w:p>
        </w:tc>
        <w:tc>
          <w:tcPr>
            <w:tcW w:type="dxa" w:w="6024"/>
            <w:shd w:val="clear" w:color="auto" w:fill="FAF8F2"/>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HY-08</w:t>
            </w:r>
          </w:p>
        </w:tc>
        <w:tc>
          <w:tcPr>
            <w:tcW w:type="dxa" w:w="6024"/>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HY-15</w:t>
            </w:r>
          </w:p>
        </w:tc>
        <w:tc>
          <w:tcPr>
            <w:tcW w:type="dxa" w:w="6024"/>
            <w:shd w:val="clear" w:color="auto" w:fill="FAF8F2"/>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INT:S8</w:t>
            </w:r>
          </w:p>
        </w:tc>
        <w:tc>
          <w:tcPr>
            <w:tcW w:type="dxa" w:w="6024"/>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INT:S22</w:t>
            </w:r>
          </w:p>
        </w:tc>
        <w:tc>
          <w:tcPr>
            <w:tcW w:type="dxa" w:w="6024"/>
            <w:shd w:val="clear" w:color="auto" w:fill="FAF8F2"/>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LIT:S1</w:t>
            </w:r>
          </w:p>
        </w:tc>
        <w:tc>
          <w:tcPr>
            <w:tcW w:type="dxa" w:w="6024"/>
          </w:tcPr>
          <w:p>
            <w:pPr>
              <w:spacing w:after="0"/>
            </w:pPr>
            <w:r>
              <w:rPr>
                <w:color w:val="1D1D1D"/>
                <w:sz w:val="16"/>
              </w:rPr>
              <w:t xml:space="preserve">IFC (2015), </w:t>
            </w:r>
            <w:r>
              <w:rPr>
                <w:i/>
                <w:color w:val="1D1D1D"/>
                <w:sz w:val="16"/>
              </w:rPr>
              <w:t>Hydroelectric Power: A Guide for Developers and Investors</w:t>
            </w:r>
            <w:r>
              <w:rPr>
                <w:color w:val="1D1D1D"/>
                <w:sz w:val="16"/>
              </w:rPr>
              <w:t>, prepared by Fichtner Management Consulting for IFC. The guide states that its technical sections "are more detailed and can be used as reference, while the permitting/licensing and financing sections are intended more as a high-level review." https://documents1.worldbank.org/curated/en/917841468188335073/pdf/99392-WP-Box393199B-PUBLIC-Hydropower-Report.pdf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LIT:S2</w:t>
            </w:r>
          </w:p>
        </w:tc>
        <w:tc>
          <w:tcPr>
            <w:tcW w:type="dxa" w:w="6024"/>
            <w:shd w:val="clear" w:color="auto" w:fill="FAF8F2"/>
          </w:tcPr>
          <w:p>
            <w:pPr>
              <w:spacing w:after="0"/>
            </w:pPr>
            <w:r>
              <w:rPr>
                <w:color w:val="1D1D1D"/>
                <w:sz w:val="16"/>
              </w:rPr>
              <w:t>Hydro Finance Handbook (2008), companion document to the Hydro Finance Tutorial, HydroVision 2008; covers the financial aspects of hydropower development and the steps towards financial closing. Publisher and authors not confirmed. https://www.researchgate.net/publication/304749148 (search-result only)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LIT:S3</w:t>
            </w:r>
          </w:p>
        </w:tc>
        <w:tc>
          <w:tcPr>
            <w:tcW w:type="dxa" w:w="6024"/>
          </w:tcPr>
          <w:p>
            <w:pPr>
              <w:spacing w:after="0"/>
            </w:pPr>
            <w:r>
              <w:rPr>
                <w:color w:val="1D1D1D"/>
                <w:sz w:val="16"/>
              </w:rPr>
              <w:t xml:space="preserve">Markkanen, S. and Plummer Braeckman, J. (2019), </w:t>
            </w:r>
            <w:r>
              <w:rPr>
                <w:i/>
                <w:color w:val="1D1D1D"/>
                <w:sz w:val="16"/>
              </w:rPr>
              <w:t>Financing Sustainable Hydropower Projects in Emerging Markets: An Introduction to Concepts and Terminology</w:t>
            </w:r>
            <w:r>
              <w:rPr>
                <w:color w:val="1D1D1D"/>
                <w:sz w:val="16"/>
              </w:rPr>
              <w:t>, University of Cambridge Institute for Sustainability Leadership, FutureDAMS working paper. https://www.cisl.cam.ac.uk/node/1709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LIT:S4</w:t>
            </w:r>
          </w:p>
        </w:tc>
        <w:tc>
          <w:tcPr>
            <w:tcW w:type="dxa" w:w="6024"/>
            <w:shd w:val="clear" w:color="auto" w:fill="FAF8F2"/>
          </w:tcPr>
          <w:p>
            <w:pPr>
              <w:spacing w:after="0"/>
            </w:pPr>
            <w:r>
              <w:rPr>
                <w:color w:val="1D1D1D"/>
                <w:sz w:val="16"/>
              </w:rPr>
              <w:t xml:space="preserve">Nongena, Y. (2026), </w:t>
            </w:r>
            <w:r>
              <w:rPr>
                <w:i/>
                <w:color w:val="1D1D1D"/>
                <w:sz w:val="16"/>
              </w:rPr>
              <w:t>Project Financing Electricity Projects with Senior Debt: A Practical Guide</w:t>
            </w:r>
            <w:r>
              <w:rPr>
                <w:color w:val="1D1D1D"/>
                <w:sz w:val="16"/>
              </w:rPr>
              <w:t>, Springer, ISBN 9783032162090; publication date and page count differ between sources. https://www.jpc.de/jpcng/books/detail/-/art/yandisa-nongena-project-financing-electricity-projects-with-senior-debt/hnum/12716557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LIT:S5</w:t>
            </w:r>
          </w:p>
        </w:tc>
        <w:tc>
          <w:tcPr>
            <w:tcW w:type="dxa" w:w="6024"/>
          </w:tcPr>
          <w:p>
            <w:pPr>
              <w:spacing w:after="0"/>
            </w:pPr>
            <w:r>
              <w:rPr>
                <w:color w:val="1D1D1D"/>
                <w:sz w:val="16"/>
              </w:rPr>
              <w:t xml:space="preserve">Gatti, S. (2023), </w:t>
            </w:r>
            <w:r>
              <w:rPr>
                <w:i/>
                <w:color w:val="1D1D1D"/>
                <w:sz w:val="16"/>
              </w:rPr>
              <w:t>Project Finance in Theory and Practice</w:t>
            </w:r>
            <w:r>
              <w:rPr>
                <w:color w:val="1D1D1D"/>
                <w:sz w:val="16"/>
              </w:rPr>
              <w:t>, 4th edition, Academic Press (Elsevier). https://shop.elsevier.com/books/project-finance-in-theory-and-practice/gatti/978-0-323-98360-0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LIT:S6</w:t>
            </w:r>
          </w:p>
        </w:tc>
        <w:tc>
          <w:tcPr>
            <w:tcW w:type="dxa" w:w="6024"/>
            <w:shd w:val="clear" w:color="auto" w:fill="FAF8F2"/>
          </w:tcPr>
          <w:p>
            <w:pPr>
              <w:spacing w:after="0"/>
            </w:pPr>
            <w:r>
              <w:rPr>
                <w:color w:val="1D1D1D"/>
                <w:sz w:val="16"/>
              </w:rPr>
              <w:t xml:space="preserve">ESHA (2004), </w:t>
            </w:r>
            <w:r>
              <w:rPr>
                <w:i/>
                <w:color w:val="1D1D1D"/>
                <w:sz w:val="16"/>
              </w:rPr>
              <w:t>Guide on How to Develop a Small Hydropower Plant</w:t>
            </w:r>
            <w:r>
              <w:rPr>
                <w:color w:val="1D1D1D"/>
                <w:sz w:val="16"/>
              </w:rPr>
              <w:t>, European Small Hydropower Association, Thematic Network on Small Hydropower; updated version of C. Penche's Layman's Guidebook (1998). https://canyonhydro.com/images/Part_1_ESHA_Guide_on_how_to_develop_a_small_hydropower_plant.pdf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LIT:S7</w:t>
            </w:r>
          </w:p>
        </w:tc>
        <w:tc>
          <w:tcPr>
            <w:tcW w:type="dxa" w:w="6024"/>
          </w:tcPr>
          <w:p>
            <w:pPr>
              <w:spacing w:after="0"/>
            </w:pPr>
            <w:r>
              <w:rPr>
                <w:color w:val="1D1D1D"/>
                <w:sz w:val="16"/>
              </w:rPr>
              <w:t xml:space="preserve">Addleshaw Goddard and International Hydropower Association (2021), </w:t>
            </w:r>
            <w:r>
              <w:rPr>
                <w:i/>
                <w:color w:val="1D1D1D"/>
                <w:sz w:val="16"/>
              </w:rPr>
              <w:t>An Investor's Guide to Hydropower in Africa</w:t>
            </w:r>
            <w:r>
              <w:rPr>
                <w:color w:val="1D1D1D"/>
                <w:sz w:val="16"/>
              </w:rPr>
              <w:t>. https://www.addleshawgoddard.com/globalassets/insights/energy/investors-guide-to-hydropower-in-africa.pdf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PF-01</w:t>
            </w:r>
          </w:p>
        </w:tc>
        <w:tc>
          <w:tcPr>
            <w:tcW w:type="dxa" w:w="6024"/>
            <w:shd w:val="clear" w:color="auto" w:fill="FAF8F2"/>
          </w:tcPr>
          <w:p>
            <w:pPr>
              <w:spacing w:after="0"/>
            </w:pPr>
            <w:r>
              <w:rPr>
                <w:color w:val="1D1D1D"/>
                <w:sz w:val="16"/>
              </w:rPr>
              <w:t>World Bank (n.d.). World Bank Guarantees Program. Program page. https://www.worldbank.org/en/programs/guarantees-program</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PF-02</w:t>
            </w:r>
          </w:p>
        </w:tc>
        <w:tc>
          <w:tcPr>
            <w:tcW w:type="dxa" w:w="6024"/>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PF-03</w:t>
            </w:r>
          </w:p>
        </w:tc>
        <w:tc>
          <w:tcPr>
            <w:tcW w:type="dxa" w:w="6024"/>
            <w:shd w:val="clear" w:color="auto" w:fill="FAF8F2"/>
          </w:tcPr>
          <w:p>
            <w:pPr>
              <w:spacing w:after="0"/>
            </w:pPr>
            <w:r>
              <w:rPr>
                <w:color w:val="1D1D1D"/>
                <w:sz w:val="16"/>
              </w:rPr>
              <w:t>MIGA (n.d.). Non-Honoring of Sovereign Financial Obligations (NHSFO) / Non-honoring of public debt. Product page. https://www.miga.org/product/non-honoring-public-debt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PF-04</w:t>
            </w:r>
          </w:p>
        </w:tc>
        <w:tc>
          <w:tcPr>
            <w:tcW w:type="dxa" w:w="6024"/>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PF-06</w:t>
            </w:r>
          </w:p>
        </w:tc>
        <w:tc>
          <w:tcPr>
            <w:tcW w:type="dxa" w:w="6024"/>
            <w:shd w:val="clear" w:color="auto" w:fill="FAF8F2"/>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PF-11</w:t>
            </w:r>
          </w:p>
        </w:tc>
        <w:tc>
          <w:tcPr>
            <w:tcW w:type="dxa" w:w="6024"/>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PF-13</w:t>
            </w:r>
          </w:p>
        </w:tc>
        <w:tc>
          <w:tcPr>
            <w:tcW w:type="dxa" w:w="6024"/>
            <w:shd w:val="clear" w:color="auto" w:fill="FAF8F2"/>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R1:S1</w:t>
            </w:r>
          </w:p>
        </w:tc>
        <w:tc>
          <w:tcPr>
            <w:tcW w:type="dxa" w:w="6024"/>
          </w:tcPr>
          <w:p>
            <w:pPr>
              <w:spacing w:after="0"/>
            </w:pPr>
            <w:r>
              <w:rPr>
                <w:color w:val="1D1D1D"/>
                <w:sz w:val="16"/>
              </w:rPr>
              <w:t>Zambezi River Authority (2023), Press statement: Water allocation for power generation at Kariba for the 2023/2024 hydrological year, Lusaka, 28 December 2023. https://www.zambezira.org/sites/default/files/Press%20Statement%20-%20Water%20allocation%20at%20Kariba%20Dam_28%20December%202023_Final.pdf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R2:S1</w:t>
            </w:r>
          </w:p>
        </w:tc>
        <w:tc>
          <w:tcPr>
            <w:tcW w:type="dxa" w:w="6024"/>
            <w:shd w:val="clear" w:color="auto" w:fill="FAF8F2"/>
          </w:tcPr>
          <w:p>
            <w:pPr>
              <w:spacing w:after="0"/>
            </w:pPr>
            <w:r>
              <w:rPr>
                <w:color w:val="1D1D1D"/>
                <w:sz w:val="16"/>
              </w:rPr>
              <w:t>Republic of Uganda (1999), Electricity Act, 1999 (Act 6 of 1999), section 35. https://www.tradebarriers.org/library/regulations/Uganda/Electricity%20Act,%201999..pdf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R2:S2</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R2:S3</w:t>
            </w:r>
          </w:p>
        </w:tc>
        <w:tc>
          <w:tcPr>
            <w:tcW w:type="dxa" w:w="6024"/>
            <w:shd w:val="clear" w:color="auto" w:fill="FAF8F2"/>
          </w:tcPr>
          <w:p>
            <w:pPr>
              <w:spacing w:after="0"/>
            </w:pPr>
            <w:r>
              <w:rPr>
                <w:color w:val="1D1D1D"/>
                <w:sz w:val="16"/>
              </w:rPr>
              <w:t>Hydropower Sustainability Alliance (n.d.), Hydropower Sustainability Standard. https://www.hs-alliance.org/standard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R2:S4</w:t>
            </w:r>
          </w:p>
        </w:tc>
        <w:tc>
          <w:tcPr>
            <w:tcW w:type="dxa" w:w="6024"/>
          </w:tcPr>
          <w:p>
            <w:pPr>
              <w:spacing w:after="0"/>
            </w:pPr>
            <w:r>
              <w:rPr>
                <w:color w:val="1D1D1D"/>
                <w:sz w:val="16"/>
              </w:rPr>
              <w:t>World Bank (2020), Operation and Maintenance Strategies for Hydropower: Handbook for Practitioners and Decision Makers, publication page. https://www.worldbank.org/en/topic/energy/publication/operation-and-maintenance-strategies-for-hydropower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R3:S1</w:t>
            </w:r>
          </w:p>
        </w:tc>
        <w:tc>
          <w:tcPr>
            <w:tcW w:type="dxa" w:w="6024"/>
            <w:shd w:val="clear" w:color="auto" w:fill="FAF8F2"/>
          </w:tcPr>
          <w:p>
            <w:pPr>
              <w:spacing w:after="0"/>
            </w:pPr>
            <w:r>
              <w:rPr>
                <w:color w:val="1D1D1D"/>
                <w:sz w:val="16"/>
              </w:rPr>
              <w:t>Norfund (2016), Annual Report 2015 (states: "In 2015 Norfund exited from five equity investments: ... the hydropower plant Bugoye in Uganda"; Note 10, Exited investments). https://www.norfund.no/wp-content/uploads/2020/02/Annual-Report-2015.pdf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R3:S2</w:t>
            </w:r>
          </w:p>
        </w:tc>
        <w:tc>
          <w:tcPr>
            <w:tcW w:type="dxa" w:w="6024"/>
          </w:tcPr>
          <w:p>
            <w:pPr>
              <w:spacing w:after="0"/>
            </w:pPr>
            <w:r>
              <w:rPr>
                <w:color w:val="1D1D1D"/>
                <w:sz w:val="16"/>
              </w:rPr>
              <w:t>The Zambian Digest (24 June 2024), Kariba power generation falls by a worrying 91%: Kariba operating at 9% of installed capacity as supply-demand gap rises to 948MW (reports ZESCO disclosure: Kariba North Bank output "dropped by 90.9% from 1,080MW to 98MW"; "Barely a month ago, it was producing 166MW"). https://www.zambiandigest.net/2024/06/24/kariba-power-generation-falls-by-a-worrying-91kariba-operating-at-9-of-installed-capacity-as-supply-demand-gap-rises-to-948mw/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R3:S3</w:t>
            </w:r>
          </w:p>
        </w:tc>
        <w:tc>
          <w:tcPr>
            <w:tcW w:type="dxa" w:w="6024"/>
            <w:shd w:val="clear" w:color="auto" w:fill="FAF8F2"/>
          </w:tcPr>
          <w:p>
            <w:pPr>
              <w:spacing w:after="0"/>
            </w:pPr>
            <w:r>
              <w:rPr>
                <w:color w:val="1D1D1D"/>
                <w:sz w:val="16"/>
              </w:rPr>
              <w:t>Hansen, K. (Norton Rose Fulbright) and Molle, A. (World Bank) (2016), World Bank guarantees for private projects ("A partial risk guarantee protects private lenders against debt service defaults ... caused by a government's failure to meet specific obligations under project contracts"; "All World Bank guarantees require a sovereign indemnity of the bank"). https://www.projectfinance.law/publications/2016/april/world-bank-guarantees-for-private-projects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R4:S1</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 panel-of-experts terms of reference appendix confirmed by search summary only)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UT-02</w:t>
            </w:r>
          </w:p>
        </w:tc>
        <w:tc>
          <w:tcPr>
            <w:tcW w:type="dxa" w:w="6024"/>
            <w:shd w:val="clear" w:color="auto" w:fill="FAF8F2"/>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shd w:val="clear" w:color="auto" w:fill="FAF8F2"/>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Senior debt as a share of total uses</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Central estimate of annual generation; generation exceeded with 90 percent probability, in one year (one-year P90) or on average over ten years (ten-year P90)</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p>
      <w:r>
        <w:br w:type="page"/>
      </w:r>
    </w:p>
    <w:p>
      <w:pPr>
        <w:pStyle w:val="Heading1"/>
        <w:pBdr>
          <w:bottom w:val="single" w:sz="12" w:space="4" w:color="B07C0F"/>
        </w:pBdr>
      </w:pPr>
      <w:r>
        <w:t>Technical due-diligence reference</w:t>
      </w:r>
    </w:p>
    <w:p>
      <w:pPr>
        <w:jc w:val="both"/>
      </w:pPr>
      <w:r>
        <w:rPr/>
        <w:t>The five annexes that follow are a reference, not the core of the book. The book's method is the decision framework of the eighteen chapters. These annexes give the investment or credit committee member enough engineering and environmental knowledge to challenge the engineering case: to know what a sound hydrology study, layout, equipment choice, construction plan or environmental and social assessment looks like, and which questions expose a weak one.</w:t>
      </w:r>
    </w:p>
    <w:p>
      <w:pPr>
        <w:jc w:val="both"/>
      </w:pPr>
      <w:r>
        <w:rPr/>
        <w:t>They draw on the full texts of the IFC guide [DE:S1], the ESHA guide [LIT:S6], the Addleshaw Goddard and IHA investor's guide [LIT:S7] and the World Bank and ESMAP report on private solutions for large hydropower [HY-06], together with the book's source database. Each annex works through Kasiri where the case defines the values, flags every illustrative assumption it adds, and ends with decision tests. The table shows which questions of the Hydro Readiness Framework and which chapters each annex informs.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35"/>
            <w:shd w:val="clear" w:color="auto" w:fill="0B3020"/>
          </w:tcPr>
          <w:p>
            <w:pPr>
              <w:spacing w:after="0"/>
            </w:pPr>
            <w:r>
              <w:rPr>
                <w:b/>
                <w:color w:val="FFFFFF"/>
                <w:sz w:val="16"/>
              </w:rPr>
              <w:t>Annex</w:t>
            </w:r>
          </w:p>
        </w:tc>
        <w:tc>
          <w:tcPr>
            <w:tcW w:type="dxa" w:w="5719"/>
            <w:shd w:val="clear" w:color="auto" w:fill="0B3020"/>
          </w:tcPr>
          <w:p>
            <w:pPr>
              <w:spacing w:after="0"/>
            </w:pPr>
            <w:r>
              <w:rPr>
                <w:b/>
                <w:color w:val="FFFFFF"/>
                <w:sz w:val="16"/>
              </w:rPr>
              <w:t>Topic</w:t>
            </w:r>
          </w:p>
        </w:tc>
        <w:tc>
          <w:tcPr>
            <w:tcW w:type="dxa" w:w="2012"/>
            <w:shd w:val="clear" w:color="auto" w:fill="0B3020"/>
          </w:tcPr>
          <w:p>
            <w:pPr>
              <w:spacing w:after="0"/>
            </w:pPr>
            <w:r>
              <w:rPr>
                <w:b/>
                <w:color w:val="FFFFFF"/>
                <w:sz w:val="16"/>
              </w:rPr>
              <w:t>Framework questions</w:t>
            </w:r>
          </w:p>
        </w:tc>
        <w:tc>
          <w:tcPr>
            <w:tcW w:type="dxa" w:w="1271"/>
            <w:shd w:val="clear" w:color="auto" w:fill="0B3020"/>
          </w:tcPr>
          <w:p>
            <w:pPr>
              <w:spacing w:after="0"/>
            </w:pPr>
            <w:r>
              <w:rPr>
                <w:b/>
                <w:color w:val="FFFFFF"/>
                <w:sz w:val="16"/>
              </w:rPr>
              <w:t>Chapters</w:t>
            </w:r>
          </w:p>
        </w:tc>
      </w:tr>
      <w:tr>
        <w:tc>
          <w:tcPr>
            <w:tcW w:type="dxa" w:w="635"/>
          </w:tcPr>
          <w:p>
            <w:pPr>
              <w:spacing w:after="0"/>
            </w:pPr>
            <w:r>
              <w:rPr>
                <w:color w:val="1D1D1D"/>
                <w:sz w:val="16"/>
              </w:rPr>
              <w:t>N</w:t>
            </w:r>
          </w:p>
        </w:tc>
        <w:tc>
          <w:tcPr>
            <w:tcW w:type="dxa" w:w="5719"/>
          </w:tcPr>
          <w:p>
            <w:pPr>
              <w:spacing w:after="0"/>
            </w:pPr>
            <w:r>
              <w:rPr>
                <w:color w:val="1D1D1D"/>
                <w:sz w:val="16"/>
              </w:rPr>
              <w:t>Hydrology and energy assessment</w:t>
            </w:r>
          </w:p>
        </w:tc>
        <w:tc>
          <w:tcPr>
            <w:tcW w:type="dxa" w:w="2012"/>
          </w:tcPr>
          <w:p>
            <w:pPr>
              <w:spacing w:after="0"/>
            </w:pPr>
            <w:r>
              <w:rPr>
                <w:color w:val="1D1D1D"/>
                <w:sz w:val="16"/>
              </w:rPr>
              <w:t>Q1, Q5</w:t>
            </w:r>
          </w:p>
        </w:tc>
        <w:tc>
          <w:tcPr>
            <w:tcW w:type="dxa" w:w="1271"/>
          </w:tcPr>
          <w:p>
            <w:pPr>
              <w:spacing w:after="0"/>
            </w:pPr>
            <w:r>
              <w:rPr>
                <w:color w:val="1D1D1D"/>
                <w:sz w:val="16"/>
              </w:rPr>
              <w:t>2, 12, 16</w:t>
            </w:r>
          </w:p>
        </w:tc>
      </w:tr>
      <w:tr>
        <w:tc>
          <w:tcPr>
            <w:tcW w:type="dxa" w:w="635"/>
            <w:shd w:val="clear" w:color="auto" w:fill="FAF8F2"/>
          </w:tcPr>
          <w:p>
            <w:pPr>
              <w:spacing w:after="0"/>
            </w:pPr>
            <w:r>
              <w:rPr>
                <w:color w:val="1D1D1D"/>
                <w:sz w:val="16"/>
              </w:rPr>
              <w:t>O</w:t>
            </w:r>
          </w:p>
        </w:tc>
        <w:tc>
          <w:tcPr>
            <w:tcW w:type="dxa" w:w="5719"/>
            <w:shd w:val="clear" w:color="auto" w:fill="FAF8F2"/>
          </w:tcPr>
          <w:p>
            <w:pPr>
              <w:spacing w:after="0"/>
            </w:pPr>
            <w:r>
              <w:rPr>
                <w:color w:val="1D1D1D"/>
                <w:sz w:val="16"/>
              </w:rPr>
              <w:t>Scheme layout, civil works and geotechnics</w:t>
            </w:r>
          </w:p>
        </w:tc>
        <w:tc>
          <w:tcPr>
            <w:tcW w:type="dxa" w:w="2012"/>
            <w:shd w:val="clear" w:color="auto" w:fill="FAF8F2"/>
          </w:tcPr>
          <w:p>
            <w:pPr>
              <w:spacing w:after="0"/>
            </w:pPr>
            <w:r>
              <w:rPr>
                <w:color w:val="1D1D1D"/>
                <w:sz w:val="16"/>
              </w:rPr>
              <w:t>Q1, Q6</w:t>
            </w:r>
          </w:p>
        </w:tc>
        <w:tc>
          <w:tcPr>
            <w:tcW w:type="dxa" w:w="1271"/>
            <w:shd w:val="clear" w:color="auto" w:fill="FAF8F2"/>
          </w:tcPr>
          <w:p>
            <w:pPr>
              <w:spacing w:after="0"/>
            </w:pPr>
            <w:r>
              <w:rPr>
                <w:color w:val="1D1D1D"/>
                <w:sz w:val="16"/>
              </w:rPr>
              <w:t>3, 9, 10</w:t>
            </w:r>
          </w:p>
        </w:tc>
      </w:tr>
      <w:tr>
        <w:tc>
          <w:tcPr>
            <w:tcW w:type="dxa" w:w="635"/>
          </w:tcPr>
          <w:p>
            <w:pPr>
              <w:spacing w:after="0"/>
            </w:pPr>
            <w:r>
              <w:rPr>
                <w:color w:val="1D1D1D"/>
                <w:sz w:val="16"/>
              </w:rPr>
              <w:t>P</w:t>
            </w:r>
          </w:p>
        </w:tc>
        <w:tc>
          <w:tcPr>
            <w:tcW w:type="dxa" w:w="5719"/>
          </w:tcPr>
          <w:p>
            <w:pPr>
              <w:spacing w:after="0"/>
            </w:pPr>
            <w:r>
              <w:rPr>
                <w:color w:val="1D1D1D"/>
                <w:sz w:val="16"/>
              </w:rPr>
              <w:t>Electromechanical equipment and grid connection</w:t>
            </w:r>
          </w:p>
        </w:tc>
        <w:tc>
          <w:tcPr>
            <w:tcW w:type="dxa" w:w="2012"/>
          </w:tcPr>
          <w:p>
            <w:pPr>
              <w:spacing w:after="0"/>
            </w:pPr>
            <w:r>
              <w:rPr>
                <w:color w:val="1D1D1D"/>
                <w:sz w:val="16"/>
              </w:rPr>
              <w:t>Q1, Q3, Q6</w:t>
            </w:r>
          </w:p>
        </w:tc>
        <w:tc>
          <w:tcPr>
            <w:tcW w:type="dxa" w:w="1271"/>
          </w:tcPr>
          <w:p>
            <w:pPr>
              <w:spacing w:after="0"/>
            </w:pPr>
            <w:r>
              <w:rPr>
                <w:color w:val="1D1D1D"/>
                <w:sz w:val="16"/>
              </w:rPr>
              <w:t>3, 9, 11</w:t>
            </w:r>
          </w:p>
        </w:tc>
      </w:tr>
      <w:tr>
        <w:tc>
          <w:tcPr>
            <w:tcW w:type="dxa" w:w="635"/>
            <w:shd w:val="clear" w:color="auto" w:fill="FAF8F2"/>
          </w:tcPr>
          <w:p>
            <w:pPr>
              <w:spacing w:after="0"/>
            </w:pPr>
            <w:r>
              <w:rPr>
                <w:color w:val="1D1D1D"/>
                <w:sz w:val="16"/>
              </w:rPr>
              <w:t>Q</w:t>
            </w:r>
          </w:p>
        </w:tc>
        <w:tc>
          <w:tcPr>
            <w:tcW w:type="dxa" w:w="5719"/>
            <w:shd w:val="clear" w:color="auto" w:fill="FAF8F2"/>
          </w:tcPr>
          <w:p>
            <w:pPr>
              <w:spacing w:after="0"/>
            </w:pPr>
            <w:r>
              <w:rPr>
                <w:color w:val="1D1D1D"/>
                <w:sz w:val="16"/>
              </w:rPr>
              <w:t>Construction, commissioning, operation and maintenance</w:t>
            </w:r>
          </w:p>
        </w:tc>
        <w:tc>
          <w:tcPr>
            <w:tcW w:type="dxa" w:w="2012"/>
            <w:shd w:val="clear" w:color="auto" w:fill="FAF8F2"/>
          </w:tcPr>
          <w:p>
            <w:pPr>
              <w:spacing w:after="0"/>
            </w:pPr>
            <w:r>
              <w:rPr>
                <w:color w:val="1D1D1D"/>
                <w:sz w:val="16"/>
              </w:rPr>
              <w:t>Q6</w:t>
            </w:r>
          </w:p>
        </w:tc>
        <w:tc>
          <w:tcPr>
            <w:tcW w:type="dxa" w:w="1271"/>
            <w:shd w:val="clear" w:color="auto" w:fill="FAF8F2"/>
          </w:tcPr>
          <w:p>
            <w:pPr>
              <w:spacing w:after="0"/>
            </w:pPr>
            <w:r>
              <w:rPr>
                <w:color w:val="1D1D1D"/>
                <w:sz w:val="16"/>
              </w:rPr>
              <w:t>9, 10, 11</w:t>
            </w:r>
          </w:p>
        </w:tc>
      </w:tr>
      <w:tr>
        <w:tc>
          <w:tcPr>
            <w:tcW w:type="dxa" w:w="635"/>
          </w:tcPr>
          <w:p>
            <w:pPr>
              <w:spacing w:after="0"/>
            </w:pPr>
            <w:r>
              <w:rPr>
                <w:color w:val="1D1D1D"/>
                <w:sz w:val="16"/>
              </w:rPr>
              <w:t>R</w:t>
            </w:r>
          </w:p>
        </w:tc>
        <w:tc>
          <w:tcPr>
            <w:tcW w:type="dxa" w:w="5719"/>
          </w:tcPr>
          <w:p>
            <w:pPr>
              <w:spacing w:after="0"/>
            </w:pPr>
            <w:r>
              <w:rPr>
                <w:color w:val="1D1D1D"/>
                <w:sz w:val="16"/>
              </w:rPr>
              <w:t>Environmental, social and climate due diligence</w:t>
            </w:r>
          </w:p>
        </w:tc>
        <w:tc>
          <w:tcPr>
            <w:tcW w:type="dxa" w:w="2012"/>
          </w:tcPr>
          <w:p>
            <w:pPr>
              <w:spacing w:after="0"/>
            </w:pPr>
            <w:r>
              <w:rPr>
                <w:color w:val="1D1D1D"/>
                <w:sz w:val="16"/>
              </w:rPr>
              <w:t>Q2, Q5, Q7</w:t>
            </w:r>
          </w:p>
        </w:tc>
        <w:tc>
          <w:tcPr>
            <w:tcW w:type="dxa" w:w="1271"/>
          </w:tcPr>
          <w:p>
            <w:pPr>
              <w:spacing w:after="0"/>
            </w:pPr>
            <w:r>
              <w:rPr>
                <w:color w:val="1D1D1D"/>
                <w:sz w:val="16"/>
              </w:rPr>
              <w:t>2, 7, 15, 16</w:t>
            </w:r>
          </w:p>
        </w:tc>
      </w:tr>
    </w:tbl>
    <w:p>
      <w:pPr>
        <w:spacing w:after="40"/>
      </w:pPr>
    </w:p>
    <w:p>
      <w:pPr>
        <w:pStyle w:val="Heading2"/>
      </w:pPr>
      <w:r>
        <w:t>Annex N. Hydrology and energy assessment</w:t>
      </w:r>
    </w:p>
    <w:p>
      <w:pPr>
        <w:pStyle w:val="Heading3"/>
      </w:pPr>
      <w:r>
        <w:t>N.1 Purpose and scope</w:t>
      </w:r>
    </w:p>
    <w:p>
      <w:pPr>
        <w:jc w:val="both"/>
      </w:pPr>
      <w:r>
        <w:rPr/>
        <w:t>The IFC guide calls expected generation "one of the most important determinants" of viability and ranks hydrology as the highest development risk [DE:S1]. ESMAP reaches the same view for large projects and adds that climate change makes rigorous assessment more necessary [HY-06]. This annex follows the energy estimate from gauge to metered output, using Kasiri as the worked example. Kasiri values are case facts unless labelled as illustrative assumptions.</w:t>
      </w:r>
    </w:p>
    <w:p>
      <w:pPr>
        <w:pStyle w:val="Heading3"/>
      </w:pPr>
      <w:r>
        <w:t>N.2 Hydrological data: sources and quality</w:t>
      </w:r>
    </w:p>
    <w:p>
      <w:pPr>
        <w:jc w:val="both"/>
      </w:pPr>
      <w:r>
        <w:rPr/>
        <w:t>Water authorities usually hold measured discharge for main rivers but not for secondary rivers or future intake sites [DE:S1]. National hydrological institutes may publish gauged flows, flow statistics and runoff maps [LIT:S6]. In much of Africa the constraint is the base data itself: ESMAP lists insufficient data on hydrological flows as a barrier and recommends support to hydromet monitoring [HY-06].</w:t>
      </w:r>
    </w:p>
    <w:p>
      <w:pPr>
        <w:jc w:val="both"/>
      </w:pPr>
      <w:r>
        <w:rPr/>
        <w:t>A gauge records water level (stage), not discharge. Discharge comes from a rating curve fitted to paired stage and discharge measurements across the range of levels, preferably over at least a year [DE:S1; LIT:S6]:</w:t>
      </w:r>
    </w:p>
    <w:p>
      <w:pPr>
        <w:ind w:left="567"/>
      </w:pPr>
      <w:r>
        <w:rPr>
          <w:color w:val="0B3020"/>
          <w:sz w:val="20"/>
        </w:rPr>
        <w:t>Q = a (H + B)</w:t>
      </w:r>
      <w:r>
        <w:rPr>
          <w:color w:val="0B3020"/>
          <w:sz w:val="20"/>
          <w:vertAlign w:val="superscript"/>
        </w:rPr>
        <w:t>n</w:t>
      </w:r>
    </w:p>
    <w:p>
      <w:pPr>
        <w:jc w:val="both"/>
      </w:pPr>
      <w:r>
        <w:rPr/>
        <w:t>where H is stage, B a datum correction and a, n fitted constants [LIT:S6]. High flows are seldom measured directly and are often estimated by the slope-area (Manning) method, which is sensitive to roughness: for natural streams with n of about 0.035, an error of 0.001 in n changes discharge by about 3% [LIT:S6].</w:t>
      </w:r>
    </w:p>
    <w:p>
      <w:pPr>
        <w:jc w:val="both"/>
      </w:pPr>
      <w:r>
        <w:rPr/>
        <w:t>The committee should ask for the share of infilled days, the highest discharge measured for the rating curve and how far it is extrapolated, whether a mobile bed shifts the curve after floods, and how the gauge is protected against floods [DE:S1].</w:t>
      </w:r>
    </w:p>
    <w:p>
      <w:pPr>
        <w:pStyle w:val="Heading3"/>
      </w:pPr>
      <w:r>
        <w:t>N.3 Length of record and record extension</w:t>
      </w:r>
    </w:p>
    <w:p>
      <w:pPr>
        <w:jc w:val="both"/>
      </w:pPr>
      <w:r>
        <w:rPr/>
        <w:t>The IFC guide asks for at least 15 years of flow or precipitation data, preferably consecutive [DE:S1]. Kasiri's record is 12 years, built from pre-feasibility gauging plus regional correlation. It is shorter than the benchmark and partly synthesised.</w:t>
      </w:r>
    </w:p>
    <w:p>
      <w:pPr>
        <w:jc w:val="both"/>
      </w:pPr>
      <w:r>
        <w:rPr/>
        <w:t>The IFC guide describes three ways to transpose station data to an intake [DE:S1]:</w:t>
      </w:r>
    </w:p>
    <w:p>
      <w:pPr>
        <w:spacing w:after="60"/>
        <w:ind w:left="397" w:hanging="397"/>
      </w:pPr>
      <w:r>
        <w:rPr/>
        <w:t>1.</w:t>
        <w:tab/>
      </w:r>
      <w:r>
        <w:rPr>
          <w:i/>
        </w:rPr>
        <w:t>Simultaneous measurements</w:t>
      </w:r>
      <w:r>
        <w:rPr/>
        <w:t xml:space="preserve"> at a temporary profile near the intake and an existing station, correlated and used to transpose the long series. It needs at least five dry, five average and five wet-period measurements and is the most accurate method.</w:t>
      </w:r>
    </w:p>
    <w:p>
      <w:pPr>
        <w:spacing w:after="60"/>
        <w:ind w:left="397" w:hanging="397"/>
      </w:pPr>
      <w:r>
        <w:rPr/>
        <w:t>2.</w:t>
        <w:tab/>
      </w:r>
      <w:r>
        <w:rPr>
          <w:i/>
        </w:rPr>
        <w:t>Specific runoff against altitude</w:t>
      </w:r>
      <w:r>
        <w:rPr/>
        <w:t>, a regional curve of runoff (l/s/km²) against mean catchment altitude from several stations.</w:t>
      </w:r>
    </w:p>
    <w:p>
      <w:pPr>
        <w:spacing w:after="60"/>
        <w:ind w:left="397" w:hanging="397"/>
      </w:pPr>
      <w:r>
        <w:rPr/>
        <w:t>3.</w:t>
        <w:tab/>
      </w:r>
      <w:r>
        <w:rPr>
          <w:i/>
        </w:rPr>
        <w:t>Catchment area ratio</w:t>
      </w:r>
      <w:r>
        <w:rPr/>
        <w:t>, which ignores vegetation, soil and geology and works best when the gauge is close to the intake:</w:t>
      </w:r>
    </w:p>
    <w:p>
      <w:pPr>
        <w:ind w:left="567"/>
      </w:pPr>
      <w:r>
        <w:rPr>
          <w:color w:val="0B3020"/>
          <w:sz w:val="20"/>
        </w:rPr>
        <w:t>Q</w:t>
      </w:r>
      <w:r>
        <w:rPr>
          <w:color w:val="0B3020"/>
          <w:sz w:val="20"/>
        </w:rPr>
        <w:t>intake</w:t>
      </w:r>
      <w:r>
        <w:rPr>
          <w:color w:val="0B3020"/>
          <w:sz w:val="20"/>
        </w:rPr>
        <w:t xml:space="preserve"> = Q</w:t>
      </w:r>
      <w:r>
        <w:rPr>
          <w:color w:val="0B3020"/>
          <w:sz w:val="20"/>
        </w:rPr>
        <w:t>gauge</w:t>
      </w:r>
      <w:r>
        <w:rPr>
          <w:color w:val="0B3020"/>
          <w:sz w:val="20"/>
        </w:rPr>
        <w:t xml:space="preserve"> × (A</w:t>
      </w:r>
      <w:r>
        <w:rPr>
          <w:color w:val="0B3020"/>
          <w:sz w:val="20"/>
        </w:rPr>
        <w:t>intake</w:t>
      </w:r>
      <w:r>
        <w:rPr>
          <w:color w:val="0B3020"/>
          <w:sz w:val="20"/>
        </w:rPr>
        <w:t xml:space="preserve"> / A</w:t>
      </w:r>
      <w:r>
        <w:rPr>
          <w:color w:val="0B3020"/>
          <w:sz w:val="20"/>
        </w:rPr>
        <w:t>gauge</w:t>
      </w:r>
      <w:r>
        <w:rPr>
          <w:color w:val="0B3020"/>
          <w:sz w:val="20"/>
        </w:rPr>
        <w:t>)</w:t>
      </w:r>
    </w:p>
    <w:p>
      <w:pPr>
        <w:jc w:val="both"/>
      </w:pPr>
      <w:r>
        <w:rPr/>
        <w:t>ESHA adds standardised flow duration curves (flows divided by catchment area and rainfall, or by mean flow), which allow transfer from neighbouring rivers of similar topography and climate, and rainfall-runoff estimation where no flow record exists: mean runoff depth from a catchment water balance, converted as Q</w:t>
      </w:r>
      <w:r>
        <w:rPr/>
        <w:t>m</w:t>
      </w:r>
      <w:r>
        <w:rPr/>
        <w:t xml:space="preserve"> = (runoff depth in mm × area in km²) / 31,536, with the curve shape chosen from soil and base-flow indices, or a watershed model driven by daily rainfall [LIT:S6].</w:t>
      </w:r>
    </w:p>
    <w:p>
      <w:pPr>
        <w:jc w:val="both"/>
      </w:pPr>
      <w:r>
        <w:rPr/>
        <w:t>Two credit questions follow: does the extended series contain a drought as severe as the debt must survive, and is the correlation scatter carried into the P90? The IFC guide recommends verifying hydrology during design and, where possible, installing a permanent gauge at the intake [DE:S1].</w:t>
      </w:r>
    </w:p>
    <w:p>
      <w:pPr>
        <w:pStyle w:val="Heading3"/>
      </w:pPr>
      <w:r>
        <w:t>N.4 Flow duration curve and choice of design flow</w:t>
      </w:r>
    </w:p>
    <w:p>
      <w:pPr>
        <w:jc w:val="both"/>
      </w:pPr>
      <w:r>
        <w:rPr/>
        <w:t>A flow duration curve (FDC) ranks flows from highest to lowest against the percentage of time each is equalled or exceeded; Q</w:t>
      </w:r>
      <w:r>
        <w:rPr/>
        <w:t>95</w:t>
      </w:r>
      <w:r>
        <w:rPr/>
        <w:t xml:space="preserve"> is often taken as the characteristic low flow [DE:S1; LIT:S6]. A flat FDC means even flow through the year, a steep one large seasonal swings [DE:S1]. The averaging period matters: monthly averages smooth out peaks the turbines cannot use, and energy from monthly data can be overestimated by 10% or more compared with daily data [DE:S1].</w:t>
      </w:r>
    </w:p>
    <w:p>
      <w:pPr>
        <w:jc w:val="both"/>
      </w:pPr>
      <w:r>
        <w:rPr/>
        <w:t>Table N.1 ranks the twelve Kasiri monthly means. Usable flow is river flow less the 4 m3/s environmental flow, capped at the 57 m3/s design flow; power is derived in N.6.</w:t>
      </w:r>
    </w:p>
    <w:p>
      <w:pPr>
        <w:keepNext/>
      </w:pPr>
      <w:r>
        <w:rPr>
          <w:b/>
          <w:color w:val="0B3020"/>
          <w:sz w:val="18"/>
        </w:rPr>
        <w:t>Table N.1. Kasiri monthly flow duration reading (case flows)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650"/>
            <w:shd w:val="clear" w:color="auto" w:fill="0B3020"/>
          </w:tcPr>
          <w:p>
            <w:pPr>
              <w:spacing w:after="0"/>
            </w:pPr>
            <w:r>
              <w:rPr>
                <w:b/>
                <w:color w:val="FFFFFF"/>
                <w:sz w:val="16"/>
              </w:rPr>
              <w:t>Rank</w:t>
            </w:r>
          </w:p>
        </w:tc>
        <w:tc>
          <w:tcPr>
            <w:tcW w:type="dxa" w:w="650"/>
            <w:shd w:val="clear" w:color="auto" w:fill="0B3020"/>
          </w:tcPr>
          <w:p>
            <w:pPr>
              <w:spacing w:after="0"/>
            </w:pPr>
            <w:r>
              <w:rPr>
                <w:b/>
                <w:color w:val="FFFFFF"/>
                <w:sz w:val="16"/>
              </w:rPr>
              <w:t>Month</w:t>
            </w:r>
          </w:p>
        </w:tc>
        <w:tc>
          <w:tcPr>
            <w:tcW w:type="dxa" w:w="1191"/>
            <w:shd w:val="clear" w:color="auto" w:fill="0B3020"/>
          </w:tcPr>
          <w:p>
            <w:pPr>
              <w:spacing w:after="0"/>
            </w:pPr>
            <w:r>
              <w:rPr>
                <w:b/>
                <w:color w:val="FFFFFF"/>
                <w:sz w:val="16"/>
              </w:rPr>
              <w:t>Flow (m3/s)</w:t>
            </w:r>
          </w:p>
        </w:tc>
        <w:tc>
          <w:tcPr>
            <w:tcW w:type="dxa" w:w="2058"/>
            <w:shd w:val="clear" w:color="auto" w:fill="0B3020"/>
          </w:tcPr>
          <w:p>
            <w:pPr>
              <w:spacing w:after="0"/>
            </w:pPr>
            <w:r>
              <w:rPr>
                <w:b/>
                <w:color w:val="FFFFFF"/>
                <w:sz w:val="16"/>
              </w:rPr>
              <w:t>Exceedance m/12 (%)</w:t>
            </w:r>
          </w:p>
        </w:tc>
        <w:tc>
          <w:tcPr>
            <w:tcW w:type="dxa" w:w="2058"/>
            <w:shd w:val="clear" w:color="auto" w:fill="0B3020"/>
          </w:tcPr>
          <w:p>
            <w:pPr>
              <w:spacing w:after="0"/>
            </w:pPr>
            <w:r>
              <w:rPr>
                <w:b/>
                <w:color w:val="FFFFFF"/>
                <w:sz w:val="16"/>
              </w:rPr>
              <w:t>Exceedance m/13 (%)</w:t>
            </w:r>
          </w:p>
        </w:tc>
        <w:tc>
          <w:tcPr>
            <w:tcW w:type="dxa" w:w="1949"/>
            <w:shd w:val="clear" w:color="auto" w:fill="0B3020"/>
          </w:tcPr>
          <w:p>
            <w:pPr>
              <w:spacing w:after="0"/>
            </w:pPr>
            <w:r>
              <w:rPr>
                <w:b/>
                <w:color w:val="FFFFFF"/>
                <w:sz w:val="16"/>
              </w:rPr>
              <w:t>Usable flow (m3/s)</w:t>
            </w:r>
          </w:p>
        </w:tc>
        <w:tc>
          <w:tcPr>
            <w:tcW w:type="dxa" w:w="1083"/>
            <w:shd w:val="clear" w:color="auto" w:fill="0B3020"/>
          </w:tcPr>
          <w:p>
            <w:pPr>
              <w:spacing w:after="0"/>
            </w:pPr>
            <w:r>
              <w:rPr>
                <w:b/>
                <w:color w:val="FFFFFF"/>
                <w:sz w:val="16"/>
              </w:rPr>
              <w:t>Power (MW)</w:t>
            </w:r>
          </w:p>
        </w:tc>
      </w:tr>
      <w:tr>
        <w:tc>
          <w:tcPr>
            <w:tcW w:type="dxa" w:w="650"/>
          </w:tcPr>
          <w:p>
            <w:pPr>
              <w:spacing w:after="0"/>
            </w:pPr>
            <w:r>
              <w:rPr>
                <w:color w:val="1D1D1D"/>
                <w:sz w:val="16"/>
              </w:rPr>
              <w:t>1</w:t>
            </w:r>
          </w:p>
        </w:tc>
        <w:tc>
          <w:tcPr>
            <w:tcW w:type="dxa" w:w="650"/>
          </w:tcPr>
          <w:p>
            <w:pPr>
              <w:spacing w:after="0"/>
            </w:pPr>
            <w:r>
              <w:rPr>
                <w:color w:val="1D1D1D"/>
                <w:sz w:val="16"/>
              </w:rPr>
              <w:t>May</w:t>
            </w:r>
          </w:p>
        </w:tc>
        <w:tc>
          <w:tcPr>
            <w:tcW w:type="dxa" w:w="1191"/>
          </w:tcPr>
          <w:p>
            <w:pPr>
              <w:spacing w:after="0"/>
            </w:pPr>
            <w:r>
              <w:rPr>
                <w:color w:val="1D1D1D"/>
                <w:sz w:val="16"/>
              </w:rPr>
              <w:t>70</w:t>
            </w:r>
          </w:p>
        </w:tc>
        <w:tc>
          <w:tcPr>
            <w:tcW w:type="dxa" w:w="2058"/>
          </w:tcPr>
          <w:p>
            <w:pPr>
              <w:spacing w:after="0"/>
            </w:pPr>
            <w:r>
              <w:rPr>
                <w:color w:val="1D1D1D"/>
                <w:sz w:val="16"/>
              </w:rPr>
              <w:t>8.3</w:t>
            </w:r>
          </w:p>
        </w:tc>
        <w:tc>
          <w:tcPr>
            <w:tcW w:type="dxa" w:w="2058"/>
          </w:tcPr>
          <w:p>
            <w:pPr>
              <w:spacing w:after="0"/>
            </w:pPr>
            <w:r>
              <w:rPr>
                <w:color w:val="1D1D1D"/>
                <w:sz w:val="16"/>
              </w:rPr>
              <w:t>7.7</w:t>
            </w:r>
          </w:p>
        </w:tc>
        <w:tc>
          <w:tcPr>
            <w:tcW w:type="dxa" w:w="1949"/>
          </w:tcPr>
          <w:p>
            <w:pPr>
              <w:spacing w:after="0"/>
            </w:pPr>
            <w:r>
              <w:rPr>
                <w:color w:val="1D1D1D"/>
                <w:sz w:val="16"/>
              </w:rPr>
              <w:t>57 (9 spilled)</w:t>
            </w:r>
          </w:p>
        </w:tc>
        <w:tc>
          <w:tcPr>
            <w:tcW w:type="dxa" w:w="1083"/>
          </w:tcPr>
          <w:p>
            <w:pPr>
              <w:spacing w:after="0"/>
            </w:pPr>
            <w:r>
              <w:rPr>
                <w:color w:val="1D1D1D"/>
                <w:sz w:val="16"/>
              </w:rPr>
              <w:t>60.5</w:t>
            </w:r>
          </w:p>
        </w:tc>
      </w:tr>
      <w:tr>
        <w:tc>
          <w:tcPr>
            <w:tcW w:type="dxa" w:w="650"/>
            <w:shd w:val="clear" w:color="auto" w:fill="FAF8F2"/>
          </w:tcPr>
          <w:p>
            <w:pPr>
              <w:spacing w:after="0"/>
            </w:pPr>
            <w:r>
              <w:rPr>
                <w:color w:val="1D1D1D"/>
                <w:sz w:val="16"/>
              </w:rPr>
              <w:t>2</w:t>
            </w:r>
          </w:p>
        </w:tc>
        <w:tc>
          <w:tcPr>
            <w:tcW w:type="dxa" w:w="650"/>
            <w:shd w:val="clear" w:color="auto" w:fill="FAF8F2"/>
          </w:tcPr>
          <w:p>
            <w:pPr>
              <w:spacing w:after="0"/>
            </w:pPr>
            <w:r>
              <w:rPr>
                <w:color w:val="1D1D1D"/>
                <w:sz w:val="16"/>
              </w:rPr>
              <w:t>Jun</w:t>
            </w:r>
          </w:p>
        </w:tc>
        <w:tc>
          <w:tcPr>
            <w:tcW w:type="dxa" w:w="1191"/>
            <w:shd w:val="clear" w:color="auto" w:fill="FAF8F2"/>
          </w:tcPr>
          <w:p>
            <w:pPr>
              <w:spacing w:after="0"/>
            </w:pPr>
            <w:r>
              <w:rPr>
                <w:color w:val="1D1D1D"/>
                <w:sz w:val="16"/>
              </w:rPr>
              <w:t>58</w:t>
            </w:r>
          </w:p>
        </w:tc>
        <w:tc>
          <w:tcPr>
            <w:tcW w:type="dxa" w:w="2058"/>
            <w:shd w:val="clear" w:color="auto" w:fill="FAF8F2"/>
          </w:tcPr>
          <w:p>
            <w:pPr>
              <w:spacing w:after="0"/>
            </w:pPr>
            <w:r>
              <w:rPr>
                <w:color w:val="1D1D1D"/>
                <w:sz w:val="16"/>
              </w:rPr>
              <w:t>16.7</w:t>
            </w:r>
          </w:p>
        </w:tc>
        <w:tc>
          <w:tcPr>
            <w:tcW w:type="dxa" w:w="2058"/>
            <w:shd w:val="clear" w:color="auto" w:fill="FAF8F2"/>
          </w:tcPr>
          <w:p>
            <w:pPr>
              <w:spacing w:after="0"/>
            </w:pPr>
            <w:r>
              <w:rPr>
                <w:color w:val="1D1D1D"/>
                <w:sz w:val="16"/>
              </w:rPr>
              <w:t>15.4</w:t>
            </w:r>
          </w:p>
        </w:tc>
        <w:tc>
          <w:tcPr>
            <w:tcW w:type="dxa" w:w="1949"/>
            <w:shd w:val="clear" w:color="auto" w:fill="FAF8F2"/>
          </w:tcPr>
          <w:p>
            <w:pPr>
              <w:spacing w:after="0"/>
            </w:pPr>
            <w:r>
              <w:rPr>
                <w:color w:val="1D1D1D"/>
                <w:sz w:val="16"/>
              </w:rPr>
              <w:t>54</w:t>
            </w:r>
          </w:p>
        </w:tc>
        <w:tc>
          <w:tcPr>
            <w:tcW w:type="dxa" w:w="1083"/>
            <w:shd w:val="clear" w:color="auto" w:fill="FAF8F2"/>
          </w:tcPr>
          <w:p>
            <w:pPr>
              <w:spacing w:after="0"/>
            </w:pPr>
            <w:r>
              <w:rPr>
                <w:color w:val="1D1D1D"/>
                <w:sz w:val="16"/>
              </w:rPr>
              <w:t>57.3</w:t>
            </w:r>
          </w:p>
        </w:tc>
      </w:tr>
      <w:tr>
        <w:tc>
          <w:tcPr>
            <w:tcW w:type="dxa" w:w="650"/>
          </w:tcPr>
          <w:p>
            <w:pPr>
              <w:spacing w:after="0"/>
            </w:pPr>
            <w:r>
              <w:rPr>
                <w:color w:val="1D1D1D"/>
                <w:sz w:val="16"/>
              </w:rPr>
              <w:t>3</w:t>
            </w:r>
          </w:p>
        </w:tc>
        <w:tc>
          <w:tcPr>
            <w:tcW w:type="dxa" w:w="650"/>
          </w:tcPr>
          <w:p>
            <w:pPr>
              <w:spacing w:after="0"/>
            </w:pPr>
            <w:r>
              <w:rPr>
                <w:color w:val="1D1D1D"/>
                <w:sz w:val="16"/>
              </w:rPr>
              <w:t>Apr</w:t>
            </w:r>
          </w:p>
        </w:tc>
        <w:tc>
          <w:tcPr>
            <w:tcW w:type="dxa" w:w="1191"/>
          </w:tcPr>
          <w:p>
            <w:pPr>
              <w:spacing w:after="0"/>
            </w:pPr>
            <w:r>
              <w:rPr>
                <w:color w:val="1D1D1D"/>
                <w:sz w:val="16"/>
              </w:rPr>
              <w:t>52</w:t>
            </w:r>
          </w:p>
        </w:tc>
        <w:tc>
          <w:tcPr>
            <w:tcW w:type="dxa" w:w="2058"/>
          </w:tcPr>
          <w:p>
            <w:pPr>
              <w:spacing w:after="0"/>
            </w:pPr>
            <w:r>
              <w:rPr>
                <w:color w:val="1D1D1D"/>
                <w:sz w:val="16"/>
              </w:rPr>
              <w:t>25.0</w:t>
            </w:r>
          </w:p>
        </w:tc>
        <w:tc>
          <w:tcPr>
            <w:tcW w:type="dxa" w:w="2058"/>
          </w:tcPr>
          <w:p>
            <w:pPr>
              <w:spacing w:after="0"/>
            </w:pPr>
            <w:r>
              <w:rPr>
                <w:color w:val="1D1D1D"/>
                <w:sz w:val="16"/>
              </w:rPr>
              <w:t>23.1</w:t>
            </w:r>
          </w:p>
        </w:tc>
        <w:tc>
          <w:tcPr>
            <w:tcW w:type="dxa" w:w="1949"/>
          </w:tcPr>
          <w:p>
            <w:pPr>
              <w:spacing w:after="0"/>
            </w:pPr>
            <w:r>
              <w:rPr>
                <w:color w:val="1D1D1D"/>
                <w:sz w:val="16"/>
              </w:rPr>
              <w:t>48</w:t>
            </w:r>
          </w:p>
        </w:tc>
        <w:tc>
          <w:tcPr>
            <w:tcW w:type="dxa" w:w="1083"/>
          </w:tcPr>
          <w:p>
            <w:pPr>
              <w:spacing w:after="0"/>
            </w:pPr>
            <w:r>
              <w:rPr>
                <w:color w:val="1D1D1D"/>
                <w:sz w:val="16"/>
              </w:rPr>
              <w:t>50.9</w:t>
            </w:r>
          </w:p>
        </w:tc>
      </w:tr>
      <w:tr>
        <w:tc>
          <w:tcPr>
            <w:tcW w:type="dxa" w:w="650"/>
            <w:shd w:val="clear" w:color="auto" w:fill="FAF8F2"/>
          </w:tcPr>
          <w:p>
            <w:pPr>
              <w:spacing w:after="0"/>
            </w:pPr>
            <w:r>
              <w:rPr>
                <w:color w:val="1D1D1D"/>
                <w:sz w:val="16"/>
              </w:rPr>
              <w:t>4</w:t>
            </w:r>
          </w:p>
        </w:tc>
        <w:tc>
          <w:tcPr>
            <w:tcW w:type="dxa" w:w="650"/>
            <w:shd w:val="clear" w:color="auto" w:fill="FAF8F2"/>
          </w:tcPr>
          <w:p>
            <w:pPr>
              <w:spacing w:after="0"/>
            </w:pPr>
            <w:r>
              <w:rPr>
                <w:color w:val="1D1D1D"/>
                <w:sz w:val="16"/>
              </w:rPr>
              <w:t>Nov</w:t>
            </w:r>
          </w:p>
        </w:tc>
        <w:tc>
          <w:tcPr>
            <w:tcW w:type="dxa" w:w="1191"/>
            <w:shd w:val="clear" w:color="auto" w:fill="FAF8F2"/>
          </w:tcPr>
          <w:p>
            <w:pPr>
              <w:spacing w:after="0"/>
            </w:pPr>
            <w:r>
              <w:rPr>
                <w:color w:val="1D1D1D"/>
                <w:sz w:val="16"/>
              </w:rPr>
              <w:t>46</w:t>
            </w:r>
          </w:p>
        </w:tc>
        <w:tc>
          <w:tcPr>
            <w:tcW w:type="dxa" w:w="2058"/>
            <w:shd w:val="clear" w:color="auto" w:fill="FAF8F2"/>
          </w:tcPr>
          <w:p>
            <w:pPr>
              <w:spacing w:after="0"/>
            </w:pPr>
            <w:r>
              <w:rPr>
                <w:color w:val="1D1D1D"/>
                <w:sz w:val="16"/>
              </w:rPr>
              <w:t>33.3</w:t>
            </w:r>
          </w:p>
        </w:tc>
        <w:tc>
          <w:tcPr>
            <w:tcW w:type="dxa" w:w="2058"/>
            <w:shd w:val="clear" w:color="auto" w:fill="FAF8F2"/>
          </w:tcPr>
          <w:p>
            <w:pPr>
              <w:spacing w:after="0"/>
            </w:pPr>
            <w:r>
              <w:rPr>
                <w:color w:val="1D1D1D"/>
                <w:sz w:val="16"/>
              </w:rPr>
              <w:t>30.8</w:t>
            </w:r>
          </w:p>
        </w:tc>
        <w:tc>
          <w:tcPr>
            <w:tcW w:type="dxa" w:w="1949"/>
            <w:shd w:val="clear" w:color="auto" w:fill="FAF8F2"/>
          </w:tcPr>
          <w:p>
            <w:pPr>
              <w:spacing w:after="0"/>
            </w:pPr>
            <w:r>
              <w:rPr>
                <w:color w:val="1D1D1D"/>
                <w:sz w:val="16"/>
              </w:rPr>
              <w:t>42</w:t>
            </w:r>
          </w:p>
        </w:tc>
        <w:tc>
          <w:tcPr>
            <w:tcW w:type="dxa" w:w="1083"/>
            <w:shd w:val="clear" w:color="auto" w:fill="FAF8F2"/>
          </w:tcPr>
          <w:p>
            <w:pPr>
              <w:spacing w:after="0"/>
            </w:pPr>
            <w:r>
              <w:rPr>
                <w:color w:val="1D1D1D"/>
                <w:sz w:val="16"/>
              </w:rPr>
              <w:t>44.6</w:t>
            </w:r>
          </w:p>
        </w:tc>
      </w:tr>
      <w:tr>
        <w:tc>
          <w:tcPr>
            <w:tcW w:type="dxa" w:w="650"/>
          </w:tcPr>
          <w:p>
            <w:pPr>
              <w:spacing w:after="0"/>
            </w:pPr>
            <w:r>
              <w:rPr>
                <w:color w:val="1D1D1D"/>
                <w:sz w:val="16"/>
              </w:rPr>
              <w:t>5</w:t>
            </w:r>
          </w:p>
        </w:tc>
        <w:tc>
          <w:tcPr>
            <w:tcW w:type="dxa" w:w="650"/>
          </w:tcPr>
          <w:p>
            <w:pPr>
              <w:spacing w:after="0"/>
            </w:pPr>
            <w:r>
              <w:rPr>
                <w:color w:val="1D1D1D"/>
                <w:sz w:val="16"/>
              </w:rPr>
              <w:t>Jul</w:t>
            </w:r>
          </w:p>
        </w:tc>
        <w:tc>
          <w:tcPr>
            <w:tcW w:type="dxa" w:w="1191"/>
          </w:tcPr>
          <w:p>
            <w:pPr>
              <w:spacing w:after="0"/>
            </w:pPr>
            <w:r>
              <w:rPr>
                <w:color w:val="1D1D1D"/>
                <w:sz w:val="16"/>
              </w:rPr>
              <w:t>40</w:t>
            </w:r>
          </w:p>
        </w:tc>
        <w:tc>
          <w:tcPr>
            <w:tcW w:type="dxa" w:w="2058"/>
          </w:tcPr>
          <w:p>
            <w:pPr>
              <w:spacing w:after="0"/>
            </w:pPr>
            <w:r>
              <w:rPr>
                <w:color w:val="1D1D1D"/>
                <w:sz w:val="16"/>
              </w:rPr>
              <w:t>41.7</w:t>
            </w:r>
          </w:p>
        </w:tc>
        <w:tc>
          <w:tcPr>
            <w:tcW w:type="dxa" w:w="2058"/>
          </w:tcPr>
          <w:p>
            <w:pPr>
              <w:spacing w:after="0"/>
            </w:pPr>
            <w:r>
              <w:rPr>
                <w:color w:val="1D1D1D"/>
                <w:sz w:val="16"/>
              </w:rPr>
              <w:t>38.5</w:t>
            </w:r>
          </w:p>
        </w:tc>
        <w:tc>
          <w:tcPr>
            <w:tcW w:type="dxa" w:w="1949"/>
          </w:tcPr>
          <w:p>
            <w:pPr>
              <w:spacing w:after="0"/>
            </w:pPr>
            <w:r>
              <w:rPr>
                <w:color w:val="1D1D1D"/>
                <w:sz w:val="16"/>
              </w:rPr>
              <w:t>36</w:t>
            </w:r>
          </w:p>
        </w:tc>
        <w:tc>
          <w:tcPr>
            <w:tcW w:type="dxa" w:w="1083"/>
          </w:tcPr>
          <w:p>
            <w:pPr>
              <w:spacing w:after="0"/>
            </w:pPr>
            <w:r>
              <w:rPr>
                <w:color w:val="1D1D1D"/>
                <w:sz w:val="16"/>
              </w:rPr>
              <w:t>38.2</w:t>
            </w:r>
          </w:p>
        </w:tc>
      </w:tr>
      <w:tr>
        <w:tc>
          <w:tcPr>
            <w:tcW w:type="dxa" w:w="650"/>
            <w:shd w:val="clear" w:color="auto" w:fill="FAF8F2"/>
          </w:tcPr>
          <w:p>
            <w:pPr>
              <w:spacing w:after="0"/>
            </w:pPr>
            <w:r>
              <w:rPr>
                <w:color w:val="1D1D1D"/>
                <w:sz w:val="16"/>
              </w:rPr>
              <w:t>6</w:t>
            </w:r>
          </w:p>
        </w:tc>
        <w:tc>
          <w:tcPr>
            <w:tcW w:type="dxa" w:w="650"/>
            <w:shd w:val="clear" w:color="auto" w:fill="FAF8F2"/>
          </w:tcPr>
          <w:p>
            <w:pPr>
              <w:spacing w:after="0"/>
            </w:pPr>
            <w:r>
              <w:rPr>
                <w:color w:val="1D1D1D"/>
                <w:sz w:val="16"/>
              </w:rPr>
              <w:t>Dec</w:t>
            </w:r>
          </w:p>
        </w:tc>
        <w:tc>
          <w:tcPr>
            <w:tcW w:type="dxa" w:w="1191"/>
            <w:shd w:val="clear" w:color="auto" w:fill="FAF8F2"/>
          </w:tcPr>
          <w:p>
            <w:pPr>
              <w:spacing w:after="0"/>
            </w:pPr>
            <w:r>
              <w:rPr>
                <w:color w:val="1D1D1D"/>
                <w:sz w:val="16"/>
              </w:rPr>
              <w:t>36</w:t>
            </w:r>
          </w:p>
        </w:tc>
        <w:tc>
          <w:tcPr>
            <w:tcW w:type="dxa" w:w="2058"/>
            <w:shd w:val="clear" w:color="auto" w:fill="FAF8F2"/>
          </w:tcPr>
          <w:p>
            <w:pPr>
              <w:spacing w:after="0"/>
            </w:pPr>
            <w:r>
              <w:rPr>
                <w:color w:val="1D1D1D"/>
                <w:sz w:val="16"/>
              </w:rPr>
              <w:t>50.0</w:t>
            </w:r>
          </w:p>
        </w:tc>
        <w:tc>
          <w:tcPr>
            <w:tcW w:type="dxa" w:w="2058"/>
            <w:shd w:val="clear" w:color="auto" w:fill="FAF8F2"/>
          </w:tcPr>
          <w:p>
            <w:pPr>
              <w:spacing w:after="0"/>
            </w:pPr>
            <w:r>
              <w:rPr>
                <w:color w:val="1D1D1D"/>
                <w:sz w:val="16"/>
              </w:rPr>
              <w:t>46.2</w:t>
            </w:r>
          </w:p>
        </w:tc>
        <w:tc>
          <w:tcPr>
            <w:tcW w:type="dxa" w:w="1949"/>
            <w:shd w:val="clear" w:color="auto" w:fill="FAF8F2"/>
          </w:tcPr>
          <w:p>
            <w:pPr>
              <w:spacing w:after="0"/>
            </w:pPr>
            <w:r>
              <w:rPr>
                <w:color w:val="1D1D1D"/>
                <w:sz w:val="16"/>
              </w:rPr>
              <w:t>32</w:t>
            </w:r>
          </w:p>
        </w:tc>
        <w:tc>
          <w:tcPr>
            <w:tcW w:type="dxa" w:w="1083"/>
            <w:shd w:val="clear" w:color="auto" w:fill="FAF8F2"/>
          </w:tcPr>
          <w:p>
            <w:pPr>
              <w:spacing w:after="0"/>
            </w:pPr>
            <w:r>
              <w:rPr>
                <w:color w:val="1D1D1D"/>
                <w:sz w:val="16"/>
              </w:rPr>
              <w:t>34.0</w:t>
            </w:r>
          </w:p>
        </w:tc>
      </w:tr>
      <w:tr>
        <w:tc>
          <w:tcPr>
            <w:tcW w:type="dxa" w:w="650"/>
          </w:tcPr>
          <w:p>
            <w:pPr>
              <w:spacing w:after="0"/>
            </w:pPr>
            <w:r>
              <w:rPr>
                <w:color w:val="1D1D1D"/>
                <w:sz w:val="16"/>
              </w:rPr>
              <w:t>7</w:t>
            </w:r>
          </w:p>
        </w:tc>
        <w:tc>
          <w:tcPr>
            <w:tcW w:type="dxa" w:w="650"/>
          </w:tcPr>
          <w:p>
            <w:pPr>
              <w:spacing w:after="0"/>
            </w:pPr>
            <w:r>
              <w:rPr>
                <w:color w:val="1D1D1D"/>
                <w:sz w:val="16"/>
              </w:rPr>
              <w:t>Oct</w:t>
            </w:r>
          </w:p>
        </w:tc>
        <w:tc>
          <w:tcPr>
            <w:tcW w:type="dxa" w:w="1191"/>
          </w:tcPr>
          <w:p>
            <w:pPr>
              <w:spacing w:after="0"/>
            </w:pPr>
            <w:r>
              <w:rPr>
                <w:color w:val="1D1D1D"/>
                <w:sz w:val="16"/>
              </w:rPr>
              <w:t>30</w:t>
            </w:r>
          </w:p>
        </w:tc>
        <w:tc>
          <w:tcPr>
            <w:tcW w:type="dxa" w:w="2058"/>
          </w:tcPr>
          <w:p>
            <w:pPr>
              <w:spacing w:after="0"/>
            </w:pPr>
            <w:r>
              <w:rPr>
                <w:color w:val="1D1D1D"/>
                <w:sz w:val="16"/>
              </w:rPr>
              <w:t>58.3</w:t>
            </w:r>
          </w:p>
        </w:tc>
        <w:tc>
          <w:tcPr>
            <w:tcW w:type="dxa" w:w="2058"/>
          </w:tcPr>
          <w:p>
            <w:pPr>
              <w:spacing w:after="0"/>
            </w:pPr>
            <w:r>
              <w:rPr>
                <w:color w:val="1D1D1D"/>
                <w:sz w:val="16"/>
              </w:rPr>
              <w:t>53.8</w:t>
            </w:r>
          </w:p>
        </w:tc>
        <w:tc>
          <w:tcPr>
            <w:tcW w:type="dxa" w:w="1949"/>
          </w:tcPr>
          <w:p>
            <w:pPr>
              <w:spacing w:after="0"/>
            </w:pPr>
            <w:r>
              <w:rPr>
                <w:color w:val="1D1D1D"/>
                <w:sz w:val="16"/>
              </w:rPr>
              <w:t>26</w:t>
            </w:r>
          </w:p>
        </w:tc>
        <w:tc>
          <w:tcPr>
            <w:tcW w:type="dxa" w:w="1083"/>
          </w:tcPr>
          <w:p>
            <w:pPr>
              <w:spacing w:after="0"/>
            </w:pPr>
            <w:r>
              <w:rPr>
                <w:color w:val="1D1D1D"/>
                <w:sz w:val="16"/>
              </w:rPr>
              <w:t>27.6</w:t>
            </w:r>
          </w:p>
        </w:tc>
      </w:tr>
      <w:tr>
        <w:tc>
          <w:tcPr>
            <w:tcW w:type="dxa" w:w="650"/>
            <w:shd w:val="clear" w:color="auto" w:fill="FAF8F2"/>
          </w:tcPr>
          <w:p>
            <w:pPr>
              <w:spacing w:after="0"/>
            </w:pPr>
            <w:r>
              <w:rPr>
                <w:color w:val="1D1D1D"/>
                <w:sz w:val="16"/>
              </w:rPr>
              <w:t>8</w:t>
            </w:r>
          </w:p>
        </w:tc>
        <w:tc>
          <w:tcPr>
            <w:tcW w:type="dxa" w:w="650"/>
            <w:shd w:val="clear" w:color="auto" w:fill="FAF8F2"/>
          </w:tcPr>
          <w:p>
            <w:pPr>
              <w:spacing w:after="0"/>
            </w:pPr>
            <w:r>
              <w:rPr>
                <w:color w:val="1D1D1D"/>
                <w:sz w:val="16"/>
              </w:rPr>
              <w:t>Mar</w:t>
            </w:r>
          </w:p>
        </w:tc>
        <w:tc>
          <w:tcPr>
            <w:tcW w:type="dxa" w:w="1191"/>
            <w:shd w:val="clear" w:color="auto" w:fill="FAF8F2"/>
          </w:tcPr>
          <w:p>
            <w:pPr>
              <w:spacing w:after="0"/>
            </w:pPr>
            <w:r>
              <w:rPr>
                <w:color w:val="1D1D1D"/>
                <w:sz w:val="16"/>
              </w:rPr>
              <w:t>28</w:t>
            </w:r>
          </w:p>
        </w:tc>
        <w:tc>
          <w:tcPr>
            <w:tcW w:type="dxa" w:w="2058"/>
            <w:shd w:val="clear" w:color="auto" w:fill="FAF8F2"/>
          </w:tcPr>
          <w:p>
            <w:pPr>
              <w:spacing w:after="0"/>
            </w:pPr>
            <w:r>
              <w:rPr>
                <w:color w:val="1D1D1D"/>
                <w:sz w:val="16"/>
              </w:rPr>
              <w:t>66.7</w:t>
            </w:r>
          </w:p>
        </w:tc>
        <w:tc>
          <w:tcPr>
            <w:tcW w:type="dxa" w:w="2058"/>
            <w:shd w:val="clear" w:color="auto" w:fill="FAF8F2"/>
          </w:tcPr>
          <w:p>
            <w:pPr>
              <w:spacing w:after="0"/>
            </w:pPr>
            <w:r>
              <w:rPr>
                <w:color w:val="1D1D1D"/>
                <w:sz w:val="16"/>
              </w:rPr>
              <w:t>61.5</w:t>
            </w:r>
          </w:p>
        </w:tc>
        <w:tc>
          <w:tcPr>
            <w:tcW w:type="dxa" w:w="1949"/>
            <w:shd w:val="clear" w:color="auto" w:fill="FAF8F2"/>
          </w:tcPr>
          <w:p>
            <w:pPr>
              <w:spacing w:after="0"/>
            </w:pPr>
            <w:r>
              <w:rPr>
                <w:color w:val="1D1D1D"/>
                <w:sz w:val="16"/>
              </w:rPr>
              <w:t>24</w:t>
            </w:r>
          </w:p>
        </w:tc>
        <w:tc>
          <w:tcPr>
            <w:tcW w:type="dxa" w:w="1083"/>
            <w:shd w:val="clear" w:color="auto" w:fill="FAF8F2"/>
          </w:tcPr>
          <w:p>
            <w:pPr>
              <w:spacing w:after="0"/>
            </w:pPr>
            <w:r>
              <w:rPr>
                <w:color w:val="1D1D1D"/>
                <w:sz w:val="16"/>
              </w:rPr>
              <w:t>25.5</w:t>
            </w:r>
          </w:p>
        </w:tc>
      </w:tr>
      <w:tr>
        <w:tc>
          <w:tcPr>
            <w:tcW w:type="dxa" w:w="650"/>
          </w:tcPr>
          <w:p>
            <w:pPr>
              <w:spacing w:after="0"/>
            </w:pPr>
            <w:r>
              <w:rPr>
                <w:color w:val="1D1D1D"/>
                <w:sz w:val="16"/>
              </w:rPr>
              <w:t>9</w:t>
            </w:r>
          </w:p>
        </w:tc>
        <w:tc>
          <w:tcPr>
            <w:tcW w:type="dxa" w:w="650"/>
          </w:tcPr>
          <w:p>
            <w:pPr>
              <w:spacing w:after="0"/>
            </w:pPr>
            <w:r>
              <w:rPr>
                <w:color w:val="1D1D1D"/>
                <w:sz w:val="16"/>
              </w:rPr>
              <w:t>Aug</w:t>
            </w:r>
          </w:p>
        </w:tc>
        <w:tc>
          <w:tcPr>
            <w:tcW w:type="dxa" w:w="1191"/>
          </w:tcPr>
          <w:p>
            <w:pPr>
              <w:spacing w:after="0"/>
            </w:pPr>
            <w:r>
              <w:rPr>
                <w:color w:val="1D1D1D"/>
                <w:sz w:val="16"/>
              </w:rPr>
              <w:t>28</w:t>
            </w:r>
          </w:p>
        </w:tc>
        <w:tc>
          <w:tcPr>
            <w:tcW w:type="dxa" w:w="2058"/>
          </w:tcPr>
          <w:p>
            <w:pPr>
              <w:spacing w:after="0"/>
            </w:pPr>
            <w:r>
              <w:rPr>
                <w:color w:val="1D1D1D"/>
                <w:sz w:val="16"/>
              </w:rPr>
              <w:t>75.0</w:t>
            </w:r>
          </w:p>
        </w:tc>
        <w:tc>
          <w:tcPr>
            <w:tcW w:type="dxa" w:w="2058"/>
          </w:tcPr>
          <w:p>
            <w:pPr>
              <w:spacing w:after="0"/>
            </w:pPr>
            <w:r>
              <w:rPr>
                <w:color w:val="1D1D1D"/>
                <w:sz w:val="16"/>
              </w:rPr>
              <w:t>69.2</w:t>
            </w:r>
          </w:p>
        </w:tc>
        <w:tc>
          <w:tcPr>
            <w:tcW w:type="dxa" w:w="1949"/>
          </w:tcPr>
          <w:p>
            <w:pPr>
              <w:spacing w:after="0"/>
            </w:pPr>
            <w:r>
              <w:rPr>
                <w:color w:val="1D1D1D"/>
                <w:sz w:val="16"/>
              </w:rPr>
              <w:t>24</w:t>
            </w:r>
          </w:p>
        </w:tc>
        <w:tc>
          <w:tcPr>
            <w:tcW w:type="dxa" w:w="1083"/>
          </w:tcPr>
          <w:p>
            <w:pPr>
              <w:spacing w:after="0"/>
            </w:pPr>
            <w:r>
              <w:rPr>
                <w:color w:val="1D1D1D"/>
                <w:sz w:val="16"/>
              </w:rPr>
              <w:t>25.5</w:t>
            </w:r>
          </w:p>
        </w:tc>
      </w:tr>
      <w:tr>
        <w:tc>
          <w:tcPr>
            <w:tcW w:type="dxa" w:w="650"/>
            <w:shd w:val="clear" w:color="auto" w:fill="FAF8F2"/>
          </w:tcPr>
          <w:p>
            <w:pPr>
              <w:spacing w:after="0"/>
            </w:pPr>
            <w:r>
              <w:rPr>
                <w:color w:val="1D1D1D"/>
                <w:sz w:val="16"/>
              </w:rPr>
              <w:t>10</w:t>
            </w:r>
          </w:p>
        </w:tc>
        <w:tc>
          <w:tcPr>
            <w:tcW w:type="dxa" w:w="650"/>
            <w:shd w:val="clear" w:color="auto" w:fill="FAF8F2"/>
          </w:tcPr>
          <w:p>
            <w:pPr>
              <w:spacing w:after="0"/>
            </w:pPr>
            <w:r>
              <w:rPr>
                <w:color w:val="1D1D1D"/>
                <w:sz w:val="16"/>
              </w:rPr>
              <w:t>Jan</w:t>
            </w:r>
          </w:p>
        </w:tc>
        <w:tc>
          <w:tcPr>
            <w:tcW w:type="dxa" w:w="1191"/>
            <w:shd w:val="clear" w:color="auto" w:fill="FAF8F2"/>
          </w:tcPr>
          <w:p>
            <w:pPr>
              <w:spacing w:after="0"/>
            </w:pPr>
            <w:r>
              <w:rPr>
                <w:color w:val="1D1D1D"/>
                <w:sz w:val="16"/>
              </w:rPr>
              <w:t>24</w:t>
            </w:r>
          </w:p>
        </w:tc>
        <w:tc>
          <w:tcPr>
            <w:tcW w:type="dxa" w:w="2058"/>
            <w:shd w:val="clear" w:color="auto" w:fill="FAF8F2"/>
          </w:tcPr>
          <w:p>
            <w:pPr>
              <w:spacing w:after="0"/>
            </w:pPr>
            <w:r>
              <w:rPr>
                <w:color w:val="1D1D1D"/>
                <w:sz w:val="16"/>
              </w:rPr>
              <w:t>83.3</w:t>
            </w:r>
          </w:p>
        </w:tc>
        <w:tc>
          <w:tcPr>
            <w:tcW w:type="dxa" w:w="2058"/>
            <w:shd w:val="clear" w:color="auto" w:fill="FAF8F2"/>
          </w:tcPr>
          <w:p>
            <w:pPr>
              <w:spacing w:after="0"/>
            </w:pPr>
            <w:r>
              <w:rPr>
                <w:color w:val="1D1D1D"/>
                <w:sz w:val="16"/>
              </w:rPr>
              <w:t>76.9</w:t>
            </w:r>
          </w:p>
        </w:tc>
        <w:tc>
          <w:tcPr>
            <w:tcW w:type="dxa" w:w="1949"/>
            <w:shd w:val="clear" w:color="auto" w:fill="FAF8F2"/>
          </w:tcPr>
          <w:p>
            <w:pPr>
              <w:spacing w:after="0"/>
            </w:pPr>
            <w:r>
              <w:rPr>
                <w:color w:val="1D1D1D"/>
                <w:sz w:val="16"/>
              </w:rPr>
              <w:t>20</w:t>
            </w:r>
          </w:p>
        </w:tc>
        <w:tc>
          <w:tcPr>
            <w:tcW w:type="dxa" w:w="1083"/>
            <w:shd w:val="clear" w:color="auto" w:fill="FAF8F2"/>
          </w:tcPr>
          <w:p>
            <w:pPr>
              <w:spacing w:after="0"/>
            </w:pPr>
            <w:r>
              <w:rPr>
                <w:color w:val="1D1D1D"/>
                <w:sz w:val="16"/>
              </w:rPr>
              <w:t>21.2</w:t>
            </w:r>
          </w:p>
        </w:tc>
      </w:tr>
      <w:tr>
        <w:tc>
          <w:tcPr>
            <w:tcW w:type="dxa" w:w="650"/>
          </w:tcPr>
          <w:p>
            <w:pPr>
              <w:spacing w:after="0"/>
            </w:pPr>
            <w:r>
              <w:rPr>
                <w:color w:val="1D1D1D"/>
                <w:sz w:val="16"/>
              </w:rPr>
              <w:t>11</w:t>
            </w:r>
          </w:p>
        </w:tc>
        <w:tc>
          <w:tcPr>
            <w:tcW w:type="dxa" w:w="650"/>
          </w:tcPr>
          <w:p>
            <w:pPr>
              <w:spacing w:after="0"/>
            </w:pPr>
            <w:r>
              <w:rPr>
                <w:color w:val="1D1D1D"/>
                <w:sz w:val="16"/>
              </w:rPr>
              <w:t>Sep</w:t>
            </w:r>
          </w:p>
        </w:tc>
        <w:tc>
          <w:tcPr>
            <w:tcW w:type="dxa" w:w="1191"/>
          </w:tcPr>
          <w:p>
            <w:pPr>
              <w:spacing w:after="0"/>
            </w:pPr>
            <w:r>
              <w:rPr>
                <w:color w:val="1D1D1D"/>
                <w:sz w:val="16"/>
              </w:rPr>
              <w:t>22</w:t>
            </w:r>
          </w:p>
        </w:tc>
        <w:tc>
          <w:tcPr>
            <w:tcW w:type="dxa" w:w="2058"/>
          </w:tcPr>
          <w:p>
            <w:pPr>
              <w:spacing w:after="0"/>
            </w:pPr>
            <w:r>
              <w:rPr>
                <w:color w:val="1D1D1D"/>
                <w:sz w:val="16"/>
              </w:rPr>
              <w:t>91.7</w:t>
            </w:r>
          </w:p>
        </w:tc>
        <w:tc>
          <w:tcPr>
            <w:tcW w:type="dxa" w:w="2058"/>
          </w:tcPr>
          <w:p>
            <w:pPr>
              <w:spacing w:after="0"/>
            </w:pPr>
            <w:r>
              <w:rPr>
                <w:color w:val="1D1D1D"/>
                <w:sz w:val="16"/>
              </w:rPr>
              <w:t>84.6</w:t>
            </w:r>
          </w:p>
        </w:tc>
        <w:tc>
          <w:tcPr>
            <w:tcW w:type="dxa" w:w="1949"/>
          </w:tcPr>
          <w:p>
            <w:pPr>
              <w:spacing w:after="0"/>
            </w:pPr>
            <w:r>
              <w:rPr>
                <w:color w:val="1D1D1D"/>
                <w:sz w:val="16"/>
              </w:rPr>
              <w:t>18</w:t>
            </w:r>
          </w:p>
        </w:tc>
        <w:tc>
          <w:tcPr>
            <w:tcW w:type="dxa" w:w="1083"/>
          </w:tcPr>
          <w:p>
            <w:pPr>
              <w:spacing w:after="0"/>
            </w:pPr>
            <w:r>
              <w:rPr>
                <w:color w:val="1D1D1D"/>
                <w:sz w:val="16"/>
              </w:rPr>
              <w:t>19.1</w:t>
            </w:r>
          </w:p>
        </w:tc>
      </w:tr>
      <w:tr>
        <w:tc>
          <w:tcPr>
            <w:tcW w:type="dxa" w:w="650"/>
            <w:shd w:val="clear" w:color="auto" w:fill="FAF8F2"/>
          </w:tcPr>
          <w:p>
            <w:pPr>
              <w:spacing w:after="0"/>
            </w:pPr>
            <w:r>
              <w:rPr>
                <w:color w:val="1D1D1D"/>
                <w:sz w:val="16"/>
              </w:rPr>
              <w:t>12</w:t>
            </w:r>
          </w:p>
        </w:tc>
        <w:tc>
          <w:tcPr>
            <w:tcW w:type="dxa" w:w="650"/>
            <w:shd w:val="clear" w:color="auto" w:fill="FAF8F2"/>
          </w:tcPr>
          <w:p>
            <w:pPr>
              <w:spacing w:after="0"/>
            </w:pPr>
            <w:r>
              <w:rPr>
                <w:color w:val="1D1D1D"/>
                <w:sz w:val="16"/>
              </w:rPr>
              <w:t>Feb</w:t>
            </w:r>
          </w:p>
        </w:tc>
        <w:tc>
          <w:tcPr>
            <w:tcW w:type="dxa" w:w="1191"/>
            <w:shd w:val="clear" w:color="auto" w:fill="FAF8F2"/>
          </w:tcPr>
          <w:p>
            <w:pPr>
              <w:spacing w:after="0"/>
            </w:pPr>
            <w:r>
              <w:rPr>
                <w:color w:val="1D1D1D"/>
                <w:sz w:val="16"/>
              </w:rPr>
              <w:t>20</w:t>
            </w:r>
          </w:p>
        </w:tc>
        <w:tc>
          <w:tcPr>
            <w:tcW w:type="dxa" w:w="2058"/>
            <w:shd w:val="clear" w:color="auto" w:fill="FAF8F2"/>
          </w:tcPr>
          <w:p>
            <w:pPr>
              <w:spacing w:after="0"/>
            </w:pPr>
            <w:r>
              <w:rPr>
                <w:color w:val="1D1D1D"/>
                <w:sz w:val="16"/>
              </w:rPr>
              <w:t>100.0</w:t>
            </w:r>
          </w:p>
        </w:tc>
        <w:tc>
          <w:tcPr>
            <w:tcW w:type="dxa" w:w="2058"/>
            <w:shd w:val="clear" w:color="auto" w:fill="FAF8F2"/>
          </w:tcPr>
          <w:p>
            <w:pPr>
              <w:spacing w:after="0"/>
            </w:pPr>
            <w:r>
              <w:rPr>
                <w:color w:val="1D1D1D"/>
                <w:sz w:val="16"/>
              </w:rPr>
              <w:t>92.3</w:t>
            </w:r>
          </w:p>
        </w:tc>
        <w:tc>
          <w:tcPr>
            <w:tcW w:type="dxa" w:w="1949"/>
            <w:shd w:val="clear" w:color="auto" w:fill="FAF8F2"/>
          </w:tcPr>
          <w:p>
            <w:pPr>
              <w:spacing w:after="0"/>
            </w:pPr>
            <w:r>
              <w:rPr>
                <w:color w:val="1D1D1D"/>
                <w:sz w:val="16"/>
              </w:rPr>
              <w:t>16</w:t>
            </w:r>
          </w:p>
        </w:tc>
        <w:tc>
          <w:tcPr>
            <w:tcW w:type="dxa" w:w="1083"/>
            <w:shd w:val="clear" w:color="auto" w:fill="FAF8F2"/>
          </w:tcPr>
          <w:p>
            <w:pPr>
              <w:spacing w:after="0"/>
            </w:pPr>
            <w:r>
              <w:rPr>
                <w:color w:val="1D1D1D"/>
                <w:sz w:val="16"/>
              </w:rPr>
              <w:t>17.0</w:t>
            </w:r>
          </w:p>
        </w:tc>
      </w:tr>
    </w:tbl>
    <w:p>
      <w:pPr>
        <w:spacing w:after="40"/>
      </w:pPr>
    </w:p>
    <w:p>
      <w:pPr>
        <w:jc w:val="both"/>
      </w:pPr>
      <w:r>
        <w:rPr>
          <w:i/>
        </w:rPr>
        <w:t>Note: Mean flow 37.8 m3/s; mean usable flow 33.1 m3/s; median about 33 m3/s. Twelve monthly means cannot resolve Q&lt;sub&gt;95&lt;/sub&gt; or flood peaks. At 57 m3/s the hydraulic calculation gives 60.5 MW, slightly above the 60 MW rating; capping May at 60 MW would remove about 0.3 GWh.</w:t>
      </w:r>
    </w:p>
    <w:p>
      <w:pPr>
        <w:jc w:val="both"/>
      </w:pPr>
      <w:r>
        <w:rPr/>
        <w:t>First, full load needs 61 m3/s in the river (57 + 4), which only May exceeds, so on monthly data the plant runs at full output about one month in twelve; daily data would show more full-load days. Second, the level of use f</w:t>
      </w:r>
      <w:r>
        <w:rPr/>
        <w:t>a</w:t>
      </w:r>
      <w:r>
        <w:rPr/>
        <w:t xml:space="preserve"> = Q</w:t>
      </w:r>
      <w:r>
        <w:rPr/>
        <w:t>d</w:t>
      </w:r>
      <w:r>
        <w:rPr/>
        <w:t>/Q</w:t>
      </w:r>
      <w:r>
        <w:rPr/>
        <w:t>av</w:t>
      </w:r>
      <w:r>
        <w:rPr/>
        <w:t xml:space="preserve"> = 57/37.8 = 1.51, at the top of the 1.0 to 1.5 range the IFC guide gives for run-of-river plants, whose first-estimate rule is a design flow available 100 to 120 days a year, about 30% of the time [DE:S1]. Third, ESHA notes that optimisation normally gives a design flow "significantly larger than" mean flow less reserved flow [LIT:S6], here 33.8 m3/s. A 57 m3/s design flow is defensible only if the optimisation is shown: IRR, NPV, benefit/cost or LCOE computed across a range of design flows, with stepwise cost changes as unit and penstock sizes change [DE:S1; LIT:S6]. It should run on daily flows: a monthly FDC rewards oversizing.</w:t>
      </w:r>
    </w:p>
    <w:p>
      <w:pPr>
        <w:jc w:val="both"/>
      </w:pPr>
      <w:r>
        <w:rPr/>
        <w:t>Below a technical minimum flow the turbine cannot run [DE:S1]. The IFC guide gives about 40% of design flow for Francis, 20 to 40% for Kaplan and 10 to 20% for Pelton; ESHA gives Francis 50%, Kaplan 15% and Pelton 10% [DE:S1; LIT:S6]. Two units instead of one lower the plant minimum [DE:S1]. The case does not define the units. As an illustrative assumption: with one Francis unit at a 40% minimum (22.8 m3/s), January, February and September fall below it and the monthly model loses about 14% of energy; with two equal units the minimum falls to 11.4 m3/s and no month is lost.</w:t>
      </w:r>
    </w:p>
    <w:p>
      <w:pPr>
        <w:pStyle w:val="Heading3"/>
      </w:pPr>
      <w:r>
        <w:t>N.5 Environmental flow</w:t>
      </w:r>
    </w:p>
    <w:p>
      <w:pPr>
        <w:jc w:val="both"/>
      </w:pPr>
      <w:r>
        <w:rPr/>
        <w:t>The environmental (residual, reserved or compensation) flow is the water a licence requires to remain in the diverted reach. Too little damages aquatic life; too much cuts output, especially in low-flow periods [LIT:S6]. The IFC guide treats minimum flow as ecological needs plus downstream uses such as irrigation, water supply and fisheries, set case by case. Its sequence is: understand the flow regime, ecology and downstream uses; consult communities whose ecosystem services are at stake; define the values to preserve; then select "the most appropriate method" and monitor the release [DE:S1]. Ecologically, the ideal release would mimic the natural regime [DE:S1].</w:t>
      </w:r>
    </w:p>
    <w:p>
      <w:pPr>
        <w:jc w:val="both"/>
      </w:pPr>
      <w:r>
        <w:rPr/>
        <w:t>Neither guide prescribes a method or percentage. Practice ranges from hydrological indices (a share of mean flow or a low-flow percentile) through habitat methods to expert-panel seasonal regimes; a constant release is the simplest and most exposed to revision.</w:t>
      </w:r>
    </w:p>
    <w:p>
      <w:pPr>
        <w:jc w:val="both"/>
      </w:pPr>
      <w:r>
        <w:rPr/>
        <w:t>Kasiri's 4 m3/s is 10.6% of mean flow and 20% of the driest monthly mean. Each extra 1 m3/s costs about 1.06 MW whenever the plant is below full load, eleven months in twelve on Table N.1, or roughly 8 GWh a year (1.06 MW × 8,760 h × 11/12 × 0.95). The IFC checklist places minimum flow in Phase 3 due diligence because flow "is the key determinant of annual energy generation" [DE:S1]. The committee should know whether the licence fixes the release for the concession term.</w:t>
      </w:r>
    </w:p>
    <w:p>
      <w:pPr>
        <w:pStyle w:val="Heading3"/>
      </w:pPr>
      <w:r>
        <w:t>N.6 Energy calculation, step by step</w:t>
      </w:r>
    </w:p>
    <w:p>
      <w:pPr>
        <w:jc w:val="both"/>
      </w:pPr>
      <w:r>
        <w:rPr/>
        <w:t>Power at the transformer is</w:t>
      </w:r>
    </w:p>
    <w:p>
      <w:pPr>
        <w:ind w:left="567"/>
      </w:pPr>
      <w:r>
        <w:rPr>
          <w:color w:val="0B3020"/>
          <w:sz w:val="20"/>
        </w:rPr>
        <w:t>P = η</w:t>
      </w:r>
      <w:r>
        <w:rPr>
          <w:color w:val="0B3020"/>
          <w:sz w:val="20"/>
        </w:rPr>
        <w:t>t</w:t>
      </w:r>
      <w:r>
        <w:rPr>
          <w:color w:val="0B3020"/>
          <w:sz w:val="20"/>
        </w:rPr>
        <w:t xml:space="preserve"> × η</w:t>
      </w:r>
      <w:r>
        <w:rPr>
          <w:color w:val="0B3020"/>
          <w:sz w:val="20"/>
        </w:rPr>
        <w:t>g</w:t>
      </w:r>
      <w:r>
        <w:rPr>
          <w:color w:val="0B3020"/>
          <w:sz w:val="20"/>
        </w:rPr>
        <w:t xml:space="preserve"> × η</w:t>
      </w:r>
      <w:r>
        <w:rPr>
          <w:color w:val="0B3020"/>
          <w:sz w:val="20"/>
        </w:rPr>
        <w:t>tr</w:t>
      </w:r>
      <w:r>
        <w:rPr>
          <w:color w:val="0B3020"/>
          <w:sz w:val="20"/>
        </w:rPr>
        <w:t xml:space="preserve"> × ρ × g × Q × H</w:t>
      </w:r>
      <w:r>
        <w:rPr>
          <w:color w:val="0B3020"/>
          <w:sz w:val="20"/>
        </w:rPr>
        <w:t>n</w:t>
      </w:r>
      <w:r>
        <w:rPr>
          <w:color w:val="0B3020"/>
          <w:sz w:val="20"/>
        </w:rPr>
        <w:t xml:space="preserve"> / 10</w:t>
      </w:r>
      <w:r>
        <w:rPr>
          <w:color w:val="0B3020"/>
          <w:sz w:val="20"/>
          <w:vertAlign w:val="superscript"/>
        </w:rPr>
        <w:t>6</w:t>
      </w:r>
      <w:r>
        <w:rPr>
          <w:color w:val="0B3020"/>
          <w:sz w:val="20"/>
        </w:rPr>
        <w:t xml:space="preserve"> (MW)</w:t>
      </w:r>
    </w:p>
    <w:p>
      <w:pPr>
        <w:jc w:val="both"/>
      </w:pPr>
      <w:r>
        <w:rPr/>
        <w:t>with ρ = 1,000 kg/m3 and g = 9.81 m/s2 [DE:S1]. At a typical 87% overall efficiency this reduces to P (kW) = 8.5 × Q × H [DE:S1]. Generator efficiencies are 90 to 98% and transformer efficiencies 98 to 99.5% [DE:S1].</w:t>
      </w:r>
    </w:p>
    <w:p>
      <w:pPr>
        <w:jc w:val="both"/>
      </w:pPr>
      <w:r>
        <w:rPr>
          <w:b/>
        </w:rPr>
        <w:t>Gross to net head.</w:t>
      </w:r>
      <w:r>
        <w:rPr/>
        <w:t xml:space="preserve"> Gross head is headwater to tailwater for Francis and Kaplan units, and headwater to runner centre for Pelton units [DE:S1]. Net head deducts local losses (trash rack, entrance, bends, valves) and friction losses, which vary with the square of velocity, so net head is lowest at maximum flow; tailwater also rises with discharge [DE:S1; LIT:S6]. ESHA's example (3 m3/s, 85 m gross head) finds 1.52 m of losses and a 1.8% power loss [LIT:S6]. In medium and high-head schemes head can be treated as roughly constant [LIT:S6], which supports Kasiri's single 120 m net head as a first approximation.</w:t>
      </w:r>
    </w:p>
    <w:p>
      <w:pPr>
        <w:jc w:val="both"/>
      </w:pPr>
      <w:r>
        <w:rPr>
          <w:b/>
        </w:rPr>
        <w:t>Energy and deductions.</w:t>
      </w:r>
      <w:r>
        <w:rPr/>
        <w:t xml:space="preserve"> Energy is the sum of power times hours over daily steps or FDC strips, stopping where flow falls below the larger of the minimum turbine flow and the reserved flow [DE:S1; LIT:S6]. Then deduct:</w:t>
      </w:r>
    </w:p>
    <w:p>
      <w:pPr>
        <w:spacing w:after="60"/>
        <w:ind w:left="397" w:hanging="397"/>
      </w:pPr>
      <w:r>
        <w:rPr/>
        <w:t>•</w:t>
        <w:tab/>
      </w:r>
      <w:r>
        <w:rPr>
          <w:i/>
        </w:rPr>
        <w:t>availability</w:t>
      </w:r>
      <w:r>
        <w:rPr/>
        <w:t>: about 95% in year one (11 days scheduled maintenance, 7 days forced outage), rising to 97 to 98% after three years [DE:S1];</w:t>
      </w:r>
    </w:p>
    <w:p>
      <w:pPr>
        <w:spacing w:after="60"/>
        <w:ind w:left="397" w:hanging="397"/>
      </w:pPr>
      <w:r>
        <w:rPr/>
        <w:t>•</w:t>
        <w:tab/>
      </w:r>
      <w:r>
        <w:rPr>
          <w:i/>
        </w:rPr>
        <w:t>auxiliary demand</w:t>
      </w:r>
      <w:r>
        <w:rPr/>
        <w:t>: 0.5 to 3.0% of generation [DE:S1];</w:t>
      </w:r>
    </w:p>
    <w:p>
      <w:pPr>
        <w:spacing w:after="60"/>
        <w:ind w:left="397" w:hanging="397"/>
      </w:pPr>
      <w:r>
        <w:rPr/>
        <w:t>•</w:t>
        <w:tab/>
      </w:r>
      <w:r>
        <w:rPr>
          <w:i/>
        </w:rPr>
        <w:t>transmission losses</w:t>
      </w:r>
      <w:r>
        <w:rPr/>
        <w:t>, if the metering point is distant from the plant [DE:S1].</w:t>
      </w:r>
    </w:p>
    <w:p>
      <w:pPr>
        <w:ind w:left="567"/>
      </w:pPr>
      <w:r>
        <w:rPr>
          <w:color w:val="0B3020"/>
          <w:sz w:val="20"/>
        </w:rPr>
        <w:t>E</w:t>
      </w:r>
      <w:r>
        <w:rPr>
          <w:color w:val="0B3020"/>
          <w:sz w:val="20"/>
        </w:rPr>
        <w:t>net</w:t>
      </w:r>
      <w:r>
        <w:rPr>
          <w:color w:val="0B3020"/>
          <w:sz w:val="20"/>
        </w:rPr>
        <w:t xml:space="preserve"> = Σ</w:t>
      </w:r>
      <w:r>
        <w:rPr>
          <w:color w:val="0B3020"/>
          <w:sz w:val="20"/>
        </w:rPr>
        <w:t>i</w:t>
      </w:r>
      <w:r>
        <w:rPr>
          <w:color w:val="0B3020"/>
          <w:sz w:val="20"/>
        </w:rPr>
        <w:t xml:space="preserve"> (ρ g Q</w:t>
      </w:r>
      <w:r>
        <w:rPr>
          <w:color w:val="0B3020"/>
          <w:sz w:val="20"/>
        </w:rPr>
        <w:t>u,i</w:t>
      </w:r>
      <w:r>
        <w:rPr>
          <w:color w:val="0B3020"/>
          <w:sz w:val="20"/>
        </w:rPr>
        <w:t xml:space="preserve"> H</w:t>
      </w:r>
      <w:r>
        <w:rPr>
          <w:color w:val="0B3020"/>
          <w:sz w:val="20"/>
        </w:rPr>
        <w:t>n,i</w:t>
      </w:r>
      <w:r>
        <w:rPr>
          <w:color w:val="0B3020"/>
          <w:sz w:val="20"/>
        </w:rPr>
        <w:t xml:space="preserve"> η</w:t>
      </w:r>
      <w:r>
        <w:rPr>
          <w:color w:val="0B3020"/>
          <w:sz w:val="20"/>
        </w:rPr>
        <w:t>i</w:t>
      </w:r>
      <w:r>
        <w:rPr>
          <w:color w:val="0B3020"/>
          <w:sz w:val="20"/>
        </w:rPr>
        <w:t xml:space="preserve"> t</w:t>
      </w:r>
      <w:r>
        <w:rPr>
          <w:color w:val="0B3020"/>
          <w:sz w:val="20"/>
        </w:rPr>
        <w:t>i</w:t>
      </w:r>
      <w:r>
        <w:rPr>
          <w:color w:val="0B3020"/>
          <w:sz w:val="20"/>
        </w:rPr>
        <w:t>) × A × (1 − a</w:t>
      </w:r>
      <w:r>
        <w:rPr>
          <w:color w:val="0B3020"/>
          <w:sz w:val="20"/>
        </w:rPr>
        <w:t>aux</w:t>
      </w:r>
      <w:r>
        <w:rPr>
          <w:color w:val="0B3020"/>
          <w:sz w:val="20"/>
        </w:rPr>
        <w:t>) × (1 − l</w:t>
      </w:r>
      <w:r>
        <w:rPr>
          <w:color w:val="0B3020"/>
          <w:sz w:val="20"/>
        </w:rPr>
        <w:t>tx</w:t>
      </w:r>
      <w:r>
        <w:rPr>
          <w:color w:val="0B3020"/>
          <w:sz w:val="20"/>
        </w:rPr>
        <w:t>)</w:t>
      </w:r>
    </w:p>
    <w:p>
      <w:pPr>
        <w:keepNext/>
      </w:pPr>
      <w:r>
        <w:rPr>
          <w:b/>
          <w:color w:val="0B3020"/>
          <w:sz w:val="18"/>
        </w:rPr>
        <w:t>Table N.2. Kasiri energy check from case values</w:t>
      </w:r>
    </w:p>
    <w:tbl>
      <w:tblPr>
        <w:tblStyle w:val="TableGrid"/>
        <w:tblW w:type="auto" w:w="0"/>
        <w:jc w:val="center"/>
        <w:tblLook w:firstColumn="1" w:firstRow="1" w:lastColumn="0" w:lastRow="0" w:noHBand="0" w:noVBand="1" w:val="04A0"/>
      </w:tblPr>
      <w:tblGrid>
        <w:gridCol w:w="3213"/>
        <w:gridCol w:w="3213"/>
        <w:gridCol w:w="3213"/>
      </w:tblGrid>
      <w:tr>
        <w:tc>
          <w:tcPr>
            <w:tcW w:type="dxa" w:w="2940"/>
            <w:shd w:val="clear" w:color="auto" w:fill="0B3020"/>
          </w:tcPr>
          <w:p>
            <w:pPr>
              <w:spacing w:after="0"/>
            </w:pPr>
            <w:r>
              <w:rPr>
                <w:b/>
                <w:color w:val="FFFFFF"/>
                <w:sz w:val="16"/>
              </w:rPr>
              <w:t>Step</w:t>
            </w:r>
          </w:p>
        </w:tc>
        <w:tc>
          <w:tcPr>
            <w:tcW w:type="dxa" w:w="5227"/>
            <w:shd w:val="clear" w:color="auto" w:fill="0B3020"/>
          </w:tcPr>
          <w:p>
            <w:pPr>
              <w:spacing w:after="0"/>
            </w:pPr>
            <w:r>
              <w:rPr>
                <w:b/>
                <w:color w:val="FFFFFF"/>
                <w:sz w:val="16"/>
              </w:rPr>
              <w:t>Calculation</w:t>
            </w:r>
          </w:p>
        </w:tc>
        <w:tc>
          <w:tcPr>
            <w:tcW w:type="dxa" w:w="1470"/>
            <w:shd w:val="clear" w:color="auto" w:fill="0B3020"/>
          </w:tcPr>
          <w:p>
            <w:pPr>
              <w:spacing w:after="0"/>
            </w:pPr>
            <w:r>
              <w:rPr>
                <w:b/>
                <w:color w:val="FFFFFF"/>
                <w:sz w:val="16"/>
              </w:rPr>
              <w:t>Result</w:t>
            </w:r>
          </w:p>
        </w:tc>
      </w:tr>
      <w:tr>
        <w:tc>
          <w:tcPr>
            <w:tcW w:type="dxa" w:w="2940"/>
          </w:tcPr>
          <w:p>
            <w:pPr>
              <w:spacing w:after="0"/>
            </w:pPr>
            <w:r>
              <w:rPr>
                <w:color w:val="1D1D1D"/>
                <w:sz w:val="16"/>
              </w:rPr>
              <w:t>Overall efficiency</w:t>
            </w:r>
          </w:p>
        </w:tc>
        <w:tc>
          <w:tcPr>
            <w:tcW w:type="dxa" w:w="5227"/>
          </w:tcPr>
          <w:p>
            <w:pPr>
              <w:spacing w:after="0"/>
            </w:pPr>
            <w:r>
              <w:rPr>
                <w:color w:val="1D1D1D"/>
                <w:sz w:val="16"/>
              </w:rPr>
              <w:t>0.92 × 0.98</w:t>
            </w:r>
          </w:p>
        </w:tc>
        <w:tc>
          <w:tcPr>
            <w:tcW w:type="dxa" w:w="1470"/>
          </w:tcPr>
          <w:p>
            <w:pPr>
              <w:spacing w:after="0"/>
            </w:pPr>
            <w:r>
              <w:rPr>
                <w:color w:val="1D1D1D"/>
                <w:sz w:val="16"/>
              </w:rPr>
              <w:t>0.9016</w:t>
            </w:r>
          </w:p>
        </w:tc>
      </w:tr>
      <w:tr>
        <w:tc>
          <w:tcPr>
            <w:tcW w:type="dxa" w:w="2940"/>
            <w:shd w:val="clear" w:color="auto" w:fill="FAF8F2"/>
          </w:tcPr>
          <w:p>
            <w:pPr>
              <w:spacing w:after="0"/>
            </w:pPr>
            <w:r>
              <w:rPr>
                <w:color w:val="1D1D1D"/>
                <w:sz w:val="16"/>
              </w:rPr>
              <w:t>Rated power</w:t>
            </w:r>
          </w:p>
        </w:tc>
        <w:tc>
          <w:tcPr>
            <w:tcW w:type="dxa" w:w="5227"/>
            <w:shd w:val="clear" w:color="auto" w:fill="FAF8F2"/>
          </w:tcPr>
          <w:p>
            <w:pPr>
              <w:spacing w:after="0"/>
            </w:pPr>
            <w:r>
              <w:rPr>
                <w:color w:val="1D1D1D"/>
                <w:sz w:val="16"/>
              </w:rPr>
              <w:t>9.81 × 57 × 120 × 0.9016 / 1,000</w:t>
            </w:r>
          </w:p>
        </w:tc>
        <w:tc>
          <w:tcPr>
            <w:tcW w:type="dxa" w:w="1470"/>
            <w:shd w:val="clear" w:color="auto" w:fill="FAF8F2"/>
          </w:tcPr>
          <w:p>
            <w:pPr>
              <w:spacing w:after="0"/>
            </w:pPr>
            <w:r>
              <w:rPr>
                <w:color w:val="1D1D1D"/>
                <w:sz w:val="16"/>
              </w:rPr>
              <w:t>60.5 MW</w:t>
            </w:r>
          </w:p>
        </w:tc>
      </w:tr>
      <w:tr>
        <w:tc>
          <w:tcPr>
            <w:tcW w:type="dxa" w:w="2940"/>
          </w:tcPr>
          <w:p>
            <w:pPr>
              <w:spacing w:after="0"/>
            </w:pPr>
            <w:r>
              <w:rPr>
                <w:color w:val="1D1D1D"/>
                <w:sz w:val="16"/>
              </w:rPr>
              <w:t>Power per m3/s</w:t>
            </w:r>
          </w:p>
        </w:tc>
        <w:tc>
          <w:tcPr>
            <w:tcW w:type="dxa" w:w="5227"/>
          </w:tcPr>
          <w:p>
            <w:pPr>
              <w:spacing w:after="0"/>
            </w:pPr>
            <w:r>
              <w:rPr>
                <w:color w:val="1D1D1D"/>
                <w:sz w:val="16"/>
              </w:rPr>
              <w:t>9.81 × 120 × 0.9016 / 1,000</w:t>
            </w:r>
          </w:p>
        </w:tc>
        <w:tc>
          <w:tcPr>
            <w:tcW w:type="dxa" w:w="1470"/>
          </w:tcPr>
          <w:p>
            <w:pPr>
              <w:spacing w:after="0"/>
            </w:pPr>
            <w:r>
              <w:rPr>
                <w:color w:val="1D1D1D"/>
                <w:sz w:val="16"/>
              </w:rPr>
              <w:t>1.061 MW</w:t>
            </w:r>
          </w:p>
        </w:tc>
      </w:tr>
      <w:tr>
        <w:tc>
          <w:tcPr>
            <w:tcW w:type="dxa" w:w="2940"/>
            <w:shd w:val="clear" w:color="auto" w:fill="FAF8F2"/>
          </w:tcPr>
          <w:p>
            <w:pPr>
              <w:spacing w:after="0"/>
            </w:pPr>
            <w:r>
              <w:rPr>
                <w:color w:val="1D1D1D"/>
                <w:sz w:val="16"/>
              </w:rPr>
              <w:t>Mean usable flow</w:t>
            </w:r>
          </w:p>
        </w:tc>
        <w:tc>
          <w:tcPr>
            <w:tcW w:type="dxa" w:w="5227"/>
            <w:shd w:val="clear" w:color="auto" w:fill="FAF8F2"/>
          </w:tcPr>
          <w:p>
            <w:pPr>
              <w:spacing w:after="0"/>
            </w:pPr>
            <w:r>
              <w:rPr>
                <w:color w:val="1D1D1D"/>
                <w:sz w:val="16"/>
              </w:rPr>
              <w:t>Table N.1</w:t>
            </w:r>
          </w:p>
        </w:tc>
        <w:tc>
          <w:tcPr>
            <w:tcW w:type="dxa" w:w="1470"/>
            <w:shd w:val="clear" w:color="auto" w:fill="FAF8F2"/>
          </w:tcPr>
          <w:p>
            <w:pPr>
              <w:spacing w:after="0"/>
            </w:pPr>
            <w:r>
              <w:rPr>
                <w:color w:val="1D1D1D"/>
                <w:sz w:val="16"/>
              </w:rPr>
              <w:t>33.1 m3/s</w:t>
            </w:r>
          </w:p>
        </w:tc>
      </w:tr>
      <w:tr>
        <w:tc>
          <w:tcPr>
            <w:tcW w:type="dxa" w:w="2940"/>
          </w:tcPr>
          <w:p>
            <w:pPr>
              <w:spacing w:after="0"/>
            </w:pPr>
            <w:r>
              <w:rPr>
                <w:color w:val="1D1D1D"/>
                <w:sz w:val="16"/>
              </w:rPr>
              <w:t>Mean power</w:t>
            </w:r>
          </w:p>
        </w:tc>
        <w:tc>
          <w:tcPr>
            <w:tcW w:type="dxa" w:w="5227"/>
          </w:tcPr>
          <w:p>
            <w:pPr>
              <w:spacing w:after="0"/>
            </w:pPr>
            <w:r>
              <w:rPr>
                <w:color w:val="1D1D1D"/>
                <w:sz w:val="16"/>
              </w:rPr>
              <w:t>1.061 × 33.1</w:t>
            </w:r>
          </w:p>
        </w:tc>
        <w:tc>
          <w:tcPr>
            <w:tcW w:type="dxa" w:w="1470"/>
          </w:tcPr>
          <w:p>
            <w:pPr>
              <w:spacing w:after="0"/>
            </w:pPr>
            <w:r>
              <w:rPr>
                <w:color w:val="1D1D1D"/>
                <w:sz w:val="16"/>
              </w:rPr>
              <w:t>35.1 MW</w:t>
            </w:r>
          </w:p>
        </w:tc>
      </w:tr>
      <w:tr>
        <w:tc>
          <w:tcPr>
            <w:tcW w:type="dxa" w:w="2940"/>
            <w:shd w:val="clear" w:color="auto" w:fill="FAF8F2"/>
          </w:tcPr>
          <w:p>
            <w:pPr>
              <w:spacing w:after="0"/>
            </w:pPr>
            <w:r>
              <w:rPr>
                <w:color w:val="1D1D1D"/>
                <w:sz w:val="16"/>
              </w:rPr>
              <w:t>Gross energy</w:t>
            </w:r>
          </w:p>
        </w:tc>
        <w:tc>
          <w:tcPr>
            <w:tcW w:type="dxa" w:w="5227"/>
            <w:shd w:val="clear" w:color="auto" w:fill="FAF8F2"/>
          </w:tcPr>
          <w:p>
            <w:pPr>
              <w:spacing w:after="0"/>
            </w:pPr>
            <w:r>
              <w:rPr>
                <w:color w:val="1D1D1D"/>
                <w:sz w:val="16"/>
              </w:rPr>
              <w:t>35.1 × 8,760 h</w:t>
            </w:r>
          </w:p>
        </w:tc>
        <w:tc>
          <w:tcPr>
            <w:tcW w:type="dxa" w:w="1470"/>
            <w:shd w:val="clear" w:color="auto" w:fill="FAF8F2"/>
          </w:tcPr>
          <w:p>
            <w:pPr>
              <w:spacing w:after="0"/>
            </w:pPr>
            <w:r>
              <w:rPr>
                <w:color w:val="1D1D1D"/>
                <w:sz w:val="16"/>
              </w:rPr>
              <w:t>307.6 GWh</w:t>
            </w:r>
          </w:p>
        </w:tc>
      </w:tr>
      <w:tr>
        <w:tc>
          <w:tcPr>
            <w:tcW w:type="dxa" w:w="2940"/>
          </w:tcPr>
          <w:p>
            <w:pPr>
              <w:spacing w:after="0"/>
            </w:pPr>
            <w:r>
              <w:rPr>
                <w:color w:val="1D1D1D"/>
                <w:sz w:val="16"/>
              </w:rPr>
              <w:t>After availability</w:t>
            </w:r>
          </w:p>
        </w:tc>
        <w:tc>
          <w:tcPr>
            <w:tcW w:type="dxa" w:w="5227"/>
          </w:tcPr>
          <w:p>
            <w:pPr>
              <w:spacing w:after="0"/>
            </w:pPr>
            <w:r>
              <w:rPr>
                <w:color w:val="1D1D1D"/>
                <w:sz w:val="16"/>
              </w:rPr>
              <w:t>× 0.95</w:t>
            </w:r>
          </w:p>
        </w:tc>
        <w:tc>
          <w:tcPr>
            <w:tcW w:type="dxa" w:w="1470"/>
          </w:tcPr>
          <w:p>
            <w:pPr>
              <w:spacing w:after="0"/>
            </w:pPr>
            <w:r>
              <w:rPr>
                <w:color w:val="1D1D1D"/>
                <w:sz w:val="16"/>
              </w:rPr>
              <w:t>292.2 GWh</w:t>
            </w:r>
          </w:p>
        </w:tc>
      </w:tr>
      <w:tr>
        <w:tc>
          <w:tcPr>
            <w:tcW w:type="dxa" w:w="2940"/>
            <w:shd w:val="clear" w:color="auto" w:fill="FAF8F2"/>
          </w:tcPr>
          <w:p>
            <w:pPr>
              <w:spacing w:after="0"/>
            </w:pPr>
            <w:r>
              <w:rPr>
                <w:color w:val="1D1D1D"/>
                <w:sz w:val="16"/>
              </w:rPr>
              <w:t>Capacity factor</w:t>
            </w:r>
          </w:p>
        </w:tc>
        <w:tc>
          <w:tcPr>
            <w:tcW w:type="dxa" w:w="5227"/>
            <w:shd w:val="clear" w:color="auto" w:fill="FAF8F2"/>
          </w:tcPr>
          <w:p>
            <w:pPr>
              <w:spacing w:after="0"/>
            </w:pPr>
            <w:r>
              <w:rPr>
                <w:color w:val="1D1D1D"/>
                <w:sz w:val="16"/>
              </w:rPr>
              <w:t>292.2 / (60 × 8.76)</w:t>
            </w:r>
          </w:p>
        </w:tc>
        <w:tc>
          <w:tcPr>
            <w:tcW w:type="dxa" w:w="1470"/>
            <w:shd w:val="clear" w:color="auto" w:fill="FAF8F2"/>
          </w:tcPr>
          <w:p>
            <w:pPr>
              <w:spacing w:after="0"/>
            </w:pPr>
            <w:r>
              <w:rPr>
                <w:color w:val="1D1D1D"/>
                <w:sz w:val="16"/>
              </w:rPr>
              <w:t>55.6%</w:t>
            </w:r>
          </w:p>
        </w:tc>
      </w:tr>
    </w:tbl>
    <w:p>
      <w:pPr>
        <w:spacing w:after="40"/>
      </w:pPr>
    </w:p>
    <w:p>
      <w:pPr>
        <w:jc w:val="both"/>
      </w:pPr>
      <w:r>
        <w:rPr>
          <w:i/>
        </w:rPr>
        <w:t>Note: Reproduces the case P50 (about 292 GWh) and capacity factor (about 56%); weighting months by days gives 292.7 GWh. The IFC range for run-of-river capacity factors is 40 to 70% [DE:S1].</w:t>
      </w:r>
    </w:p>
    <w:p>
      <w:pPr>
        <w:jc w:val="both"/>
      </w:pPr>
      <w:r>
        <w:rPr/>
        <w:t>The arithmetic holds, but the case figure is a monthly calculation with constant head and efficiency and no minimum flow, auxiliary use or line loss. Table N.3 sizes each omission.</w:t>
      </w:r>
    </w:p>
    <w:p>
      <w:pPr>
        <w:keepNext/>
      </w:pPr>
      <w:r>
        <w:rPr>
          <w:b/>
          <w:color w:val="0B3020"/>
          <w:sz w:val="18"/>
        </w:rPr>
        <w:t>Table N.3. Kasiri: items outside the case P50 (effect on 292.2 GWh, one at a time)</w:t>
      </w:r>
    </w:p>
    <w:tbl>
      <w:tblPr>
        <w:tblStyle w:val="TableGrid"/>
        <w:tblW w:type="auto" w:w="0"/>
        <w:jc w:val="center"/>
        <w:tblLook w:firstColumn="1" w:firstRow="1" w:lastColumn="0" w:lastRow="0" w:noHBand="0" w:noVBand="1" w:val="04A0"/>
      </w:tblPr>
      <w:tblGrid>
        <w:gridCol w:w="3213"/>
        <w:gridCol w:w="3213"/>
        <w:gridCol w:w="3213"/>
      </w:tblGrid>
      <w:tr>
        <w:tc>
          <w:tcPr>
            <w:tcW w:type="dxa" w:w="5147"/>
            <w:shd w:val="clear" w:color="auto" w:fill="0B3020"/>
          </w:tcPr>
          <w:p>
            <w:pPr>
              <w:spacing w:after="0"/>
            </w:pPr>
            <w:r>
              <w:rPr>
                <w:b/>
                <w:color w:val="FFFFFF"/>
                <w:sz w:val="16"/>
              </w:rPr>
              <w:t>Item</w:t>
            </w:r>
          </w:p>
        </w:tc>
        <w:tc>
          <w:tcPr>
            <w:tcW w:type="dxa" w:w="2519"/>
            <w:shd w:val="clear" w:color="auto" w:fill="0B3020"/>
          </w:tcPr>
          <w:p>
            <w:pPr>
              <w:spacing w:after="0"/>
            </w:pPr>
            <w:r>
              <w:rPr>
                <w:b/>
                <w:color w:val="FFFFFF"/>
                <w:sz w:val="16"/>
              </w:rPr>
              <w:t>Basis</w:t>
            </w:r>
          </w:p>
        </w:tc>
        <w:tc>
          <w:tcPr>
            <w:tcW w:type="dxa" w:w="1971"/>
            <w:shd w:val="clear" w:color="auto" w:fill="0B3020"/>
          </w:tcPr>
          <w:p>
            <w:pPr>
              <w:spacing w:after="0"/>
            </w:pPr>
            <w:r>
              <w:rPr>
                <w:b/>
                <w:color w:val="FFFFFF"/>
                <w:sz w:val="16"/>
              </w:rPr>
              <w:t>Result</w:t>
            </w:r>
          </w:p>
        </w:tc>
      </w:tr>
      <w:tr>
        <w:tc>
          <w:tcPr>
            <w:tcW w:type="dxa" w:w="5147"/>
          </w:tcPr>
          <w:p>
            <w:pPr>
              <w:spacing w:after="0"/>
            </w:pPr>
            <w:r>
              <w:rPr>
                <w:color w:val="1D1D1D"/>
                <w:sz w:val="16"/>
              </w:rPr>
              <w:t>Auxiliary demand 0.5 to 3.0%</w:t>
            </w:r>
          </w:p>
        </w:tc>
        <w:tc>
          <w:tcPr>
            <w:tcW w:type="dxa" w:w="2519"/>
          </w:tcPr>
          <w:p>
            <w:pPr>
              <w:spacing w:after="0"/>
            </w:pPr>
            <w:r>
              <w:rPr>
                <w:color w:val="1D1D1D"/>
                <w:sz w:val="16"/>
              </w:rPr>
              <w:t>[DE:S1]</w:t>
            </w:r>
          </w:p>
        </w:tc>
        <w:tc>
          <w:tcPr>
            <w:tcW w:type="dxa" w:w="1971"/>
          </w:tcPr>
          <w:p>
            <w:pPr>
              <w:spacing w:after="0"/>
            </w:pPr>
            <w:r>
              <w:rPr>
                <w:color w:val="1D1D1D"/>
                <w:sz w:val="16"/>
              </w:rPr>
              <w:t>290.7 to 283.4 GWh</w:t>
            </w:r>
          </w:p>
        </w:tc>
      </w:tr>
      <w:tr>
        <w:tc>
          <w:tcPr>
            <w:tcW w:type="dxa" w:w="5147"/>
            <w:shd w:val="clear" w:color="auto" w:fill="FAF8F2"/>
          </w:tcPr>
          <w:p>
            <w:pPr>
              <w:spacing w:after="0"/>
            </w:pPr>
            <w:r>
              <w:rPr>
                <w:color w:val="1D1D1D"/>
                <w:sz w:val="16"/>
              </w:rPr>
              <w:t>Monthly data overestimate of 10% (292.2 / 1.10)</w:t>
            </w:r>
          </w:p>
        </w:tc>
        <w:tc>
          <w:tcPr>
            <w:tcW w:type="dxa" w:w="2519"/>
            <w:shd w:val="clear" w:color="auto" w:fill="FAF8F2"/>
          </w:tcPr>
          <w:p>
            <w:pPr>
              <w:spacing w:after="0"/>
            </w:pPr>
            <w:r>
              <w:rPr>
                <w:color w:val="1D1D1D"/>
                <w:sz w:val="16"/>
              </w:rPr>
              <w:t>[DE:S1]</w:t>
            </w:r>
          </w:p>
        </w:tc>
        <w:tc>
          <w:tcPr>
            <w:tcW w:type="dxa" w:w="1971"/>
            <w:shd w:val="clear" w:color="auto" w:fill="FAF8F2"/>
          </w:tcPr>
          <w:p>
            <w:pPr>
              <w:spacing w:after="0"/>
            </w:pPr>
            <w:r>
              <w:rPr>
                <w:color w:val="1D1D1D"/>
                <w:sz w:val="16"/>
              </w:rPr>
              <w:t>266 GWh</w:t>
            </w:r>
          </w:p>
        </w:tc>
      </w:tr>
      <w:tr>
        <w:tc>
          <w:tcPr>
            <w:tcW w:type="dxa" w:w="5147"/>
          </w:tcPr>
          <w:p>
            <w:pPr>
              <w:spacing w:after="0"/>
            </w:pPr>
            <w:r>
              <w:rPr>
                <w:color w:val="1D1D1D"/>
                <w:sz w:val="16"/>
              </w:rPr>
              <w:t>One Francis unit, 40% minimum flow</w:t>
            </w:r>
          </w:p>
        </w:tc>
        <w:tc>
          <w:tcPr>
            <w:tcW w:type="dxa" w:w="2519"/>
          </w:tcPr>
          <w:p>
            <w:pPr>
              <w:spacing w:after="0"/>
            </w:pPr>
            <w:r>
              <w:rPr>
                <w:color w:val="1D1D1D"/>
                <w:sz w:val="16"/>
              </w:rPr>
              <w:t>Illustrative assumption</w:t>
            </w:r>
          </w:p>
        </w:tc>
        <w:tc>
          <w:tcPr>
            <w:tcW w:type="dxa" w:w="1971"/>
          </w:tcPr>
          <w:p>
            <w:pPr>
              <w:spacing w:after="0"/>
            </w:pPr>
            <w:r>
              <w:rPr>
                <w:color w:val="1D1D1D"/>
                <w:sz w:val="16"/>
              </w:rPr>
              <w:t>about 252 GWh</w:t>
            </w:r>
          </w:p>
        </w:tc>
      </w:tr>
      <w:tr>
        <w:tc>
          <w:tcPr>
            <w:tcW w:type="dxa" w:w="5147"/>
            <w:shd w:val="clear" w:color="auto" w:fill="FAF8F2"/>
          </w:tcPr>
          <w:p>
            <w:pPr>
              <w:spacing w:after="0"/>
            </w:pPr>
            <w:r>
              <w:rPr>
                <w:color w:val="1D1D1D"/>
                <w:sz w:val="16"/>
              </w:rPr>
              <w:t>Losses on 35 km, 132 kV line</w:t>
            </w:r>
          </w:p>
        </w:tc>
        <w:tc>
          <w:tcPr>
            <w:tcW w:type="dxa" w:w="2519"/>
            <w:shd w:val="clear" w:color="auto" w:fill="FAF8F2"/>
          </w:tcPr>
          <w:p>
            <w:pPr>
              <w:spacing w:after="0"/>
            </w:pPr>
            <w:r>
              <w:rPr>
                <w:color w:val="1D1D1D"/>
                <w:sz w:val="16"/>
              </w:rPr>
              <w:t>No source value</w:t>
            </w:r>
          </w:p>
        </w:tc>
        <w:tc>
          <w:tcPr>
            <w:tcW w:type="dxa" w:w="1971"/>
            <w:shd w:val="clear" w:color="auto" w:fill="FAF8F2"/>
          </w:tcPr>
          <w:p>
            <w:pPr>
              <w:spacing w:after="0"/>
            </w:pPr>
            <w:r>
              <w:rPr>
                <w:color w:val="1D1D1D"/>
                <w:sz w:val="16"/>
              </w:rPr>
              <w:t>not quantified</w:t>
            </w:r>
          </w:p>
        </w:tc>
      </w:tr>
      <w:tr>
        <w:tc>
          <w:tcPr>
            <w:tcW w:type="dxa" w:w="5147"/>
          </w:tcPr>
          <w:p>
            <w:pPr>
              <w:spacing w:after="0"/>
            </w:pPr>
            <w:r>
              <w:rPr>
                <w:color w:val="1D1D1D"/>
                <w:sz w:val="16"/>
              </w:rPr>
              <w:t>Availability 97 to 98% after year three</w:t>
            </w:r>
          </w:p>
        </w:tc>
        <w:tc>
          <w:tcPr>
            <w:tcW w:type="dxa" w:w="2519"/>
          </w:tcPr>
          <w:p>
            <w:pPr>
              <w:spacing w:after="0"/>
            </w:pPr>
            <w:r>
              <w:rPr>
                <w:color w:val="1D1D1D"/>
                <w:sz w:val="16"/>
              </w:rPr>
              <w:t>[DE:S1]</w:t>
            </w:r>
          </w:p>
        </w:tc>
        <w:tc>
          <w:tcPr>
            <w:tcW w:type="dxa" w:w="1971"/>
          </w:tcPr>
          <w:p>
            <w:pPr>
              <w:spacing w:after="0"/>
            </w:pPr>
            <w:r>
              <w:rPr>
                <w:color w:val="1D1D1D"/>
                <w:sz w:val="16"/>
              </w:rPr>
              <w:t>298 to 301 GWh</w:t>
            </w:r>
          </w:p>
        </w:tc>
      </w:tr>
      <w:tr>
        <w:tc>
          <w:tcPr>
            <w:tcW w:type="dxa" w:w="5147"/>
            <w:shd w:val="clear" w:color="auto" w:fill="FAF8F2"/>
          </w:tcPr>
          <w:p>
            <w:pPr>
              <w:spacing w:after="0"/>
            </w:pPr>
            <w:r>
              <w:rPr>
                <w:color w:val="1D1D1D"/>
                <w:sz w:val="16"/>
              </w:rPr>
              <w:t>All flows 10% lower</w:t>
            </w:r>
          </w:p>
        </w:tc>
        <w:tc>
          <w:tcPr>
            <w:tcW w:type="dxa" w:w="2519"/>
            <w:shd w:val="clear" w:color="auto" w:fill="FAF8F2"/>
          </w:tcPr>
          <w:p>
            <w:pPr>
              <w:spacing w:after="0"/>
            </w:pPr>
            <w:r>
              <w:rPr>
                <w:color w:val="1D1D1D"/>
                <w:sz w:val="16"/>
              </w:rPr>
              <w:t>Illustrative stress</w:t>
            </w:r>
          </w:p>
        </w:tc>
        <w:tc>
          <w:tcPr>
            <w:tcW w:type="dxa" w:w="1971"/>
            <w:shd w:val="clear" w:color="auto" w:fill="FAF8F2"/>
          </w:tcPr>
          <w:p>
            <w:pPr>
              <w:spacing w:after="0"/>
            </w:pPr>
            <w:r>
              <w:rPr>
                <w:color w:val="1D1D1D"/>
                <w:sz w:val="16"/>
              </w:rPr>
              <w:t>264 GWh</w:t>
            </w:r>
          </w:p>
        </w:tc>
      </w:tr>
    </w:tbl>
    <w:p>
      <w:pPr>
        <w:spacing w:after="40"/>
      </w:pPr>
    </w:p>
    <w:p>
      <w:pPr>
        <w:jc w:val="both"/>
      </w:pPr>
      <w:r>
        <w:rPr>
          <w:i/>
        </w:rPr>
        <w:t>Note: Effects are not additive. The case does not state where 292 GWh is measured; the PPA metering point decides which losses the project bears.</w:t>
      </w:r>
    </w:p>
    <w:p>
      <w:pPr>
        <w:jc w:val="both"/>
      </w:pPr>
      <w:r>
        <w:rPr/>
        <w:t>Outage timing matters: maintenance in February, at about 17 MW, costs far less than the same days in May at 60 MW.</w:t>
      </w:r>
    </w:p>
    <w:p>
      <w:pPr>
        <w:pStyle w:val="Heading3"/>
      </w:pPr>
      <w:r>
        <w:t>N.7 Firm energy and seasonal profile</w:t>
      </w:r>
    </w:p>
    <w:p>
      <w:pPr>
        <w:jc w:val="both"/>
      </w:pPr>
      <w:r>
        <w:rPr/>
        <w:t>ESHA defines firm energy as the power deliverable during a given period with at least 90 to 95% certainty; run-of-river schemes have little, storage adds more [LIT:S6]. In the IFC example, firm capacity at 90% of the year is 11 MW for a run-of-river plant and 23 MW for a storage plant at the same site [DE:S1]. On monthly means Kasiri's firm capacity is about 17 MW (February) to 19 MW (flow exceeded in 11 of 12 months) before outages, or about 16 MW in February after 95% availability, the figure Chapter 3 uses; that is under a third of installed capacity, and a daily Q</w:t>
      </w:r>
      <w:r>
        <w:rPr/>
        <w:t>95</w:t>
      </w:r>
      <w:r>
        <w:rPr/>
        <w:t xml:space="preserve"> would give less. The May to February power ratio is 3.6, milder than the ten-fold swing in the IFC central African example [DE:S1]. Where the PPA pays for capacity, the firm figure matters most.</w:t>
      </w:r>
    </w:p>
    <w:p>
      <w:pPr>
        <w:pStyle w:val="Heading3"/>
      </w:pPr>
      <w:r>
        <w:t>N.8 Inter-annual variability: P50, P90, one-year and multi-year</w:t>
      </w:r>
    </w:p>
    <w:p>
      <w:pPr>
        <w:jc w:val="both"/>
      </w:pPr>
      <w:r>
        <w:rPr/>
        <w:t>The IFC guide defines dry-year (P75) and very-dry-year (P95) energy and requires a DSCR above one under worst-case hydrology such as dry years [DE:S1]. A one-year P90 tests whether a single year's debt service is met; a multi-year P90 tests the average over a loan period. With the case CV of 0.15 and an assumed normal distribution:</w:t>
      </w:r>
    </w:p>
    <w:p>
      <w:pPr>
        <w:ind w:left="567"/>
      </w:pPr>
      <w:r>
        <w:rPr>
          <w:color w:val="0B3020"/>
          <w:sz w:val="20"/>
        </w:rPr>
        <w:t>E</w:t>
      </w:r>
      <w:r>
        <w:rPr>
          <w:color w:val="0B3020"/>
          <w:sz w:val="20"/>
        </w:rPr>
        <w:t>Px</w:t>
      </w:r>
      <w:r>
        <w:rPr>
          <w:color w:val="0B3020"/>
          <w:sz w:val="20"/>
        </w:rPr>
        <w:t xml:space="preserve"> = E</w:t>
      </w:r>
      <w:r>
        <w:rPr>
          <w:color w:val="0B3020"/>
          <w:sz w:val="20"/>
        </w:rPr>
        <w:t>P50</w:t>
      </w:r>
      <w:r>
        <w:rPr>
          <w:color w:val="0B3020"/>
          <w:sz w:val="20"/>
        </w:rPr>
        <w:t xml:space="preserve"> × (1 − z</w:t>
      </w:r>
      <w:r>
        <w:rPr>
          <w:color w:val="0B3020"/>
          <w:sz w:val="20"/>
        </w:rPr>
        <w:t>x</w:t>
      </w:r>
      <w:r>
        <w:rPr>
          <w:color w:val="0B3020"/>
          <w:sz w:val="20"/>
        </w:rPr>
        <w:t xml:space="preserve"> × CV / √N)</w:t>
      </w:r>
    </w:p>
    <w:p>
      <w:pPr>
        <w:jc w:val="both"/>
      </w:pPr>
      <w:r>
        <w:rPr/>
        <w:t>where N is the number of averaged years and z = 1.282 for P90. The √N reduction assumes independent years. Dry years tend to cluster, which widens the true spread, so MODEL 7 adds a first-order serial correlation ρ between years, set at 0.3 for Kasiri as a model assumption:</w:t>
      </w:r>
    </w:p>
    <w:p>
      <w:pPr>
        <w:ind w:left="567"/>
      </w:pPr>
      <w:r>
        <w:rPr>
          <w:color w:val="0B3020"/>
          <w:sz w:val="20"/>
        </w:rPr>
        <w:t>E</w:t>
      </w:r>
      <w:r>
        <w:rPr>
          <w:color w:val="0B3020"/>
          <w:sz w:val="20"/>
        </w:rPr>
        <w:t>P90,N</w:t>
      </w:r>
      <w:r>
        <w:rPr>
          <w:color w:val="0B3020"/>
          <w:sz w:val="20"/>
        </w:rPr>
        <w:t xml:space="preserve"> = E</w:t>
      </w:r>
      <w:r>
        <w:rPr>
          <w:color w:val="0B3020"/>
          <w:sz w:val="20"/>
        </w:rPr>
        <w:t>P50</w:t>
      </w:r>
      <w:r>
        <w:rPr>
          <w:color w:val="0B3020"/>
          <w:sz w:val="20"/>
        </w:rPr>
        <w:t xml:space="preserve"> × (1 − 1.2816 × CV × √((1 + ρ) / (1 − ρ) / N))</w:t>
      </w:r>
    </w:p>
    <w:p>
      <w:pPr>
        <w:jc w:val="both"/>
      </w:pPr>
      <w:r>
        <w:rPr/>
        <w:t>A second uncertainty sits on the mean: 12 years estimate it with a standard error of about 0.15/√12 = 4.3%, before rating-curve and correlation errors, and this term does not shrink with tenor.</w:t>
      </w:r>
    </w:p>
    <w:p>
      <w:pPr>
        <w:keepNext/>
      </w:pPr>
      <w:r>
        <w:rPr>
          <w:b/>
          <w:color w:val="0B3020"/>
          <w:sz w:val="18"/>
        </w:rPr>
        <w:t>Table N.4. Kasiri exceedance values (CV 0.15, normal distribution assumed)</w:t>
      </w:r>
    </w:p>
    <w:tbl>
      <w:tblPr>
        <w:tblStyle w:val="TableGrid"/>
        <w:tblW w:type="auto" w:w="0"/>
        <w:jc w:val="center"/>
        <w:tblLook w:firstColumn="1" w:firstRow="1" w:lastColumn="0" w:lastRow="0" w:noHBand="0" w:noVBand="1" w:val="04A0"/>
      </w:tblPr>
      <w:tblGrid>
        <w:gridCol w:w="3213"/>
        <w:gridCol w:w="3213"/>
        <w:gridCol w:w="3213"/>
      </w:tblGrid>
      <w:tr>
        <w:tc>
          <w:tcPr>
            <w:tcW w:type="dxa" w:w="6286"/>
            <w:shd w:val="clear" w:color="auto" w:fill="0B3020"/>
          </w:tcPr>
          <w:p>
            <w:pPr>
              <w:spacing w:after="0"/>
            </w:pPr>
            <w:r>
              <w:rPr>
                <w:b/>
                <w:color w:val="FFFFFF"/>
                <w:sz w:val="16"/>
              </w:rPr>
              <w:t>Measure</w:t>
            </w:r>
          </w:p>
        </w:tc>
        <w:tc>
          <w:tcPr>
            <w:tcW w:type="dxa" w:w="2724"/>
            <w:shd w:val="clear" w:color="auto" w:fill="0B3020"/>
          </w:tcPr>
          <w:p>
            <w:pPr>
              <w:spacing w:after="0"/>
            </w:pPr>
            <w:r>
              <w:rPr>
                <w:b/>
                <w:color w:val="FFFFFF"/>
                <w:sz w:val="16"/>
              </w:rPr>
              <w:t>Spread</w:t>
            </w:r>
          </w:p>
        </w:tc>
        <w:tc>
          <w:tcPr>
            <w:tcW w:type="dxa" w:w="629"/>
            <w:shd w:val="clear" w:color="auto" w:fill="0B3020"/>
          </w:tcPr>
          <w:p>
            <w:pPr>
              <w:spacing w:after="0"/>
            </w:pPr>
            <w:r>
              <w:rPr>
                <w:b/>
                <w:color w:val="FFFFFF"/>
                <w:sz w:val="16"/>
              </w:rPr>
              <w:t>GWh</w:t>
            </w:r>
          </w:p>
        </w:tc>
      </w:tr>
      <w:tr>
        <w:tc>
          <w:tcPr>
            <w:tcW w:type="dxa" w:w="6286"/>
          </w:tcPr>
          <w:p>
            <w:pPr>
              <w:spacing w:after="0"/>
            </w:pPr>
            <w:r>
              <w:rPr>
                <w:color w:val="1D1D1D"/>
                <w:sz w:val="16"/>
              </w:rPr>
              <w:t>P50</w:t>
            </w:r>
          </w:p>
        </w:tc>
        <w:tc>
          <w:tcPr>
            <w:tcW w:type="dxa" w:w="2724"/>
          </w:tcPr>
          <w:p>
            <w:pPr>
              <w:spacing w:after="0"/>
            </w:pPr>
            <w:r>
              <w:rPr>
                <w:color w:val="1D1D1D"/>
                <w:sz w:val="16"/>
              </w:rPr>
              <w:t>none</w:t>
            </w:r>
          </w:p>
        </w:tc>
        <w:tc>
          <w:tcPr>
            <w:tcW w:type="dxa" w:w="629"/>
          </w:tcPr>
          <w:p>
            <w:pPr>
              <w:spacing w:after="0"/>
            </w:pPr>
            <w:r>
              <w:rPr>
                <w:color w:val="1D1D1D"/>
                <w:sz w:val="16"/>
              </w:rPr>
              <w:t>292</w:t>
            </w:r>
          </w:p>
        </w:tc>
      </w:tr>
      <w:tr>
        <w:tc>
          <w:tcPr>
            <w:tcW w:type="dxa" w:w="6286"/>
            <w:shd w:val="clear" w:color="auto" w:fill="FAF8F2"/>
          </w:tcPr>
          <w:p>
            <w:pPr>
              <w:spacing w:after="0"/>
            </w:pPr>
            <w:r>
              <w:rPr>
                <w:color w:val="1D1D1D"/>
                <w:sz w:val="16"/>
              </w:rPr>
              <w:t>P75, one year</w:t>
            </w:r>
          </w:p>
        </w:tc>
        <w:tc>
          <w:tcPr>
            <w:tcW w:type="dxa" w:w="2724"/>
            <w:shd w:val="clear" w:color="auto" w:fill="FAF8F2"/>
          </w:tcPr>
          <w:p>
            <w:pPr>
              <w:spacing w:after="0"/>
            </w:pPr>
            <w:r>
              <w:rPr>
                <w:color w:val="1D1D1D"/>
                <w:sz w:val="16"/>
              </w:rPr>
              <w:t>0.674 × 0.15</w:t>
            </w:r>
          </w:p>
        </w:tc>
        <w:tc>
          <w:tcPr>
            <w:tcW w:type="dxa" w:w="629"/>
            <w:shd w:val="clear" w:color="auto" w:fill="FAF8F2"/>
          </w:tcPr>
          <w:p>
            <w:pPr>
              <w:spacing w:after="0"/>
            </w:pPr>
            <w:r>
              <w:rPr>
                <w:color w:val="1D1D1D"/>
                <w:sz w:val="16"/>
              </w:rPr>
              <w:t>262</w:t>
            </w:r>
          </w:p>
        </w:tc>
      </w:tr>
      <w:tr>
        <w:tc>
          <w:tcPr>
            <w:tcW w:type="dxa" w:w="6286"/>
          </w:tcPr>
          <w:p>
            <w:pPr>
              <w:spacing w:after="0"/>
            </w:pPr>
            <w:r>
              <w:rPr>
                <w:color w:val="1D1D1D"/>
                <w:sz w:val="16"/>
              </w:rPr>
              <w:t>P90, one year</w:t>
            </w:r>
          </w:p>
        </w:tc>
        <w:tc>
          <w:tcPr>
            <w:tcW w:type="dxa" w:w="2724"/>
          </w:tcPr>
          <w:p>
            <w:pPr>
              <w:spacing w:after="0"/>
            </w:pPr>
            <w:r>
              <w:rPr>
                <w:color w:val="1D1D1D"/>
                <w:sz w:val="16"/>
              </w:rPr>
              <w:t>1.282 × 0.15</w:t>
            </w:r>
          </w:p>
        </w:tc>
        <w:tc>
          <w:tcPr>
            <w:tcW w:type="dxa" w:w="629"/>
          </w:tcPr>
          <w:p>
            <w:pPr>
              <w:spacing w:after="0"/>
            </w:pPr>
            <w:r>
              <w:rPr>
                <w:color w:val="1D1D1D"/>
                <w:sz w:val="16"/>
              </w:rPr>
              <w:t>236</w:t>
            </w:r>
          </w:p>
        </w:tc>
      </w:tr>
      <w:tr>
        <w:tc>
          <w:tcPr>
            <w:tcW w:type="dxa" w:w="6286"/>
            <w:shd w:val="clear" w:color="auto" w:fill="FAF8F2"/>
          </w:tcPr>
          <w:p>
            <w:pPr>
              <w:spacing w:after="0"/>
            </w:pPr>
            <w:r>
              <w:rPr>
                <w:color w:val="1D1D1D"/>
                <w:sz w:val="16"/>
              </w:rPr>
              <w:t>P95, one year</w:t>
            </w:r>
          </w:p>
        </w:tc>
        <w:tc>
          <w:tcPr>
            <w:tcW w:type="dxa" w:w="2724"/>
            <w:shd w:val="clear" w:color="auto" w:fill="FAF8F2"/>
          </w:tcPr>
          <w:p>
            <w:pPr>
              <w:spacing w:after="0"/>
            </w:pPr>
            <w:r>
              <w:rPr>
                <w:color w:val="1D1D1D"/>
                <w:sz w:val="16"/>
              </w:rPr>
              <w:t>1.645 × 0.15</w:t>
            </w:r>
          </w:p>
        </w:tc>
        <w:tc>
          <w:tcPr>
            <w:tcW w:type="dxa" w:w="629"/>
            <w:shd w:val="clear" w:color="auto" w:fill="FAF8F2"/>
          </w:tcPr>
          <w:p>
            <w:pPr>
              <w:spacing w:after="0"/>
            </w:pPr>
            <w:r>
              <w:rPr>
                <w:color w:val="1D1D1D"/>
                <w:sz w:val="16"/>
              </w:rPr>
              <w:t>220</w:t>
            </w:r>
          </w:p>
        </w:tc>
      </w:tr>
      <w:tr>
        <w:tc>
          <w:tcPr>
            <w:tcW w:type="dxa" w:w="6286"/>
          </w:tcPr>
          <w:p>
            <w:pPr>
              <w:spacing w:after="0"/>
            </w:pPr>
            <w:r>
              <w:rPr>
                <w:color w:val="1D1D1D"/>
                <w:sz w:val="16"/>
              </w:rPr>
              <w:t>P99, one year</w:t>
            </w:r>
          </w:p>
        </w:tc>
        <w:tc>
          <w:tcPr>
            <w:tcW w:type="dxa" w:w="2724"/>
          </w:tcPr>
          <w:p>
            <w:pPr>
              <w:spacing w:after="0"/>
            </w:pPr>
            <w:r>
              <w:rPr>
                <w:color w:val="1D1D1D"/>
                <w:sz w:val="16"/>
              </w:rPr>
              <w:t>2.326 × 0.15</w:t>
            </w:r>
          </w:p>
        </w:tc>
        <w:tc>
          <w:tcPr>
            <w:tcW w:type="dxa" w:w="629"/>
          </w:tcPr>
          <w:p>
            <w:pPr>
              <w:spacing w:after="0"/>
            </w:pPr>
            <w:r>
              <w:rPr>
                <w:color w:val="1D1D1D"/>
                <w:sz w:val="16"/>
              </w:rPr>
              <w:t>190</w:t>
            </w:r>
          </w:p>
        </w:tc>
      </w:tr>
      <w:tr>
        <w:tc>
          <w:tcPr>
            <w:tcW w:type="dxa" w:w="6286"/>
            <w:shd w:val="clear" w:color="auto" w:fill="FAF8F2"/>
          </w:tcPr>
          <w:p>
            <w:pPr>
              <w:spacing w:after="0"/>
            </w:pPr>
            <w:r>
              <w:rPr>
                <w:color w:val="1D1D1D"/>
                <w:sz w:val="16"/>
              </w:rPr>
              <w:t>P90, ten-year average</w:t>
            </w:r>
          </w:p>
        </w:tc>
        <w:tc>
          <w:tcPr>
            <w:tcW w:type="dxa" w:w="2724"/>
            <w:shd w:val="clear" w:color="auto" w:fill="FAF8F2"/>
          </w:tcPr>
          <w:p>
            <w:pPr>
              <w:spacing w:after="0"/>
            </w:pPr>
            <w:r>
              <w:rPr>
                <w:color w:val="1D1D1D"/>
                <w:sz w:val="16"/>
              </w:rPr>
              <w:t>1.282 × 0.15/√10</w:t>
            </w:r>
          </w:p>
        </w:tc>
        <w:tc>
          <w:tcPr>
            <w:tcW w:type="dxa" w:w="629"/>
            <w:shd w:val="clear" w:color="auto" w:fill="FAF8F2"/>
          </w:tcPr>
          <w:p>
            <w:pPr>
              <w:spacing w:after="0"/>
            </w:pPr>
            <w:r>
              <w:rPr>
                <w:color w:val="1D1D1D"/>
                <w:sz w:val="16"/>
              </w:rPr>
              <w:t>274</w:t>
            </w:r>
          </w:p>
        </w:tc>
      </w:tr>
      <w:tr>
        <w:tc>
          <w:tcPr>
            <w:tcW w:type="dxa" w:w="6286"/>
          </w:tcPr>
          <w:p>
            <w:pPr>
              <w:spacing w:after="0"/>
            </w:pPr>
            <w:r>
              <w:rPr>
                <w:color w:val="1D1D1D"/>
                <w:sz w:val="16"/>
              </w:rPr>
              <w:t>P90, ten-year average, serial correlation 0.3 (MODEL 7 lender case)</w:t>
            </w:r>
          </w:p>
        </w:tc>
        <w:tc>
          <w:tcPr>
            <w:tcW w:type="dxa" w:w="2724"/>
          </w:tcPr>
          <w:p>
            <w:pPr>
              <w:spacing w:after="0"/>
            </w:pPr>
            <w:r>
              <w:rPr>
                <w:color w:val="1D1D1D"/>
                <w:sz w:val="16"/>
              </w:rPr>
              <w:t>1.282 × 0.15 × √(1.857/10)</w:t>
            </w:r>
          </w:p>
        </w:tc>
        <w:tc>
          <w:tcPr>
            <w:tcW w:type="dxa" w:w="629"/>
          </w:tcPr>
          <w:p>
            <w:pPr>
              <w:spacing w:after="0"/>
            </w:pPr>
            <w:r>
              <w:rPr>
                <w:color w:val="1D1D1D"/>
                <w:sz w:val="16"/>
              </w:rPr>
              <w:t>268</w:t>
            </w:r>
          </w:p>
        </w:tc>
      </w:tr>
      <w:tr>
        <w:tc>
          <w:tcPr>
            <w:tcW w:type="dxa" w:w="6286"/>
            <w:shd w:val="clear" w:color="auto" w:fill="FAF8F2"/>
          </w:tcPr>
          <w:p>
            <w:pPr>
              <w:spacing w:after="0"/>
            </w:pPr>
            <w:r>
              <w:rPr>
                <w:color w:val="1D1D1D"/>
                <w:sz w:val="16"/>
              </w:rPr>
              <w:t>P90, 25-year average</w:t>
            </w:r>
          </w:p>
        </w:tc>
        <w:tc>
          <w:tcPr>
            <w:tcW w:type="dxa" w:w="2724"/>
            <w:shd w:val="clear" w:color="auto" w:fill="FAF8F2"/>
          </w:tcPr>
          <w:p>
            <w:pPr>
              <w:spacing w:after="0"/>
            </w:pPr>
            <w:r>
              <w:rPr>
                <w:color w:val="1D1D1D"/>
                <w:sz w:val="16"/>
              </w:rPr>
              <w:t>1.282 × 0.15/√25</w:t>
            </w:r>
          </w:p>
        </w:tc>
        <w:tc>
          <w:tcPr>
            <w:tcW w:type="dxa" w:w="629"/>
            <w:shd w:val="clear" w:color="auto" w:fill="FAF8F2"/>
          </w:tcPr>
          <w:p>
            <w:pPr>
              <w:spacing w:after="0"/>
            </w:pPr>
            <w:r>
              <w:rPr>
                <w:color w:val="1D1D1D"/>
                <w:sz w:val="16"/>
              </w:rPr>
              <w:t>281</w:t>
            </w:r>
          </w:p>
        </w:tc>
      </w:tr>
      <w:tr>
        <w:tc>
          <w:tcPr>
            <w:tcW w:type="dxa" w:w="6286"/>
          </w:tcPr>
          <w:p>
            <w:pPr>
              <w:spacing w:after="0"/>
            </w:pPr>
            <w:r>
              <w:rPr>
                <w:color w:val="1D1D1D"/>
                <w:sz w:val="16"/>
              </w:rPr>
              <w:t>P90, ten-year average, with 4.3% mean uncertainty</w:t>
            </w:r>
          </w:p>
        </w:tc>
        <w:tc>
          <w:tcPr>
            <w:tcW w:type="dxa" w:w="2724"/>
          </w:tcPr>
          <w:p>
            <w:pPr>
              <w:spacing w:after="0"/>
            </w:pPr>
            <w:r>
              <w:rPr>
                <w:color w:val="1D1D1D"/>
                <w:sz w:val="16"/>
              </w:rPr>
              <w:t>1.282 × √(0.047² + 0.043²)</w:t>
            </w:r>
          </w:p>
        </w:tc>
        <w:tc>
          <w:tcPr>
            <w:tcW w:type="dxa" w:w="629"/>
          </w:tcPr>
          <w:p>
            <w:pPr>
              <w:spacing w:after="0"/>
            </w:pPr>
            <w:r>
              <w:rPr>
                <w:color w:val="1D1D1D"/>
                <w:sz w:val="16"/>
              </w:rPr>
              <w:t>268</w:t>
            </w:r>
          </w:p>
        </w:tc>
      </w:tr>
    </w:tbl>
    <w:p>
      <w:pPr>
        <w:spacing w:after="40"/>
      </w:pPr>
    </w:p>
    <w:p>
      <w:pPr>
        <w:jc w:val="both"/>
      </w:pPr>
      <w:r>
        <w:rPr>
          <w:i/>
        </w:rPr>
        <w:t>Note: Analyst calculation, except the MODEL 7 row. The two 268 GWh rows reach the same value by different routes: one widens the spread for correlated years, the other for the short record. Applied together they would give a lower figure. Skewed records give lower dry-year values still.</w:t>
      </w:r>
    </w:p>
    <w:p>
      <w:pPr>
        <w:jc w:val="both"/>
      </w:pPr>
      <w:r>
        <w:rPr/>
        <w:t>The one-year P90 is 19% below P50; a multi-year view alone understates what a debt service reserve must bridge. Kariba's 2024 drought allocation cut of about 47% shows how far the tail can reach in a regional drought [CL-04]. African PPAs often share this risk through deemed energy or a hydrological floor, negotiated on the quality of the hydrological data [LIT:S7].</w:t>
      </w:r>
    </w:p>
    <w:p>
      <w:pPr>
        <w:pStyle w:val="Heading3"/>
      </w:pPr>
      <w:r>
        <w:t>N.9 Design floods</w:t>
      </w:r>
    </w:p>
    <w:p>
      <w:pPr>
        <w:jc w:val="both"/>
      </w:pPr>
      <w:r>
        <w:rPr/>
        <w:t>The hydrological study must also cover flood frequency and severity, described by a hydrograph and not only a peak [LIT:S6]. The normal operation design flood is the largest flood passed in normal operation, defined by a return period; the maximum inflow design flood is the largest the structures must survive without failure, usually the probable maximum flood (PMF) or a 10,000-year flood [DE:S1; LIT:S6].</w:t>
      </w:r>
    </w:p>
    <w:p>
      <w:pPr>
        <w:keepNext/>
      </w:pPr>
      <w:r>
        <w:rPr>
          <w:b/>
          <w:color w:val="0B3020"/>
          <w:sz w:val="18"/>
        </w:rPr>
        <w:t>Table N.5. Typical design flood criteria by hazard class</w:t>
      </w:r>
    </w:p>
    <w:tbl>
      <w:tblPr>
        <w:tblStyle w:val="TableGrid"/>
        <w:tblW w:type="auto" w:w="0"/>
        <w:jc w:val="center"/>
        <w:tblLook w:firstColumn="1" w:firstRow="1" w:lastColumn="0" w:lastRow="0" w:noHBand="0" w:noVBand="1" w:val="04A0"/>
      </w:tblPr>
      <w:tblGrid>
        <w:gridCol w:w="4819"/>
        <w:gridCol w:w="4819"/>
      </w:tblGrid>
      <w:tr>
        <w:tc>
          <w:tcPr>
            <w:tcW w:type="dxa" w:w="1606"/>
            <w:shd w:val="clear" w:color="auto" w:fill="0B3020"/>
          </w:tcPr>
          <w:p>
            <w:pPr>
              <w:spacing w:after="0"/>
            </w:pPr>
            <w:r>
              <w:rPr>
                <w:b/>
                <w:color w:val="FFFFFF"/>
                <w:sz w:val="16"/>
              </w:rPr>
              <w:t>Hazard class</w:t>
            </w:r>
          </w:p>
        </w:tc>
        <w:tc>
          <w:tcPr>
            <w:tcW w:type="dxa" w:w="8031"/>
            <w:shd w:val="clear" w:color="auto" w:fill="0B3020"/>
          </w:tcPr>
          <w:p>
            <w:pPr>
              <w:spacing w:after="0"/>
            </w:pPr>
            <w:r>
              <w:rPr>
                <w:b/>
                <w:color w:val="FFFFFF"/>
                <w:sz w:val="16"/>
              </w:rPr>
              <w:t>Design flood</w:t>
            </w:r>
          </w:p>
        </w:tc>
      </w:tr>
      <w:tr>
        <w:tc>
          <w:tcPr>
            <w:tcW w:type="dxa" w:w="1606"/>
          </w:tcPr>
          <w:p>
            <w:pPr>
              <w:spacing w:after="0"/>
            </w:pPr>
            <w:r>
              <w:rPr>
                <w:color w:val="1D1D1D"/>
                <w:sz w:val="16"/>
              </w:rPr>
              <w:t>High</w:t>
            </w:r>
          </w:p>
        </w:tc>
        <w:tc>
          <w:tcPr>
            <w:tcW w:type="dxa" w:w="8031"/>
          </w:tcPr>
          <w:p>
            <w:pPr>
              <w:spacing w:after="0"/>
            </w:pPr>
            <w:r>
              <w:rPr>
                <w:color w:val="1D1D1D"/>
                <w:sz w:val="16"/>
              </w:rPr>
              <w:t>Maximum inflow: PMF or similar, or 10,000-year; normal operation: 1,000-year</w:t>
            </w:r>
          </w:p>
        </w:tc>
      </w:tr>
      <w:tr>
        <w:tc>
          <w:tcPr>
            <w:tcW w:type="dxa" w:w="1606"/>
            <w:shd w:val="clear" w:color="auto" w:fill="FAF8F2"/>
          </w:tcPr>
          <w:p>
            <w:pPr>
              <w:spacing w:after="0"/>
            </w:pPr>
            <w:r>
              <w:rPr>
                <w:color w:val="1D1D1D"/>
                <w:sz w:val="16"/>
              </w:rPr>
              <w:t>Medium</w:t>
            </w:r>
          </w:p>
        </w:tc>
        <w:tc>
          <w:tcPr>
            <w:tcW w:type="dxa" w:w="8031"/>
            <w:shd w:val="clear" w:color="auto" w:fill="FAF8F2"/>
          </w:tcPr>
          <w:p>
            <w:pPr>
              <w:spacing w:after="0"/>
            </w:pPr>
            <w:r>
              <w:rPr>
                <w:color w:val="1D1D1D"/>
                <w:sz w:val="16"/>
              </w:rPr>
              <w:t>100-year to 1,000-year</w:t>
            </w:r>
          </w:p>
        </w:tc>
      </w:tr>
      <w:tr>
        <w:tc>
          <w:tcPr>
            <w:tcW w:type="dxa" w:w="1606"/>
          </w:tcPr>
          <w:p>
            <w:pPr>
              <w:spacing w:after="0"/>
            </w:pPr>
            <w:r>
              <w:rPr>
                <w:color w:val="1D1D1D"/>
                <w:sz w:val="16"/>
              </w:rPr>
              <w:t>Low</w:t>
            </w:r>
          </w:p>
        </w:tc>
        <w:tc>
          <w:tcPr>
            <w:tcW w:type="dxa" w:w="8031"/>
          </w:tcPr>
          <w:p>
            <w:pPr>
              <w:spacing w:after="0"/>
            </w:pPr>
            <w:r>
              <w:rPr>
                <w:color w:val="1D1D1D"/>
                <w:sz w:val="16"/>
              </w:rPr>
              <w:t>Typically 100-year; some countries set no requirement</w:t>
            </w:r>
          </w:p>
        </w:tc>
      </w:tr>
    </w:tbl>
    <w:p>
      <w:pPr>
        <w:spacing w:after="40"/>
      </w:pPr>
    </w:p>
    <w:p>
      <w:pPr>
        <w:jc w:val="both"/>
      </w:pPr>
      <w:r>
        <w:rPr>
          <w:i/>
        </w:rPr>
        <w:t>Note: Source [LIT:S6]. National legislation or industry guidelines bind [DE:S1; LIT:S6].</w:t>
      </w:r>
    </w:p>
    <w:p>
      <w:pPr>
        <w:jc w:val="both"/>
      </w:pPr>
      <w:r>
        <w:rPr/>
        <w:t>Reservoir routing lowers outflow peaks, so inflow flood and spillway capacity differ; for medium and low-hazard dams rules often ignore routing and require spillway capacity above a 100 to 1,000-year peak [LIT:S6]. Statistical frequency analysis suits less critical structures; dangerous dams need hydrological modelling to a PMF [LIT:S6]. Method choice matters: ESHA's 20-year series gives a 100-year flood of 83 m3/s under a lognormal fit and 103 m3/s under log-Pearson III, almost 25% higher, and extrapolation magnifies errors [LIT:S6]. World Bank dam safety guidance covers hydrological risk [HY-15].</w:t>
      </w:r>
    </w:p>
    <w:p>
      <w:pPr>
        <w:jc w:val="both"/>
      </w:pPr>
      <w:r>
        <w:rPr/>
        <w:t>The risk of exceeding a T-year flood in n years is</w:t>
      </w:r>
    </w:p>
    <w:p>
      <w:pPr>
        <w:ind w:left="567"/>
      </w:pPr>
      <w:r>
        <w:rPr>
          <w:color w:val="0B3020"/>
          <w:sz w:val="20"/>
        </w:rPr>
        <w:t>R = 1 − (1 − 1/T)</w:t>
      </w:r>
      <w:r>
        <w:rPr>
          <w:color w:val="0B3020"/>
          <w:sz w:val="20"/>
          <w:vertAlign w:val="superscript"/>
        </w:rPr>
        <w:t>n</w:t>
      </w:r>
    </w:p>
    <w:p>
      <w:pPr>
        <w:jc w:val="both"/>
      </w:pPr>
      <w:r>
        <w:rPr/>
        <w:t>For Kasiri's 3-year construction, that is 14% for a 20-year flood and 3% for a 100-year flood; over 28 years of construction and operation, 25% for the 100-year flood. A 12-year record cannot define a 1,000-year flood statistically, so regional data or a rainfall-runoff model is needed, and the diversion flood should match the contractor's insurance and EPC risk allocation.</w:t>
      </w:r>
    </w:p>
    <w:p>
      <w:pPr>
        <w:pStyle w:val="Heading3"/>
      </w:pPr>
      <w:r>
        <w:t>N.10 Sediment</w:t>
      </w:r>
    </w:p>
    <w:p>
      <w:pPr>
        <w:jc w:val="both"/>
      </w:pPr>
      <w:r>
        <w:rPr/>
        <w:t>The IFC guide lists sedimentation among risks investors must cover and includes sediment transport in pre-feasibility work [DE:S1]. Rivers carry large sediment loads in floods [DE:S1]; the sources give no regional yield values, so yield must come from site sampling that includes flood flows.</w:t>
      </w:r>
    </w:p>
    <w:p>
      <w:pPr>
        <w:jc w:val="both"/>
      </w:pPr>
      <w:r>
        <w:rPr/>
        <w:t>In medium and high-head plants suspended sediment wears turbines and steelwork, cutting efficiency and life; quartz and angular particles are most abrasive [DE:S1]. Above 100 m head, all particles larger than 0.2 mm must be removed by the sand trap, against 0.3 mm at lower heads [DE:S1], so Kasiri's 120 m puts it in the 0.2 mm class. ESHA links trap performance to Francis repair intervals of about 6 to 7 years at 0.2 mm, 3 to 4 years at 0.3 mm and 1 to 2 years at 0.5 mm [LIT:S6]. Coatings and variable-speed units reduce abrasion [DE:S1].</w:t>
      </w:r>
    </w:p>
    <w:p>
      <w:pPr>
        <w:jc w:val="both"/>
      </w:pPr>
      <w:r>
        <w:rPr/>
        <w:t>In run-of-river schemes a flushed sand trap is essential, since most sediment otherwise reaches the turbines [DE:S1; LIT:S6]. In reservoirs, sedimentation erodes live storage and generation; remedies include catchment protection, check structures, flushing, mechanical removal and dam raising [DE:S1]. Global storage lost to sedimentation now exceeds storage added by new reservoirs [HY-06]. The energy model should include flushing losses and sediment outages, and the O&amp;M budget the repair interval implied by the trap.</w:t>
      </w:r>
    </w:p>
    <w:p>
      <w:pPr>
        <w:pStyle w:val="Heading3"/>
      </w:pPr>
      <w:r>
        <w:t>N.11 Climate change and non-stationarity</w:t>
      </w:r>
    </w:p>
    <w:p>
      <w:pPr>
        <w:jc w:val="both"/>
      </w:pPr>
      <w:r>
        <w:rPr/>
        <w:t>A historical FDC assumes the future resembles the past. The IFC guide warns that discharges may deviate from historical values because of climate change, with significant regional changes in flow volume and timing [DE:S1]. ESMAP notes it is often transferred partly or fully to government [HY-06]. Planned hydropower in eastern and southern Africa concentrates capacity in a few basins and rainfall clusters, raising the risk of simultaneous drought [CL-03]. The IHA climate resilience guide sets out a phased screening and stress-test method [CL-01].</w:t>
      </w:r>
    </w:p>
    <w:p>
      <w:pPr>
        <w:jc w:val="both"/>
      </w:pPr>
      <w:r>
        <w:rPr/>
        <w:t>Three tests follow: trend and break tests on the record; a stress case from basin climate projections; and confirmation that covenants hold under that stress, not only under the historical P90. For Kasiri, a uniform 10% flow cut lowers energy by about 9.7% to 264 GWh: the fixed environmental flow takes a larger share, while the spilled May peak absorbs part of the cut.</w:t>
      </w:r>
    </w:p>
    <w:p>
      <w:pPr>
        <w:pStyle w:val="Heading3"/>
      </w:pPr>
      <w:r>
        <w:t>N.12 Independent energy assessment by the lenders' technical adviser</w:t>
      </w:r>
    </w:p>
    <w:p>
      <w:pPr>
        <w:jc w:val="both"/>
      </w:pPr>
      <w:r>
        <w:rPr/>
        <w:t>Lenders should have the energy estimate re-run by their technical adviser, not accept the sponsor's figure. The IFC due-diligence checklist covers catchment and hydro-meteorological data, the data basis (stations, data type, record length), flow available for generation, flood discharges, minimum flow, installed capacity, annual generation and dry-year probability analysis [DE:S1].</w:t>
      </w:r>
    </w:p>
    <w:p>
      <w:pPr>
        <w:jc w:val="both"/>
      </w:pPr>
      <w:r>
        <w:rPr/>
        <w:t>A complete review audits gauge data and rating curves on site; re-derives the transposition and its scatter; rebuilds the model on daily flows with flow-dependent head, efficiency and minimum flow; confirms the environmental flow against licence and ESIA; applies losses to the PPA metering point; reports P50, one-year and multi-year P90 with all uncertainty sources; runs climate and sediment cases; and reconciles results with PPA hydrology risk-sharing [LIT:S7]. The adviser's P50 and P90 should drive debt sizing.</w:t>
      </w:r>
    </w:p>
    <w:p>
      <w:pPr>
        <w:pStyle w:val="Heading3"/>
      </w:pPr>
      <w:r>
        <w:t>N.13 Decision tests</w:t>
      </w:r>
    </w:p>
    <w:p>
      <w:pPr>
        <w:spacing w:after="60"/>
        <w:ind w:left="397" w:hanging="397"/>
      </w:pPr>
      <w:r>
        <w:rPr/>
        <w:t>1.</w:t>
        <w:tab/>
        <w:t>How many of Kasiri's 12 record years were measured near the intake, how many transposed, with what correlation scatter, and why is the record below the IFC's 15 years?</w:t>
      </w:r>
    </w:p>
    <w:p>
      <w:pPr>
        <w:spacing w:after="60"/>
        <w:ind w:left="397" w:hanging="397"/>
      </w:pPr>
      <w:r>
        <w:rPr/>
        <w:t>2.</w:t>
        <w:tab/>
        <w:t>What is the highest measured discharge behind the rating curve, and what share of usable flow lies above it?</w:t>
      </w:r>
    </w:p>
    <w:p>
      <w:pPr>
        <w:spacing w:after="60"/>
        <w:ind w:left="397" w:hanging="397"/>
      </w:pPr>
      <w:r>
        <w:rPr/>
        <w:t>3.</w:t>
        <w:tab/>
        <w:t>Was energy modelled on daily flows, and if not, what correction offsets the monthly overestimate of up to 10% or more?</w:t>
      </w:r>
    </w:p>
    <w:p>
      <w:pPr>
        <w:spacing w:after="60"/>
        <w:ind w:left="397" w:hanging="397"/>
      </w:pPr>
      <w:r>
        <w:rPr/>
        <w:t>4.</w:t>
        <w:tab/>
        <w:t>Where is the IRR or LCOE curve against design flow that justifies 57 m3/s, given a level of use of 1.51?</w:t>
      </w:r>
    </w:p>
    <w:p>
      <w:pPr>
        <w:spacing w:after="60"/>
        <w:ind w:left="397" w:hanging="397"/>
      </w:pPr>
      <w:r>
        <w:rPr/>
        <w:t>5.</w:t>
        <w:tab/>
        <w:t>How many units, of what type and minimum flow, and how much dry-season energy is lost below that minimum?</w:t>
      </w:r>
    </w:p>
    <w:p>
      <w:pPr>
        <w:spacing w:after="60"/>
        <w:ind w:left="397" w:hanging="397"/>
      </w:pPr>
      <w:r>
        <w:rPr/>
        <w:t>6.</w:t>
        <w:tab/>
        <w:t>Is the 4 m3/s environmental flow fixed for the concession term, and what happens to debt service if a higher or seasonal release is imposed?</w:t>
      </w:r>
    </w:p>
    <w:p>
      <w:pPr>
        <w:spacing w:after="60"/>
        <w:ind w:left="397" w:hanging="397"/>
      </w:pPr>
      <w:r>
        <w:rPr/>
        <w:t>7.</w:t>
        <w:tab/>
        <w:t>At which metering point is 292 GWh measured, and are auxiliary use and losses on the 35 km line deducted?</w:t>
      </w:r>
    </w:p>
    <w:p>
      <w:pPr>
        <w:spacing w:after="60"/>
        <w:ind w:left="397" w:hanging="397"/>
      </w:pPr>
      <w:r>
        <w:rPr/>
        <w:t>8.</w:t>
        <w:tab/>
        <w:t>Does the debt service reserve cover a one-year P90 shortfall of about 56 GWh at the minimum DSCR?</w:t>
      </w:r>
    </w:p>
    <w:p>
      <w:pPr>
        <w:spacing w:after="60"/>
        <w:ind w:left="397" w:hanging="397"/>
      </w:pPr>
      <w:r>
        <w:rPr/>
        <w:t>9.</w:t>
        <w:tab/>
        <w:t>Does the record show clustering of dry years, and has the multi-year P90 been widened for it?</w:t>
      </w:r>
    </w:p>
    <w:p>
      <w:pPr>
        <w:spacing w:after="60"/>
        <w:ind w:left="397" w:hanging="397"/>
      </w:pPr>
      <w:r>
        <w:rPr/>
        <w:t>10.</w:t>
        <w:tab/>
        <w:t>Which design floods were used for spillway, diversion and powerhouse, how were they derived from 12 years of data, and which hazard class applies?</w:t>
      </w:r>
    </w:p>
    <w:p>
      <w:pPr>
        <w:spacing w:after="60"/>
        <w:ind w:left="397" w:hanging="397"/>
      </w:pPr>
      <w:r>
        <w:rPr/>
        <w:t>11.</w:t>
        <w:tab/>
        <w:t>What sediment load was measured at what flows, what particle size does the trap remove, and what runner repair interval does the O&amp;M budget assume?</w:t>
      </w:r>
    </w:p>
    <w:p>
      <w:pPr>
        <w:spacing w:after="60"/>
        <w:ind w:left="397" w:hanging="397"/>
      </w:pPr>
      <w:r>
        <w:rPr/>
        <w:t>12.</w:t>
        <w:tab/>
        <w:t>Which climate stress case was run, and do covenants hold under it?</w:t>
      </w:r>
    </w:p>
    <w:p>
      <w:pPr>
        <w:pStyle w:val="Heading2"/>
      </w:pPr>
      <w:r>
        <w:t>Annex O. Scheme layout, civil works and geotechnics</w:t>
      </w:r>
    </w:p>
    <w:p>
      <w:pPr>
        <w:pStyle w:val="Heading3"/>
      </w:pPr>
      <w:r>
        <w:t>O.1 Purpose and scope</w:t>
      </w:r>
    </w:p>
    <w:p>
      <w:pPr>
        <w:jc w:val="both"/>
      </w:pPr>
      <w:r>
        <w:rPr/>
        <w:t>This annex gives a credit committee enough civil engineering to test a feasibility study, an EPC price and a technical adviser's report. Civil works are the largest and least predictable block of hydropower capital cost [DE:S1]. Kasiri figures are case values; every Kasiri layout dimension is an illustrative assumption and is labelled as such.</w:t>
      </w:r>
    </w:p>
    <w:p>
      <w:pPr>
        <w:pStyle w:val="Heading3"/>
      </w:pPr>
      <w:r>
        <w:t>O.2 Scheme types and what they mean for revenue and risk</w:t>
      </w:r>
    </w:p>
    <w:p>
      <w:pPr>
        <w:jc w:val="both"/>
      </w:pPr>
      <w:r>
        <w:rPr/>
        <w:t>The IFC guide classifies schemes by operation as run-of-river, storage and pumped storage [DE:S1]. Two further categories matter to a financier: pondage (a run-of-river plant with a small daily or weekly storage) and cascades (several plants on one river whose operation interacts).</w:t>
      </w:r>
    </w:p>
    <w:p>
      <w:pPr>
        <w:keepNext/>
      </w:pPr>
      <w:r>
        <w:rPr>
          <w:b/>
          <w:color w:val="0B3020"/>
          <w:sz w:val="18"/>
        </w:rPr>
        <w:t>Table O.1. Scheme types, revenue profile and characteristic risk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96"/>
            <w:shd w:val="clear" w:color="auto" w:fill="0B3020"/>
          </w:tcPr>
          <w:p>
            <w:pPr>
              <w:spacing w:after="0"/>
            </w:pPr>
            <w:r>
              <w:rPr>
                <w:b/>
                <w:color w:val="FFFFFF"/>
                <w:sz w:val="16"/>
              </w:rPr>
              <w:t>Scheme type</w:t>
            </w:r>
          </w:p>
        </w:tc>
        <w:tc>
          <w:tcPr>
            <w:tcW w:type="dxa" w:w="2981"/>
            <w:shd w:val="clear" w:color="auto" w:fill="0B3020"/>
          </w:tcPr>
          <w:p>
            <w:pPr>
              <w:spacing w:after="0"/>
            </w:pPr>
            <w:r>
              <w:rPr>
                <w:b/>
                <w:color w:val="FFFFFF"/>
                <w:sz w:val="16"/>
              </w:rPr>
              <w:t>How it works</w:t>
            </w:r>
          </w:p>
        </w:tc>
        <w:tc>
          <w:tcPr>
            <w:tcW w:type="dxa" w:w="2981"/>
            <w:shd w:val="clear" w:color="auto" w:fill="0B3020"/>
          </w:tcPr>
          <w:p>
            <w:pPr>
              <w:spacing w:after="0"/>
            </w:pPr>
            <w:r>
              <w:rPr>
                <w:b/>
                <w:color w:val="FFFFFF"/>
                <w:sz w:val="16"/>
              </w:rPr>
              <w:t>Revenue profile</w:t>
            </w:r>
          </w:p>
        </w:tc>
        <w:tc>
          <w:tcPr>
            <w:tcW w:type="dxa" w:w="2981"/>
            <w:shd w:val="clear" w:color="auto" w:fill="0B3020"/>
          </w:tcPr>
          <w:p>
            <w:pPr>
              <w:spacing w:after="0"/>
            </w:pPr>
            <w:r>
              <w:rPr>
                <w:b/>
                <w:color w:val="FFFFFF"/>
                <w:sz w:val="16"/>
              </w:rPr>
              <w:t>Characteristic civil and E&amp;S risk</w:t>
            </w:r>
          </w:p>
        </w:tc>
      </w:tr>
      <w:tr>
        <w:tc>
          <w:tcPr>
            <w:tcW w:type="dxa" w:w="696"/>
          </w:tcPr>
          <w:p>
            <w:pPr>
              <w:spacing w:after="0"/>
            </w:pPr>
            <w:r>
              <w:rPr>
                <w:color w:val="1D1D1D"/>
                <w:sz w:val="16"/>
              </w:rPr>
              <w:t>Run-of-river</w:t>
            </w:r>
          </w:p>
        </w:tc>
        <w:tc>
          <w:tcPr>
            <w:tcW w:type="dxa" w:w="2981"/>
          </w:tcPr>
          <w:p>
            <w:pPr>
              <w:spacing w:after="0"/>
            </w:pPr>
            <w:r>
              <w:rPr>
                <w:color w:val="1D1D1D"/>
                <w:sz w:val="16"/>
              </w:rPr>
              <w:t>Uses inflow as it arrives; little or no storage, so peaking lasts a few hours at most [DE:S1]</w:t>
            </w:r>
          </w:p>
        </w:tc>
        <w:tc>
          <w:tcPr>
            <w:tcW w:type="dxa" w:w="2981"/>
          </w:tcPr>
          <w:p>
            <w:pPr>
              <w:spacing w:after="0"/>
            </w:pPr>
            <w:r>
              <w:rPr>
                <w:color w:val="1D1D1D"/>
                <w:sz w:val="16"/>
              </w:rPr>
              <w:t>Follows seasonal and inter-annual flow [DE:S1]</w:t>
            </w:r>
          </w:p>
        </w:tc>
        <w:tc>
          <w:tcPr>
            <w:tcW w:type="dxa" w:w="2981"/>
          </w:tcPr>
          <w:p>
            <w:pPr>
              <w:spacing w:after="0"/>
            </w:pPr>
            <w:r>
              <w:rPr>
                <w:color w:val="1D1D1D"/>
                <w:sz w:val="16"/>
              </w:rPr>
              <w:t>Sediment reaches the turbines, so a sand trap is essential [DE:S1]; perceived lower E&amp;S risk, favoured by private investors [HY-06]</w:t>
            </w:r>
          </w:p>
        </w:tc>
      </w:tr>
      <w:tr>
        <w:tc>
          <w:tcPr>
            <w:tcW w:type="dxa" w:w="696"/>
            <w:shd w:val="clear" w:color="auto" w:fill="FAF8F2"/>
          </w:tcPr>
          <w:p>
            <w:pPr>
              <w:spacing w:after="0"/>
            </w:pPr>
            <w:r>
              <w:rPr>
                <w:color w:val="1D1D1D"/>
                <w:sz w:val="16"/>
              </w:rPr>
              <w:t>Pondage</w:t>
            </w:r>
          </w:p>
        </w:tc>
        <w:tc>
          <w:tcPr>
            <w:tcW w:type="dxa" w:w="2981"/>
            <w:shd w:val="clear" w:color="auto" w:fill="FAF8F2"/>
          </w:tcPr>
          <w:p>
            <w:pPr>
              <w:spacing w:after="0"/>
            </w:pPr>
            <w:r>
              <w:rPr>
                <w:color w:val="1D1D1D"/>
                <w:sz w:val="16"/>
              </w:rPr>
              <w:t>Run-of-river with enough storage to shift flow within the day</w:t>
            </w:r>
          </w:p>
        </w:tc>
        <w:tc>
          <w:tcPr>
            <w:tcW w:type="dxa" w:w="2981"/>
            <w:shd w:val="clear" w:color="auto" w:fill="FAF8F2"/>
          </w:tcPr>
          <w:p>
            <w:pPr>
              <w:spacing w:after="0"/>
            </w:pPr>
            <w:r>
              <w:rPr>
                <w:color w:val="1D1D1D"/>
                <w:sz w:val="16"/>
              </w:rPr>
              <w:t>Same energy, part moved into peak hours</w:t>
            </w:r>
          </w:p>
        </w:tc>
        <w:tc>
          <w:tcPr>
            <w:tcW w:type="dxa" w:w="2981"/>
            <w:shd w:val="clear" w:color="auto" w:fill="FAF8F2"/>
          </w:tcPr>
          <w:p>
            <w:pPr>
              <w:spacing w:after="0"/>
            </w:pPr>
            <w:r>
              <w:rPr>
                <w:color w:val="1D1D1D"/>
                <w:sz w:val="16"/>
              </w:rPr>
              <w:t>Higher weir or small dam; may cross dam safety thresholds (O.7)</w:t>
            </w:r>
          </w:p>
        </w:tc>
      </w:tr>
      <w:tr>
        <w:tc>
          <w:tcPr>
            <w:tcW w:type="dxa" w:w="696"/>
          </w:tcPr>
          <w:p>
            <w:pPr>
              <w:spacing w:after="0"/>
            </w:pPr>
            <w:r>
              <w:rPr>
                <w:color w:val="1D1D1D"/>
                <w:sz w:val="16"/>
              </w:rPr>
              <w:t>Storage</w:t>
            </w:r>
          </w:p>
        </w:tc>
        <w:tc>
          <w:tcPr>
            <w:tcW w:type="dxa" w:w="2981"/>
          </w:tcPr>
          <w:p>
            <w:pPr>
              <w:spacing w:after="0"/>
            </w:pPr>
            <w:r>
              <w:rPr>
                <w:color w:val="1D1D1D"/>
                <w:sz w:val="16"/>
              </w:rPr>
              <w:t>Reservoir stores wet-season water; its volume sets the peaking period [DE:S1]</w:t>
            </w:r>
          </w:p>
        </w:tc>
        <w:tc>
          <w:tcPr>
            <w:tcW w:type="dxa" w:w="2981"/>
          </w:tcPr>
          <w:p>
            <w:pPr>
              <w:spacing w:after="0"/>
            </w:pPr>
            <w:r>
              <w:rPr>
                <w:color w:val="1D1D1D"/>
                <w:sz w:val="16"/>
              </w:rPr>
              <w:t>Firm energy and capacity; less exposed to dry months</w:t>
            </w:r>
          </w:p>
        </w:tc>
        <w:tc>
          <w:tcPr>
            <w:tcW w:type="dxa" w:w="2981"/>
          </w:tcPr>
          <w:p>
            <w:pPr>
              <w:spacing w:after="0"/>
            </w:pPr>
            <w:r>
              <w:rPr>
                <w:color w:val="1D1D1D"/>
                <w:sz w:val="16"/>
              </w:rPr>
              <w:t>Large dam; resettlement; leakage in karst [DE:S1]</w:t>
            </w:r>
          </w:p>
        </w:tc>
      </w:tr>
      <w:tr>
        <w:tc>
          <w:tcPr>
            <w:tcW w:type="dxa" w:w="696"/>
            <w:shd w:val="clear" w:color="auto" w:fill="FAF8F2"/>
          </w:tcPr>
          <w:p>
            <w:pPr>
              <w:spacing w:after="0"/>
            </w:pPr>
            <w:r>
              <w:rPr>
                <w:color w:val="1D1D1D"/>
                <w:sz w:val="16"/>
              </w:rPr>
              <w:t>Pumped storage</w:t>
            </w:r>
          </w:p>
        </w:tc>
        <w:tc>
          <w:tcPr>
            <w:tcW w:type="dxa" w:w="2981"/>
            <w:shd w:val="clear" w:color="auto" w:fill="FAF8F2"/>
          </w:tcPr>
          <w:p>
            <w:pPr>
              <w:spacing w:after="0"/>
            </w:pPr>
            <w:r>
              <w:rPr>
                <w:color w:val="1D1D1D"/>
                <w:sz w:val="16"/>
              </w:rPr>
              <w:t>Pumps off peak, generates at peak; cycle efficiency up to about 80 percent [DE:S1]</w:t>
            </w:r>
          </w:p>
        </w:tc>
        <w:tc>
          <w:tcPr>
            <w:tcW w:type="dxa" w:w="2981"/>
            <w:shd w:val="clear" w:color="auto" w:fill="FAF8F2"/>
          </w:tcPr>
          <w:p>
            <w:pPr>
              <w:spacing w:after="0"/>
            </w:pPr>
            <w:r>
              <w:rPr>
                <w:color w:val="1D1D1D"/>
                <w:sz w:val="16"/>
              </w:rPr>
              <w:t>Price spreads and ancillary services such as inertia and frequency regulation [HY-06]</w:t>
            </w:r>
          </w:p>
        </w:tc>
        <w:tc>
          <w:tcPr>
            <w:tcW w:type="dxa" w:w="2981"/>
            <w:shd w:val="clear" w:color="auto" w:fill="FAF8F2"/>
          </w:tcPr>
          <w:p>
            <w:pPr>
              <w:spacing w:after="0"/>
            </w:pPr>
            <w:r>
              <w:rPr>
                <w:color w:val="1D1D1D"/>
                <w:sz w:val="16"/>
              </w:rPr>
              <w:t>Two reservoirs; revenue depends on market design</w:t>
            </w:r>
          </w:p>
        </w:tc>
      </w:tr>
      <w:tr>
        <w:tc>
          <w:tcPr>
            <w:tcW w:type="dxa" w:w="696"/>
          </w:tcPr>
          <w:p>
            <w:pPr>
              <w:spacing w:after="0"/>
            </w:pPr>
            <w:r>
              <w:rPr>
                <w:color w:val="1D1D1D"/>
                <w:sz w:val="16"/>
              </w:rPr>
              <w:t>Cascade</w:t>
            </w:r>
          </w:p>
        </w:tc>
        <w:tc>
          <w:tcPr>
            <w:tcW w:type="dxa" w:w="2981"/>
          </w:tcPr>
          <w:p>
            <w:pPr>
              <w:spacing w:after="0"/>
            </w:pPr>
            <w:r>
              <w:rPr>
                <w:color w:val="1D1D1D"/>
                <w:sz w:val="16"/>
              </w:rPr>
              <w:t>Several plants on one river</w:t>
            </w:r>
          </w:p>
        </w:tc>
        <w:tc>
          <w:tcPr>
            <w:tcW w:type="dxa" w:w="2981"/>
          </w:tcPr>
          <w:p>
            <w:pPr>
              <w:spacing w:after="0"/>
            </w:pPr>
            <w:r>
              <w:rPr>
                <w:color w:val="1D1D1D"/>
                <w:sz w:val="16"/>
              </w:rPr>
              <w:t>Flow and head depend on the other plants</w:t>
            </w:r>
          </w:p>
        </w:tc>
        <w:tc>
          <w:tcPr>
            <w:tcW w:type="dxa" w:w="2981"/>
          </w:tcPr>
          <w:p>
            <w:pPr>
              <w:spacing w:after="0"/>
            </w:pPr>
            <w:r>
              <w:rPr>
                <w:color w:val="1D1D1D"/>
                <w:sz w:val="16"/>
              </w:rPr>
              <w:t>Reservoir levels must not raise tailwater at the plant upstream; upstream storage changes downstream flow [DE:S1]</w:t>
            </w:r>
          </w:p>
        </w:tc>
      </w:tr>
    </w:tbl>
    <w:p>
      <w:pPr>
        <w:spacing w:after="40"/>
      </w:pPr>
    </w:p>
    <w:p>
      <w:pPr>
        <w:jc w:val="both"/>
      </w:pPr>
      <w:r>
        <w:rPr/>
        <w:t>Topography usually decides the type: a steep, narrow valley allows a short high dam to form a reservoir at modest cost, while flat terrain needs a long expensive dam [DE:S1]. Pumped storage holds over 90 percent of world electricity storage capacity, 160 GW in 2021 [HY-06].</w:t>
      </w:r>
    </w:p>
    <w:p>
      <w:pPr>
        <w:pStyle w:val="Heading3"/>
      </w:pPr>
      <w:r>
        <w:t>O.3 Layout components in water order</w:t>
      </w:r>
    </w:p>
    <w:p>
      <w:pPr>
        <w:jc w:val="both"/>
      </w:pPr>
      <w:r>
        <w:rPr/>
        <w:t>The two basic layouts are a powerhouse at the headworks or a diversion scheme with the powerhouse downstream to gain head; the choice optimises head against waterway length [DE:S1].</w:t>
      </w:r>
    </w:p>
    <w:p>
      <w:pPr>
        <w:spacing w:after="60"/>
        <w:ind w:left="397" w:hanging="397"/>
      </w:pPr>
      <w:r>
        <w:rPr/>
        <w:t>1.</w:t>
        <w:tab/>
      </w:r>
      <w:r>
        <w:rPr>
          <w:b/>
        </w:rPr>
        <w:t>Diversion weir or dam.</w:t>
      </w:r>
      <w:r>
        <w:rPr/>
        <w:t xml:space="preserve"> Raises water to the intake level and passes floods. A weir only holds the upstream level; it cannot store water [DE:S1]. Gated weirs hold a constant level; fixed overflow weirs do not [DE:S1].</w:t>
      </w:r>
    </w:p>
    <w:p>
      <w:pPr>
        <w:spacing w:after="60"/>
        <w:ind w:left="397" w:hanging="397"/>
      </w:pPr>
      <w:r>
        <w:rPr/>
        <w:t>2.</w:t>
        <w:tab/>
      </w:r>
      <w:r>
        <w:rPr>
          <w:b/>
        </w:rPr>
        <w:t>Spillway and bottom outlet.</w:t>
      </w:r>
      <w:r>
        <w:rPr/>
        <w:t xml:space="preserve"> The spillway passes surplus flow without damaging the dam; the bottom outlet lowers or empties the reservoir for maintenance or emergencies [DE:S1].</w:t>
      </w:r>
    </w:p>
    <w:p>
      <w:pPr>
        <w:spacing w:after="60"/>
        <w:ind w:left="397" w:hanging="397"/>
      </w:pPr>
      <w:r>
        <w:rPr/>
        <w:t>3.</w:t>
        <w:tab/>
      </w:r>
      <w:r>
        <w:rPr>
          <w:b/>
        </w:rPr>
        <w:t>Intake.</w:t>
      </w:r>
      <w:r>
        <w:rPr/>
        <w:t xml:space="preserve"> Screen, screen cleaner and gate, ideally on a straight reach with a stable bed [DE:S1]. Submergence of about three pipe diameters prevents vortices [DE:S1]. Intakes are usually the most maintenance-intensive component [DE:S1].</w:t>
      </w:r>
    </w:p>
    <w:p>
      <w:pPr>
        <w:spacing w:after="60"/>
        <w:ind w:left="397" w:hanging="397"/>
      </w:pPr>
      <w:r>
        <w:rPr/>
        <w:t>4.</w:t>
        <w:tab/>
      </w:r>
      <w:r>
        <w:rPr>
          <w:b/>
        </w:rPr>
        <w:t>Trash racks.</w:t>
      </w:r>
      <w:r>
        <w:rPr/>
        <w:t xml:space="preserve"> Approach velocity is typically 0.25 to 1.0 m/s [LIT:S6]; a blocked rack is a head loss and an outage risk.</w:t>
      </w:r>
    </w:p>
    <w:p>
      <w:pPr>
        <w:spacing w:after="60"/>
        <w:ind w:left="397" w:hanging="397"/>
      </w:pPr>
      <w:r>
        <w:rPr/>
        <w:t>5.</w:t>
        <w:tab/>
      </w:r>
      <w:r>
        <w:rPr>
          <w:b/>
        </w:rPr>
        <w:t>Desander (sand trap).</w:t>
      </w:r>
      <w:r>
        <w:rPr/>
        <w:t xml:space="preserve"> Directly downstream of the intake. Where head exceeds 100 m, particles larger than 0.2 mm must be retained; for lower heads 0.3 mm is acceptable, and hard angular minerals such as quartz call for a smaller cut size [DE:S1].</w:t>
      </w:r>
    </w:p>
    <w:p>
      <w:pPr>
        <w:spacing w:after="60"/>
        <w:ind w:left="397" w:hanging="397"/>
      </w:pPr>
      <w:r>
        <w:rPr/>
        <w:t>6.</w:t>
        <w:tab/>
      </w:r>
      <w:r>
        <w:rPr>
          <w:b/>
        </w:rPr>
        <w:t>Headrace canal or tunnel.</w:t>
      </w:r>
      <w:r>
        <w:rPr/>
        <w:t xml:space="preserve"> Canal velocity between 1.0 and 1.5 m/s, freeboard about 10 cm for lined and one third of water depth (minimum 15 cm) for unlined canals [DE:S1]. Tunnel velocity below 3 to 4 m/s to limit head loss [DE:S1].</w:t>
      </w:r>
    </w:p>
    <w:p>
      <w:pPr>
        <w:spacing w:after="60"/>
        <w:ind w:left="397" w:hanging="397"/>
      </w:pPr>
      <w:r>
        <w:rPr/>
        <w:t>7.</w:t>
        <w:tab/>
      </w:r>
      <w:r>
        <w:rPr>
          <w:b/>
        </w:rPr>
        <w:t>Forebay or surge tank.</w:t>
      </w:r>
      <w:r>
        <w:rPr/>
        <w:t xml:space="preserve"> A forebay holds enough water for start-up, prevents air entering the penstock and absorbs load-rejection surges [DE:S1]. A surge tank (simple, restricted orifice or differential) controls water hammer on pressurised systems [DE:S1].</w:t>
      </w:r>
    </w:p>
    <w:p>
      <w:pPr>
        <w:spacing w:after="60"/>
        <w:ind w:left="397" w:hanging="397"/>
      </w:pPr>
      <w:r>
        <w:rPr/>
        <w:t>8.</w:t>
        <w:tab/>
      </w:r>
      <w:r>
        <w:rPr>
          <w:b/>
        </w:rPr>
        <w:t>Penstock.</w:t>
      </w:r>
      <w:r>
        <w:rPr/>
        <w:t xml:space="preserve"> Designed for static head plus water hammer; held by anchor blocks at every change of direction or slope [DE:S1]. Steel suits high heads; prestressed concrete is limited to about 15 bar, equivalent to 150 m [DE:S1].</w:t>
      </w:r>
    </w:p>
    <w:p>
      <w:pPr>
        <w:spacing w:after="60"/>
        <w:ind w:left="397" w:hanging="397"/>
      </w:pPr>
      <w:r>
        <w:rPr/>
        <w:t>9.</w:t>
        <w:tab/>
      </w:r>
      <w:r>
        <w:rPr>
          <w:b/>
        </w:rPr>
        <w:t>Powerhouse, surface or underground.</w:t>
      </w:r>
      <w:r>
        <w:rPr/>
        <w:t xml:space="preserve"> The crane must lift the heaviest part; underground siting can reduce environmental impact [DE:S1]. Surface powerhouses on river terraces may need special foundation treatment such as jet grouting [LIT:S6].</w:t>
      </w:r>
    </w:p>
    <w:p>
      <w:pPr>
        <w:spacing w:after="60"/>
        <w:ind w:left="397" w:hanging="397"/>
      </w:pPr>
      <w:r>
        <w:rPr/>
        <w:t>10.</w:t>
        <w:tab/>
      </w:r>
      <w:r>
        <w:rPr>
          <w:b/>
        </w:rPr>
        <w:t>Tailrace.</w:t>
      </w:r>
      <w:r>
        <w:rPr/>
        <w:t xml:space="preserve"> Returns water to the river; its level sets the bottom of the usable head and, in a cascade, interacts with the next reservoir [DE:S1].</w:t>
      </w:r>
    </w:p>
    <w:p>
      <w:pPr>
        <w:jc w:val="both"/>
      </w:pPr>
      <w:r>
        <w:rPr/>
        <w:t>The value of a metre of head is a useful yardstick when the waterway is being optimised:</w:t>
      </w:r>
    </w:p>
    <w:p>
      <w:pPr>
        <w:ind w:left="567"/>
      </w:pPr>
      <w:r>
        <w:rPr>
          <w:color w:val="0B3020"/>
          <w:sz w:val="20"/>
        </w:rPr>
        <w:t>P = ρ g Q H</w:t>
      </w:r>
      <w:r>
        <w:rPr>
          <w:color w:val="0B3020"/>
          <w:sz w:val="20"/>
        </w:rPr>
        <w:t>n</w:t>
      </w:r>
      <w:r>
        <w:rPr>
          <w:color w:val="0B3020"/>
          <w:sz w:val="20"/>
        </w:rPr>
        <w:t xml:space="preserve"> η</w:t>
      </w:r>
      <w:r>
        <w:rPr>
          <w:color w:val="0B3020"/>
          <w:sz w:val="20"/>
        </w:rPr>
        <w:t>t</w:t>
      </w:r>
      <w:r>
        <w:rPr>
          <w:color w:val="0B3020"/>
          <w:sz w:val="20"/>
        </w:rPr>
        <w:t xml:space="preserve"> η</w:t>
      </w:r>
      <w:r>
        <w:rPr>
          <w:color w:val="0B3020"/>
          <w:sz w:val="20"/>
        </w:rPr>
        <w:t>g</w:t>
      </w:r>
    </w:p>
    <w:p>
      <w:pPr>
        <w:ind w:left="567"/>
      </w:pPr>
      <w:r>
        <w:rPr>
          <w:color w:val="0B3020"/>
          <w:sz w:val="20"/>
        </w:rPr>
        <w:t>ΔP per metre of head loss at rated flow = ρ g Q</w:t>
      </w:r>
      <w:r>
        <w:rPr>
          <w:color w:val="0B3020"/>
          <w:sz w:val="20"/>
        </w:rPr>
        <w:t>d</w:t>
      </w:r>
      <w:r>
        <w:rPr>
          <w:color w:val="0B3020"/>
          <w:sz w:val="20"/>
        </w:rPr>
        <w:t xml:space="preserve"> η</w:t>
      </w:r>
      <w:r>
        <w:rPr>
          <w:color w:val="0B3020"/>
          <w:sz w:val="20"/>
        </w:rPr>
        <w:t>t</w:t>
      </w:r>
      <w:r>
        <w:rPr>
          <w:color w:val="0B3020"/>
          <w:sz w:val="20"/>
        </w:rPr>
        <w:t xml:space="preserve"> η</w:t>
      </w:r>
      <w:r>
        <w:rPr>
          <w:color w:val="0B3020"/>
          <w:sz w:val="20"/>
        </w:rPr>
        <w:t>g</w:t>
      </w:r>
    </w:p>
    <w:p>
      <w:pPr>
        <w:pStyle w:val="Heading3"/>
      </w:pPr>
      <w:r>
        <w:t>O.4 Dams and weirs: types and selection drivers</w:t>
      </w:r>
    </w:p>
    <w:p>
      <w:pPr>
        <w:jc w:val="both"/>
      </w:pPr>
      <w:r>
        <w:rPr/>
        <w:t>The IFC guide gives the selection drivers in Table O.2 [DE:S1]. The ICOLD definition of a large dam is height above 15 m, or 5 to 15 m with reservoir storage above 3 million m3 [DE:S1]. ESHA cites ICOLD's "small" dam as no more than 15 m high, crest under 500 m and storage under 1 million m3 [LIT:S6].</w:t>
      </w:r>
    </w:p>
    <w:p>
      <w:pPr>
        <w:keepNext/>
      </w:pPr>
      <w:r>
        <w:rPr>
          <w:b/>
          <w:color w:val="0B3020"/>
          <w:sz w:val="18"/>
        </w:rPr>
        <w:t>Table O.2. Dam types and selection drivers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06"/>
            <w:shd w:val="clear" w:color="auto" w:fill="0B3020"/>
          </w:tcPr>
          <w:p>
            <w:pPr>
              <w:spacing w:after="0"/>
            </w:pPr>
            <w:r>
              <w:rPr>
                <w:b/>
                <w:color w:val="FFFFFF"/>
                <w:sz w:val="16"/>
              </w:rPr>
              <w:t>Type</w:t>
            </w:r>
          </w:p>
        </w:tc>
        <w:tc>
          <w:tcPr>
            <w:tcW w:type="dxa" w:w="2677"/>
            <w:shd w:val="clear" w:color="auto" w:fill="0B3020"/>
          </w:tcPr>
          <w:p>
            <w:pPr>
              <w:spacing w:after="0"/>
            </w:pPr>
            <w:r>
              <w:rPr>
                <w:b/>
                <w:color w:val="FFFFFF"/>
                <w:sz w:val="16"/>
              </w:rPr>
              <w:t>Strengths</w:t>
            </w:r>
          </w:p>
        </w:tc>
        <w:tc>
          <w:tcPr>
            <w:tcW w:type="dxa" w:w="2677"/>
            <w:shd w:val="clear" w:color="auto" w:fill="0B3020"/>
          </w:tcPr>
          <w:p>
            <w:pPr>
              <w:spacing w:after="0"/>
            </w:pPr>
            <w:r>
              <w:rPr>
                <w:b/>
                <w:color w:val="FFFFFF"/>
                <w:sz w:val="16"/>
              </w:rPr>
              <w:t>Limitations</w:t>
            </w:r>
          </w:p>
        </w:tc>
        <w:tc>
          <w:tcPr>
            <w:tcW w:type="dxa" w:w="2677"/>
            <w:shd w:val="clear" w:color="auto" w:fill="0B3020"/>
          </w:tcPr>
          <w:p>
            <w:pPr>
              <w:spacing w:after="0"/>
            </w:pPr>
            <w:r>
              <w:rPr>
                <w:b/>
                <w:color w:val="FFFFFF"/>
                <w:sz w:val="16"/>
              </w:rPr>
              <w:t>Selection drivers</w:t>
            </w:r>
          </w:p>
        </w:tc>
      </w:tr>
      <w:tr>
        <w:tc>
          <w:tcPr>
            <w:tcW w:type="dxa" w:w="1606"/>
          </w:tcPr>
          <w:p>
            <w:pPr>
              <w:spacing w:after="0"/>
            </w:pPr>
            <w:r>
              <w:rPr>
                <w:color w:val="1D1D1D"/>
                <w:sz w:val="16"/>
              </w:rPr>
              <w:t>Concrete gravity</w:t>
            </w:r>
          </w:p>
        </w:tc>
        <w:tc>
          <w:tcPr>
            <w:tcW w:type="dxa" w:w="2677"/>
          </w:tcPr>
          <w:p>
            <w:pPr>
              <w:spacing w:after="0"/>
            </w:pPr>
            <w:r>
              <w:rPr>
                <w:color w:val="1D1D1D"/>
                <w:sz w:val="16"/>
              </w:rPr>
              <w:t>Crest spillway, powerhouse at the toe, tolerant of overtopping [LIT:S6]</w:t>
            </w:r>
          </w:p>
        </w:tc>
        <w:tc>
          <w:tcPr>
            <w:tcW w:type="dxa" w:w="2677"/>
          </w:tcPr>
          <w:p>
            <w:pPr>
              <w:spacing w:after="0"/>
            </w:pPr>
            <w:r>
              <w:rPr>
                <w:color w:val="1D1D1D"/>
                <w:sz w:val="16"/>
              </w:rPr>
              <w:t>Needs sound foundation; sliding, uplift and thermal cracking govern design [LIT:S6]</w:t>
            </w:r>
          </w:p>
        </w:tc>
        <w:tc>
          <w:tcPr>
            <w:tcW w:type="dxa" w:w="2677"/>
          </w:tcPr>
          <w:p>
            <w:pPr>
              <w:spacing w:after="0"/>
            </w:pPr>
            <w:r>
              <w:rPr>
                <w:color w:val="1D1D1D"/>
                <w:sz w:val="16"/>
              </w:rPr>
              <w:t>Narrow U-shaped valley; rock foundation; seismic zones (with embankments) [DE:S1]</w:t>
            </w:r>
          </w:p>
        </w:tc>
      </w:tr>
      <w:tr>
        <w:tc>
          <w:tcPr>
            <w:tcW w:type="dxa" w:w="1606"/>
            <w:shd w:val="clear" w:color="auto" w:fill="FAF8F2"/>
          </w:tcPr>
          <w:p>
            <w:pPr>
              <w:spacing w:after="0"/>
            </w:pPr>
            <w:r>
              <w:rPr>
                <w:color w:val="1D1D1D"/>
                <w:sz w:val="16"/>
              </w:rPr>
              <w:t>Roller compacted concrete (RCC)</w:t>
            </w:r>
          </w:p>
        </w:tc>
        <w:tc>
          <w:tcPr>
            <w:tcW w:type="dxa" w:w="2677"/>
            <w:shd w:val="clear" w:color="auto" w:fill="FAF8F2"/>
          </w:tcPr>
          <w:p>
            <w:pPr>
              <w:spacing w:after="0"/>
            </w:pPr>
            <w:r>
              <w:rPr>
                <w:color w:val="1D1D1D"/>
                <w:sz w:val="16"/>
              </w:rPr>
              <w:t>Continuous, highly mechanised placement and low unit cost [LIT:S6]</w:t>
            </w:r>
          </w:p>
        </w:tc>
        <w:tc>
          <w:tcPr>
            <w:tcW w:type="dxa" w:w="2677"/>
            <w:shd w:val="clear" w:color="auto" w:fill="FAF8F2"/>
          </w:tcPr>
          <w:p>
            <w:pPr>
              <w:spacing w:after="0"/>
            </w:pPr>
            <w:r>
              <w:rPr>
                <w:color w:val="1D1D1D"/>
                <w:sz w:val="16"/>
              </w:rPr>
              <w:t>Needs aggregate and cementitious supply at scale</w:t>
            </w:r>
          </w:p>
        </w:tc>
        <w:tc>
          <w:tcPr>
            <w:tcW w:type="dxa" w:w="2677"/>
            <w:shd w:val="clear" w:color="auto" w:fill="FAF8F2"/>
          </w:tcPr>
          <w:p>
            <w:pPr>
              <w:spacing w:after="0"/>
            </w:pPr>
            <w:r>
              <w:rPr>
                <w:color w:val="1D1D1D"/>
                <w:sz w:val="16"/>
              </w:rPr>
              <w:t>Same as gravity; most new large dams are RCC or CFRD [LIT:S6]</w:t>
            </w:r>
          </w:p>
        </w:tc>
      </w:tr>
      <w:tr>
        <w:tc>
          <w:tcPr>
            <w:tcW w:type="dxa" w:w="1606"/>
          </w:tcPr>
          <w:p>
            <w:pPr>
              <w:spacing w:after="0"/>
            </w:pPr>
            <w:r>
              <w:rPr>
                <w:color w:val="1D1D1D"/>
                <w:sz w:val="16"/>
              </w:rPr>
              <w:t>Arch or cupola</w:t>
            </w:r>
          </w:p>
        </w:tc>
        <w:tc>
          <w:tcPr>
            <w:tcW w:type="dxa" w:w="2677"/>
          </w:tcPr>
          <w:p>
            <w:pPr>
              <w:spacing w:after="0"/>
            </w:pPr>
            <w:r>
              <w:rPr>
                <w:color w:val="1D1D1D"/>
                <w:sz w:val="16"/>
              </w:rPr>
              <w:t>Structurally efficient, much less concrete [LIT:S6]</w:t>
            </w:r>
          </w:p>
        </w:tc>
        <w:tc>
          <w:tcPr>
            <w:tcW w:type="dxa" w:w="2677"/>
          </w:tcPr>
          <w:p>
            <w:pPr>
              <w:spacing w:after="0"/>
            </w:pPr>
            <w:r>
              <w:rPr>
                <w:color w:val="1D1D1D"/>
                <w:sz w:val="16"/>
              </w:rPr>
              <w:t>Narrow valley and strong abutment rock are essential [LIT:S6]</w:t>
            </w:r>
          </w:p>
        </w:tc>
        <w:tc>
          <w:tcPr>
            <w:tcW w:type="dxa" w:w="2677"/>
          </w:tcPr>
          <w:p>
            <w:pPr>
              <w:spacing w:after="0"/>
            </w:pPr>
            <w:r>
              <w:rPr>
                <w:color w:val="1D1D1D"/>
                <w:sz w:val="16"/>
              </w:rPr>
              <w:t>Narrow V-shaped valley [DE:S1]</w:t>
            </w:r>
          </w:p>
        </w:tc>
      </w:tr>
      <w:tr>
        <w:tc>
          <w:tcPr>
            <w:tcW w:type="dxa" w:w="1606"/>
            <w:shd w:val="clear" w:color="auto" w:fill="FAF8F2"/>
          </w:tcPr>
          <w:p>
            <w:pPr>
              <w:spacing w:after="0"/>
            </w:pPr>
            <w:r>
              <w:rPr>
                <w:color w:val="1D1D1D"/>
                <w:sz w:val="16"/>
              </w:rPr>
              <w:t>Embankment (earth or rockfill, core)</w:t>
            </w:r>
          </w:p>
        </w:tc>
        <w:tc>
          <w:tcPr>
            <w:tcW w:type="dxa" w:w="2677"/>
            <w:shd w:val="clear" w:color="auto" w:fill="FAF8F2"/>
          </w:tcPr>
          <w:p>
            <w:pPr>
              <w:spacing w:after="0"/>
            </w:pPr>
            <w:r>
              <w:rPr>
                <w:color w:val="1D1D1D"/>
                <w:sz w:val="16"/>
              </w:rPr>
              <w:t>Adapts to many foundations; local materials [LIT:S6]; clay cores suit seismic areas [DE:S1]</w:t>
            </w:r>
          </w:p>
        </w:tc>
        <w:tc>
          <w:tcPr>
            <w:tcW w:type="dxa" w:w="2677"/>
            <w:shd w:val="clear" w:color="auto" w:fill="FAF8F2"/>
          </w:tcPr>
          <w:p>
            <w:pPr>
              <w:spacing w:after="0"/>
            </w:pPr>
            <w:r>
              <w:rPr>
                <w:color w:val="1D1D1D"/>
                <w:sz w:val="16"/>
              </w:rPr>
              <w:t>Sensitive to overtopping, leakage and internal erosion; higher failure rate than concrete dams [LIT:S6]</w:t>
            </w:r>
          </w:p>
        </w:tc>
        <w:tc>
          <w:tcPr>
            <w:tcW w:type="dxa" w:w="2677"/>
            <w:shd w:val="clear" w:color="auto" w:fill="FAF8F2"/>
          </w:tcPr>
          <w:p>
            <w:pPr>
              <w:spacing w:after="0"/>
            </w:pPr>
            <w:r>
              <w:rPr>
                <w:color w:val="1D1D1D"/>
                <w:sz w:val="16"/>
              </w:rPr>
              <w:t>Wide valleys, plains, gravel, silt or clay foundations [DE:S1]</w:t>
            </w:r>
          </w:p>
        </w:tc>
      </w:tr>
      <w:tr>
        <w:tc>
          <w:tcPr>
            <w:tcW w:type="dxa" w:w="1606"/>
          </w:tcPr>
          <w:p>
            <w:pPr>
              <w:spacing w:after="0"/>
            </w:pPr>
            <w:r>
              <w:rPr>
                <w:color w:val="1D1D1D"/>
                <w:sz w:val="16"/>
              </w:rPr>
              <w:t>Concrete faced rockfill (CFRD)</w:t>
            </w:r>
          </w:p>
        </w:tc>
        <w:tc>
          <w:tcPr>
            <w:tcW w:type="dxa" w:w="2677"/>
          </w:tcPr>
          <w:p>
            <w:pPr>
              <w:spacing w:after="0"/>
            </w:pPr>
            <w:r>
              <w:rPr>
                <w:color w:val="1D1D1D"/>
                <w:sz w:val="16"/>
              </w:rPr>
              <w:t>Less sensitive to leakage and erosion; no core material needed [LIT:S6]</w:t>
            </w:r>
          </w:p>
        </w:tc>
        <w:tc>
          <w:tcPr>
            <w:tcW w:type="dxa" w:w="2677"/>
          </w:tcPr>
          <w:p>
            <w:pPr>
              <w:spacing w:after="0"/>
            </w:pPr>
            <w:r>
              <w:rPr>
                <w:color w:val="1D1D1D"/>
                <w:sz w:val="16"/>
              </w:rPr>
              <w:t>Needs rock quarry; face slab and plinth quality critical</w:t>
            </w:r>
          </w:p>
        </w:tc>
        <w:tc>
          <w:tcPr>
            <w:tcW w:type="dxa" w:w="2677"/>
          </w:tcPr>
          <w:p>
            <w:pPr>
              <w:spacing w:after="0"/>
            </w:pPr>
            <w:r>
              <w:rPr>
                <w:color w:val="1D1D1D"/>
                <w:sz w:val="16"/>
              </w:rPr>
              <w:t>Rockfill available, no suitable clay [LIT:S6]</w:t>
            </w:r>
          </w:p>
        </w:tc>
      </w:tr>
    </w:tbl>
    <w:p>
      <w:pPr>
        <w:spacing w:after="40"/>
      </w:pPr>
    </w:p>
    <w:p>
      <w:pPr>
        <w:jc w:val="both"/>
      </w:pPr>
      <w:r>
        <w:rPr/>
        <w:t>Materials must be available locally or at short haul distance [DE:S1], so a committee should see the quarry and borrow investigation, not only the dam drawings.</w:t>
      </w:r>
    </w:p>
    <w:p>
      <w:pPr>
        <w:pStyle w:val="Heading3"/>
      </w:pPr>
      <w:r>
        <w:t>O.5 Tunnels and underground works</w:t>
      </w:r>
    </w:p>
    <w:p>
      <w:pPr>
        <w:jc w:val="both"/>
      </w:pPr>
      <w:r>
        <w:rPr/>
        <w:t>Rock quality drives tunnel cost [DE:S1]. Tunnels can be unlined or lined with concrete or shotcrete; the choice and the rock condition set head loss and leakage [DE:S1]. An unlined tunnel needs a larger section for the same head loss [DE:S1], so it trades excavation for lining and is only sound where the rock is competent and the internal water pressure cannot jack open joints or leak into unstable slopes.</w:t>
      </w:r>
    </w:p>
    <w:p>
      <w:pPr>
        <w:jc w:val="both"/>
      </w:pPr>
      <w:r>
        <w:rPr/>
        <w:t>Drill and blast is the conventional method in hard rock; tunnel boring machines (TBMs) have raised efficiency and lowered cost [DE:S1]. The trade-off is flexibility against rate: drill and blast adapts support face by face, while a TBM is fast in the ground it was specified for and slow to recover in ground it was not. Two geological characteristics govern either method: lithological variation along the alignment and the structural stability of the rock mass, including major faults [LIT:S6]. ESHA's La Rienda tunnel crossed a thrust fault in "completely altered" rock without incident only because the fault was known beforehand [LIT:S6].</w:t>
      </w:r>
    </w:p>
    <w:p>
      <w:pPr>
        <w:jc w:val="both"/>
      </w:pPr>
      <w:r>
        <w:rPr/>
        <w:t>Unforeseen ground is a recurring source of dispute over what counts as "unforeseen": some standard forms let the contractor claim time and cost, others put all the risk on the contractor, and many contractors will not price that risk at an acceptable level [LIT:S7]. Prudent owners have tunnels dewatered and inspected within the EPC defects notification period (for example 24 months), with a major payment milestone or credit cover held until it expires [LIT:S7].</w:t>
      </w:r>
    </w:p>
    <w:p>
      <w:pPr>
        <w:pStyle w:val="Heading3"/>
      </w:pPr>
      <w:r>
        <w:t>O.6 Geological and geotechnical investigation stages</w:t>
      </w:r>
    </w:p>
    <w:p>
      <w:pPr>
        <w:jc w:val="both"/>
      </w:pPr>
      <w:r>
        <w:rPr/>
        <w:t>Without accurate rock and soil parameters, the design rests on unknown variables, "a significant source of risk" [DE:S1]. ESHA notes that the need for detailed geological study is "very often" underestimated, with seepage under weirs and canal slides as the consequence [LIT:S6]. Each stage should answer the question on which the next commitment depends.</w:t>
      </w:r>
    </w:p>
    <w:p>
      <w:pPr>
        <w:keepNext/>
      </w:pPr>
      <w:r>
        <w:rPr>
          <w:b/>
          <w:color w:val="0B3020"/>
          <w:sz w:val="18"/>
        </w:rPr>
        <w:t>Table O.3. Investigation stages and what each should deliver</w:t>
      </w:r>
    </w:p>
    <w:tbl>
      <w:tblPr>
        <w:tblStyle w:val="TableGrid"/>
        <w:tblW w:type="auto" w:w="0"/>
        <w:jc w:val="center"/>
        <w:tblLook w:firstColumn="1" w:firstRow="1" w:lastColumn="0" w:lastRow="0" w:noHBand="0" w:noVBand="1" w:val="04A0"/>
      </w:tblPr>
      <w:tblGrid>
        <w:gridCol w:w="3213"/>
        <w:gridCol w:w="3213"/>
        <w:gridCol w:w="3213"/>
      </w:tblGrid>
      <w:tr>
        <w:tc>
          <w:tcPr>
            <w:tcW w:type="dxa" w:w="2364"/>
            <w:shd w:val="clear" w:color="auto" w:fill="0B3020"/>
          </w:tcPr>
          <w:p>
            <w:pPr>
              <w:spacing w:after="0"/>
            </w:pPr>
            <w:r>
              <w:rPr>
                <w:b/>
                <w:color w:val="FFFFFF"/>
                <w:sz w:val="16"/>
              </w:rPr>
              <w:t>Stage</w:t>
            </w:r>
          </w:p>
        </w:tc>
        <w:tc>
          <w:tcPr>
            <w:tcW w:type="dxa" w:w="3637"/>
            <w:shd w:val="clear" w:color="auto" w:fill="0B3020"/>
          </w:tcPr>
          <w:p>
            <w:pPr>
              <w:spacing w:after="0"/>
            </w:pPr>
            <w:r>
              <w:rPr>
                <w:b/>
                <w:color w:val="FFFFFF"/>
                <w:sz w:val="16"/>
              </w:rPr>
              <w:t>Typical methods</w:t>
            </w:r>
          </w:p>
        </w:tc>
        <w:tc>
          <w:tcPr>
            <w:tcW w:type="dxa" w:w="3637"/>
            <w:shd w:val="clear" w:color="auto" w:fill="0B3020"/>
          </w:tcPr>
          <w:p>
            <w:pPr>
              <w:spacing w:after="0"/>
            </w:pPr>
            <w:r>
              <w:rPr>
                <w:b/>
                <w:color w:val="FFFFFF"/>
                <w:sz w:val="16"/>
              </w:rPr>
              <w:t>Deliverable a lender should see</w:t>
            </w:r>
          </w:p>
        </w:tc>
      </w:tr>
      <w:tr>
        <w:tc>
          <w:tcPr>
            <w:tcW w:type="dxa" w:w="2364"/>
          </w:tcPr>
          <w:p>
            <w:pPr>
              <w:spacing w:after="0"/>
            </w:pPr>
            <w:r>
              <w:rPr>
                <w:color w:val="1D1D1D"/>
                <w:sz w:val="16"/>
              </w:rPr>
              <w:t>Site identification and pre-feasibility</w:t>
            </w:r>
          </w:p>
        </w:tc>
        <w:tc>
          <w:tcPr>
            <w:tcW w:type="dxa" w:w="3637"/>
          </w:tcPr>
          <w:p>
            <w:pPr>
              <w:spacing w:after="0"/>
            </w:pPr>
            <w:r>
              <w:rPr>
                <w:color w:val="1D1D1D"/>
                <w:sz w:val="16"/>
              </w:rPr>
              <w:t>National geological maps (indicative only), aerial photo interpretation, walkover [DE:S1; LIT:S6]</w:t>
            </w:r>
          </w:p>
        </w:tc>
        <w:tc>
          <w:tcPr>
            <w:tcW w:type="dxa" w:w="3637"/>
          </w:tcPr>
          <w:p>
            <w:pPr>
              <w:spacing w:after="0"/>
            </w:pPr>
            <w:r>
              <w:rPr>
                <w:color w:val="1D1D1D"/>
                <w:sz w:val="16"/>
              </w:rPr>
              <w:t>Geological reconnaissance report; fatal-flaw screen for faults, landslides, karst and dam foundation</w:t>
            </w:r>
          </w:p>
        </w:tc>
      </w:tr>
      <w:tr>
        <w:tc>
          <w:tcPr>
            <w:tcW w:type="dxa" w:w="2364"/>
            <w:shd w:val="clear" w:color="auto" w:fill="FAF8F2"/>
          </w:tcPr>
          <w:p>
            <w:pPr>
              <w:spacing w:after="0"/>
            </w:pPr>
            <w:r>
              <w:rPr>
                <w:color w:val="1D1D1D"/>
                <w:sz w:val="16"/>
              </w:rPr>
              <w:t>Feasibility</w:t>
            </w:r>
          </w:p>
        </w:tc>
        <w:tc>
          <w:tcPr>
            <w:tcW w:type="dxa" w:w="3637"/>
            <w:shd w:val="clear" w:color="auto" w:fill="FAF8F2"/>
          </w:tcPr>
          <w:p>
            <w:pPr>
              <w:spacing w:after="0"/>
            </w:pPr>
            <w:r>
              <w:rPr>
                <w:color w:val="1D1D1D"/>
                <w:sz w:val="16"/>
              </w:rPr>
              <w:t>Geological and geomorphological mapping at 1:10,000 to 1:5,000; geophysics (electrical or seismic refraction); test pits; boreholes at dam, intake, tunnel portals and powerhouse; permeability (Lugeon) and strength tests [LIT:S6; DE:S1]</w:t>
            </w:r>
          </w:p>
        </w:tc>
        <w:tc>
          <w:tcPr>
            <w:tcW w:type="dxa" w:w="3637"/>
            <w:shd w:val="clear" w:color="auto" w:fill="FAF8F2"/>
          </w:tcPr>
          <w:p>
            <w:pPr>
              <w:spacing w:after="0"/>
            </w:pPr>
            <w:r>
              <w:rPr>
                <w:color w:val="1D1D1D"/>
                <w:sz w:val="16"/>
              </w:rPr>
              <w:t>Engineering geological model; rock mass classification along the waterway; foundation and seepage assessment; borrow and quarry assessment; seismic hazard input</w:t>
            </w:r>
          </w:p>
        </w:tc>
      </w:tr>
      <w:tr>
        <w:tc>
          <w:tcPr>
            <w:tcW w:type="dxa" w:w="2364"/>
          </w:tcPr>
          <w:p>
            <w:pPr>
              <w:spacing w:after="0"/>
            </w:pPr>
            <w:r>
              <w:rPr>
                <w:color w:val="1D1D1D"/>
                <w:sz w:val="16"/>
              </w:rPr>
              <w:t>Tender and detailed design</w:t>
            </w:r>
          </w:p>
        </w:tc>
        <w:tc>
          <w:tcPr>
            <w:tcW w:type="dxa" w:w="3637"/>
          </w:tcPr>
          <w:p>
            <w:pPr>
              <w:spacing w:after="0"/>
            </w:pPr>
            <w:r>
              <w:rPr>
                <w:color w:val="1D1D1D"/>
                <w:sz w:val="16"/>
              </w:rPr>
              <w:t>Additional boreholes on the final alignment, in situ tests at caverns and dam foundation</w:t>
            </w:r>
          </w:p>
        </w:tc>
        <w:tc>
          <w:tcPr>
            <w:tcW w:type="dxa" w:w="3637"/>
          </w:tcPr>
          <w:p>
            <w:pPr>
              <w:spacing w:after="0"/>
            </w:pPr>
            <w:r>
              <w:rPr>
                <w:color w:val="1D1D1D"/>
                <w:sz w:val="16"/>
              </w:rPr>
              <w:t>Geotechnical baseline report (GBR) forming part of the contract; design basis for support classes and grouting</w:t>
            </w:r>
          </w:p>
        </w:tc>
      </w:tr>
      <w:tr>
        <w:tc>
          <w:tcPr>
            <w:tcW w:type="dxa" w:w="2364"/>
            <w:shd w:val="clear" w:color="auto" w:fill="FAF8F2"/>
          </w:tcPr>
          <w:p>
            <w:pPr>
              <w:spacing w:after="0"/>
            </w:pPr>
            <w:r>
              <w:rPr>
                <w:color w:val="1D1D1D"/>
                <w:sz w:val="16"/>
              </w:rPr>
              <w:t>Construction</w:t>
            </w:r>
          </w:p>
        </w:tc>
        <w:tc>
          <w:tcPr>
            <w:tcW w:type="dxa" w:w="3637"/>
            <w:shd w:val="clear" w:color="auto" w:fill="FAF8F2"/>
          </w:tcPr>
          <w:p>
            <w:pPr>
              <w:spacing w:after="0"/>
            </w:pPr>
            <w:r>
              <w:rPr>
                <w:color w:val="1D1D1D"/>
                <w:sz w:val="16"/>
              </w:rPr>
              <w:t>Face mapping, probe drilling, monitoring</w:t>
            </w:r>
          </w:p>
        </w:tc>
        <w:tc>
          <w:tcPr>
            <w:tcW w:type="dxa" w:w="3637"/>
            <w:shd w:val="clear" w:color="auto" w:fill="FAF8F2"/>
          </w:tcPr>
          <w:p>
            <w:pPr>
              <w:spacing w:after="0"/>
            </w:pPr>
            <w:r>
              <w:rPr>
                <w:color w:val="1D1D1D"/>
                <w:sz w:val="16"/>
              </w:rPr>
              <w:t>Comparison of encountered ground with the baseline; the basis for measuring ground-condition claims</w:t>
            </w:r>
          </w:p>
        </w:tc>
      </w:tr>
    </w:tbl>
    <w:p>
      <w:pPr>
        <w:spacing w:after="40"/>
      </w:pPr>
    </w:p>
    <w:p>
      <w:pPr>
        <w:jc w:val="both"/>
      </w:pPr>
      <w:r>
        <w:rPr/>
        <w:t>Neither IFC nor ESHA gives a required borehole quantity; the test is that every major structure and geological unit on the waterway is represented.</w:t>
      </w:r>
    </w:p>
    <w:p>
      <w:pPr>
        <w:jc w:val="both"/>
      </w:pPr>
      <w:r>
        <w:rPr>
          <w:b/>
        </w:rPr>
        <w:t>Geotechnical baseline report.</w:t>
      </w:r>
      <w:r>
        <w:rPr/>
        <w:t xml:space="preserve"> The FIDIC Emerald Book (2019), produced with the tunnelling association ITA-AITES, makes the GBR "the sole source or contractual document that describes the anticipated subsurface conditions" [DE:S47]. The employer bears ground conditions worse than the baseline and benefits if ground is better, time for completion adjusts using the contractor's production rates, and payment varies with the ground [DE:S47]. Sophisticated hydropower developers use the same principle in EPC contracts: baseline ground data plus a cost-sharing formula outside it [LIT:S7]. The GBR turns open-ended geological risk into a measurable one; the residual exposure, baseline against plausible adverse ground, must be covered by contingency or sponsor support.</w:t>
      </w:r>
    </w:p>
    <w:p>
      <w:pPr>
        <w:pStyle w:val="Heading3"/>
      </w:pPr>
      <w:r>
        <w:t>O.7 Dam safety</w:t>
      </w:r>
    </w:p>
    <w:p>
      <w:pPr>
        <w:jc w:val="both"/>
      </w:pPr>
      <w:r>
        <w:rPr/>
        <w:t>Dams have been described as "the single man-made structures capable of causing most deaths", and small dams can also be dangerous: Sweden's only dam-failure fatality came from a dam under 4 m high [LIT:S6].</w:t>
      </w:r>
    </w:p>
    <w:p>
      <w:pPr>
        <w:jc w:val="both"/>
      </w:pPr>
      <w:r>
        <w:rPr>
          <w:b/>
        </w:rPr>
        <w:t>Classification.</w:t>
      </w:r>
      <w:r>
        <w:rPr/>
        <w:t xml:space="preserve"> Most countries require owners to classify dams by hazard (low, significant, high), based on the consequence of failure [LIT:S6; DE:S1]. Classification sets the design flood. Typical criteria are the probable maximum flood, or alternatively the 10,000-year flood, as the maximum inflow design flood for high-hazard structures with a 1,000-year normal operation flood; 100 to 1,000 years for medium hazard; and typically 100 years for low hazard [LIT:S6]. The IFC guide's rough assessment is a design discharge near the 1,000-year flood [DE:S1].</w:t>
      </w:r>
    </w:p>
    <w:p>
      <w:pPr>
        <w:jc w:val="both"/>
      </w:pPr>
      <w:r>
        <w:rPr>
          <w:b/>
        </w:rPr>
        <w:t>Independent review.</w:t>
      </w:r>
      <w:r>
        <w:rPr/>
        <w:t xml:space="preserve"> IFC Performance Standard 4 requires competent professionals to design and build structural elements to good international industry practice and, in high-risk situations, external experts to review the project through its stages [DE:S1]. The World Bank Good Practice Note on Dam Safety (2021) includes sample terms of reference for a panel of experts and technical notes on hydrological and seismic risk [HY-15; R4:S1]. A panel of experts should be appointed early, review investigation, design, construction and first filling, and report to lenders as well as to the owner.</w:t>
      </w:r>
    </w:p>
    <w:p>
      <w:pPr>
        <w:jc w:val="both"/>
      </w:pPr>
      <w:r>
        <w:rPr>
          <w:b/>
        </w:rPr>
        <w:t>Instrumentation and surveillance.</w:t>
      </w:r>
      <w:r>
        <w:rPr/>
        <w:t xml:space="preserve"> Dam safety improves with monitoring systems, reviews and regular inspections [LIT:S6]. Instruments should measure what the design relies on: uplift and seepage (uplift is a design load [DE:S1]), deformation and settlement, and strong motion in seismic zones. First filling should follow a written plan.</w:t>
      </w:r>
    </w:p>
    <w:p>
      <w:pPr>
        <w:jc w:val="both"/>
      </w:pPr>
      <w:r>
        <w:rPr>
          <w:b/>
        </w:rPr>
        <w:t>Emergency preparedness.</w:t>
      </w:r>
      <w:r>
        <w:rPr/>
        <w:t xml:space="preserve"> The ESIA and management plans should include emergency plans [DE:S1], built on a dam break and flood inundation study that maps downstream communities, warning times and evacuation routes, tested with local authorities before impoundment.</w:t>
      </w:r>
    </w:p>
    <w:p>
      <w:pPr>
        <w:pStyle w:val="Heading3"/>
      </w:pPr>
      <w:r>
        <w:t>O.8 River diversion during construction</w:t>
      </w:r>
    </w:p>
    <w:p>
      <w:pPr>
        <w:jc w:val="both"/>
      </w:pPr>
      <w:r>
        <w:rPr/>
        <w:t>Cofferdams are classified as dams built to divert a river [DE:S1]. Diversion works are temporary but govern the schedule: if overtopped, the excavation floods and the critical path stops. The exceedance risk over the construction period follows from the return period:</w:t>
      </w:r>
    </w:p>
    <w:p>
      <w:pPr>
        <w:ind w:left="567"/>
      </w:pPr>
      <w:r>
        <w:rPr>
          <w:color w:val="0B3020"/>
          <w:sz w:val="20"/>
        </w:rPr>
        <w:t>P</w:t>
      </w:r>
      <w:r>
        <w:rPr>
          <w:color w:val="0B3020"/>
          <w:sz w:val="20"/>
        </w:rPr>
        <w:t>exceed</w:t>
      </w:r>
      <w:r>
        <w:rPr>
          <w:color w:val="0B3020"/>
          <w:sz w:val="20"/>
        </w:rPr>
        <w:t xml:space="preserve"> = 1 − (1 − 1/T)</w:t>
      </w:r>
      <w:r>
        <w:rPr>
          <w:color w:val="0B3020"/>
          <w:sz w:val="20"/>
          <w:vertAlign w:val="superscript"/>
        </w:rPr>
        <w:t>n</w:t>
      </w:r>
    </w:p>
    <w:p>
      <w:pPr>
        <w:jc w:val="both"/>
      </w:pPr>
      <w:r>
        <w:rPr/>
        <w:t>where T is the return period in years and n the years of exposure. ESHA tabulates this relationship: a 100-year event has a 9.6 percent chance over 10 years [LIT:S6]. The design flood should be estimated from peak flows, not monthly means, and the diversion plan should state who bears the cost of a flood above the design event: the contractor (and its insurers) or the owner.</w:t>
      </w:r>
    </w:p>
    <w:p>
      <w:pPr>
        <w:pStyle w:val="Heading3"/>
      </w:pPr>
      <w:r>
        <w:t>O.9 Civil works dominate cost and overrun risk</w:t>
      </w:r>
    </w:p>
    <w:p>
      <w:pPr>
        <w:jc w:val="both"/>
      </w:pPr>
      <w:r>
        <w:rPr/>
        <w:t>In Fichtner's benchmark for the IFC guide, civil works ranged from 33.2 to 76.5 percent of total plant cost, median 55.2 percent, with the middle half between 47 and 61 percent; dam schemes sit at the high end [DE:S1]. Because each project is one-off and exposed to geology, natural hazards and weather, these costs are "unpredictable and high-risk" [DE:S1].</w:t>
      </w:r>
    </w:p>
    <w:p>
      <w:pPr>
        <w:jc w:val="both"/>
      </w:pPr>
      <w:r>
        <w:rPr/>
        <w:t>Contingencies in the benchmark averaged 9.1 percent of total plant cost (median 9.8 percent), while industry practice is 15 percent for civil works and 7.5 to 10 percent for electromechanical equipment and grid connection [DE:S1]. The guide adds that final soil investigations have often not been done at feasibility stage, and that cost risk is "even higher if a tunnel must be built" [DE:S1]. ESMAP survey respondents ranked geotechnical and seismic risk as the most significant technical risk for large hydropower [HY-06].</w:t>
      </w:r>
    </w:p>
    <w:p>
      <w:pPr>
        <w:jc w:val="both"/>
      </w:pPr>
      <w:r>
        <w:rPr/>
        <w:t>The reference class for large dams is sobering: across 245 dams, real cost overrun had a median of 27 percent and a mean of 96 percent, and schedule overrun a median of 27 percent and a mean of 44 percent [HY-08]. The distribution is right-skewed. Applied to a run-of-river civil package it is a stress test, not a forecast.</w:t>
      </w:r>
    </w:p>
    <w:p>
      <w:pPr>
        <w:jc w:val="both"/>
      </w:pPr>
      <w:r>
        <w:rPr/>
        <w:t>Civil estimates should rest on bills of quantities benchmarked to national unit rates and checked by an independent engineer with local experience [DE:S1].</w:t>
      </w:r>
    </w:p>
    <w:p>
      <w:pPr>
        <w:pStyle w:val="Heading3"/>
      </w:pPr>
      <w:r>
        <w:t>O.10 Site access and logistics</w:t>
      </w:r>
    </w:p>
    <w:p>
      <w:pPr>
        <w:jc w:val="both"/>
      </w:pPr>
      <w:r>
        <w:rPr/>
        <w:t>Site selection must check whether access roads exist, need upgrading or must be built [DE:S1]. Access roads through difficult terrain can be a "deal breaker" because of cost [DE:S1], and benchmark cost outliers come from sites without infrastructure [DE:S1]. The IFC guide lists access roads, penstock construction, tunnelling, E&amp;M manufacturing and grid connection as critical path items [DE:S1]. DFIs can support governments by financing project transmission lines [HY-06]; access roads need the same early funding.</w:t>
      </w:r>
    </w:p>
    <w:p>
      <w:pPr>
        <w:jc w:val="both"/>
      </w:pPr>
      <w:r>
        <w:rPr/>
        <w:t>Logistics questions that move cost: the heaviest transport load against bridge ratings; wet-season reliability of cement, steel and fuel routes; and quarry haul distance.</w:t>
      </w:r>
    </w:p>
    <w:p>
      <w:pPr>
        <w:pStyle w:val="Heading3"/>
      </w:pPr>
      <w:r>
        <w:t>O.11 Kasiri worked example</w:t>
      </w:r>
    </w:p>
    <w:p>
      <w:pPr>
        <w:jc w:val="both"/>
      </w:pPr>
      <w:r>
        <w:rPr/>
        <w:t xml:space="preserve">Case facts: 60 MW run-of-river, net rated head 120 m, design flow 57 m3/s, environmental flow 4 m3/s, turbine efficiency 0.92, generator and transformer efficiency 0.98, P50 about 292 GWh/yr, civil works USD 68m within a plant cost of about USD 157m, contingency 10 percent, 3-year construction. The layout (a diversion weir, desander, headrace tunnel, surge tank, surface penstock and surface powerhouse) is an </w:t>
      </w:r>
      <w:r>
        <w:rPr>
          <w:b/>
        </w:rPr>
        <w:t>illustrative assumption</w:t>
      </w:r>
      <w:r>
        <w:rPr/>
        <w:t>, not a case fact.</w:t>
      </w:r>
    </w:p>
    <w:p>
      <w:pPr>
        <w:jc w:val="both"/>
      </w:pPr>
      <w:r>
        <w:rPr/>
        <w:t>Power check: 1,000 × 9.81 × 57 × 120 × 0.92 × 0.98 ≈ 60.5 MW, consistent with 60 MW. Each metre of head lost at rated flow costs 1,000 × 9.81 × 57 × 0.92 × 0.98 ≈ 0.50 MW. Scaling P50 linearly with head gives about 292 / 120 ≈ 2.4 GWh/yr per metre; this is an upper bound because friction loss falls with the square of flow at part load.</w:t>
      </w:r>
    </w:p>
    <w:p>
      <w:pPr>
        <w:keepNext/>
      </w:pPr>
      <w:r>
        <w:rPr>
          <w:b/>
          <w:color w:val="0B3020"/>
          <w:sz w:val="18"/>
        </w:rPr>
        <w:t>Table O.4. Kasiri illustrative sizing from sourced rules of thumb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62"/>
            <w:shd w:val="clear" w:color="auto" w:fill="0B3020"/>
          </w:tcPr>
          <w:p>
            <w:pPr>
              <w:spacing w:after="0"/>
            </w:pPr>
            <w:r>
              <w:rPr>
                <w:b/>
                <w:color w:val="FFFFFF"/>
                <w:sz w:val="16"/>
              </w:rPr>
              <w:t>Item</w:t>
            </w:r>
          </w:p>
        </w:tc>
        <w:tc>
          <w:tcPr>
            <w:tcW w:type="dxa" w:w="3456"/>
            <w:shd w:val="clear" w:color="auto" w:fill="0B3020"/>
          </w:tcPr>
          <w:p>
            <w:pPr>
              <w:spacing w:after="0"/>
            </w:pPr>
            <w:r>
              <w:rPr>
                <w:b/>
                <w:color w:val="FFFFFF"/>
                <w:sz w:val="16"/>
              </w:rPr>
              <w:t>Rule</w:t>
            </w:r>
          </w:p>
        </w:tc>
        <w:tc>
          <w:tcPr>
            <w:tcW w:type="dxa" w:w="532"/>
            <w:shd w:val="clear" w:color="auto" w:fill="0B3020"/>
          </w:tcPr>
          <w:p>
            <w:pPr>
              <w:spacing w:after="0"/>
            </w:pPr>
            <w:r>
              <w:rPr>
                <w:b/>
                <w:color w:val="FFFFFF"/>
                <w:sz w:val="16"/>
              </w:rPr>
              <w:t>Source</w:t>
            </w:r>
          </w:p>
        </w:tc>
        <w:tc>
          <w:tcPr>
            <w:tcW w:type="dxa" w:w="3988"/>
            <w:shd w:val="clear" w:color="auto" w:fill="0B3020"/>
          </w:tcPr>
          <w:p>
            <w:pPr>
              <w:spacing w:after="0"/>
            </w:pPr>
            <w:r>
              <w:rPr>
                <w:b/>
                <w:color w:val="FFFFFF"/>
                <w:sz w:val="16"/>
              </w:rPr>
              <w:t>Kasiri result (illustrative)</w:t>
            </w:r>
          </w:p>
        </w:tc>
      </w:tr>
      <w:tr>
        <w:tc>
          <w:tcPr>
            <w:tcW w:type="dxa" w:w="1662"/>
          </w:tcPr>
          <w:p>
            <w:pPr>
              <w:spacing w:after="0"/>
            </w:pPr>
            <w:r>
              <w:rPr>
                <w:color w:val="1D1D1D"/>
                <w:sz w:val="16"/>
              </w:rPr>
              <w:t>Desander cut size</w:t>
            </w:r>
          </w:p>
        </w:tc>
        <w:tc>
          <w:tcPr>
            <w:tcW w:type="dxa" w:w="3456"/>
          </w:tcPr>
          <w:p>
            <w:pPr>
              <w:spacing w:after="0"/>
            </w:pPr>
            <w:r>
              <w:rPr>
                <w:color w:val="1D1D1D"/>
                <w:sz w:val="16"/>
              </w:rPr>
              <w:t>Head above 100 m: retain particles above 0.2 mm</w:t>
            </w:r>
          </w:p>
        </w:tc>
        <w:tc>
          <w:tcPr>
            <w:tcW w:type="dxa" w:w="532"/>
          </w:tcPr>
          <w:p>
            <w:pPr>
              <w:spacing w:after="0"/>
            </w:pPr>
            <w:r>
              <w:rPr>
                <w:color w:val="1D1D1D"/>
                <w:sz w:val="16"/>
              </w:rPr>
              <w:t>[DE:S1]</w:t>
            </w:r>
          </w:p>
        </w:tc>
        <w:tc>
          <w:tcPr>
            <w:tcW w:type="dxa" w:w="3988"/>
          </w:tcPr>
          <w:p>
            <w:pPr>
              <w:spacing w:after="0"/>
            </w:pPr>
            <w:r>
              <w:rPr>
                <w:color w:val="1D1D1D"/>
                <w:sz w:val="16"/>
              </w:rPr>
              <w:t>0.2 mm, smaller if sediment is quartz-rich</w:t>
            </w:r>
          </w:p>
        </w:tc>
      </w:tr>
      <w:tr>
        <w:tc>
          <w:tcPr>
            <w:tcW w:type="dxa" w:w="1662"/>
            <w:shd w:val="clear" w:color="auto" w:fill="FAF8F2"/>
          </w:tcPr>
          <w:p>
            <w:pPr>
              <w:spacing w:after="0"/>
            </w:pPr>
            <w:r>
              <w:rPr>
                <w:color w:val="1D1D1D"/>
                <w:sz w:val="16"/>
              </w:rPr>
              <w:t>Trash rack gross area</w:t>
            </w:r>
          </w:p>
        </w:tc>
        <w:tc>
          <w:tcPr>
            <w:tcW w:type="dxa" w:w="3456"/>
            <w:shd w:val="clear" w:color="auto" w:fill="FAF8F2"/>
          </w:tcPr>
          <w:p>
            <w:pPr>
              <w:spacing w:after="0"/>
            </w:pPr>
            <w:r>
              <w:rPr>
                <w:color w:val="1D1D1D"/>
                <w:sz w:val="16"/>
              </w:rPr>
              <w:t>Approach velocity 0.25 to 1.0 m/s</w:t>
            </w:r>
          </w:p>
        </w:tc>
        <w:tc>
          <w:tcPr>
            <w:tcW w:type="dxa" w:w="532"/>
            <w:shd w:val="clear" w:color="auto" w:fill="FAF8F2"/>
          </w:tcPr>
          <w:p>
            <w:pPr>
              <w:spacing w:after="0"/>
            </w:pPr>
            <w:r>
              <w:rPr>
                <w:color w:val="1D1D1D"/>
                <w:sz w:val="16"/>
              </w:rPr>
              <w:t>[LIT:S6]</w:t>
            </w:r>
          </w:p>
        </w:tc>
        <w:tc>
          <w:tcPr>
            <w:tcW w:type="dxa" w:w="3988"/>
            <w:shd w:val="clear" w:color="auto" w:fill="FAF8F2"/>
          </w:tcPr>
          <w:p>
            <w:pPr>
              <w:spacing w:after="0"/>
            </w:pPr>
            <w:r>
              <w:rPr>
                <w:color w:val="1D1D1D"/>
                <w:sz w:val="16"/>
              </w:rPr>
              <w:t>57 / 1.0 to 57 / 0.25 = 57 to 228 m2 before bar blockage factor</w:t>
            </w:r>
          </w:p>
        </w:tc>
      </w:tr>
      <w:tr>
        <w:tc>
          <w:tcPr>
            <w:tcW w:type="dxa" w:w="1662"/>
          </w:tcPr>
          <w:p>
            <w:pPr>
              <w:spacing w:after="0"/>
            </w:pPr>
            <w:r>
              <w:rPr>
                <w:color w:val="1D1D1D"/>
                <w:sz w:val="16"/>
              </w:rPr>
              <w:t>Headrace tunnel</w:t>
            </w:r>
          </w:p>
        </w:tc>
        <w:tc>
          <w:tcPr>
            <w:tcW w:type="dxa" w:w="3456"/>
          </w:tcPr>
          <w:p>
            <w:pPr>
              <w:spacing w:after="0"/>
            </w:pPr>
            <w:r>
              <w:rPr>
                <w:color w:val="1D1D1D"/>
                <w:sz w:val="16"/>
              </w:rPr>
              <w:t>Velocity below 3 to 4 m/s</w:t>
            </w:r>
          </w:p>
        </w:tc>
        <w:tc>
          <w:tcPr>
            <w:tcW w:type="dxa" w:w="532"/>
          </w:tcPr>
          <w:p>
            <w:pPr>
              <w:spacing w:after="0"/>
            </w:pPr>
            <w:r>
              <w:rPr>
                <w:color w:val="1D1D1D"/>
                <w:sz w:val="16"/>
              </w:rPr>
              <w:t>[DE:S1]</w:t>
            </w:r>
          </w:p>
        </w:tc>
        <w:tc>
          <w:tcPr>
            <w:tcW w:type="dxa" w:w="3988"/>
          </w:tcPr>
          <w:p>
            <w:pPr>
              <w:spacing w:after="0"/>
            </w:pPr>
            <w:r>
              <w:rPr>
                <w:color w:val="1D1D1D"/>
                <w:sz w:val="16"/>
              </w:rPr>
              <w:t>Area 14.3 to 19.0 m2; circular equivalent diameter about 4.3 to 4.9 m</w:t>
            </w:r>
          </w:p>
        </w:tc>
      </w:tr>
      <w:tr>
        <w:tc>
          <w:tcPr>
            <w:tcW w:type="dxa" w:w="1662"/>
            <w:shd w:val="clear" w:color="auto" w:fill="FAF8F2"/>
          </w:tcPr>
          <w:p>
            <w:pPr>
              <w:spacing w:after="0"/>
            </w:pPr>
            <w:r>
              <w:rPr>
                <w:color w:val="1D1D1D"/>
                <w:sz w:val="16"/>
              </w:rPr>
              <w:t>Headrace canal, if chosen</w:t>
            </w:r>
          </w:p>
        </w:tc>
        <w:tc>
          <w:tcPr>
            <w:tcW w:type="dxa" w:w="3456"/>
            <w:shd w:val="clear" w:color="auto" w:fill="FAF8F2"/>
          </w:tcPr>
          <w:p>
            <w:pPr>
              <w:spacing w:after="0"/>
            </w:pPr>
            <w:r>
              <w:rPr>
                <w:color w:val="1D1D1D"/>
                <w:sz w:val="16"/>
              </w:rPr>
              <w:t>Velocity 1.0 to 1.5 m/s</w:t>
            </w:r>
          </w:p>
        </w:tc>
        <w:tc>
          <w:tcPr>
            <w:tcW w:type="dxa" w:w="532"/>
            <w:shd w:val="clear" w:color="auto" w:fill="FAF8F2"/>
          </w:tcPr>
          <w:p>
            <w:pPr>
              <w:spacing w:after="0"/>
            </w:pPr>
            <w:r>
              <w:rPr>
                <w:color w:val="1D1D1D"/>
                <w:sz w:val="16"/>
              </w:rPr>
              <w:t>[DE:S1]</w:t>
            </w:r>
          </w:p>
        </w:tc>
        <w:tc>
          <w:tcPr>
            <w:tcW w:type="dxa" w:w="3988"/>
            <w:shd w:val="clear" w:color="auto" w:fill="FAF8F2"/>
          </w:tcPr>
          <w:p>
            <w:pPr>
              <w:spacing w:after="0"/>
            </w:pPr>
            <w:r>
              <w:rPr>
                <w:color w:val="1D1D1D"/>
                <w:sz w:val="16"/>
              </w:rPr>
              <w:t>Wetted area 38 to 57 m2</w:t>
            </w:r>
          </w:p>
        </w:tc>
      </w:tr>
      <w:tr>
        <w:tc>
          <w:tcPr>
            <w:tcW w:type="dxa" w:w="1662"/>
          </w:tcPr>
          <w:p>
            <w:pPr>
              <w:spacing w:after="0"/>
            </w:pPr>
            <w:r>
              <w:rPr>
                <w:color w:val="1D1D1D"/>
                <w:sz w:val="16"/>
              </w:rPr>
              <w:t>Penstock material</w:t>
            </w:r>
          </w:p>
        </w:tc>
        <w:tc>
          <w:tcPr>
            <w:tcW w:type="dxa" w:w="3456"/>
          </w:tcPr>
          <w:p>
            <w:pPr>
              <w:spacing w:after="0"/>
            </w:pPr>
            <w:r>
              <w:rPr>
                <w:color w:val="1D1D1D"/>
                <w:sz w:val="16"/>
              </w:rPr>
              <w:t>Prestressed concrete limited to about 15 bar (150 m)</w:t>
            </w:r>
          </w:p>
        </w:tc>
        <w:tc>
          <w:tcPr>
            <w:tcW w:type="dxa" w:w="532"/>
          </w:tcPr>
          <w:p>
            <w:pPr>
              <w:spacing w:after="0"/>
            </w:pPr>
            <w:r>
              <w:rPr>
                <w:color w:val="1D1D1D"/>
                <w:sz w:val="16"/>
              </w:rPr>
              <w:t>[DE:S1]</w:t>
            </w:r>
          </w:p>
        </w:tc>
        <w:tc>
          <w:tcPr>
            <w:tcW w:type="dxa" w:w="3988"/>
          </w:tcPr>
          <w:p>
            <w:pPr>
              <w:spacing w:after="0"/>
            </w:pPr>
            <w:r>
              <w:rPr>
                <w:color w:val="1D1D1D"/>
                <w:sz w:val="16"/>
              </w:rPr>
              <w:t>Static head above 120 m plus a water hammer allowance of 25 to 50% for reaction turbines [LIT:S6] exceeds 150 m; steel is the expected choice</w:t>
            </w:r>
          </w:p>
        </w:tc>
      </w:tr>
    </w:tbl>
    <w:p>
      <w:pPr>
        <w:spacing w:after="40"/>
      </w:pPr>
    </w:p>
    <w:p>
      <w:pPr>
        <w:jc w:val="both"/>
      </w:pPr>
      <w:r>
        <w:rPr/>
        <w:t>Pondage (illustrative): in February the mean flow is 20 m3/s, leaving 16 m3/s after the environmental flow. Running at 57 m3/s for 4 peak hours requires (57 − 16) × 14,400 s ≈ 0.59 million m3 of live storage. That is below the 1 million m3 in ESHA's small-dam definition [LIT:S6], but a weir high enough to hold it could still exceed 15 m or need dam safety classification. Pondage pays only if the PPA rewards peak delivery, which the case does not define.</w:t>
      </w:r>
    </w:p>
    <w:p>
      <w:pPr>
        <w:jc w:val="both"/>
      </w:pPr>
      <w:r>
        <w:rPr/>
        <w:t>River diversion: monthly flows (20 m3/s in February, 22 m3/s in September, 70 m3/s in May) give two dry windows a year for riverbed works. Over the 3-year build, the chance that the diversion design flood is exceeded at least once is about 27 percent for a 10-year flood, 14 percent for a 20-year flood, 6 percent for a 50-year flood and 3 percent for a 100-year flood. Kasiri's 12-year record is shorter than the 15 years the IFC guide expects for hydrology [DE:S1], so flood peaks for these return periods carry wide uncertainty and should be checked by regional analysis.</w:t>
      </w:r>
    </w:p>
    <w:p>
      <w:pPr>
        <w:jc w:val="both"/>
      </w:pPr>
      <w:r>
        <w:rPr/>
        <w:t>Cost: civil works of USD 68m are 43 percent of the USD 157m plant cost and 54 percent of the USD 127m sum of the six base cost lines, close to the benchmark median of 55.2 percent [DE:S1]. The model's plant cost adds to those lines USD 9.0m of development costs reimbursed at close and a USD 6.6m contractor's risk premium, giving a subtotal of USD 142.6m, and then a 10 percent contingency of USD 14.3m. That contingency is close to what industry practice would give on the works alone (15 percent on civil, 7.5 to 10 percent on the USD 42m of equipment: USD 13.4m to 14.4m) [DE:S1], but only because it is also charged on development costs and the premium, which carry no physical risk. Charged on the six base lines alone, 10 percent would be USD 12.7m, below that practice range, and below what a scheme with a tunnel warrants. A civil overrun at the large-dam median of 27 percent [HY-08] adds USD 18.4m; at the mean of 96 percent, USD 65.3m. With the illustrative tunnel, the gap between contingency and the median stress case should be covered by GBR risk sharing, sponsor support or a standby facility.</w:t>
      </w:r>
    </w:p>
    <w:p>
      <w:pPr>
        <w:pStyle w:val="Heading3"/>
      </w:pPr>
      <w:r>
        <w:t>O.12 Component risks and the evidence lenders ask for</w:t>
      </w:r>
    </w:p>
    <w:p>
      <w:pPr>
        <w:keepNext/>
      </w:pPr>
      <w:r>
        <w:rPr>
          <w:b/>
          <w:color w:val="0B3020"/>
          <w:sz w:val="18"/>
        </w:rPr>
        <w:t>Table O.5. Component, typical risk and lender evidence</w:t>
      </w:r>
    </w:p>
    <w:tbl>
      <w:tblPr>
        <w:tblStyle w:val="TableGrid"/>
        <w:tblW w:type="auto" w:w="0"/>
        <w:jc w:val="center"/>
        <w:tblLook w:firstColumn="1" w:firstRow="1" w:lastColumn="0" w:lastRow="0" w:noHBand="0" w:noVBand="1" w:val="04A0"/>
      </w:tblPr>
      <w:tblGrid>
        <w:gridCol w:w="3213"/>
        <w:gridCol w:w="3213"/>
        <w:gridCol w:w="3213"/>
      </w:tblGrid>
      <w:tr>
        <w:tc>
          <w:tcPr>
            <w:tcW w:type="dxa" w:w="1716"/>
            <w:shd w:val="clear" w:color="auto" w:fill="0B3020"/>
          </w:tcPr>
          <w:p>
            <w:pPr>
              <w:spacing w:after="0"/>
            </w:pPr>
            <w:r>
              <w:rPr>
                <w:b/>
                <w:color w:val="FFFFFF"/>
                <w:sz w:val="16"/>
              </w:rPr>
              <w:t>Component</w:t>
            </w:r>
          </w:p>
        </w:tc>
        <w:tc>
          <w:tcPr>
            <w:tcW w:type="dxa" w:w="3961"/>
            <w:shd w:val="clear" w:color="auto" w:fill="0B3020"/>
          </w:tcPr>
          <w:p>
            <w:pPr>
              <w:spacing w:after="0"/>
            </w:pPr>
            <w:r>
              <w:rPr>
                <w:b/>
                <w:color w:val="FFFFFF"/>
                <w:sz w:val="16"/>
              </w:rPr>
              <w:t>Typical risk</w:t>
            </w:r>
          </w:p>
        </w:tc>
        <w:tc>
          <w:tcPr>
            <w:tcW w:type="dxa" w:w="3961"/>
            <w:shd w:val="clear" w:color="auto" w:fill="0B3020"/>
          </w:tcPr>
          <w:p>
            <w:pPr>
              <w:spacing w:after="0"/>
            </w:pPr>
            <w:r>
              <w:rPr>
                <w:b/>
                <w:color w:val="FFFFFF"/>
                <w:sz w:val="16"/>
              </w:rPr>
              <w:t>Evidence a lender asks for</w:t>
            </w:r>
          </w:p>
        </w:tc>
      </w:tr>
      <w:tr>
        <w:tc>
          <w:tcPr>
            <w:tcW w:type="dxa" w:w="1716"/>
          </w:tcPr>
          <w:p>
            <w:pPr>
              <w:spacing w:after="0"/>
            </w:pPr>
            <w:r>
              <w:rPr>
                <w:color w:val="1D1D1D"/>
                <w:sz w:val="16"/>
              </w:rPr>
              <w:t>Weir or dam</w:t>
            </w:r>
          </w:p>
        </w:tc>
        <w:tc>
          <w:tcPr>
            <w:tcW w:type="dxa" w:w="3961"/>
          </w:tcPr>
          <w:p>
            <w:pPr>
              <w:spacing w:after="0"/>
            </w:pPr>
            <w:r>
              <w:rPr>
                <w:color w:val="1D1D1D"/>
                <w:sz w:val="16"/>
              </w:rPr>
              <w:t>Foundation seepage and undermining; sliding; overtopping</w:t>
            </w:r>
          </w:p>
        </w:tc>
        <w:tc>
          <w:tcPr>
            <w:tcW w:type="dxa" w:w="3961"/>
          </w:tcPr>
          <w:p>
            <w:pPr>
              <w:spacing w:after="0"/>
            </w:pPr>
            <w:r>
              <w:rPr>
                <w:color w:val="1D1D1D"/>
                <w:sz w:val="16"/>
              </w:rPr>
              <w:t>Foundation boreholes and permeability tests; stability for all load cases [DE:S1]; hazard class</w:t>
            </w:r>
          </w:p>
        </w:tc>
      </w:tr>
      <w:tr>
        <w:tc>
          <w:tcPr>
            <w:tcW w:type="dxa" w:w="1716"/>
            <w:shd w:val="clear" w:color="auto" w:fill="FAF8F2"/>
          </w:tcPr>
          <w:p>
            <w:pPr>
              <w:spacing w:after="0"/>
            </w:pPr>
            <w:r>
              <w:rPr>
                <w:color w:val="1D1D1D"/>
                <w:sz w:val="16"/>
              </w:rPr>
              <w:t>Spillway and bottom outlet</w:t>
            </w:r>
          </w:p>
        </w:tc>
        <w:tc>
          <w:tcPr>
            <w:tcW w:type="dxa" w:w="3961"/>
            <w:shd w:val="clear" w:color="auto" w:fill="FAF8F2"/>
          </w:tcPr>
          <w:p>
            <w:pPr>
              <w:spacing w:after="0"/>
            </w:pPr>
            <w:r>
              <w:rPr>
                <w:color w:val="1D1D1D"/>
                <w:sz w:val="16"/>
              </w:rPr>
              <w:t>Undersized for floods; gate failure</w:t>
            </w:r>
          </w:p>
        </w:tc>
        <w:tc>
          <w:tcPr>
            <w:tcW w:type="dxa" w:w="3961"/>
            <w:shd w:val="clear" w:color="auto" w:fill="FAF8F2"/>
          </w:tcPr>
          <w:p>
            <w:pPr>
              <w:spacing w:after="0"/>
            </w:pPr>
            <w:r>
              <w:rPr>
                <w:color w:val="1D1D1D"/>
                <w:sz w:val="16"/>
              </w:rPr>
              <w:t>Flood study matched to hazard class [LIT:S6]; gate reliability</w:t>
            </w:r>
          </w:p>
        </w:tc>
      </w:tr>
      <w:tr>
        <w:tc>
          <w:tcPr>
            <w:tcW w:type="dxa" w:w="1716"/>
          </w:tcPr>
          <w:p>
            <w:pPr>
              <w:spacing w:after="0"/>
            </w:pPr>
            <w:r>
              <w:rPr>
                <w:color w:val="1D1D1D"/>
                <w:sz w:val="16"/>
              </w:rPr>
              <w:t>Intake and trash racks</w:t>
            </w:r>
          </w:p>
        </w:tc>
        <w:tc>
          <w:tcPr>
            <w:tcW w:type="dxa" w:w="3961"/>
          </w:tcPr>
          <w:p>
            <w:pPr>
              <w:spacing w:after="0"/>
            </w:pPr>
            <w:r>
              <w:rPr>
                <w:color w:val="1D1D1D"/>
                <w:sz w:val="16"/>
              </w:rPr>
              <w:t>Blockage, vortices, sediment entry</w:t>
            </w:r>
          </w:p>
        </w:tc>
        <w:tc>
          <w:tcPr>
            <w:tcW w:type="dxa" w:w="3961"/>
          </w:tcPr>
          <w:p>
            <w:pPr>
              <w:spacing w:after="0"/>
            </w:pPr>
            <w:r>
              <w:rPr>
                <w:color w:val="1D1D1D"/>
                <w:sz w:val="16"/>
              </w:rPr>
              <w:t>Siting and submergence check [DE:S1]; rack cleaning</w:t>
            </w:r>
          </w:p>
        </w:tc>
      </w:tr>
      <w:tr>
        <w:tc>
          <w:tcPr>
            <w:tcW w:type="dxa" w:w="1716"/>
            <w:shd w:val="clear" w:color="auto" w:fill="FAF8F2"/>
          </w:tcPr>
          <w:p>
            <w:pPr>
              <w:spacing w:after="0"/>
            </w:pPr>
            <w:r>
              <w:rPr>
                <w:color w:val="1D1D1D"/>
                <w:sz w:val="16"/>
              </w:rPr>
              <w:t>Desander</w:t>
            </w:r>
          </w:p>
        </w:tc>
        <w:tc>
          <w:tcPr>
            <w:tcW w:type="dxa" w:w="3961"/>
            <w:shd w:val="clear" w:color="auto" w:fill="FAF8F2"/>
          </w:tcPr>
          <w:p>
            <w:pPr>
              <w:spacing w:after="0"/>
            </w:pPr>
            <w:r>
              <w:rPr>
                <w:color w:val="1D1D1D"/>
                <w:sz w:val="16"/>
              </w:rPr>
              <w:t>Turbine abrasion; flushing failure</w:t>
            </w:r>
          </w:p>
        </w:tc>
        <w:tc>
          <w:tcPr>
            <w:tcW w:type="dxa" w:w="3961"/>
            <w:shd w:val="clear" w:color="auto" w:fill="FAF8F2"/>
          </w:tcPr>
          <w:p>
            <w:pPr>
              <w:spacing w:after="0"/>
            </w:pPr>
            <w:r>
              <w:rPr>
                <w:color w:val="1D1D1D"/>
                <w:sz w:val="16"/>
              </w:rPr>
              <w:t>Sediment sampling and mineralogy; settling design [DE:S1]</w:t>
            </w:r>
          </w:p>
        </w:tc>
      </w:tr>
      <w:tr>
        <w:tc>
          <w:tcPr>
            <w:tcW w:type="dxa" w:w="1716"/>
          </w:tcPr>
          <w:p>
            <w:pPr>
              <w:spacing w:after="0"/>
            </w:pPr>
            <w:r>
              <w:rPr>
                <w:color w:val="1D1D1D"/>
                <w:sz w:val="16"/>
              </w:rPr>
              <w:t>Headrace canal</w:t>
            </w:r>
          </w:p>
        </w:tc>
        <w:tc>
          <w:tcPr>
            <w:tcW w:type="dxa" w:w="3961"/>
          </w:tcPr>
          <w:p>
            <w:pPr>
              <w:spacing w:after="0"/>
            </w:pPr>
            <w:r>
              <w:rPr>
                <w:color w:val="1D1D1D"/>
                <w:sz w:val="16"/>
              </w:rPr>
              <w:t>Leakage triggering slope failure</w:t>
            </w:r>
          </w:p>
        </w:tc>
        <w:tc>
          <w:tcPr>
            <w:tcW w:type="dxa" w:w="3961"/>
          </w:tcPr>
          <w:p>
            <w:pPr>
              <w:spacing w:after="0"/>
            </w:pPr>
            <w:r>
              <w:rPr>
                <w:color w:val="1D1D1D"/>
                <w:sz w:val="16"/>
              </w:rPr>
              <w:t>Slope stability, drainage and lining design [LIT:S6]</w:t>
            </w:r>
          </w:p>
        </w:tc>
      </w:tr>
      <w:tr>
        <w:tc>
          <w:tcPr>
            <w:tcW w:type="dxa" w:w="1716"/>
            <w:shd w:val="clear" w:color="auto" w:fill="FAF8F2"/>
          </w:tcPr>
          <w:p>
            <w:pPr>
              <w:spacing w:after="0"/>
            </w:pPr>
            <w:r>
              <w:rPr>
                <w:color w:val="1D1D1D"/>
                <w:sz w:val="16"/>
              </w:rPr>
              <w:t>Headrace tunnel</w:t>
            </w:r>
          </w:p>
        </w:tc>
        <w:tc>
          <w:tcPr>
            <w:tcW w:type="dxa" w:w="3961"/>
            <w:shd w:val="clear" w:color="auto" w:fill="FAF8F2"/>
          </w:tcPr>
          <w:p>
            <w:pPr>
              <w:spacing w:after="0"/>
            </w:pPr>
            <w:r>
              <w:rPr>
                <w:color w:val="1D1D1D"/>
                <w:sz w:val="16"/>
              </w:rPr>
              <w:t>Adverse ground, faults, water inflow, collapse; lining leakage</w:t>
            </w:r>
          </w:p>
        </w:tc>
        <w:tc>
          <w:tcPr>
            <w:tcW w:type="dxa" w:w="3961"/>
            <w:shd w:val="clear" w:color="auto" w:fill="FAF8F2"/>
          </w:tcPr>
          <w:p>
            <w:pPr>
              <w:spacing w:after="0"/>
            </w:pPr>
            <w:r>
              <w:rPr>
                <w:color w:val="1D1D1D"/>
                <w:sz w:val="16"/>
              </w:rPr>
              <w:t>Geological long section; rock mass classes; GBR and risk sharing [DE:S47; LIT:S7]; dewatering inspection [LIT:S7]</w:t>
            </w:r>
          </w:p>
        </w:tc>
      </w:tr>
      <w:tr>
        <w:tc>
          <w:tcPr>
            <w:tcW w:type="dxa" w:w="1716"/>
          </w:tcPr>
          <w:p>
            <w:pPr>
              <w:spacing w:after="0"/>
            </w:pPr>
            <w:r>
              <w:rPr>
                <w:color w:val="1D1D1D"/>
                <w:sz w:val="16"/>
              </w:rPr>
              <w:t>Forebay or surge tank</w:t>
            </w:r>
          </w:p>
        </w:tc>
        <w:tc>
          <w:tcPr>
            <w:tcW w:type="dxa" w:w="3961"/>
          </w:tcPr>
          <w:p>
            <w:pPr>
              <w:spacing w:after="0"/>
            </w:pPr>
            <w:r>
              <w:rPr>
                <w:color w:val="1D1D1D"/>
                <w:sz w:val="16"/>
              </w:rPr>
              <w:t>Air entrainment; water hammer; foundation load</w:t>
            </w:r>
          </w:p>
        </w:tc>
        <w:tc>
          <w:tcPr>
            <w:tcW w:type="dxa" w:w="3961"/>
          </w:tcPr>
          <w:p>
            <w:pPr>
              <w:spacing w:after="0"/>
            </w:pPr>
            <w:r>
              <w:rPr>
                <w:color w:val="1D1D1D"/>
                <w:sz w:val="16"/>
              </w:rPr>
              <w:t>Load rejection transient analysis</w:t>
            </w:r>
          </w:p>
        </w:tc>
      </w:tr>
      <w:tr>
        <w:tc>
          <w:tcPr>
            <w:tcW w:type="dxa" w:w="1716"/>
            <w:shd w:val="clear" w:color="auto" w:fill="FAF8F2"/>
          </w:tcPr>
          <w:p>
            <w:pPr>
              <w:spacing w:after="0"/>
            </w:pPr>
            <w:r>
              <w:rPr>
                <w:color w:val="1D1D1D"/>
                <w:sz w:val="16"/>
              </w:rPr>
              <w:t>Penstock</w:t>
            </w:r>
          </w:p>
        </w:tc>
        <w:tc>
          <w:tcPr>
            <w:tcW w:type="dxa" w:w="3961"/>
            <w:shd w:val="clear" w:color="auto" w:fill="FAF8F2"/>
          </w:tcPr>
          <w:p>
            <w:pPr>
              <w:spacing w:after="0"/>
            </w:pPr>
            <w:r>
              <w:rPr>
                <w:color w:val="1D1D1D"/>
                <w:sz w:val="16"/>
              </w:rPr>
              <w:t>Rupture under water hammer; anchor block movement on slopes</w:t>
            </w:r>
          </w:p>
        </w:tc>
        <w:tc>
          <w:tcPr>
            <w:tcW w:type="dxa" w:w="3961"/>
            <w:shd w:val="clear" w:color="auto" w:fill="FAF8F2"/>
          </w:tcPr>
          <w:p>
            <w:pPr>
              <w:spacing w:after="0"/>
            </w:pPr>
            <w:r>
              <w:rPr>
                <w:color w:val="1D1D1D"/>
                <w:sz w:val="16"/>
              </w:rPr>
              <w:t>Pressure class including surge; anchor geotechnics [DE:S1]</w:t>
            </w:r>
          </w:p>
        </w:tc>
      </w:tr>
      <w:tr>
        <w:tc>
          <w:tcPr>
            <w:tcW w:type="dxa" w:w="1716"/>
          </w:tcPr>
          <w:p>
            <w:pPr>
              <w:spacing w:after="0"/>
            </w:pPr>
            <w:r>
              <w:rPr>
                <w:color w:val="1D1D1D"/>
                <w:sz w:val="16"/>
              </w:rPr>
              <w:t>Powerhouse</w:t>
            </w:r>
          </w:p>
        </w:tc>
        <w:tc>
          <w:tcPr>
            <w:tcW w:type="dxa" w:w="3961"/>
          </w:tcPr>
          <w:p>
            <w:pPr>
              <w:spacing w:after="0"/>
            </w:pPr>
            <w:r>
              <w:rPr>
                <w:color w:val="1D1D1D"/>
                <w:sz w:val="16"/>
              </w:rPr>
              <w:t>Foundation settlement; flooding; cavern stability if underground</w:t>
            </w:r>
          </w:p>
        </w:tc>
        <w:tc>
          <w:tcPr>
            <w:tcW w:type="dxa" w:w="3961"/>
          </w:tcPr>
          <w:p>
            <w:pPr>
              <w:spacing w:after="0"/>
            </w:pPr>
            <w:r>
              <w:rPr>
                <w:color w:val="1D1D1D"/>
                <w:sz w:val="16"/>
              </w:rPr>
              <w:t>Foundation investigation; flood levels; cavern support</w:t>
            </w:r>
          </w:p>
        </w:tc>
      </w:tr>
      <w:tr>
        <w:tc>
          <w:tcPr>
            <w:tcW w:type="dxa" w:w="1716"/>
            <w:shd w:val="clear" w:color="auto" w:fill="FAF8F2"/>
          </w:tcPr>
          <w:p>
            <w:pPr>
              <w:spacing w:after="0"/>
            </w:pPr>
            <w:r>
              <w:rPr>
                <w:color w:val="1D1D1D"/>
                <w:sz w:val="16"/>
              </w:rPr>
              <w:t>Tailrace</w:t>
            </w:r>
          </w:p>
        </w:tc>
        <w:tc>
          <w:tcPr>
            <w:tcW w:type="dxa" w:w="3961"/>
            <w:shd w:val="clear" w:color="auto" w:fill="FAF8F2"/>
          </w:tcPr>
          <w:p>
            <w:pPr>
              <w:spacing w:after="0"/>
            </w:pPr>
            <w:r>
              <w:rPr>
                <w:color w:val="1D1D1D"/>
                <w:sz w:val="16"/>
              </w:rPr>
              <w:t>Backwater from floods or downstream reservoir</w:t>
            </w:r>
          </w:p>
        </w:tc>
        <w:tc>
          <w:tcPr>
            <w:tcW w:type="dxa" w:w="3961"/>
            <w:shd w:val="clear" w:color="auto" w:fill="FAF8F2"/>
          </w:tcPr>
          <w:p>
            <w:pPr>
              <w:spacing w:after="0"/>
            </w:pPr>
            <w:r>
              <w:rPr>
                <w:color w:val="1D1D1D"/>
                <w:sz w:val="16"/>
              </w:rPr>
              <w:t>Tailwater rating curve; cascade operating rules [DE:S1]</w:t>
            </w:r>
          </w:p>
        </w:tc>
      </w:tr>
      <w:tr>
        <w:tc>
          <w:tcPr>
            <w:tcW w:type="dxa" w:w="1716"/>
          </w:tcPr>
          <w:p>
            <w:pPr>
              <w:spacing w:after="0"/>
            </w:pPr>
            <w:r>
              <w:rPr>
                <w:color w:val="1D1D1D"/>
                <w:sz w:val="16"/>
              </w:rPr>
              <w:t>Diversion works</w:t>
            </w:r>
          </w:p>
        </w:tc>
        <w:tc>
          <w:tcPr>
            <w:tcW w:type="dxa" w:w="3961"/>
          </w:tcPr>
          <w:p>
            <w:pPr>
              <w:spacing w:after="0"/>
            </w:pPr>
            <w:r>
              <w:rPr>
                <w:color w:val="1D1D1D"/>
                <w:sz w:val="16"/>
              </w:rPr>
              <w:t>Overtopping during construction</w:t>
            </w:r>
          </w:p>
        </w:tc>
        <w:tc>
          <w:tcPr>
            <w:tcW w:type="dxa" w:w="3961"/>
          </w:tcPr>
          <w:p>
            <w:pPr>
              <w:spacing w:after="0"/>
            </w:pPr>
            <w:r>
              <w:rPr>
                <w:color w:val="1D1D1D"/>
                <w:sz w:val="16"/>
              </w:rPr>
              <w:t>Exceedance probability; risk allocation</w:t>
            </w:r>
          </w:p>
        </w:tc>
      </w:tr>
      <w:tr>
        <w:tc>
          <w:tcPr>
            <w:tcW w:type="dxa" w:w="1716"/>
            <w:shd w:val="clear" w:color="auto" w:fill="FAF8F2"/>
          </w:tcPr>
          <w:p>
            <w:pPr>
              <w:spacing w:after="0"/>
            </w:pPr>
            <w:r>
              <w:rPr>
                <w:color w:val="1D1D1D"/>
                <w:sz w:val="16"/>
              </w:rPr>
              <w:t>Access and logistics</w:t>
            </w:r>
          </w:p>
        </w:tc>
        <w:tc>
          <w:tcPr>
            <w:tcW w:type="dxa" w:w="3961"/>
            <w:shd w:val="clear" w:color="auto" w:fill="FAF8F2"/>
          </w:tcPr>
          <w:p>
            <w:pPr>
              <w:spacing w:after="0"/>
            </w:pPr>
            <w:r>
              <w:rPr>
                <w:color w:val="1D1D1D"/>
                <w:sz w:val="16"/>
              </w:rPr>
              <w:t>Delay on the critical path; heavy load transport</w:t>
            </w:r>
          </w:p>
        </w:tc>
        <w:tc>
          <w:tcPr>
            <w:tcW w:type="dxa" w:w="3961"/>
            <w:shd w:val="clear" w:color="auto" w:fill="FAF8F2"/>
          </w:tcPr>
          <w:p>
            <w:pPr>
              <w:spacing w:after="0"/>
            </w:pPr>
            <w:r>
              <w:rPr>
                <w:color w:val="1D1D1D"/>
                <w:sz w:val="16"/>
              </w:rPr>
              <w:t>Route survey; wet-season plan [DE:S1]</w:t>
            </w:r>
          </w:p>
        </w:tc>
      </w:tr>
    </w:tbl>
    <w:p>
      <w:pPr>
        <w:spacing w:after="40"/>
      </w:pPr>
    </w:p>
    <w:p>
      <w:pPr>
        <w:pStyle w:val="Heading3"/>
      </w:pPr>
      <w:r>
        <w:t>O.13 Decision tests</w:t>
      </w:r>
    </w:p>
    <w:p>
      <w:pPr>
        <w:spacing w:after="60"/>
        <w:ind w:left="397" w:hanging="397"/>
      </w:pPr>
      <w:r>
        <w:rPr/>
        <w:t>1.</w:t>
        <w:tab/>
        <w:t>Does the scheme type match the revenue contract: if the PPA pays for peak or firm capacity, is there storage to deliver it, and if not, is the tariff energy-only?</w:t>
      </w:r>
    </w:p>
    <w:p>
      <w:pPr>
        <w:spacing w:after="60"/>
        <w:ind w:left="397" w:hanging="397"/>
      </w:pPr>
      <w:r>
        <w:rPr/>
        <w:t>2.</w:t>
        <w:tab/>
        <w:t>Has the waterway been optimised on lifecycle value, with the energy cost of each metre of head loss (about 2.4 GWh/yr per metre at Kasiri as an upper bound) priced against excavation and lining cost?</w:t>
      </w:r>
    </w:p>
    <w:p>
      <w:pPr>
        <w:spacing w:after="60"/>
        <w:ind w:left="397" w:hanging="397"/>
      </w:pPr>
      <w:r>
        <w:rPr/>
        <w:t>3.</w:t>
        <w:tab/>
        <w:t>Is the dam type supported by foundation boreholes and by an investigated quarry or borrow source within short haul distance?</w:t>
      </w:r>
    </w:p>
    <w:p>
      <w:pPr>
        <w:spacing w:after="60"/>
        <w:ind w:left="397" w:hanging="397"/>
      </w:pPr>
      <w:r>
        <w:rPr/>
        <w:t>4.</w:t>
        <w:tab/>
        <w:t>Does every major structure and every geological unit along the waterway have site-specific investigation, or are parts of the design still based on regional maps?</w:t>
      </w:r>
    </w:p>
    <w:p>
      <w:pPr>
        <w:spacing w:after="60"/>
        <w:ind w:left="397" w:hanging="397"/>
      </w:pPr>
      <w:r>
        <w:rPr/>
        <w:t>5.</w:t>
        <w:tab/>
        <w:t>Is there a GBR in the civil contract, who bears ground worse than the baseline, and is the employer's share covered by contingency or committed sponsor funding?</w:t>
      </w:r>
    </w:p>
    <w:p>
      <w:pPr>
        <w:spacing w:after="60"/>
        <w:ind w:left="397" w:hanging="397"/>
      </w:pPr>
      <w:r>
        <w:rPr/>
        <w:t>6.</w:t>
        <w:tab/>
        <w:t>What hazard class has the dam or weir been given, which design and check floods follow from it, and were they estimated from peak-flow data rather than monthly means?</w:t>
      </w:r>
    </w:p>
    <w:p>
      <w:pPr>
        <w:spacing w:after="60"/>
        <w:ind w:left="397" w:hanging="397"/>
      </w:pPr>
      <w:r>
        <w:rPr/>
        <w:t>7.</w:t>
        <w:tab/>
        <w:t>Has an independent panel reviewed design and construction, will it review first filling, and are a dam break study, emergency plan and instrumentation plan in place?</w:t>
      </w:r>
    </w:p>
    <w:p>
      <w:pPr>
        <w:spacing w:after="60"/>
        <w:ind w:left="397" w:hanging="397"/>
      </w:pPr>
      <w:r>
        <w:rPr/>
        <w:t>8.</w:t>
        <w:tab/>
        <w:t>What is the probability that the diversion design flood is exceeded during construction, and who pays if it is?</w:t>
      </w:r>
    </w:p>
    <w:p>
      <w:pPr>
        <w:spacing w:after="60"/>
        <w:ind w:left="397" w:hanging="397"/>
      </w:pPr>
      <w:r>
        <w:rPr/>
        <w:t>9.</w:t>
        <w:tab/>
        <w:t>Is the civil contingency at least the 15 percent industry norm, and does the sources and uses survive a civil overrun at the 27 percent median of the large-dam reference class?</w:t>
      </w:r>
    </w:p>
    <w:p>
      <w:pPr>
        <w:spacing w:after="60"/>
        <w:ind w:left="397" w:hanging="397"/>
      </w:pPr>
      <w:r>
        <w:rPr/>
        <w:t>10.</w:t>
        <w:tab/>
        <w:t>Are access roads, heavy load routes and the grid connection on the critical path funded and permitted before notice to proceed?</w:t>
      </w:r>
    </w:p>
    <w:p>
      <w:pPr>
        <w:spacing w:after="60"/>
        <w:ind w:left="397" w:hanging="397"/>
      </w:pPr>
      <w:r>
        <w:rPr/>
        <w:t>11.</w:t>
        <w:tab/>
        <w:t>Will tunnels be dewatered and inspected before the EPC defects notification period ends, with retention or credit cover still in place?</w:t>
      </w:r>
    </w:p>
    <w:p>
      <w:pPr>
        <w:pStyle w:val="Heading2"/>
      </w:pPr>
      <w:r>
        <w:t>Annex P. Electromechanical equipment and grid connection</w:t>
      </w:r>
    </w:p>
    <w:p>
      <w:pPr>
        <w:pStyle w:val="Heading3"/>
      </w:pPr>
      <w:r>
        <w:t>P.1 Purpose and scope</w:t>
      </w:r>
    </w:p>
    <w:p>
      <w:pPr>
        <w:jc w:val="both"/>
      </w:pPr>
      <w:r>
        <w:rPr/>
        <w:t>The electromechanical (E&amp;M) package turns head and flow into saleable energy: turbines, generators, governors and excitation, transformers, switchyard, protection, SCADA, auxiliaries, and the hydromechanical gates and valves that control water to the units. Each large plant's E&amp;M equipment is custom-designed [DE:S1]. In the IFC benchmark sample E&amp;M averages 30.3% of total plant cost (median 29.2%), with a range of 14.9 to 56.6% [DE:S1]. The decisions a committee must test are few: turbine type, number and speed of units, turbine setting, sediment protection, and the contract and test regime that makes supplier guarantees enforceable.</w:t>
      </w:r>
    </w:p>
    <w:p>
      <w:pPr>
        <w:pStyle w:val="Heading3"/>
      </w:pPr>
      <w:r>
        <w:t>P.2 Turbine types and selection by head and flow</w:t>
      </w:r>
    </w:p>
    <w:p>
      <w:pPr>
        <w:jc w:val="both"/>
      </w:pPr>
      <w:r>
        <w:rPr/>
        <w:t>Turbine choice rests on the site's head and flow, including how often the turbine will run at part load because available flow is below design discharge [DE:S1]. Turbines divide into two families [DE:S1]:</w:t>
      </w:r>
    </w:p>
    <w:p>
      <w:pPr>
        <w:spacing w:after="60"/>
        <w:ind w:left="397" w:hanging="397"/>
      </w:pPr>
      <w:r>
        <w:rPr/>
        <w:t>•</w:t>
        <w:tab/>
      </w:r>
      <w:r>
        <w:rPr>
          <w:b/>
        </w:rPr>
        <w:t>Impulse</w:t>
      </w:r>
      <w:r>
        <w:rPr/>
        <w:t xml:space="preserve"> (Pelton, Turgo, cross-flow): the runner turns in air under one or more jets. They hold efficiency under fluctuating flow, avoid penstock overpressure, control overspeed easily and are easy to maintain.</w:t>
      </w:r>
    </w:p>
    <w:p>
      <w:pPr>
        <w:spacing w:after="60"/>
        <w:ind w:left="397" w:hanging="397"/>
      </w:pPr>
      <w:r>
        <w:rPr/>
        <w:t>•</w:t>
        <w:tab/>
      </w:r>
      <w:r>
        <w:rPr>
          <w:b/>
        </w:rPr>
        <w:t>Reaction</w:t>
      </w:r>
      <w:r>
        <w:rPr/>
        <w:t xml:space="preserve"> (Francis, propeller, Kaplan, bulb): the runner is immersed in a pressure casing and driven by lift; a draft tube recovers head below the runner. Runners are smaller and faster than Peltons, can run submerged, and give higher efficiency at higher power.</w:t>
      </w:r>
    </w:p>
    <w:p>
      <w:pPr>
        <w:jc w:val="both"/>
      </w:pPr>
      <w:r>
        <w:rPr/>
        <w:t>The IFC guide classes schemes as high head above 100 m, medium head 30 to 100 m and low head below 30 m [DE:S1]. Its turbine section uses a different low-head limit (below 10 m) and misprints the medium range ("50 m &lt; H &lt; 10 m"), so quote the scheme classes [DE:S1]. The guide's head-flow chart (Figure 4-19, on log axes of 1 to 1000 m head and 1 to 1000 m</w:t>
      </w:r>
      <w:r>
        <w:rPr>
          <w:vertAlign w:val="superscript"/>
        </w:rPr>
        <w:t>3</w:t>
      </w:r>
      <w:r>
        <w:rPr/>
        <w:t>/s flow) places, as far as it can be read, Pelton and Turgo at high head and low flow, Kaplan at low head and high flow, cross-flow at low to medium head and small flow, and Francis across the wide middle field; the boundaries depend on each manufacturer's design [DE:S1].</w:t>
      </w:r>
    </w:p>
    <w:p>
      <w:pPr>
        <w:keepNext/>
      </w:pPr>
      <w:r>
        <w:rPr>
          <w:b/>
          <w:color w:val="0B3020"/>
          <w:sz w:val="18"/>
        </w:rPr>
        <w:t>Table P.1. Turbine types: principle, application and part-load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16"/>
            <w:shd w:val="clear" w:color="auto" w:fill="0B3020"/>
          </w:tcPr>
          <w:p>
            <w:pPr>
              <w:spacing w:after="0"/>
            </w:pPr>
            <w:r>
              <w:rPr>
                <w:b/>
                <w:color w:val="FFFFFF"/>
                <w:sz w:val="16"/>
              </w:rPr>
              <w:t>Type</w:t>
            </w:r>
          </w:p>
        </w:tc>
        <w:tc>
          <w:tcPr>
            <w:tcW w:type="dxa" w:w="2807"/>
            <w:shd w:val="clear" w:color="auto" w:fill="0B3020"/>
          </w:tcPr>
          <w:p>
            <w:pPr>
              <w:spacing w:after="0"/>
            </w:pPr>
            <w:r>
              <w:rPr>
                <w:b/>
                <w:color w:val="FFFFFF"/>
                <w:sz w:val="16"/>
              </w:rPr>
              <w:t>Principle</w:t>
            </w:r>
          </w:p>
        </w:tc>
        <w:tc>
          <w:tcPr>
            <w:tcW w:type="dxa" w:w="2807"/>
            <w:shd w:val="clear" w:color="auto" w:fill="0B3020"/>
          </w:tcPr>
          <w:p>
            <w:pPr>
              <w:spacing w:after="0"/>
            </w:pPr>
            <w:r>
              <w:rPr>
                <w:b/>
                <w:color w:val="FFFFFF"/>
                <w:sz w:val="16"/>
              </w:rPr>
              <w:t>Application as stated in the sources</w:t>
            </w:r>
          </w:p>
        </w:tc>
        <w:tc>
          <w:tcPr>
            <w:tcW w:type="dxa" w:w="2807"/>
            <w:shd w:val="clear" w:color="auto" w:fill="0B3020"/>
          </w:tcPr>
          <w:p>
            <w:pPr>
              <w:spacing w:after="0"/>
            </w:pPr>
            <w:r>
              <w:rPr>
                <w:b/>
                <w:color w:val="FFFFFF"/>
                <w:sz w:val="16"/>
              </w:rPr>
              <w:t>Features relevant to a committee</w:t>
            </w:r>
          </w:p>
        </w:tc>
      </w:tr>
      <w:tr>
        <w:tc>
          <w:tcPr>
            <w:tcW w:type="dxa" w:w="1216"/>
          </w:tcPr>
          <w:p>
            <w:pPr>
              <w:spacing w:after="0"/>
            </w:pPr>
            <w:r>
              <w:rPr>
                <w:color w:val="1D1D1D"/>
                <w:sz w:val="16"/>
              </w:rPr>
              <w:t>Pelton</w:t>
            </w:r>
          </w:p>
        </w:tc>
        <w:tc>
          <w:tcPr>
            <w:tcW w:type="dxa" w:w="2807"/>
          </w:tcPr>
          <w:p>
            <w:pPr>
              <w:spacing w:after="0"/>
            </w:pPr>
            <w:r>
              <w:rPr>
                <w:color w:val="1D1D1D"/>
                <w:sz w:val="16"/>
              </w:rPr>
              <w:t>Impulse; double-spoon buckets, one or more nozzles with needle valves</w:t>
            </w:r>
          </w:p>
        </w:tc>
        <w:tc>
          <w:tcPr>
            <w:tcW w:type="dxa" w:w="2807"/>
          </w:tcPr>
          <w:p>
            <w:pPr>
              <w:spacing w:after="0"/>
            </w:pPr>
            <w:r>
              <w:rPr>
                <w:color w:val="1D1D1D"/>
                <w:sz w:val="16"/>
              </w:rPr>
              <w:t>High head, low flow; most widely used impulse turbine [DE:S1]</w:t>
            </w:r>
          </w:p>
        </w:tc>
        <w:tc>
          <w:tcPr>
            <w:tcW w:type="dxa" w:w="2807"/>
          </w:tcPr>
          <w:p>
            <w:pPr>
              <w:spacing w:after="0"/>
            </w:pPr>
            <w:r>
              <w:rPr>
                <w:color w:val="1D1D1D"/>
                <w:sz w:val="16"/>
              </w:rPr>
              <w:t>Up to 2 nozzles (horizontal) or 6 (vertical); deflector limits overspeed on load rejection [DE:S1]</w:t>
            </w:r>
          </w:p>
        </w:tc>
      </w:tr>
      <w:tr>
        <w:tc>
          <w:tcPr>
            <w:tcW w:type="dxa" w:w="1216"/>
            <w:shd w:val="clear" w:color="auto" w:fill="FAF8F2"/>
          </w:tcPr>
          <w:p>
            <w:pPr>
              <w:spacing w:after="0"/>
            </w:pPr>
            <w:r>
              <w:rPr>
                <w:color w:val="1D1D1D"/>
                <w:sz w:val="16"/>
              </w:rPr>
              <w:t>Turgo</w:t>
            </w:r>
          </w:p>
        </w:tc>
        <w:tc>
          <w:tcPr>
            <w:tcW w:type="dxa" w:w="2807"/>
            <w:shd w:val="clear" w:color="auto" w:fill="FAF8F2"/>
          </w:tcPr>
          <w:p>
            <w:pPr>
              <w:spacing w:after="0"/>
            </w:pPr>
            <w:r>
              <w:rPr>
                <w:color w:val="1D1D1D"/>
                <w:sz w:val="16"/>
              </w:rPr>
              <w:t>Impulse; jet strikes runner plane at about 20 degrees</w:t>
            </w:r>
          </w:p>
        </w:tc>
        <w:tc>
          <w:tcPr>
            <w:tcW w:type="dxa" w:w="2807"/>
            <w:shd w:val="clear" w:color="auto" w:fill="FAF8F2"/>
          </w:tcPr>
          <w:p>
            <w:pPr>
              <w:spacing w:after="0"/>
            </w:pPr>
            <w:r>
              <w:rPr>
                <w:color w:val="1D1D1D"/>
                <w:sz w:val="16"/>
              </w:rPr>
              <w:t>Pelton field, higher flow per runner [DE:S1]</w:t>
            </w:r>
          </w:p>
        </w:tc>
        <w:tc>
          <w:tcPr>
            <w:tcW w:type="dxa" w:w="2807"/>
            <w:shd w:val="clear" w:color="auto" w:fill="FAF8F2"/>
          </w:tcPr>
          <w:p>
            <w:pPr>
              <w:spacing w:after="0"/>
            </w:pPr>
            <w:r>
              <w:rPr>
                <w:color w:val="1D1D1D"/>
                <w:sz w:val="16"/>
              </w:rPr>
              <w:t>Smaller runner than a Pelton for the same power [DE:S1]</w:t>
            </w:r>
          </w:p>
        </w:tc>
      </w:tr>
      <w:tr>
        <w:tc>
          <w:tcPr>
            <w:tcW w:type="dxa" w:w="1216"/>
          </w:tcPr>
          <w:p>
            <w:pPr>
              <w:spacing w:after="0"/>
            </w:pPr>
            <w:r>
              <w:rPr>
                <w:color w:val="1D1D1D"/>
                <w:sz w:val="16"/>
              </w:rPr>
              <w:t>Cross-flow (Banki-Michell)</w:t>
            </w:r>
          </w:p>
        </w:tc>
        <w:tc>
          <w:tcPr>
            <w:tcW w:type="dxa" w:w="2807"/>
          </w:tcPr>
          <w:p>
            <w:pPr>
              <w:spacing w:after="0"/>
            </w:pPr>
            <w:r>
              <w:rPr>
                <w:color w:val="1D1D1D"/>
                <w:sz w:val="16"/>
              </w:rPr>
              <w:t>Impulse; drum rotor, water crosses runner twice</w:t>
            </w:r>
          </w:p>
        </w:tc>
        <w:tc>
          <w:tcPr>
            <w:tcW w:type="dxa" w:w="2807"/>
          </w:tcPr>
          <w:p>
            <w:pPr>
              <w:spacing w:after="0"/>
            </w:pPr>
            <w:r>
              <w:rPr>
                <w:color w:val="1D1D1D"/>
                <w:sz w:val="16"/>
              </w:rPr>
              <w:t>Low to medium head, small flow (as read from the IFC chart) [DE:S1]</w:t>
            </w:r>
          </w:p>
        </w:tc>
        <w:tc>
          <w:tcPr>
            <w:tcW w:type="dxa" w:w="2807"/>
          </w:tcPr>
          <w:p>
            <w:pPr>
              <w:spacing w:after="0"/>
            </w:pPr>
            <w:r>
              <w:rPr>
                <w:color w:val="1D1D1D"/>
                <w:sz w:val="16"/>
              </w:rPr>
              <w:t>Gross head counts only 2/3 of runner-to-tailwater drop [DE:S1]</w:t>
            </w:r>
          </w:p>
        </w:tc>
      </w:tr>
      <w:tr>
        <w:tc>
          <w:tcPr>
            <w:tcW w:type="dxa" w:w="1216"/>
            <w:shd w:val="clear" w:color="auto" w:fill="FAF8F2"/>
          </w:tcPr>
          <w:p>
            <w:pPr>
              <w:spacing w:after="0"/>
            </w:pPr>
            <w:r>
              <w:rPr>
                <w:color w:val="1D1D1D"/>
                <w:sz w:val="16"/>
              </w:rPr>
              <w:t>Francis</w:t>
            </w:r>
          </w:p>
        </w:tc>
        <w:tc>
          <w:tcPr>
            <w:tcW w:type="dxa" w:w="2807"/>
            <w:shd w:val="clear" w:color="auto" w:fill="FAF8F2"/>
          </w:tcPr>
          <w:p>
            <w:pPr>
              <w:spacing w:after="0"/>
            </w:pPr>
            <w:r>
              <w:rPr>
                <w:color w:val="1D1D1D"/>
                <w:sz w:val="16"/>
              </w:rPr>
              <w:t>Reaction; radial inflow, axial outflow, spiral case with guide vanes</w:t>
            </w:r>
          </w:p>
        </w:tc>
        <w:tc>
          <w:tcPr>
            <w:tcW w:type="dxa" w:w="2807"/>
            <w:shd w:val="clear" w:color="auto" w:fill="FAF8F2"/>
          </w:tcPr>
          <w:p>
            <w:pPr>
              <w:spacing w:after="0"/>
            </w:pPr>
            <w:r>
              <w:rPr>
                <w:color w:val="1D1D1D"/>
                <w:sz w:val="16"/>
              </w:rPr>
              <w:t>Most common turbine in use; broad middle field of head and flow [DE:S1]</w:t>
            </w:r>
          </w:p>
        </w:tc>
        <w:tc>
          <w:tcPr>
            <w:tcW w:type="dxa" w:w="2807"/>
            <w:shd w:val="clear" w:color="auto" w:fill="FAF8F2"/>
          </w:tcPr>
          <w:p>
            <w:pPr>
              <w:spacing w:after="0"/>
            </w:pPr>
            <w:r>
              <w:rPr>
                <w:color w:val="1D1D1D"/>
                <w:sz w:val="16"/>
              </w:rPr>
              <w:t>Efficiency falls sharply below about half design flow [DE:S1]</w:t>
            </w:r>
          </w:p>
        </w:tc>
      </w:tr>
      <w:tr>
        <w:tc>
          <w:tcPr>
            <w:tcW w:type="dxa" w:w="1216"/>
          </w:tcPr>
          <w:p>
            <w:pPr>
              <w:spacing w:after="0"/>
            </w:pPr>
            <w:r>
              <w:rPr>
                <w:color w:val="1D1D1D"/>
                <w:sz w:val="16"/>
              </w:rPr>
              <w:t>Propeller (fixed blade)</w:t>
            </w:r>
          </w:p>
        </w:tc>
        <w:tc>
          <w:tcPr>
            <w:tcW w:type="dxa" w:w="2807"/>
          </w:tcPr>
          <w:p>
            <w:pPr>
              <w:spacing w:after="0"/>
            </w:pPr>
            <w:r>
              <w:rPr>
                <w:color w:val="1D1D1D"/>
                <w:sz w:val="16"/>
              </w:rPr>
              <w:t>Reaction; axial flow, 3 to 6 blades</w:t>
            </w:r>
          </w:p>
        </w:tc>
        <w:tc>
          <w:tcPr>
            <w:tcW w:type="dxa" w:w="2807"/>
          </w:tcPr>
          <w:p>
            <w:pPr>
              <w:spacing w:after="0"/>
            </w:pPr>
            <w:r>
              <w:rPr>
                <w:color w:val="1D1D1D"/>
                <w:sz w:val="16"/>
              </w:rPr>
              <w:t>Low head [DE:S1]</w:t>
            </w:r>
          </w:p>
        </w:tc>
        <w:tc>
          <w:tcPr>
            <w:tcW w:type="dxa" w:w="2807"/>
          </w:tcPr>
          <w:p>
            <w:pPr>
              <w:spacing w:after="0"/>
            </w:pPr>
            <w:r>
              <w:rPr>
                <w:color w:val="1D1D1D"/>
                <w:sz w:val="16"/>
              </w:rPr>
              <w:t>Minimum technical flow 75% of design [LIT:S6]</w:t>
            </w:r>
          </w:p>
        </w:tc>
      </w:tr>
      <w:tr>
        <w:tc>
          <w:tcPr>
            <w:tcW w:type="dxa" w:w="1216"/>
            <w:shd w:val="clear" w:color="auto" w:fill="FAF8F2"/>
          </w:tcPr>
          <w:p>
            <w:pPr>
              <w:spacing w:after="0"/>
            </w:pPr>
            <w:r>
              <w:rPr>
                <w:color w:val="1D1D1D"/>
                <w:sz w:val="16"/>
              </w:rPr>
              <w:t>Kaplan</w:t>
            </w:r>
          </w:p>
        </w:tc>
        <w:tc>
          <w:tcPr>
            <w:tcW w:type="dxa" w:w="2807"/>
            <w:shd w:val="clear" w:color="auto" w:fill="FAF8F2"/>
          </w:tcPr>
          <w:p>
            <w:pPr>
              <w:spacing w:after="0"/>
            </w:pPr>
            <w:r>
              <w:rPr>
                <w:color w:val="1D1D1D"/>
                <w:sz w:val="16"/>
              </w:rPr>
              <w:t>Propeller with adjustable blades and guide vanes (double regulated)</w:t>
            </w:r>
          </w:p>
        </w:tc>
        <w:tc>
          <w:tcPr>
            <w:tcW w:type="dxa" w:w="2807"/>
            <w:shd w:val="clear" w:color="auto" w:fill="FAF8F2"/>
          </w:tcPr>
          <w:p>
            <w:pPr>
              <w:spacing w:after="0"/>
            </w:pPr>
            <w:r>
              <w:rPr>
                <w:color w:val="1D1D1D"/>
                <w:sz w:val="16"/>
              </w:rPr>
              <w:t>Low head, variable flow [DE:S1]</w:t>
            </w:r>
          </w:p>
        </w:tc>
        <w:tc>
          <w:tcPr>
            <w:tcW w:type="dxa" w:w="2807"/>
            <w:shd w:val="clear" w:color="auto" w:fill="FAF8F2"/>
          </w:tcPr>
          <w:p>
            <w:pPr>
              <w:spacing w:after="0"/>
            </w:pPr>
            <w:r>
              <w:rPr>
                <w:color w:val="1D1D1D"/>
                <w:sz w:val="16"/>
              </w:rPr>
              <w:t>Higher cost, high efficiency over a wide flow range [DE:S1]</w:t>
            </w:r>
          </w:p>
        </w:tc>
      </w:tr>
      <w:tr>
        <w:tc>
          <w:tcPr>
            <w:tcW w:type="dxa" w:w="1216"/>
          </w:tcPr>
          <w:p>
            <w:pPr>
              <w:spacing w:after="0"/>
            </w:pPr>
            <w:r>
              <w:rPr>
                <w:color w:val="1D1D1D"/>
                <w:sz w:val="16"/>
              </w:rPr>
              <w:t>Bulb</w:t>
            </w:r>
          </w:p>
        </w:tc>
        <w:tc>
          <w:tcPr>
            <w:tcW w:type="dxa" w:w="2807"/>
          </w:tcPr>
          <w:p>
            <w:pPr>
              <w:spacing w:after="0"/>
            </w:pPr>
            <w:r>
              <w:rPr>
                <w:color w:val="1D1D1D"/>
                <w:sz w:val="16"/>
              </w:rPr>
              <w:t>Horizontal Kaplan with generator in a watertight bulb</w:t>
            </w:r>
          </w:p>
        </w:tc>
        <w:tc>
          <w:tcPr>
            <w:tcW w:type="dxa" w:w="2807"/>
          </w:tcPr>
          <w:p>
            <w:pPr>
              <w:spacing w:after="0"/>
            </w:pPr>
            <w:r>
              <w:rPr>
                <w:color w:val="1D1D1D"/>
                <w:sz w:val="16"/>
              </w:rPr>
              <w:t>Heads up to 30 m, high output [DE:S1]</w:t>
            </w:r>
          </w:p>
        </w:tc>
        <w:tc>
          <w:tcPr>
            <w:tcW w:type="dxa" w:w="2807"/>
          </w:tcPr>
          <w:p>
            <w:pPr>
              <w:spacing w:after="0"/>
            </w:pPr>
            <w:r>
              <w:rPr>
                <w:color w:val="1D1D1D"/>
                <w:sz w:val="16"/>
              </w:rPr>
              <w:t>Smaller excavation than vertical Kaplan [DE:S1]</w:t>
            </w:r>
          </w:p>
        </w:tc>
      </w:tr>
    </w:tbl>
    <w:p>
      <w:pPr>
        <w:spacing w:after="40"/>
      </w:pPr>
    </w:p>
    <w:p>
      <w:pPr>
        <w:jc w:val="both"/>
      </w:pPr>
      <w:r>
        <w:rPr/>
        <w:t>Low-head bulb and Kaplan plants use low-speed generators; high-head Francis and Pelton plants use high-speed ones [DE:S1].</w:t>
      </w:r>
    </w:p>
    <w:p>
      <w:pPr>
        <w:pStyle w:val="Heading3"/>
      </w:pPr>
      <w:r>
        <w:t>P.3 Specific speed</w:t>
      </w:r>
    </w:p>
    <w:p>
      <w:pPr>
        <w:jc w:val="both"/>
      </w:pPr>
      <w:r>
        <w:rPr/>
        <w:t>Specific speed condenses head, flow (or power) and rotational speed into one number that characterises runner shape: low for Pelton, intermediate for Francis, high for propeller and Kaplan. A propeller runs faster than a Francis for the same head and flow, which is why it superseded the low-head Francis [DE:S1]. ESHA makes specific speed its main selection criterion [LIT:S6], but none of the source texts available here gives numerical bands by turbine type, so the annex gives definitions only; the engineer should show the manufacturer's experience chart behind any proposed speed.</w:t>
      </w:r>
    </w:p>
    <w:p>
      <w:pPr>
        <w:jc w:val="both"/>
      </w:pPr>
      <w:r>
        <w:rPr/>
        <w:t>Three forms are in common use (n in rpm, Q in m</w:t>
      </w:r>
      <w:r>
        <w:rPr>
          <w:vertAlign w:val="superscript"/>
        </w:rPr>
        <w:t>3</w:t>
      </w:r>
      <w:r>
        <w:rPr/>
        <w:t>/s per unit, H net head in m, P shaft power per unit):</w:t>
      </w:r>
    </w:p>
    <w:p>
      <w:pPr>
        <w:ind w:left="567"/>
      </w:pPr>
      <w:r>
        <w:rPr>
          <w:color w:val="0B3020"/>
          <w:sz w:val="20"/>
        </w:rPr>
        <w:t>n</w:t>
      </w:r>
      <w:r>
        <w:rPr>
          <w:color w:val="0B3020"/>
          <w:sz w:val="20"/>
        </w:rPr>
        <w:t>s</w:t>
      </w:r>
      <w:r>
        <w:rPr>
          <w:color w:val="0B3020"/>
          <w:sz w:val="20"/>
        </w:rPr>
        <w:t xml:space="preserve"> = n × P</w:t>
      </w:r>
      <w:r>
        <w:rPr>
          <w:color w:val="0B3020"/>
          <w:sz w:val="20"/>
          <w:vertAlign w:val="superscript"/>
        </w:rPr>
        <w:t>0.5</w:t>
      </w:r>
      <w:r>
        <w:rPr>
          <w:color w:val="0B3020"/>
          <w:sz w:val="20"/>
        </w:rPr>
        <w:t xml:space="preserve"> / H</w:t>
      </w:r>
      <w:r>
        <w:rPr>
          <w:color w:val="0B3020"/>
          <w:sz w:val="20"/>
          <w:vertAlign w:val="superscript"/>
        </w:rPr>
        <w:t>1.25</w:t>
      </w:r>
      <w:r>
        <w:rPr>
          <w:color w:val="0B3020"/>
          <w:sz w:val="20"/>
        </w:rPr>
        <w:t xml:space="preserve"> (P in kW; metric power-based form)</w:t>
      </w:r>
    </w:p>
    <w:p>
      <w:pPr>
        <w:ind w:left="567"/>
      </w:pPr>
      <w:r>
        <w:rPr>
          <w:color w:val="0B3020"/>
          <w:sz w:val="20"/>
        </w:rPr>
        <w:t>n</w:t>
      </w:r>
      <w:r>
        <w:rPr>
          <w:color w:val="0B3020"/>
          <w:sz w:val="20"/>
        </w:rPr>
        <w:t>q</w:t>
      </w:r>
      <w:r>
        <w:rPr>
          <w:color w:val="0B3020"/>
          <w:sz w:val="20"/>
        </w:rPr>
        <w:t xml:space="preserve"> = n × Q</w:t>
      </w:r>
      <w:r>
        <w:rPr>
          <w:color w:val="0B3020"/>
          <w:sz w:val="20"/>
          <w:vertAlign w:val="superscript"/>
        </w:rPr>
        <w:t>0.5</w:t>
      </w:r>
      <w:r>
        <w:rPr>
          <w:color w:val="0B3020"/>
          <w:sz w:val="20"/>
        </w:rPr>
        <w:t xml:space="preserve"> / H</w:t>
      </w:r>
      <w:r>
        <w:rPr>
          <w:color w:val="0B3020"/>
          <w:sz w:val="20"/>
          <w:vertAlign w:val="superscript"/>
        </w:rPr>
        <w:t>0.75</w:t>
      </w:r>
      <w:r>
        <w:rPr>
          <w:color w:val="0B3020"/>
          <w:sz w:val="20"/>
        </w:rPr>
        <w:t xml:space="preserve"> (flow-based form)</w:t>
      </w:r>
    </w:p>
    <w:p>
      <w:pPr>
        <w:ind w:left="567"/>
      </w:pPr>
      <w:r>
        <w:rPr>
          <w:color w:val="0B3020"/>
          <w:sz w:val="20"/>
        </w:rPr>
        <w:t>n</w:t>
      </w:r>
      <w:r>
        <w:rPr>
          <w:color w:val="0B3020"/>
          <w:sz w:val="20"/>
        </w:rPr>
        <w:t>QE</w:t>
      </w:r>
      <w:r>
        <w:rPr>
          <w:color w:val="0B3020"/>
          <w:sz w:val="20"/>
        </w:rPr>
        <w:t xml:space="preserve"> = (n / 60) × Q</w:t>
      </w:r>
      <w:r>
        <w:rPr>
          <w:color w:val="0B3020"/>
          <w:sz w:val="20"/>
          <w:vertAlign w:val="superscript"/>
        </w:rPr>
        <w:t>0.5</w:t>
      </w:r>
      <w:r>
        <w:rPr>
          <w:color w:val="0B3020"/>
          <w:sz w:val="20"/>
        </w:rPr>
        <w:t xml:space="preserve"> / (g × H)</w:t>
      </w:r>
      <w:r>
        <w:rPr>
          <w:color w:val="0B3020"/>
          <w:sz w:val="20"/>
          <w:vertAlign w:val="superscript"/>
        </w:rPr>
        <w:t>0.75</w:t>
      </w:r>
      <w:r>
        <w:rPr>
          <w:color w:val="0B3020"/>
          <w:sz w:val="20"/>
        </w:rPr>
        <w:t xml:space="preserve"> (dimensionless form)</w:t>
      </w:r>
    </w:p>
    <w:p>
      <w:pPr>
        <w:jc w:val="both"/>
      </w:pPr>
      <w:r>
        <w:rPr/>
        <w:t>The rotational speed of a synchronous unit is fixed by grid frequency f and the number of pole pairs p:</w:t>
      </w:r>
    </w:p>
    <w:p>
      <w:pPr>
        <w:ind w:left="567"/>
      </w:pPr>
      <w:r>
        <w:rPr>
          <w:color w:val="0B3020"/>
          <w:sz w:val="20"/>
        </w:rPr>
        <w:t>n = 60 × f / p</w:t>
      </w:r>
    </w:p>
    <w:p>
      <w:pPr>
        <w:jc w:val="both"/>
      </w:pPr>
      <w:r>
        <w:rPr/>
        <w:t>Speed therefore comes in discrete steps. At fixed specific speed, speed rises as unit size falls; a higher specific speed shrinks the generator but needs a deeper setting against cavitation (P.6).</w:t>
      </w:r>
    </w:p>
    <w:p>
      <w:pPr>
        <w:pStyle w:val="Heading3"/>
      </w:pPr>
      <w:r>
        <w:t>P.4 Efficiency and part-load behaviour</w:t>
      </w:r>
    </w:p>
    <w:p>
      <w:pPr>
        <w:jc w:val="both"/>
      </w:pPr>
      <w:r>
        <w:rPr/>
        <w:t>Turbine selection must compare efficiency across the whole flow range, not only at the design point [DE:S1]. Pelton and Kaplan turbines keep high efficiency below design flow; cross-flow and Francis efficiency drops more sharply below half flow, which suits them to steady flows [DE:S1]. Below a minimum flow the unit must stop to avoid damage from heavy vibration [DE:S1]. The two sources state different minimum flows, and the difference matters for low-flow months.</w:t>
      </w:r>
    </w:p>
    <w:p>
      <w:pPr>
        <w:keepNext/>
      </w:pPr>
      <w:r>
        <w:rPr>
          <w:b/>
          <w:color w:val="0B3020"/>
          <w:sz w:val="18"/>
        </w:rPr>
        <w:t>Table P.2. Minimum technical flow by turbine type, % of design flow</w:t>
      </w:r>
    </w:p>
    <w:tbl>
      <w:tblPr>
        <w:tblStyle w:val="TableGrid"/>
        <w:tblW w:type="auto" w:w="0"/>
        <w:jc w:val="center"/>
        <w:tblLook w:firstColumn="1" w:firstRow="1" w:lastColumn="0" w:lastRow="0" w:noHBand="0" w:noVBand="1" w:val="04A0"/>
      </w:tblPr>
      <w:tblGrid>
        <w:gridCol w:w="3213"/>
        <w:gridCol w:w="3213"/>
        <w:gridCol w:w="3213"/>
      </w:tblGrid>
      <w:tr>
        <w:tc>
          <w:tcPr>
            <w:tcW w:type="dxa" w:w="3286"/>
            <w:shd w:val="clear" w:color="auto" w:fill="0B3020"/>
          </w:tcPr>
          <w:p>
            <w:pPr>
              <w:spacing w:after="0"/>
            </w:pPr>
            <w:r>
              <w:rPr>
                <w:b/>
                <w:color w:val="FFFFFF"/>
                <w:sz w:val="16"/>
              </w:rPr>
              <w:t>Turbine</w:t>
            </w:r>
          </w:p>
        </w:tc>
        <w:tc>
          <w:tcPr>
            <w:tcW w:type="dxa" w:w="4271"/>
            <w:shd w:val="clear" w:color="auto" w:fill="0B3020"/>
          </w:tcPr>
          <w:p>
            <w:pPr>
              <w:spacing w:after="0"/>
            </w:pPr>
            <w:r>
              <w:rPr>
                <w:b/>
                <w:color w:val="FFFFFF"/>
                <w:sz w:val="16"/>
              </w:rPr>
              <w:t>IFC guide [DE:S1]</w:t>
            </w:r>
          </w:p>
        </w:tc>
        <w:tc>
          <w:tcPr>
            <w:tcW w:type="dxa" w:w="2081"/>
            <w:shd w:val="clear" w:color="auto" w:fill="0B3020"/>
          </w:tcPr>
          <w:p>
            <w:pPr>
              <w:spacing w:after="0"/>
            </w:pPr>
            <w:r>
              <w:rPr>
                <w:b/>
                <w:color w:val="FFFFFF"/>
                <w:sz w:val="16"/>
              </w:rPr>
              <w:t>ESHA guide [LIT:S6]</w:t>
            </w:r>
          </w:p>
        </w:tc>
      </w:tr>
      <w:tr>
        <w:tc>
          <w:tcPr>
            <w:tcW w:type="dxa" w:w="3286"/>
          </w:tcPr>
          <w:p>
            <w:pPr>
              <w:spacing w:after="0"/>
            </w:pPr>
            <w:r>
              <w:rPr>
                <w:color w:val="1D1D1D"/>
                <w:sz w:val="16"/>
              </w:rPr>
              <w:t>Pelton</w:t>
            </w:r>
          </w:p>
        </w:tc>
        <w:tc>
          <w:tcPr>
            <w:tcW w:type="dxa" w:w="4271"/>
          </w:tcPr>
          <w:p>
            <w:pPr>
              <w:spacing w:after="0"/>
            </w:pPr>
            <w:r>
              <w:rPr>
                <w:color w:val="1D1D1D"/>
                <w:sz w:val="16"/>
              </w:rPr>
              <w:t>10 to 20 (depends on number of nozzles)</w:t>
            </w:r>
          </w:p>
        </w:tc>
        <w:tc>
          <w:tcPr>
            <w:tcW w:type="dxa" w:w="2081"/>
          </w:tcPr>
          <w:p>
            <w:pPr>
              <w:spacing w:after="0"/>
            </w:pPr>
            <w:r>
              <w:rPr>
                <w:color w:val="1D1D1D"/>
                <w:sz w:val="16"/>
              </w:rPr>
              <w:t>10</w:t>
            </w:r>
          </w:p>
        </w:tc>
      </w:tr>
      <w:tr>
        <w:tc>
          <w:tcPr>
            <w:tcW w:type="dxa" w:w="3286"/>
            <w:shd w:val="clear" w:color="auto" w:fill="FAF8F2"/>
          </w:tcPr>
          <w:p>
            <w:pPr>
              <w:spacing w:after="0"/>
            </w:pPr>
            <w:r>
              <w:rPr>
                <w:color w:val="1D1D1D"/>
                <w:sz w:val="16"/>
              </w:rPr>
              <w:t>Turgo</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20</w:t>
            </w:r>
          </w:p>
        </w:tc>
      </w:tr>
      <w:tr>
        <w:tc>
          <w:tcPr>
            <w:tcW w:type="dxa" w:w="3286"/>
          </w:tcPr>
          <w:p>
            <w:pPr>
              <w:spacing w:after="0"/>
            </w:pPr>
            <w:r>
              <w:rPr>
                <w:color w:val="1D1D1D"/>
                <w:sz w:val="16"/>
              </w:rPr>
              <w:t>Francis</w:t>
            </w:r>
          </w:p>
        </w:tc>
        <w:tc>
          <w:tcPr>
            <w:tcW w:type="dxa" w:w="4271"/>
          </w:tcPr>
          <w:p>
            <w:pPr>
              <w:spacing w:after="0"/>
            </w:pPr>
            <w:r>
              <w:rPr>
                <w:color w:val="1D1D1D"/>
                <w:sz w:val="16"/>
              </w:rPr>
              <w:t>40</w:t>
            </w:r>
          </w:p>
        </w:tc>
        <w:tc>
          <w:tcPr>
            <w:tcW w:type="dxa" w:w="2081"/>
          </w:tcPr>
          <w:p>
            <w:pPr>
              <w:spacing w:after="0"/>
            </w:pPr>
            <w:r>
              <w:rPr>
                <w:color w:val="1D1D1D"/>
                <w:sz w:val="16"/>
              </w:rPr>
              <w:t>50</w:t>
            </w:r>
          </w:p>
        </w:tc>
      </w:tr>
      <w:tr>
        <w:tc>
          <w:tcPr>
            <w:tcW w:type="dxa" w:w="3286"/>
            <w:shd w:val="clear" w:color="auto" w:fill="FAF8F2"/>
          </w:tcPr>
          <w:p>
            <w:pPr>
              <w:spacing w:after="0"/>
            </w:pPr>
            <w:r>
              <w:rPr>
                <w:color w:val="1D1D1D"/>
                <w:sz w:val="16"/>
              </w:rPr>
              <w:t>Kaplan (double regulated)</w:t>
            </w:r>
          </w:p>
        </w:tc>
        <w:tc>
          <w:tcPr>
            <w:tcW w:type="dxa" w:w="4271"/>
            <w:shd w:val="clear" w:color="auto" w:fill="FAF8F2"/>
          </w:tcPr>
          <w:p>
            <w:pPr>
              <w:spacing w:after="0"/>
            </w:pPr>
            <w:r>
              <w:rPr>
                <w:color w:val="1D1D1D"/>
                <w:sz w:val="16"/>
              </w:rPr>
              <w:t>20</w:t>
            </w:r>
          </w:p>
        </w:tc>
        <w:tc>
          <w:tcPr>
            <w:tcW w:type="dxa" w:w="2081"/>
            <w:shd w:val="clear" w:color="auto" w:fill="FAF8F2"/>
          </w:tcPr>
          <w:p>
            <w:pPr>
              <w:spacing w:after="0"/>
            </w:pPr>
            <w:r>
              <w:rPr>
                <w:color w:val="1D1D1D"/>
                <w:sz w:val="16"/>
              </w:rPr>
              <w:t>15</w:t>
            </w:r>
          </w:p>
        </w:tc>
      </w:tr>
      <w:tr>
        <w:tc>
          <w:tcPr>
            <w:tcW w:type="dxa" w:w="3286"/>
          </w:tcPr>
          <w:p>
            <w:pPr>
              <w:spacing w:after="0"/>
            </w:pPr>
            <w:r>
              <w:rPr>
                <w:color w:val="1D1D1D"/>
                <w:sz w:val="16"/>
              </w:rPr>
              <w:t>Semi-Kaplan (single regulated)</w:t>
            </w:r>
          </w:p>
        </w:tc>
        <w:tc>
          <w:tcPr>
            <w:tcW w:type="dxa" w:w="4271"/>
          </w:tcPr>
          <w:p>
            <w:pPr>
              <w:spacing w:after="0"/>
            </w:pPr>
            <w:r>
              <w:rPr>
                <w:color w:val="1D1D1D"/>
                <w:sz w:val="16"/>
              </w:rPr>
              <w:t>40</w:t>
            </w:r>
          </w:p>
        </w:tc>
        <w:tc>
          <w:tcPr>
            <w:tcW w:type="dxa" w:w="2081"/>
          </w:tcPr>
          <w:p>
            <w:pPr>
              <w:spacing w:after="0"/>
            </w:pPr>
            <w:r>
              <w:rPr>
                <w:color w:val="1D1D1D"/>
                <w:sz w:val="16"/>
              </w:rPr>
              <w:t>30</w:t>
            </w:r>
          </w:p>
        </w:tc>
      </w:tr>
      <w:tr>
        <w:tc>
          <w:tcPr>
            <w:tcW w:type="dxa" w:w="3286"/>
            <w:shd w:val="clear" w:color="auto" w:fill="FAF8F2"/>
          </w:tcPr>
          <w:p>
            <w:pPr>
              <w:spacing w:after="0"/>
            </w:pPr>
            <w:r>
              <w:rPr>
                <w:color w:val="1D1D1D"/>
                <w:sz w:val="16"/>
              </w:rPr>
              <w:t>Propeller (fixed)</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75</w:t>
            </w:r>
          </w:p>
        </w:tc>
      </w:tr>
    </w:tbl>
    <w:p>
      <w:pPr>
        <w:spacing w:after="40"/>
      </w:pPr>
    </w:p>
    <w:p>
      <w:pPr>
        <w:jc w:val="both"/>
      </w:pPr>
      <w:r>
        <w:rPr>
          <w:i/>
        </w:rPr>
        <w:t>Note: IFC gives Kaplan as 20 to 40% for double and semi regulated machines respectively.</w:t>
      </w:r>
    </w:p>
    <w:p>
      <w:pPr>
        <w:jc w:val="both"/>
      </w:pPr>
      <w:r>
        <w:rPr/>
        <w:t>The energy estimate should apply the efficiency curve strip by strip over the flow duration curve, ending at the larger of minimum technical flow and reserved flow [LIT:S6]. Net head is lowest at maximum discharge, because losses rise with velocity squared and tailwater rises with flow [DE:S1], so a rated net head must be stated with its flow.</w:t>
      </w:r>
    </w:p>
    <w:p>
      <w:pPr>
        <w:jc w:val="both"/>
      </w:pPr>
      <w:r>
        <w:rPr/>
        <w:t>Variable-speed generation reduces efficiency variability off nominal head or flow and reduces abrasion [DE:S1].</w:t>
      </w:r>
    </w:p>
    <w:p>
      <w:pPr>
        <w:pStyle w:val="Heading3"/>
      </w:pPr>
      <w:r>
        <w:t>P.5 Number and size of units</w:t>
      </w:r>
    </w:p>
    <w:p>
      <w:pPr>
        <w:jc w:val="both"/>
      </w:pPr>
      <w:r>
        <w:rPr/>
        <w:t>The unit count trades three things:</w:t>
      </w:r>
    </w:p>
    <w:p>
      <w:pPr>
        <w:spacing w:after="60"/>
        <w:ind w:left="397" w:hanging="397"/>
      </w:pPr>
      <w:r>
        <w:rPr/>
        <w:t>1.</w:t>
        <w:tab/>
      </w:r>
      <w:r>
        <w:rPr>
          <w:b/>
        </w:rPr>
        <w:t>Low-flow operation.</w:t>
      </w:r>
      <w:r>
        <w:rPr/>
        <w:t xml:space="preserve"> The IFC guide's own example: instead of one 60 MW Francis unit, two 30 MW units allow operation down to 20% of plant design discharge instead of 40% [DE:S1]. Each scheme needs an assessment of whether the extra energy pays for the extra cost [DE:S1].</w:t>
      </w:r>
    </w:p>
    <w:p>
      <w:pPr>
        <w:spacing w:after="60"/>
        <w:ind w:left="397" w:hanging="397"/>
      </w:pPr>
      <w:r>
        <w:rPr/>
        <w:t>2.</w:t>
        <w:tab/>
      </w:r>
      <w:r>
        <w:rPr>
          <w:b/>
        </w:rPr>
        <w:t>Availability.</w:t>
      </w:r>
      <w:r>
        <w:rPr/>
        <w:t xml:space="preserve"> With one unit, every unit outage is a plant outage. Major overhauls recur every 7 to 12 years and take 4 to 6 weeks for units above 20 MW [DE:S1]; with several units they can fall in low-flow months.</w:t>
      </w:r>
    </w:p>
    <w:p>
      <w:pPr>
        <w:spacing w:after="60"/>
        <w:ind w:left="397" w:hanging="397"/>
      </w:pPr>
      <w:r>
        <w:rPr/>
        <w:t>3.</w:t>
        <w:tab/>
      </w:r>
      <w:r>
        <w:rPr>
          <w:b/>
        </w:rPr>
        <w:t>Cost.</w:t>
      </w:r>
      <w:r>
        <w:rPr/>
        <w:t xml:space="preserve"> More units mean more turbines, generators, valves, controls and powerhouse length; in the IFC optimisation example, IRR moves in steps with turbine unit costs [DE:S1]. Identical units share spares and need performance tests on one unit only [DE:S1].</w:t>
      </w:r>
    </w:p>
    <w:p>
      <w:pPr>
        <w:jc w:val="both"/>
      </w:pPr>
      <w:r>
        <w:rPr/>
        <w:t>The powerhouse crane is sized for the heaviest lift, a generator part or the runner [DE:S1], so fewer, larger units also raise crane and transport loads.</w:t>
      </w:r>
    </w:p>
    <w:p>
      <w:pPr>
        <w:pStyle w:val="Heading3"/>
      </w:pPr>
      <w:r>
        <w:t>P.6 Cavitation and turbine setting</w:t>
      </w:r>
    </w:p>
    <w:p>
      <w:pPr>
        <w:jc w:val="both"/>
      </w:pPr>
      <w:r>
        <w:rPr/>
        <w:t>Cavitation occurs where pressure falls below vapour pressure; the vapour cavities collapse in higher-pressure zones and can be extremely damaging [LIT:S6]. In a reaction turbine the tailwater level governs its onset [LIT:S6]. Cavitation and erosion damage runners and cut efficiency; the O&amp;M response is inspection and in-situ weld repair [DE:S1].</w:t>
      </w:r>
    </w:p>
    <w:p>
      <w:pPr>
        <w:jc w:val="both"/>
      </w:pPr>
      <w:r>
        <w:rPr/>
        <w:t>The setting (elevation of the runner relative to the minimum tailwater) is governed by the plant cavitation coefficient (Thoma sigma):</w:t>
      </w:r>
    </w:p>
    <w:p>
      <w:pPr>
        <w:ind w:left="567"/>
      </w:pPr>
      <w:r>
        <w:rPr>
          <w:color w:val="0B3020"/>
          <w:sz w:val="20"/>
        </w:rPr>
        <w:t>σ</w:t>
      </w:r>
      <w:r>
        <w:rPr>
          <w:color w:val="0B3020"/>
          <w:sz w:val="20"/>
        </w:rPr>
        <w:t>plant</w:t>
      </w:r>
      <w:r>
        <w:rPr>
          <w:color w:val="0B3020"/>
          <w:sz w:val="20"/>
        </w:rPr>
        <w:t xml:space="preserve"> = (H</w:t>
      </w:r>
      <w:r>
        <w:rPr>
          <w:color w:val="0B3020"/>
          <w:sz w:val="20"/>
        </w:rPr>
        <w:t>atm</w:t>
      </w:r>
      <w:r>
        <w:rPr>
          <w:color w:val="0B3020"/>
          <w:sz w:val="20"/>
        </w:rPr>
        <w:t xml:space="preserve"> − H</w:t>
      </w:r>
      <w:r>
        <w:rPr>
          <w:color w:val="0B3020"/>
          <w:sz w:val="20"/>
        </w:rPr>
        <w:t>v</w:t>
      </w:r>
      <w:r>
        <w:rPr>
          <w:color w:val="0B3020"/>
          <w:sz w:val="20"/>
        </w:rPr>
        <w:t xml:space="preserve"> − H</w:t>
      </w:r>
      <w:r>
        <w:rPr>
          <w:color w:val="0B3020"/>
          <w:sz w:val="20"/>
        </w:rPr>
        <w:t>s</w:t>
      </w:r>
      <w:r>
        <w:rPr>
          <w:color w:val="0B3020"/>
          <w:sz w:val="20"/>
        </w:rPr>
        <w:t>) / H</w:t>
      </w:r>
    </w:p>
    <w:p>
      <w:pPr>
        <w:jc w:val="both"/>
      </w:pPr>
      <w:r>
        <w:rPr/>
        <w:t>where H</w:t>
      </w:r>
      <w:r>
        <w:rPr/>
        <w:t>atm</w:t>
      </w:r>
      <w:r>
        <w:rPr/>
        <w:t xml:space="preserve"> is atmospheric pressure head (falling with altitude), H</w:t>
      </w:r>
      <w:r>
        <w:rPr/>
        <w:t>v</w:t>
      </w:r>
      <w:r>
        <w:rPr/>
        <w:t xml:space="preserve"> vapour pressure head, H</w:t>
      </w:r>
      <w:r>
        <w:rPr/>
        <w:t>s</w:t>
      </w:r>
      <w:r>
        <w:rPr/>
        <w:t xml:space="preserve"> suction head (runner above tailwater positive) and H net head. The setting must satisfy σ</w:t>
      </w:r>
      <w:r>
        <w:rPr/>
        <w:t>plant</w:t>
      </w:r>
      <w:r>
        <w:rPr/>
        <w:t xml:space="preserve"> above the turbine's critical sigma with a margin set by the manufacturer from model tests. The sources do not give sigma values by specific speed, so the annex quotes none. The arithmetic is still useful: at 120 m net head, each 0.01 of sigma is 1.2 m of setting depth, so a change of runner speed or a lower minimum tailwater can move the powerhouse floor by metres and change civil cost.</w:t>
      </w:r>
    </w:p>
    <w:p>
      <w:pPr>
        <w:pStyle w:val="Heading3"/>
      </w:pPr>
      <w:r>
        <w:t>P.7 Sediment abrasion and coatings</w:t>
      </w:r>
    </w:p>
    <w:p>
      <w:pPr>
        <w:jc w:val="both"/>
      </w:pPr>
      <w:r>
        <w:rPr/>
        <w:t>In medium- and high-head plants, suspended sediment wears hydraulic steel structures and turbines, reducing efficiency and life [DE:S1]. The higher the head, the smaller the particle that must be removed: above 100 m head, all particles larger than 0.2 mm should be retained in the sand trap; 0.3 mm is acceptable at lower heads; hard (quartz) and angular particles justify a smaller limit [DE:S1]. ESHA expresses the abrasive power of grains on a Francis runner as:</w:t>
      </w:r>
    </w:p>
    <w:p>
      <w:pPr>
        <w:ind w:left="567"/>
      </w:pPr>
      <w:r>
        <w:rPr>
          <w:color w:val="0B3020"/>
          <w:sz w:val="20"/>
        </w:rPr>
        <w:t>P</w:t>
      </w:r>
      <w:r>
        <w:rPr>
          <w:color w:val="0B3020"/>
          <w:sz w:val="20"/>
        </w:rPr>
        <w:t>e</w:t>
      </w:r>
      <w:r>
        <w:rPr>
          <w:color w:val="0B3020"/>
          <w:sz w:val="20"/>
        </w:rPr>
        <w:t xml:space="preserve"> = μ × V</w:t>
      </w:r>
      <w:r>
        <w:rPr>
          <w:color w:val="0B3020"/>
          <w:sz w:val="20"/>
        </w:rPr>
        <w:t>g</w:t>
      </w:r>
      <w:r>
        <w:rPr>
          <w:color w:val="0B3020"/>
          <w:sz w:val="20"/>
        </w:rPr>
        <w:t xml:space="preserve"> × ((ρ</w:t>
      </w:r>
      <w:r>
        <w:rPr>
          <w:color w:val="0B3020"/>
          <w:sz w:val="20"/>
        </w:rPr>
        <w:t>s</w:t>
      </w:r>
      <w:r>
        <w:rPr>
          <w:color w:val="0B3020"/>
          <w:sz w:val="20"/>
        </w:rPr>
        <w:t xml:space="preserve"> − ρ</w:t>
      </w:r>
      <w:r>
        <w:rPr>
          <w:color w:val="0B3020"/>
          <w:sz w:val="20"/>
        </w:rPr>
        <w:t>w</w:t>
      </w:r>
      <w:r>
        <w:rPr>
          <w:color w:val="0B3020"/>
          <w:sz w:val="20"/>
        </w:rPr>
        <w:t>) / R) × v</w:t>
      </w:r>
      <w:r>
        <w:rPr>
          <w:color w:val="0B3020"/>
          <w:sz w:val="20"/>
          <w:vertAlign w:val="superscript"/>
        </w:rPr>
        <w:t>3</w:t>
      </w:r>
    </w:p>
    <w:p>
      <w:pPr>
        <w:jc w:val="both"/>
      </w:pPr>
      <w:r>
        <w:rPr/>
        <w:t>with μ a friction coefficient, V</w:t>
      </w:r>
      <w:r>
        <w:rPr/>
        <w:t>g</w:t>
      </w:r>
      <w:r>
        <w:rPr/>
        <w:t xml:space="preserve"> grain volume, ρ</w:t>
      </w:r>
      <w:r>
        <w:rPr/>
        <w:t>s</w:t>
      </w:r>
      <w:r>
        <w:rPr/>
        <w:t xml:space="preserve"> and ρ</w:t>
      </w:r>
      <w:r>
        <w:rPr/>
        <w:t>w</w:t>
      </w:r>
      <w:r>
        <w:rPr/>
        <w:t xml:space="preserve"> grain and water densities, R blade radius and v grain velocity [LIT:S6]. Because grain velocity scales with head, abrasion rises steeply with head. ESHA reports Francis repair intervals of about 6 to 7 years with a sand trap retaining 0.2 mm, 3 to 4 years at 0.3 mm and 1 to 2 years at 0.5 mm, and finds the economic optimum near 0.2 mm in severe conditions (high head, quartz) and 0.3 mm in normal conditions [LIT:S6].</w:t>
      </w:r>
    </w:p>
    <w:p>
      <w:pPr>
        <w:jc w:val="both"/>
      </w:pPr>
      <w:r>
        <w:rPr/>
        <w:t>Mitigations are an efficient desander, hard ceramic coatings [DE:S1], variable speed [DE:S1] and, on silty rivers, silt monitoring to plan repairs [DE:S1]. The sources do not quantify coating life or cost.</w:t>
      </w:r>
    </w:p>
    <w:p>
      <w:pPr>
        <w:pStyle w:val="Heading3"/>
      </w:pPr>
      <w:r>
        <w:t>P.8 Generators, excitation and governors</w:t>
      </w:r>
    </w:p>
    <w:p>
      <w:pPr>
        <w:jc w:val="both"/>
      </w:pPr>
      <w:r>
        <w:rPr/>
        <w:t xml:space="preserve">Large and medium units usually have vertical shafts; small units horizontal [DE:S1]. Excitation is brushless or with brushes [DE:S1]. </w:t>
      </w:r>
      <w:r>
        <w:rPr>
          <w:b/>
        </w:rPr>
        <w:t>Synchronous generators</w:t>
      </w:r>
      <w:r>
        <w:rPr/>
        <w:t xml:space="preserve"> have DC or permanent-magnet excitation and a voltage regulator; their excitation is independent of the grid, so they can operate islanded and control voltage [DE:S1]. </w:t>
      </w:r>
      <w:r>
        <w:rPr>
          <w:b/>
        </w:rPr>
        <w:t>Asynchronous generators</w:t>
      </w:r>
      <w:r>
        <w:rPr/>
        <w:t xml:space="preserve"> cannot regulate voltage, run at a speed tied to grid frequency and cannot produce power when isolated because their excitation comes from the grid [DE:S1]. For a 60 MW grid plant expected to support voltage, synchronous machines are the normal choice. Generator efficiency rises with rating, approaching 98% above 1 MW [DE:S1].</w:t>
      </w:r>
    </w:p>
    <w:p>
      <w:pPr>
        <w:jc w:val="both"/>
      </w:pPr>
      <w:r>
        <w:rPr/>
        <w:t>The governor moves guide vanes or needles to hold speed and load; modern practice is digital PID governors [DE:S1]. Closure time and the waterway interact: normal water hammer under governor shutdown can raise penstock pressure by 25 to 50% of gross head for reaction turbines, depending on governor time constants [LIT:S6]. ESHA's water acceleration time t</w:t>
      </w:r>
      <w:r>
        <w:rPr/>
        <w:t>h</w:t>
      </w:r>
      <w:r>
        <w:rPr/>
        <w:t xml:space="preserve"> tests whether the waterway is governable:</w:t>
      </w:r>
    </w:p>
    <w:p>
      <w:pPr>
        <w:ind w:left="567"/>
      </w:pPr>
      <w:r>
        <w:rPr>
          <w:color w:val="0B3020"/>
          <w:sz w:val="20"/>
        </w:rPr>
        <w:t>t</w:t>
      </w:r>
      <w:r>
        <w:rPr>
          <w:color w:val="0B3020"/>
          <w:sz w:val="20"/>
        </w:rPr>
        <w:t>h</w:t>
      </w:r>
      <w:r>
        <w:rPr>
          <w:color w:val="0B3020"/>
          <w:sz w:val="20"/>
        </w:rPr>
        <w:t xml:space="preserve"> = V × L / (g × H)</w:t>
      </w:r>
    </w:p>
    <w:p>
      <w:pPr>
        <w:jc w:val="both"/>
      </w:pPr>
      <w:r>
        <w:rPr/>
        <w:t>If t</w:t>
      </w:r>
      <w:r>
        <w:rPr/>
        <w:t>h</w:t>
      </w:r>
      <w:r>
        <w:rPr/>
        <w:t xml:space="preserve"> is below 3 s a surge tower is unnecessary; above 6 s a surge tower or other device is needed to avoid strong oscillation in the turbine controller, and a badly designed governor can interact with surge-tank oscillation [LIT:S6]. Where valves must close fast, a relief valve in parallel with the turbine slows flow changes in the penstock [LIT:S6].</w:t>
      </w:r>
    </w:p>
    <w:p>
      <w:pPr>
        <w:pStyle w:val="Heading3"/>
      </w:pPr>
      <w:r>
        <w:t>P.9 Transformers, switchyard, protection, SCADA and auxiliaries</w:t>
      </w:r>
    </w:p>
    <w:p>
      <w:pPr>
        <w:jc w:val="both"/>
      </w:pPr>
      <w:r>
        <w:rPr/>
        <w:t>Step-up transformers raise voltage to cut line losses [DE:S1]. The switchyard should sit close to the powerhouse, above design tailwater (for example the 100-year flood level), sized by the number and direction of outgoing lines [DE:S1]. Transformer upkeep relies on oil and winding temperature monitoring, dissolved gas analysis and tan delta tests [DE:S1]. Protection receives primary and secondary injection testing, and generator relays are function-tested on no-load runs [DE:S1]. Software-based control and SCADA allow remote diagnostics where permanent supplier presence is uneconomic [DE:S1]. Auxiliaries comprise drainage and dewatering pumps, cooling, compressed air, ventilation, AC and DC supplies and the emergency diesel [DE:S1].</w:t>
      </w:r>
    </w:p>
    <w:p>
      <w:pPr>
        <w:keepNext/>
      </w:pPr>
      <w:r>
        <w:rPr>
          <w:b/>
          <w:color w:val="0B3020"/>
          <w:sz w:val="18"/>
        </w:rPr>
        <w:t>Table P.3. Expected useful life of E&amp;M components [DE:S1]</w:t>
      </w:r>
    </w:p>
    <w:tbl>
      <w:tblPr>
        <w:tblStyle w:val="TableGrid"/>
        <w:tblW w:type="auto" w:w="0"/>
        <w:jc w:val="center"/>
        <w:tblLook w:firstColumn="1" w:firstRow="1" w:lastColumn="0" w:lastRow="0" w:noHBand="0" w:noVBand="1" w:val="04A0"/>
      </w:tblPr>
      <w:tblGrid>
        <w:gridCol w:w="4819"/>
        <w:gridCol w:w="4819"/>
      </w:tblGrid>
      <w:tr>
        <w:tc>
          <w:tcPr>
            <w:tcW w:type="dxa" w:w="8031"/>
            <w:shd w:val="clear" w:color="auto" w:fill="0B3020"/>
          </w:tcPr>
          <w:p>
            <w:pPr>
              <w:spacing w:after="0"/>
            </w:pPr>
            <w:r>
              <w:rPr>
                <w:b/>
                <w:color w:val="FFFFFF"/>
                <w:sz w:val="16"/>
              </w:rPr>
              <w:t>Component</w:t>
            </w:r>
          </w:p>
        </w:tc>
        <w:tc>
          <w:tcPr>
            <w:tcW w:type="dxa" w:w="1606"/>
            <w:shd w:val="clear" w:color="auto" w:fill="0B3020"/>
          </w:tcPr>
          <w:p>
            <w:pPr>
              <w:spacing w:after="0"/>
            </w:pPr>
            <w:r>
              <w:rPr>
                <w:b/>
                <w:color w:val="FFFFFF"/>
                <w:sz w:val="16"/>
              </w:rPr>
              <w:t>Life (years)</w:t>
            </w:r>
          </w:p>
        </w:tc>
      </w:tr>
      <w:tr>
        <w:tc>
          <w:tcPr>
            <w:tcW w:type="dxa" w:w="8031"/>
          </w:tcPr>
          <w:p>
            <w:pPr>
              <w:spacing w:after="0"/>
            </w:pPr>
            <w:r>
              <w:rPr>
                <w:color w:val="1D1D1D"/>
                <w:sz w:val="16"/>
              </w:rPr>
              <w:t>Turbine (excluding runner), generator, governor, excitation, main inlet valves</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Turbine runners</w:t>
            </w:r>
          </w:p>
        </w:tc>
        <w:tc>
          <w:tcPr>
            <w:tcW w:type="dxa" w:w="1606"/>
            <w:shd w:val="clear" w:color="auto" w:fill="FAF8F2"/>
          </w:tcPr>
          <w:p>
            <w:pPr>
              <w:spacing w:after="0"/>
            </w:pPr>
            <w:r>
              <w:rPr>
                <w:color w:val="1D1D1D"/>
                <w:sz w:val="16"/>
              </w:rPr>
              <w:t>10</w:t>
            </w:r>
          </w:p>
        </w:tc>
      </w:tr>
      <w:tr>
        <w:tc>
          <w:tcPr>
            <w:tcW w:type="dxa" w:w="8031"/>
          </w:tcPr>
          <w:p>
            <w:pPr>
              <w:spacing w:after="0"/>
            </w:pPr>
            <w:r>
              <w:rPr>
                <w:color w:val="1D1D1D"/>
                <w:sz w:val="16"/>
              </w:rPr>
              <w:t>Power transformers; HV switchgear and switchyard</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MV and LV switchgear</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Control, protection, SCADA, communications, metering</w:t>
            </w:r>
          </w:p>
        </w:tc>
        <w:tc>
          <w:tcPr>
            <w:tcW w:type="dxa" w:w="1606"/>
          </w:tcPr>
          <w:p>
            <w:pPr>
              <w:spacing w:after="0"/>
            </w:pPr>
            <w:r>
              <w:rPr>
                <w:color w:val="1D1D1D"/>
                <w:sz w:val="16"/>
              </w:rPr>
              <w:t>20</w:t>
            </w:r>
          </w:p>
        </w:tc>
      </w:tr>
      <w:tr>
        <w:tc>
          <w:tcPr>
            <w:tcW w:type="dxa" w:w="8031"/>
            <w:shd w:val="clear" w:color="auto" w:fill="FAF8F2"/>
          </w:tcPr>
          <w:p>
            <w:pPr>
              <w:spacing w:after="0"/>
            </w:pPr>
            <w:r>
              <w:rPr>
                <w:color w:val="1D1D1D"/>
                <w:sz w:val="16"/>
              </w:rPr>
              <w:t>Auxiliary mechanical and electrical equipment</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Penstocks, gates, stoplogs, trash racks; transmission lines</w:t>
            </w:r>
          </w:p>
        </w:tc>
        <w:tc>
          <w:tcPr>
            <w:tcW w:type="dxa" w:w="1606"/>
          </w:tcPr>
          <w:p>
            <w:pPr>
              <w:spacing w:after="0"/>
            </w:pPr>
            <w:r>
              <w:rPr>
                <w:color w:val="1D1D1D"/>
                <w:sz w:val="16"/>
              </w:rPr>
              <w:t>70</w:t>
            </w:r>
          </w:p>
        </w:tc>
      </w:tr>
    </w:tbl>
    <w:p>
      <w:pPr>
        <w:spacing w:after="40"/>
      </w:pPr>
    </w:p>
    <w:p>
      <w:pPr>
        <w:jc w:val="both"/>
      </w:pPr>
      <w:r>
        <w:rPr>
          <w:i/>
        </w:rPr>
        <w:t>Note: averages; actual life depends on water quality, sediment load, climate and number of starts and stops [DE:S1].</w:t>
      </w:r>
    </w:p>
    <w:p>
      <w:pPr>
        <w:pStyle w:val="Heading3"/>
      </w:pPr>
      <w:r>
        <w:t>P.10 Hydromechanical equipment</w:t>
      </w:r>
    </w:p>
    <w:p>
      <w:pPr>
        <w:jc w:val="both"/>
      </w:pPr>
      <w:r>
        <w:rPr/>
        <w:t>Hydraulic steel structures are classed by purpose [DE:S1]: service gates regulate flow or level (spillway, bottom outlet); emergency gates are only fully open or shut (intake, draft tube, upstream of penstock valves); maintenance gates, usually stoplogs, dewater conduits; guide vanes or needles regulate turbine flow; trash racks protect intakes. Gate type depends on purpose, opening size, climate and operation [DE:S1]. Commissioning checks gate speeds, leakage of closed gates and emergency valves, and inlet valve timing [DE:S1].</w:t>
      </w:r>
    </w:p>
    <w:p>
      <w:pPr>
        <w:pStyle w:val="Heading3"/>
      </w:pPr>
      <w:r>
        <w:t>P.11 Grid connection and grid code</w:t>
      </w:r>
    </w:p>
    <w:p>
      <w:pPr>
        <w:jc w:val="both"/>
      </w:pPr>
      <w:r>
        <w:rPr/>
        <w:t>Grid connection cost is driven mainly by distance to the grid [DE:S1]. Industry contingency practice is 7.5 to 10% for grid connection and E&amp;M, against 15% for civil works [DE:S1]. Missing transmission and grid upgrades are a key barrier to commercial operation, producing large deemed-energy claims on offtakers [HY-06], and commissioning needs early coordination with the grid operator [DE:S1].</w:t>
      </w:r>
    </w:p>
    <w:p>
      <w:pPr>
        <w:jc w:val="both"/>
      </w:pPr>
      <w:r>
        <w:rPr/>
        <w:t>The sources quote no grid code numbers (frequency and voltage ranges, fault ride-through, reserve). Its test content is visible in the commissioning list: synchronisation, reactive capability test, power system stabiliser test, V-curve, load rejection at 25, 50, 75, 100 and 110% of design load, and joint active and reactive power sharing for multi-unit plants, with results compared against the supply contract and the PPA [DE:S1]. The committee should obtain the national grid code and map each clause to an equipment specification item and a test.</w:t>
      </w:r>
    </w:p>
    <w:p>
      <w:pPr>
        <w:pStyle w:val="Heading3"/>
      </w:pPr>
      <w:r>
        <w:t>P.12 Supply contracts, factory and site testing</w:t>
      </w:r>
    </w:p>
    <w:p>
      <w:pPr>
        <w:jc w:val="both"/>
      </w:pPr>
      <w:r>
        <w:rPr/>
        <w:t>Developers often split civil, E&amp;M and grid contracts; lenders generally prefer a turnkey EPC, which costs more because risk moves to the contractor [DE:S1]. Split packages typically use FIDIC Yellow Book for E&amp;M and Red Book for civil works, and only a handful of turbine suppliers compete [LIT:S7]. E&amp;M payments are typically 30% advance, 50% on delivery, 20% on acceptance [DE:S1], and E&amp;M manufacturing sits on the critical path [DE:S1]. Supplier warranties often outlast the EPC defects period (for example 24 months); the owner should capture them by assignment or collateral warranty [LIT:S7].</w:t>
      </w:r>
    </w:p>
    <w:p>
      <w:pPr>
        <w:jc w:val="both"/>
      </w:pPr>
      <w:r>
        <w:rPr/>
        <w:t>Future O&amp;M staff should attend shop assembly and testing [DE:S1]. Site tests run dry (alignment, bearing clearances, gate and valve timing, winding insulation and withstand, governor logic), no-load (overspeed, vibration, excitation) and on load [DE:S1]. For units above 5 MW, an IEC 60041 field acceptance test and an index test verify turbine efficiency on at least one unit, and generator losses are measured on at least one generator [DE:S1]. Large projects commonly run a 30-day trial per unit; a defect forces a restart [DE:S1]. Spares stock is about 2.5 to 3.0% of FOB equipment price, and the annual E&amp;M maintenance budget about 2.0 to 2.5% of initial investment, of which about 60% is a reserve for the 7 to 12 year major overhauls [DE:S1]. First-year availability is about 95%, improving to 97 to 98% after three years [DE:S1].</w:t>
      </w:r>
    </w:p>
    <w:p>
      <w:pPr>
        <w:pStyle w:val="Heading3"/>
      </w:pPr>
      <w:r>
        <w:t>P.13 Kasiri worked example</w:t>
      </w:r>
    </w:p>
    <w:p>
      <w:pPr>
        <w:jc w:val="both"/>
      </w:pPr>
      <w:r>
        <w:rPr>
          <w:b/>
        </w:rPr>
        <w:t>Power check.</w:t>
      </w:r>
      <w:r>
        <w:rPr/>
        <w:t xml:space="preserve"> With the case values:</w:t>
      </w:r>
    </w:p>
    <w:p>
      <w:pPr>
        <w:ind w:left="567"/>
      </w:pPr>
      <w:r>
        <w:rPr>
          <w:color w:val="0B3020"/>
          <w:sz w:val="20"/>
        </w:rPr>
        <w:t>P = ρ × g × Q × H × η = 1,000 × 9.81 × 57 × 120 × 0.92 × 0.98 = 60.5 MW</w:t>
      </w:r>
    </w:p>
    <w:p>
      <w:pPr>
        <w:jc w:val="both"/>
      </w:pPr>
      <w:r>
        <w:rPr/>
        <w:t>Hydraulic power is 67.1 MW, shaft power 61.7 MW and output 60.5 MW, so the 60 MW rating is consistent. Two comments. First, 0.92 is a design-point efficiency; at part load the Francis curve falls (P.4), so the energy model needs a curve, not a constant. Second, 0.98 for generator and transformer combined is optimistic: IFC puts generator efficiency alone at up to about 98% above 1 MW [DE:S1], and transformer losses come on top. The P50 of about 292 GWh over 60 MW × 8,760 h gives the case capacity factor of 55.6% (Table N.2).</w:t>
      </w:r>
    </w:p>
    <w:p>
      <w:pPr>
        <w:jc w:val="both"/>
      </w:pPr>
      <w:r>
        <w:rPr>
          <w:b/>
        </w:rPr>
        <w:t>Turbine type.</w:t>
      </w:r>
      <w:r>
        <w:rPr/>
        <w:t xml:space="preserve"> At 120 m net head and 57 m</w:t>
      </w:r>
      <w:r>
        <w:rPr>
          <w:vertAlign w:val="superscript"/>
        </w:rPr>
        <w:t>3</w:t>
      </w:r>
      <w:r>
        <w:rPr/>
        <w:t>/s (19 to 57 m</w:t>
      </w:r>
      <w:r>
        <w:rPr>
          <w:vertAlign w:val="superscript"/>
        </w:rPr>
        <w:t>3</w:t>
      </w:r>
      <w:r>
        <w:rPr/>
        <w:t>/s per unit), Kasiri sits in the high-head class (above 100 m) and in the Francis field of the IFC head-flow chart, well above the bulb ceiling of 30 m and at flows beyond the Pelton field [DE:S1]. The design ratio Q</w:t>
      </w:r>
      <w:r>
        <w:rPr/>
        <w:t>d</w:t>
      </w:r>
      <w:r>
        <w:rPr/>
        <w:t>/Q</w:t>
      </w:r>
      <w:r>
        <w:rPr/>
        <w:t>av</w:t>
      </w:r>
      <w:r>
        <w:rPr/>
        <w:t xml:space="preserve"> = 57/38 = 1.5 is at the top of the 1.0 to 1.5 range for run-of-river, and the 56% capacity factor lies within the 40 to 70% run-of-river range [DE:S1].</w:t>
      </w:r>
    </w:p>
    <w:p>
      <w:pPr>
        <w:jc w:val="both"/>
      </w:pPr>
      <w:r>
        <w:rPr>
          <w:b/>
        </w:rPr>
        <w:t>Specific speed.</w:t>
      </w:r>
      <w:r>
        <w:rPr/>
        <w:t xml:space="preserve"> The case sets two units (Chapter 3). The one- and three-unit rows, the grid frequency (50 Hz) and the speeds below are illustrative assumptions, used to show why two units were chosen.</w:t>
      </w:r>
    </w:p>
    <w:p>
      <w:pPr>
        <w:keepNext/>
      </w:pPr>
      <w:r>
        <w:rPr>
          <w:b/>
          <w:color w:val="0B3020"/>
          <w:sz w:val="18"/>
        </w:rPr>
        <w:t>Table P.4. Illustrative Kasiri unit configurations (H = 120 m, η&lt;sub&gt;t&lt;/sub&gt; = 0.92, 50 Hz)</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657"/>
            <w:shd w:val="clear" w:color="auto" w:fill="0B3020"/>
          </w:tcPr>
          <w:p>
            <w:pPr>
              <w:spacing w:after="0"/>
            </w:pPr>
            <w:r>
              <w:rPr>
                <w:b/>
                <w:color w:val="FFFFFF"/>
                <w:sz w:val="16"/>
              </w:rPr>
              <w:t>Units</w:t>
            </w:r>
          </w:p>
        </w:tc>
        <w:tc>
          <w:tcPr>
            <w:tcW w:type="dxa" w:w="1862"/>
            <w:shd w:val="clear" w:color="auto" w:fill="0B3020"/>
          </w:tcPr>
          <w:p>
            <w:pPr>
              <w:spacing w:after="0"/>
            </w:pPr>
            <w:r>
              <w:rPr>
                <w:b/>
                <w:color w:val="FFFFFF"/>
                <w:sz w:val="16"/>
              </w:rPr>
              <w:t>Q per unit (m</w:t>
            </w:r>
            <w:r>
              <w:rPr>
                <w:b/>
                <w:color w:val="FFFFFF"/>
                <w:sz w:val="16"/>
                <w:vertAlign w:val="superscript"/>
              </w:rPr>
              <w:t>3</w:t>
            </w:r>
            <w:r>
              <w:rPr>
                <w:b/>
                <w:color w:val="FFFFFF"/>
                <w:sz w:val="16"/>
              </w:rPr>
              <w:t>/s)</w:t>
            </w:r>
          </w:p>
        </w:tc>
        <w:tc>
          <w:tcPr>
            <w:tcW w:type="dxa" w:w="2738"/>
            <w:shd w:val="clear" w:color="auto" w:fill="0B3020"/>
          </w:tcPr>
          <w:p>
            <w:pPr>
              <w:spacing w:after="0"/>
            </w:pPr>
            <w:r>
              <w:rPr>
                <w:b/>
                <w:color w:val="FFFFFF"/>
                <w:sz w:val="16"/>
              </w:rPr>
              <w:t>Shaft power per unit (MW)</w:t>
            </w:r>
          </w:p>
        </w:tc>
        <w:tc>
          <w:tcPr>
            <w:tcW w:type="dxa" w:w="1205"/>
            <w:shd w:val="clear" w:color="auto" w:fill="0B3020"/>
          </w:tcPr>
          <w:p>
            <w:pPr>
              <w:spacing w:after="0"/>
            </w:pPr>
            <w:r>
              <w:rPr>
                <w:b/>
                <w:color w:val="FFFFFF"/>
                <w:sz w:val="16"/>
              </w:rPr>
              <w:t>Speed (rpm)</w:t>
            </w:r>
          </w:p>
        </w:tc>
        <w:tc>
          <w:tcPr>
            <w:tcW w:type="dxa" w:w="1095"/>
            <w:shd w:val="clear" w:color="auto" w:fill="0B3020"/>
          </w:tcPr>
          <w:p>
            <w:pPr>
              <w:spacing w:after="0"/>
            </w:pPr>
            <w:r>
              <w:rPr>
                <w:b/>
                <w:color w:val="FFFFFF"/>
                <w:sz w:val="16"/>
              </w:rPr>
              <w:t>Pole pairs</w:t>
            </w:r>
          </w:p>
        </w:tc>
        <w:tc>
          <w:tcPr>
            <w:tcW w:type="dxa" w:w="767"/>
            <w:shd w:val="clear" w:color="auto" w:fill="0B3020"/>
          </w:tcPr>
          <w:p>
            <w:pPr>
              <w:spacing w:after="0"/>
            </w:pPr>
            <w:r>
              <w:rPr>
                <w:b/>
                <w:color w:val="FFFFFF"/>
                <w:sz w:val="16"/>
              </w:rPr>
              <w:t>n</w:t>
            </w:r>
            <w:r>
              <w:rPr>
                <w:b/>
                <w:color w:val="FFFFFF"/>
                <w:sz w:val="16"/>
              </w:rPr>
              <w:t>s</w:t>
            </w:r>
            <w:r>
              <w:rPr>
                <w:b/>
                <w:color w:val="FFFFFF"/>
                <w:sz w:val="16"/>
              </w:rPr>
              <w:t xml:space="preserve"> (kW)</w:t>
            </w:r>
          </w:p>
        </w:tc>
        <w:tc>
          <w:tcPr>
            <w:tcW w:type="dxa" w:w="657"/>
            <w:shd w:val="clear" w:color="auto" w:fill="0B3020"/>
          </w:tcPr>
          <w:p>
            <w:pPr>
              <w:spacing w:after="0"/>
            </w:pPr>
            <w:r>
              <w:rPr>
                <w:b/>
                <w:color w:val="FFFFFF"/>
                <w:sz w:val="16"/>
              </w:rPr>
              <w:t>n</w:t>
            </w:r>
            <w:r>
              <w:rPr>
                <w:b/>
                <w:color w:val="FFFFFF"/>
                <w:sz w:val="16"/>
              </w:rPr>
              <w:t>q</w:t>
            </w:r>
          </w:p>
        </w:tc>
        <w:tc>
          <w:tcPr>
            <w:tcW w:type="dxa" w:w="657"/>
            <w:shd w:val="clear" w:color="auto" w:fill="0B3020"/>
          </w:tcPr>
          <w:p>
            <w:pPr>
              <w:spacing w:after="0"/>
            </w:pPr>
            <w:r>
              <w:rPr>
                <w:b/>
                <w:color w:val="FFFFFF"/>
                <w:sz w:val="16"/>
              </w:rPr>
              <w:t>n</w:t>
            </w:r>
            <w:r>
              <w:rPr>
                <w:b/>
                <w:color w:val="FFFFFF"/>
                <w:sz w:val="16"/>
              </w:rPr>
              <w:t>QE</w:t>
            </w:r>
          </w:p>
        </w:tc>
      </w:tr>
      <w:tr>
        <w:tc>
          <w:tcPr>
            <w:tcW w:type="dxa" w:w="657"/>
          </w:tcPr>
          <w:p>
            <w:pPr>
              <w:spacing w:after="0"/>
            </w:pPr>
            <w:r>
              <w:rPr>
                <w:color w:val="1D1D1D"/>
                <w:sz w:val="16"/>
              </w:rPr>
              <w:t>1</w:t>
            </w:r>
          </w:p>
        </w:tc>
        <w:tc>
          <w:tcPr>
            <w:tcW w:type="dxa" w:w="1862"/>
          </w:tcPr>
          <w:p>
            <w:pPr>
              <w:spacing w:after="0"/>
            </w:pPr>
            <w:r>
              <w:rPr>
                <w:color w:val="1D1D1D"/>
                <w:sz w:val="16"/>
              </w:rPr>
              <w:t>57.0</w:t>
            </w:r>
          </w:p>
        </w:tc>
        <w:tc>
          <w:tcPr>
            <w:tcW w:type="dxa" w:w="2738"/>
          </w:tcPr>
          <w:p>
            <w:pPr>
              <w:spacing w:after="0"/>
            </w:pPr>
            <w:r>
              <w:rPr>
                <w:color w:val="1D1D1D"/>
                <w:sz w:val="16"/>
              </w:rPr>
              <w:t>61.7</w:t>
            </w:r>
          </w:p>
        </w:tc>
        <w:tc>
          <w:tcPr>
            <w:tcW w:type="dxa" w:w="1205"/>
          </w:tcPr>
          <w:p>
            <w:pPr>
              <w:spacing w:after="0"/>
            </w:pPr>
            <w:r>
              <w:rPr>
                <w:color w:val="1D1D1D"/>
                <w:sz w:val="16"/>
              </w:rPr>
              <w:t>214.3</w:t>
            </w:r>
          </w:p>
        </w:tc>
        <w:tc>
          <w:tcPr>
            <w:tcW w:type="dxa" w:w="1095"/>
          </w:tcPr>
          <w:p>
            <w:pPr>
              <w:spacing w:after="0"/>
            </w:pPr>
            <w:r>
              <w:rPr>
                <w:color w:val="1D1D1D"/>
                <w:sz w:val="16"/>
              </w:rPr>
              <w:t>14</w:t>
            </w:r>
          </w:p>
        </w:tc>
        <w:tc>
          <w:tcPr>
            <w:tcW w:type="dxa" w:w="767"/>
          </w:tcPr>
          <w:p>
            <w:pPr>
              <w:spacing w:after="0"/>
            </w:pPr>
            <w:r>
              <w:rPr>
                <w:color w:val="1D1D1D"/>
                <w:sz w:val="16"/>
              </w:rPr>
              <w:t>134</w:t>
            </w:r>
          </w:p>
        </w:tc>
        <w:tc>
          <w:tcPr>
            <w:tcW w:type="dxa" w:w="657"/>
          </w:tcPr>
          <w:p>
            <w:pPr>
              <w:spacing w:after="0"/>
            </w:pPr>
            <w:r>
              <w:rPr>
                <w:color w:val="1D1D1D"/>
                <w:sz w:val="16"/>
              </w:rPr>
              <w:t>44.6</w:t>
            </w:r>
          </w:p>
        </w:tc>
        <w:tc>
          <w:tcPr>
            <w:tcW w:type="dxa" w:w="657"/>
          </w:tcPr>
          <w:p>
            <w:pPr>
              <w:spacing w:after="0"/>
            </w:pPr>
            <w:r>
              <w:rPr>
                <w:color w:val="1D1D1D"/>
                <w:sz w:val="16"/>
              </w:rPr>
              <w:t>0.134</w:t>
            </w:r>
          </w:p>
        </w:tc>
      </w:tr>
      <w:tr>
        <w:tc>
          <w:tcPr>
            <w:tcW w:type="dxa" w:w="657"/>
            <w:shd w:val="clear" w:color="auto" w:fill="FAF8F2"/>
          </w:tcPr>
          <w:p>
            <w:pPr>
              <w:spacing w:after="0"/>
            </w:pPr>
            <w:r>
              <w:rPr>
                <w:color w:val="1D1D1D"/>
                <w:sz w:val="16"/>
              </w:rPr>
              <w:t>2</w:t>
            </w:r>
          </w:p>
        </w:tc>
        <w:tc>
          <w:tcPr>
            <w:tcW w:type="dxa" w:w="1862"/>
            <w:shd w:val="clear" w:color="auto" w:fill="FAF8F2"/>
          </w:tcPr>
          <w:p>
            <w:pPr>
              <w:spacing w:after="0"/>
            </w:pPr>
            <w:r>
              <w:rPr>
                <w:color w:val="1D1D1D"/>
                <w:sz w:val="16"/>
              </w:rPr>
              <w:t>28.5</w:t>
            </w:r>
          </w:p>
        </w:tc>
        <w:tc>
          <w:tcPr>
            <w:tcW w:type="dxa" w:w="2738"/>
            <w:shd w:val="clear" w:color="auto" w:fill="FAF8F2"/>
          </w:tcPr>
          <w:p>
            <w:pPr>
              <w:spacing w:after="0"/>
            </w:pPr>
            <w:r>
              <w:rPr>
                <w:color w:val="1D1D1D"/>
                <w:sz w:val="16"/>
              </w:rPr>
              <w:t>30.9</w:t>
            </w:r>
          </w:p>
        </w:tc>
        <w:tc>
          <w:tcPr>
            <w:tcW w:type="dxa" w:w="1205"/>
            <w:shd w:val="clear" w:color="auto" w:fill="FAF8F2"/>
          </w:tcPr>
          <w:p>
            <w:pPr>
              <w:spacing w:after="0"/>
            </w:pPr>
            <w:r>
              <w:rPr>
                <w:color w:val="1D1D1D"/>
                <w:sz w:val="16"/>
              </w:rPr>
              <w:t>300.0</w:t>
            </w:r>
          </w:p>
        </w:tc>
        <w:tc>
          <w:tcPr>
            <w:tcW w:type="dxa" w:w="1095"/>
            <w:shd w:val="clear" w:color="auto" w:fill="FAF8F2"/>
          </w:tcPr>
          <w:p>
            <w:pPr>
              <w:spacing w:after="0"/>
            </w:pPr>
            <w:r>
              <w:rPr>
                <w:color w:val="1D1D1D"/>
                <w:sz w:val="16"/>
              </w:rPr>
              <w:t>10</w:t>
            </w:r>
          </w:p>
        </w:tc>
        <w:tc>
          <w:tcPr>
            <w:tcW w:type="dxa" w:w="767"/>
            <w:shd w:val="clear" w:color="auto" w:fill="FAF8F2"/>
          </w:tcPr>
          <w:p>
            <w:pPr>
              <w:spacing w:after="0"/>
            </w:pPr>
            <w:r>
              <w:rPr>
                <w:color w:val="1D1D1D"/>
                <w:sz w:val="16"/>
              </w:rPr>
              <w:t>133</w:t>
            </w:r>
          </w:p>
        </w:tc>
        <w:tc>
          <w:tcPr>
            <w:tcW w:type="dxa" w:w="657"/>
            <w:shd w:val="clear" w:color="auto" w:fill="FAF8F2"/>
          </w:tcPr>
          <w:p>
            <w:pPr>
              <w:spacing w:after="0"/>
            </w:pPr>
            <w:r>
              <w:rPr>
                <w:color w:val="1D1D1D"/>
                <w:sz w:val="16"/>
              </w:rPr>
              <w:t>44.2</w:t>
            </w:r>
          </w:p>
        </w:tc>
        <w:tc>
          <w:tcPr>
            <w:tcW w:type="dxa" w:w="657"/>
            <w:shd w:val="clear" w:color="auto" w:fill="FAF8F2"/>
          </w:tcPr>
          <w:p>
            <w:pPr>
              <w:spacing w:after="0"/>
            </w:pPr>
            <w:r>
              <w:rPr>
                <w:color w:val="1D1D1D"/>
                <w:sz w:val="16"/>
              </w:rPr>
              <w:t>0.133</w:t>
            </w:r>
          </w:p>
        </w:tc>
      </w:tr>
      <w:tr>
        <w:tc>
          <w:tcPr>
            <w:tcW w:type="dxa" w:w="657"/>
          </w:tcPr>
          <w:p>
            <w:pPr>
              <w:spacing w:after="0"/>
            </w:pPr>
            <w:r>
              <w:rPr>
                <w:color w:val="1D1D1D"/>
                <w:sz w:val="16"/>
              </w:rPr>
              <w:t>2</w:t>
            </w:r>
          </w:p>
        </w:tc>
        <w:tc>
          <w:tcPr>
            <w:tcW w:type="dxa" w:w="1862"/>
          </w:tcPr>
          <w:p>
            <w:pPr>
              <w:spacing w:after="0"/>
            </w:pPr>
            <w:r>
              <w:rPr>
                <w:color w:val="1D1D1D"/>
                <w:sz w:val="16"/>
              </w:rPr>
              <w:t>28.5</w:t>
            </w:r>
          </w:p>
        </w:tc>
        <w:tc>
          <w:tcPr>
            <w:tcW w:type="dxa" w:w="2738"/>
          </w:tcPr>
          <w:p>
            <w:pPr>
              <w:spacing w:after="0"/>
            </w:pPr>
            <w:r>
              <w:rPr>
                <w:color w:val="1D1D1D"/>
                <w:sz w:val="16"/>
              </w:rPr>
              <w:t>30.9</w:t>
            </w:r>
          </w:p>
        </w:tc>
        <w:tc>
          <w:tcPr>
            <w:tcW w:type="dxa" w:w="1205"/>
          </w:tcPr>
          <w:p>
            <w:pPr>
              <w:spacing w:after="0"/>
            </w:pPr>
            <w:r>
              <w:rPr>
                <w:color w:val="1D1D1D"/>
                <w:sz w:val="16"/>
              </w:rPr>
              <w:t>333.3</w:t>
            </w:r>
          </w:p>
        </w:tc>
        <w:tc>
          <w:tcPr>
            <w:tcW w:type="dxa" w:w="1095"/>
          </w:tcPr>
          <w:p>
            <w:pPr>
              <w:spacing w:after="0"/>
            </w:pPr>
            <w:r>
              <w:rPr>
                <w:color w:val="1D1D1D"/>
                <w:sz w:val="16"/>
              </w:rPr>
              <w:t>9</w:t>
            </w:r>
          </w:p>
        </w:tc>
        <w:tc>
          <w:tcPr>
            <w:tcW w:type="dxa" w:w="767"/>
          </w:tcPr>
          <w:p>
            <w:pPr>
              <w:spacing w:after="0"/>
            </w:pPr>
            <w:r>
              <w:rPr>
                <w:color w:val="1D1D1D"/>
                <w:sz w:val="16"/>
              </w:rPr>
              <w:t>147</w:t>
            </w:r>
          </w:p>
        </w:tc>
        <w:tc>
          <w:tcPr>
            <w:tcW w:type="dxa" w:w="657"/>
          </w:tcPr>
          <w:p>
            <w:pPr>
              <w:spacing w:after="0"/>
            </w:pPr>
            <w:r>
              <w:rPr>
                <w:color w:val="1D1D1D"/>
                <w:sz w:val="16"/>
              </w:rPr>
              <w:t>49.1</w:t>
            </w:r>
          </w:p>
        </w:tc>
        <w:tc>
          <w:tcPr>
            <w:tcW w:type="dxa" w:w="657"/>
          </w:tcPr>
          <w:p>
            <w:pPr>
              <w:spacing w:after="0"/>
            </w:pPr>
            <w:r>
              <w:rPr>
                <w:color w:val="1D1D1D"/>
                <w:sz w:val="16"/>
              </w:rPr>
              <w:t>0.148</w:t>
            </w:r>
          </w:p>
        </w:tc>
      </w:tr>
      <w:tr>
        <w:tc>
          <w:tcPr>
            <w:tcW w:type="dxa" w:w="657"/>
            <w:shd w:val="clear" w:color="auto" w:fill="FAF8F2"/>
          </w:tcPr>
          <w:p>
            <w:pPr>
              <w:spacing w:after="0"/>
            </w:pPr>
            <w:r>
              <w:rPr>
                <w:color w:val="1D1D1D"/>
                <w:sz w:val="16"/>
              </w:rPr>
              <w:t>3</w:t>
            </w:r>
          </w:p>
        </w:tc>
        <w:tc>
          <w:tcPr>
            <w:tcW w:type="dxa" w:w="1862"/>
            <w:shd w:val="clear" w:color="auto" w:fill="FAF8F2"/>
          </w:tcPr>
          <w:p>
            <w:pPr>
              <w:spacing w:after="0"/>
            </w:pPr>
            <w:r>
              <w:rPr>
                <w:color w:val="1D1D1D"/>
                <w:sz w:val="16"/>
              </w:rPr>
              <w:t>19.0</w:t>
            </w:r>
          </w:p>
        </w:tc>
        <w:tc>
          <w:tcPr>
            <w:tcW w:type="dxa" w:w="2738"/>
            <w:shd w:val="clear" w:color="auto" w:fill="FAF8F2"/>
          </w:tcPr>
          <w:p>
            <w:pPr>
              <w:spacing w:after="0"/>
            </w:pPr>
            <w:r>
              <w:rPr>
                <w:color w:val="1D1D1D"/>
                <w:sz w:val="16"/>
              </w:rPr>
              <w:t>20.6</w:t>
            </w:r>
          </w:p>
        </w:tc>
        <w:tc>
          <w:tcPr>
            <w:tcW w:type="dxa" w:w="1205"/>
            <w:shd w:val="clear" w:color="auto" w:fill="FAF8F2"/>
          </w:tcPr>
          <w:p>
            <w:pPr>
              <w:spacing w:after="0"/>
            </w:pPr>
            <w:r>
              <w:rPr>
                <w:color w:val="1D1D1D"/>
                <w:sz w:val="16"/>
              </w:rPr>
              <w:t>375.0</w:t>
            </w:r>
          </w:p>
        </w:tc>
        <w:tc>
          <w:tcPr>
            <w:tcW w:type="dxa" w:w="1095"/>
            <w:shd w:val="clear" w:color="auto" w:fill="FAF8F2"/>
          </w:tcPr>
          <w:p>
            <w:pPr>
              <w:spacing w:after="0"/>
            </w:pPr>
            <w:r>
              <w:rPr>
                <w:color w:val="1D1D1D"/>
                <w:sz w:val="16"/>
              </w:rPr>
              <w:t>8</w:t>
            </w:r>
          </w:p>
        </w:tc>
        <w:tc>
          <w:tcPr>
            <w:tcW w:type="dxa" w:w="767"/>
            <w:shd w:val="clear" w:color="auto" w:fill="FAF8F2"/>
          </w:tcPr>
          <w:p>
            <w:pPr>
              <w:spacing w:after="0"/>
            </w:pPr>
            <w:r>
              <w:rPr>
                <w:color w:val="1D1D1D"/>
                <w:sz w:val="16"/>
              </w:rPr>
              <w:t>135</w:t>
            </w:r>
          </w:p>
        </w:tc>
        <w:tc>
          <w:tcPr>
            <w:tcW w:type="dxa" w:w="657"/>
            <w:shd w:val="clear" w:color="auto" w:fill="FAF8F2"/>
          </w:tcPr>
          <w:p>
            <w:pPr>
              <w:spacing w:after="0"/>
            </w:pPr>
            <w:r>
              <w:rPr>
                <w:color w:val="1D1D1D"/>
                <w:sz w:val="16"/>
              </w:rPr>
              <w:t>45.1</w:t>
            </w:r>
          </w:p>
        </w:tc>
        <w:tc>
          <w:tcPr>
            <w:tcW w:type="dxa" w:w="657"/>
            <w:shd w:val="clear" w:color="auto" w:fill="FAF8F2"/>
          </w:tcPr>
          <w:p>
            <w:pPr>
              <w:spacing w:after="0"/>
            </w:pPr>
            <w:r>
              <w:rPr>
                <w:color w:val="1D1D1D"/>
                <w:sz w:val="16"/>
              </w:rPr>
              <w:t>0.136</w:t>
            </w:r>
          </w:p>
        </w:tc>
      </w:tr>
      <w:tr>
        <w:tc>
          <w:tcPr>
            <w:tcW w:type="dxa" w:w="657"/>
          </w:tcPr>
          <w:p>
            <w:pPr>
              <w:spacing w:after="0"/>
            </w:pPr>
            <w:r>
              <w:rPr>
                <w:color w:val="1D1D1D"/>
                <w:sz w:val="16"/>
              </w:rPr>
              <w:t>3</w:t>
            </w:r>
          </w:p>
        </w:tc>
        <w:tc>
          <w:tcPr>
            <w:tcW w:type="dxa" w:w="1862"/>
          </w:tcPr>
          <w:p>
            <w:pPr>
              <w:spacing w:after="0"/>
            </w:pPr>
            <w:r>
              <w:rPr>
                <w:color w:val="1D1D1D"/>
                <w:sz w:val="16"/>
              </w:rPr>
              <w:t>19.0</w:t>
            </w:r>
          </w:p>
        </w:tc>
        <w:tc>
          <w:tcPr>
            <w:tcW w:type="dxa" w:w="2738"/>
          </w:tcPr>
          <w:p>
            <w:pPr>
              <w:spacing w:after="0"/>
            </w:pPr>
            <w:r>
              <w:rPr>
                <w:color w:val="1D1D1D"/>
                <w:sz w:val="16"/>
              </w:rPr>
              <w:t>20.6</w:t>
            </w:r>
          </w:p>
        </w:tc>
        <w:tc>
          <w:tcPr>
            <w:tcW w:type="dxa" w:w="1205"/>
          </w:tcPr>
          <w:p>
            <w:pPr>
              <w:spacing w:after="0"/>
            </w:pPr>
            <w:r>
              <w:rPr>
                <w:color w:val="1D1D1D"/>
                <w:sz w:val="16"/>
              </w:rPr>
              <w:t>428.6</w:t>
            </w:r>
          </w:p>
        </w:tc>
        <w:tc>
          <w:tcPr>
            <w:tcW w:type="dxa" w:w="1095"/>
          </w:tcPr>
          <w:p>
            <w:pPr>
              <w:spacing w:after="0"/>
            </w:pPr>
            <w:r>
              <w:rPr>
                <w:color w:val="1D1D1D"/>
                <w:sz w:val="16"/>
              </w:rPr>
              <w:t>7</w:t>
            </w:r>
          </w:p>
        </w:tc>
        <w:tc>
          <w:tcPr>
            <w:tcW w:type="dxa" w:w="767"/>
          </w:tcPr>
          <w:p>
            <w:pPr>
              <w:spacing w:after="0"/>
            </w:pPr>
            <w:r>
              <w:rPr>
                <w:color w:val="1D1D1D"/>
                <w:sz w:val="16"/>
              </w:rPr>
              <w:t>155</w:t>
            </w:r>
          </w:p>
        </w:tc>
        <w:tc>
          <w:tcPr>
            <w:tcW w:type="dxa" w:w="657"/>
          </w:tcPr>
          <w:p>
            <w:pPr>
              <w:spacing w:after="0"/>
            </w:pPr>
            <w:r>
              <w:rPr>
                <w:color w:val="1D1D1D"/>
                <w:sz w:val="16"/>
              </w:rPr>
              <w:t>51.5</w:t>
            </w:r>
          </w:p>
        </w:tc>
        <w:tc>
          <w:tcPr>
            <w:tcW w:type="dxa" w:w="657"/>
          </w:tcPr>
          <w:p>
            <w:pPr>
              <w:spacing w:after="0"/>
            </w:pPr>
            <w:r>
              <w:rPr>
                <w:color w:val="1D1D1D"/>
                <w:sz w:val="16"/>
              </w:rPr>
              <w:t>0.155</w:t>
            </w:r>
          </w:p>
        </w:tc>
      </w:tr>
    </w:tbl>
    <w:p>
      <w:pPr>
        <w:spacing w:after="40"/>
      </w:pPr>
    </w:p>
    <w:p>
      <w:pPr>
        <w:jc w:val="both"/>
      </w:pPr>
      <w:r>
        <w:rPr>
          <w:i/>
        </w:rPr>
        <w:t>Note: H&lt;sup&gt;1.25&lt;/sup&gt; = 397.2; H&lt;sup&gt;0.75&lt;/sup&gt; = 36.3; (gH)&lt;sup&gt;0.75&lt;/sup&gt; = 201.0. Speeds are synchronous steps n = 3000/p.</w:t>
      </w:r>
    </w:p>
    <w:p>
      <w:pPr>
        <w:jc w:val="both"/>
      </w:pPr>
      <w:r>
        <w:rPr/>
        <w:t>Holding specific speed near 134, moving from one to three units raises speed from 214 to 375 rpm and shrinks each generator; the next speed step raises specific speed by 11 to 15%, saving generator cost but needing a deeper setting. The supplier must confirm the choice against its reference list and model tests.</w:t>
      </w:r>
    </w:p>
    <w:p>
      <w:pPr>
        <w:jc w:val="both"/>
      </w:pPr>
      <w:r>
        <w:rPr>
          <w:b/>
        </w:rPr>
        <w:t>Low-flow operation.</w:t>
      </w:r>
      <w:r>
        <w:rPr/>
        <w:t xml:space="preserve"> Available turbine flow is river flow less the 4 m</w:t>
      </w:r>
      <w:r>
        <w:rPr>
          <w:vertAlign w:val="superscript"/>
        </w:rPr>
        <w:t>3</w:t>
      </w:r>
      <w:r>
        <w:rPr/>
        <w:t>/s environmental flow, capped at 57 m</w:t>
      </w:r>
      <w:r>
        <w:rPr>
          <w:vertAlign w:val="superscript"/>
        </w:rPr>
        <w:t>3</w:t>
      </w:r>
      <w:r>
        <w:rPr/>
        <w:t>/s.</w:t>
      </w:r>
    </w:p>
    <w:p>
      <w:pPr>
        <w:keepNext/>
      </w:pPr>
      <w:r>
        <w:rPr>
          <w:b/>
          <w:color w:val="0B3020"/>
          <w:sz w:val="18"/>
        </w:rPr>
        <w:t>Table P.5. Months below minimum technical flow, Kasiri monthly means (illustrative unit counts)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1"/>
            <w:shd w:val="clear" w:color="auto" w:fill="0B3020"/>
          </w:tcPr>
          <w:p>
            <w:pPr>
              <w:spacing w:after="0"/>
            </w:pPr>
            <w:r>
              <w:rPr>
                <w:b/>
                <w:color w:val="FFFFFF"/>
                <w:sz w:val="16"/>
              </w:rPr>
              <w:t>Configuration</w:t>
            </w:r>
          </w:p>
        </w:tc>
        <w:tc>
          <w:tcPr>
            <w:tcW w:type="dxa" w:w="1595"/>
            <w:shd w:val="clear" w:color="auto" w:fill="0B3020"/>
          </w:tcPr>
          <w:p>
            <w:pPr>
              <w:spacing w:after="0"/>
            </w:pPr>
            <w:r>
              <w:rPr>
                <w:b/>
                <w:color w:val="FFFFFF"/>
                <w:sz w:val="16"/>
              </w:rPr>
              <w:t>Unit design flow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Minimum flow, IFC 40% (m</w:t>
            </w:r>
            <w:r>
              <w:rPr>
                <w:b/>
                <w:color w:val="FFFFFF"/>
                <w:sz w:val="16"/>
                <w:vertAlign w:val="superscript"/>
              </w:rPr>
              <w:t>3</w:t>
            </w:r>
            <w:r>
              <w:rPr>
                <w:b/>
                <w:color w:val="FFFFFF"/>
                <w:sz w:val="16"/>
              </w:rPr>
              <w:t>/s)</w:t>
            </w:r>
          </w:p>
        </w:tc>
        <w:tc>
          <w:tcPr>
            <w:tcW w:type="dxa" w:w="1248"/>
            <w:shd w:val="clear" w:color="auto" w:fill="0B3020"/>
          </w:tcPr>
          <w:p>
            <w:pPr>
              <w:spacing w:after="0"/>
            </w:pPr>
            <w:r>
              <w:rPr>
                <w:b/>
                <w:color w:val="FFFFFF"/>
                <w:sz w:val="16"/>
              </w:rPr>
              <w:t>Months below (IFC)</w:t>
            </w:r>
          </w:p>
        </w:tc>
        <w:tc>
          <w:tcPr>
            <w:tcW w:type="dxa" w:w="2011"/>
            <w:shd w:val="clear" w:color="auto" w:fill="0B3020"/>
          </w:tcPr>
          <w:p>
            <w:pPr>
              <w:spacing w:after="0"/>
            </w:pPr>
            <w:r>
              <w:rPr>
                <w:b/>
                <w:color w:val="FFFFFF"/>
                <w:sz w:val="16"/>
              </w:rPr>
              <w:t>Minimum flow, ESHA 50%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Months below (ESHA)</w:t>
            </w:r>
          </w:p>
        </w:tc>
      </w:tr>
      <w:tr>
        <w:tc>
          <w:tcPr>
            <w:tcW w:type="dxa" w:w="901"/>
          </w:tcPr>
          <w:p>
            <w:pPr>
              <w:spacing w:after="0"/>
            </w:pPr>
            <w:r>
              <w:rPr>
                <w:color w:val="1D1D1D"/>
                <w:sz w:val="16"/>
              </w:rPr>
              <w:t>1 × Francis</w:t>
            </w:r>
          </w:p>
        </w:tc>
        <w:tc>
          <w:tcPr>
            <w:tcW w:type="dxa" w:w="1595"/>
          </w:tcPr>
          <w:p>
            <w:pPr>
              <w:spacing w:after="0"/>
            </w:pPr>
            <w:r>
              <w:rPr>
                <w:color w:val="1D1D1D"/>
                <w:sz w:val="16"/>
              </w:rPr>
              <w:t>57.0</w:t>
            </w:r>
          </w:p>
        </w:tc>
        <w:tc>
          <w:tcPr>
            <w:tcW w:type="dxa" w:w="1941"/>
          </w:tcPr>
          <w:p>
            <w:pPr>
              <w:spacing w:after="0"/>
            </w:pPr>
            <w:r>
              <w:rPr>
                <w:color w:val="1D1D1D"/>
                <w:sz w:val="16"/>
              </w:rPr>
              <w:t>22.8</w:t>
            </w:r>
          </w:p>
        </w:tc>
        <w:tc>
          <w:tcPr>
            <w:tcW w:type="dxa" w:w="1248"/>
          </w:tcPr>
          <w:p>
            <w:pPr>
              <w:spacing w:after="0"/>
            </w:pPr>
            <w:r>
              <w:rPr>
                <w:color w:val="1D1D1D"/>
                <w:sz w:val="16"/>
              </w:rPr>
              <w:t>Jan, Feb, Sep</w:t>
            </w:r>
          </w:p>
        </w:tc>
        <w:tc>
          <w:tcPr>
            <w:tcW w:type="dxa" w:w="2011"/>
          </w:tcPr>
          <w:p>
            <w:pPr>
              <w:spacing w:after="0"/>
            </w:pPr>
            <w:r>
              <w:rPr>
                <w:color w:val="1D1D1D"/>
                <w:sz w:val="16"/>
              </w:rPr>
              <w:t>28.5</w:t>
            </w:r>
          </w:p>
        </w:tc>
        <w:tc>
          <w:tcPr>
            <w:tcW w:type="dxa" w:w="1941"/>
          </w:tcPr>
          <w:p>
            <w:pPr>
              <w:spacing w:after="0"/>
            </w:pPr>
            <w:r>
              <w:rPr>
                <w:color w:val="1D1D1D"/>
                <w:sz w:val="16"/>
              </w:rPr>
              <w:t>Jan, Feb, Mar, Aug, Sep, Oct</w:t>
            </w:r>
          </w:p>
        </w:tc>
      </w:tr>
      <w:tr>
        <w:tc>
          <w:tcPr>
            <w:tcW w:type="dxa" w:w="901"/>
            <w:shd w:val="clear" w:color="auto" w:fill="FAF8F2"/>
          </w:tcPr>
          <w:p>
            <w:pPr>
              <w:spacing w:after="0"/>
            </w:pPr>
            <w:r>
              <w:rPr>
                <w:color w:val="1D1D1D"/>
                <w:sz w:val="16"/>
              </w:rPr>
              <w:t>2 × Francis</w:t>
            </w:r>
          </w:p>
        </w:tc>
        <w:tc>
          <w:tcPr>
            <w:tcW w:type="dxa" w:w="1595"/>
            <w:shd w:val="clear" w:color="auto" w:fill="FAF8F2"/>
          </w:tcPr>
          <w:p>
            <w:pPr>
              <w:spacing w:after="0"/>
            </w:pPr>
            <w:r>
              <w:rPr>
                <w:color w:val="1D1D1D"/>
                <w:sz w:val="16"/>
              </w:rPr>
              <w:t>28.5</w:t>
            </w:r>
          </w:p>
        </w:tc>
        <w:tc>
          <w:tcPr>
            <w:tcW w:type="dxa" w:w="1941"/>
            <w:shd w:val="clear" w:color="auto" w:fill="FAF8F2"/>
          </w:tcPr>
          <w:p>
            <w:pPr>
              <w:spacing w:after="0"/>
            </w:pPr>
            <w:r>
              <w:rPr>
                <w:color w:val="1D1D1D"/>
                <w:sz w:val="16"/>
              </w:rPr>
              <w:t>11.4</w:t>
            </w:r>
          </w:p>
        </w:tc>
        <w:tc>
          <w:tcPr>
            <w:tcW w:type="dxa" w:w="1248"/>
            <w:shd w:val="clear" w:color="auto" w:fill="FAF8F2"/>
          </w:tcPr>
          <w:p>
            <w:pPr>
              <w:spacing w:after="0"/>
            </w:pPr>
            <w:r>
              <w:rPr>
                <w:color w:val="1D1D1D"/>
                <w:sz w:val="16"/>
              </w:rPr>
              <w:t>none</w:t>
            </w:r>
          </w:p>
        </w:tc>
        <w:tc>
          <w:tcPr>
            <w:tcW w:type="dxa" w:w="2011"/>
            <w:shd w:val="clear" w:color="auto" w:fill="FAF8F2"/>
          </w:tcPr>
          <w:p>
            <w:pPr>
              <w:spacing w:after="0"/>
            </w:pPr>
            <w:r>
              <w:rPr>
                <w:color w:val="1D1D1D"/>
                <w:sz w:val="16"/>
              </w:rPr>
              <w:t>14.3</w:t>
            </w:r>
          </w:p>
        </w:tc>
        <w:tc>
          <w:tcPr>
            <w:tcW w:type="dxa" w:w="1941"/>
            <w:shd w:val="clear" w:color="auto" w:fill="FAF8F2"/>
          </w:tcPr>
          <w:p>
            <w:pPr>
              <w:spacing w:after="0"/>
            </w:pPr>
            <w:r>
              <w:rPr>
                <w:color w:val="1D1D1D"/>
                <w:sz w:val="16"/>
              </w:rPr>
              <w:t>none</w:t>
            </w:r>
          </w:p>
        </w:tc>
      </w:tr>
      <w:tr>
        <w:tc>
          <w:tcPr>
            <w:tcW w:type="dxa" w:w="901"/>
          </w:tcPr>
          <w:p>
            <w:pPr>
              <w:spacing w:after="0"/>
            </w:pPr>
            <w:r>
              <w:rPr>
                <w:color w:val="1D1D1D"/>
                <w:sz w:val="16"/>
              </w:rPr>
              <w:t>3 × Francis</w:t>
            </w:r>
          </w:p>
        </w:tc>
        <w:tc>
          <w:tcPr>
            <w:tcW w:type="dxa" w:w="1595"/>
          </w:tcPr>
          <w:p>
            <w:pPr>
              <w:spacing w:after="0"/>
            </w:pPr>
            <w:r>
              <w:rPr>
                <w:color w:val="1D1D1D"/>
                <w:sz w:val="16"/>
              </w:rPr>
              <w:t>19.0</w:t>
            </w:r>
          </w:p>
        </w:tc>
        <w:tc>
          <w:tcPr>
            <w:tcW w:type="dxa" w:w="1941"/>
          </w:tcPr>
          <w:p>
            <w:pPr>
              <w:spacing w:after="0"/>
            </w:pPr>
            <w:r>
              <w:rPr>
                <w:color w:val="1D1D1D"/>
                <w:sz w:val="16"/>
              </w:rPr>
              <w:t>7.6</w:t>
            </w:r>
          </w:p>
        </w:tc>
        <w:tc>
          <w:tcPr>
            <w:tcW w:type="dxa" w:w="1248"/>
          </w:tcPr>
          <w:p>
            <w:pPr>
              <w:spacing w:after="0"/>
            </w:pPr>
            <w:r>
              <w:rPr>
                <w:color w:val="1D1D1D"/>
                <w:sz w:val="16"/>
              </w:rPr>
              <w:t>none</w:t>
            </w:r>
          </w:p>
        </w:tc>
        <w:tc>
          <w:tcPr>
            <w:tcW w:type="dxa" w:w="2011"/>
          </w:tcPr>
          <w:p>
            <w:pPr>
              <w:spacing w:after="0"/>
            </w:pPr>
            <w:r>
              <w:rPr>
                <w:color w:val="1D1D1D"/>
                <w:sz w:val="16"/>
              </w:rPr>
              <w:t>9.5</w:t>
            </w:r>
          </w:p>
        </w:tc>
        <w:tc>
          <w:tcPr>
            <w:tcW w:type="dxa" w:w="1941"/>
          </w:tcPr>
          <w:p>
            <w:pPr>
              <w:spacing w:after="0"/>
            </w:pPr>
            <w:r>
              <w:rPr>
                <w:color w:val="1D1D1D"/>
                <w:sz w:val="16"/>
              </w:rPr>
              <w:t>none</w:t>
            </w:r>
          </w:p>
        </w:tc>
      </w:tr>
    </w:tbl>
    <w:p>
      <w:pPr>
        <w:spacing w:after="40"/>
      </w:pPr>
    </w:p>
    <w:p>
      <w:pPr>
        <w:jc w:val="both"/>
      </w:pPr>
      <w:r>
        <w:rPr>
          <w:i/>
        </w:rPr>
        <w:t>Note: available flows Jan to Dec are 20, 16, 24, 48, 57, 54, 36, 24, 18, 26, 42, 32 m&lt;sup&gt;3&lt;/sup&gt;/s. Monthly means hide daily lows, so the daily flow duration curve must confirm the result.</w:t>
      </w:r>
    </w:p>
    <w:p>
      <w:pPr>
        <w:jc w:val="both"/>
      </w:pPr>
      <w:r>
        <w:rPr/>
        <w:t>A single unit would stop for three to six months of an average year, inconsistent with a 56% capacity factor. Two units remove the problem on monthly means and allow overhauls in February or September; three add dry-year margin (energy CV 0.15) at extra cost. Two units is the natural base case to test.</w:t>
      </w:r>
    </w:p>
    <w:p>
      <w:pPr>
        <w:jc w:val="both"/>
      </w:pPr>
      <w:r>
        <w:rPr>
          <w:b/>
        </w:rPr>
        <w:t>Sediment and cost.</w:t>
      </w:r>
      <w:r>
        <w:rPr/>
        <w:t xml:space="preserve"> At 120 m head the sand trap should retain particles above 0.2 mm [DE:S1], and quartz content must be known before runner coating is specified. E&amp;M at USD 33m is 26% of the USD 127m of listed base components (33% with hydromechanical), within IFC's 14.9 to 56.6% range [DE:S1], or about USD 550 per kW. The 0.95 availability matches IFC's first-year figure and is conservative against the 97 to 98% expected after year three [DE:S1].</w:t>
      </w:r>
    </w:p>
    <w:p>
      <w:pPr>
        <w:pStyle w:val="Heading3"/>
      </w:pPr>
      <w:r>
        <w:t>P.14 Decision tests</w:t>
      </w:r>
    </w:p>
    <w:p>
      <w:pPr>
        <w:spacing w:after="60"/>
        <w:ind w:left="397" w:hanging="397"/>
      </w:pPr>
      <w:r>
        <w:rPr/>
        <w:t>1.</w:t>
        <w:tab/>
        <w:t>Does the feasibility study show the head-flow point on a selection chart and justify the turbine type against the full flow duration curve, not only the design point?</w:t>
      </w:r>
    </w:p>
    <w:p>
      <w:pPr>
        <w:spacing w:after="60"/>
        <w:ind w:left="397" w:hanging="397"/>
      </w:pPr>
      <w:r>
        <w:rPr/>
        <w:t>2.</w:t>
        <w:tab/>
        <w:t>Is the rated net head stated at rated flow, with the head loss and tailwater rating curve used to compute it?</w:t>
      </w:r>
    </w:p>
    <w:p>
      <w:pPr>
        <w:spacing w:after="60"/>
        <w:ind w:left="397" w:hanging="397"/>
      </w:pPr>
      <w:r>
        <w:rPr/>
        <w:t>3.</w:t>
        <w:tab/>
        <w:t>What efficiency curve (by supplier or reference machine) underlies the energy estimate, and is part-load efficiency applied strip by strip?</w:t>
      </w:r>
    </w:p>
    <w:p>
      <w:pPr>
        <w:spacing w:after="60"/>
        <w:ind w:left="397" w:hanging="397"/>
      </w:pPr>
      <w:r>
        <w:rPr/>
        <w:t>4.</w:t>
        <w:tab/>
        <w:t>Which minimum technical flow (IFC 40% or ESHA 50% for Francis) is assumed, and how many days per average and dry year would each unit configuration stop?</w:t>
      </w:r>
    </w:p>
    <w:p>
      <w:pPr>
        <w:spacing w:after="60"/>
        <w:ind w:left="397" w:hanging="397"/>
      </w:pPr>
      <w:r>
        <w:rPr/>
        <w:t>5.</w:t>
        <w:tab/>
        <w:t>What unit count and speed are proposed, and does the optimisation show the incremental cost of each extra unit against the energy and availability gained?</w:t>
      </w:r>
    </w:p>
    <w:p>
      <w:pPr>
        <w:spacing w:after="60"/>
        <w:ind w:left="397" w:hanging="397"/>
      </w:pPr>
      <w:r>
        <w:rPr/>
        <w:t>6.</w:t>
        <w:tab/>
        <w:t>What setting below minimum tailwater is proposed, what sigma margin does it assume, and has the supplier confirmed it from model tests?</w:t>
      </w:r>
    </w:p>
    <w:p>
      <w:pPr>
        <w:spacing w:after="60"/>
        <w:ind w:left="397" w:hanging="397"/>
      </w:pPr>
      <w:r>
        <w:rPr/>
        <w:t>7.</w:t>
        <w:tab/>
        <w:t>What are the measured sediment concentration, grain size and quartz content, what particle size will the desander retain, and what runner coating and repair interval are assumed in OPEX?</w:t>
      </w:r>
    </w:p>
    <w:p>
      <w:pPr>
        <w:spacing w:after="60"/>
        <w:ind w:left="397" w:hanging="397"/>
      </w:pPr>
      <w:r>
        <w:rPr/>
        <w:t>8.</w:t>
        <w:tab/>
        <w:t>Does the governor and waterway analysis show the water acceleration time and pressure rise on load rejection within penstock design limits?</w:t>
      </w:r>
    </w:p>
    <w:p>
      <w:pPr>
        <w:spacing w:after="60"/>
        <w:ind w:left="397" w:hanging="397"/>
      </w:pPr>
      <w:r>
        <w:rPr/>
        <w:t>9.</w:t>
        <w:tab/>
        <w:t>Has the grid operator issued a connection offer for the 132 kV line, and is each grid code clause mapped to an equipment specification and a commissioning test?</w:t>
      </w:r>
    </w:p>
    <w:p>
      <w:pPr>
        <w:spacing w:after="60"/>
        <w:ind w:left="397" w:hanging="397"/>
      </w:pPr>
      <w:r>
        <w:rPr/>
        <w:t>10.</w:t>
        <w:tab/>
        <w:t>Who bears deemed-energy risk if the line or grid upgrades are late?</w:t>
      </w:r>
    </w:p>
    <w:p>
      <w:pPr>
        <w:spacing w:after="60"/>
        <w:ind w:left="397" w:hanging="397"/>
      </w:pPr>
      <w:r>
        <w:rPr/>
        <w:t>11.</w:t>
        <w:tab/>
        <w:t>Do the E&amp;M contract guarantees (output, efficiency, pressure rise, speed rise) carry liquidated damages, and are they verified by an IEC 60041 field test?</w:t>
      </w:r>
    </w:p>
    <w:p>
      <w:pPr>
        <w:spacing w:after="60"/>
        <w:ind w:left="397" w:hanging="397"/>
      </w:pPr>
      <w:r>
        <w:rPr/>
        <w:t>12.</w:t>
        <w:tab/>
        <w:t>Are extended manufacturer warranties assigned to the owner, and are spares (2.5 to 3.0% of FOB price) and the major overhaul reserve in the budget?</w:t>
      </w:r>
    </w:p>
    <w:p>
      <w:pPr>
        <w:pStyle w:val="Heading2"/>
      </w:pPr>
      <w:r>
        <w:t>Annex Q. Construction, commissioning, operation and maintenance</w:t>
      </w:r>
    </w:p>
    <w:p>
      <w:pPr>
        <w:pStyle w:val="Heading3"/>
      </w:pPr>
      <w:r>
        <w:t>Q.1 Purpose and scope</w:t>
      </w:r>
    </w:p>
    <w:p>
      <w:pPr>
        <w:jc w:val="both"/>
      </w:pPr>
      <w:r>
        <w:rPr/>
        <w:t>Hydropower value is won or lost in two windows: construction, when the plant only consumes capital, and the first decade of operation, when learning-curve outages, warranty claims and the first major overhaul occur. No revenue flows before commissioning, so a shorter construction period shortens payback [DE:S1]. This annex gives a committee the benchmarks needed to test a contractor's programme, a commissioning plan and an O&amp;M budget. Where the sources give no number, it states the method.</w:t>
      </w:r>
    </w:p>
    <w:p>
      <w:pPr>
        <w:pStyle w:val="Heading3"/>
      </w:pPr>
      <w:r>
        <w:t>Q.2 Construction planning and the critical path</w:t>
      </w:r>
    </w:p>
    <w:p>
      <w:pPr>
        <w:jc w:val="both"/>
      </w:pPr>
      <w:r>
        <w:rPr/>
        <w:t>Construction starts before the first concrete is poured. Hydro sites are often remote, access can be difficult, and weather can stop work in rainy seasons, so access roads, offices and worker accommodation must be built before work on the scheme itself begins [DE:S1]. The schedule should show durations, contingency per task, milestones, interdependencies, responsibilities, the critical path and progress against plan, broken down by lot: access; dam and diversion; headrace and penstock; powerhouse; electromechanical (E&amp;M) manufacture, transport and installation; switchyard and grid connection; commissioning [DE:S1].</w:t>
      </w:r>
    </w:p>
    <w:p>
      <w:pPr>
        <w:jc w:val="both"/>
      </w:pPr>
      <w:r>
        <w:rPr/>
        <w:t>The typical critical path given by the IFC guide runs through access roads, penstock construction, tunnelling, E&amp;M equipment manufacturing and connection to the grid, although critical items vary by project [DE:S1]. E&amp;M installation can only follow completion of powerhouse civil works, and long-lead items must be ordered in time, though equipment that arrives too early must be stored on site at added risk [DE:S1]. River diversion is the hinge between these chains: the dam and powerhouse foundations cannot be built in the dry until the river has been diverted, and on run-of-river projects dry commissioning tests must be completed before the construction pit is flooded and the cofferdams removed (Q.6) [DE:S1]. A programme that shows diversion slipping past a dry season, without showing the knock-on to the next low-flow window, is incomplete.</w:t>
      </w:r>
    </w:p>
    <w:p>
      <w:pPr>
        <w:jc w:val="both"/>
      </w:pPr>
      <w:r>
        <w:rPr/>
        <w:t>Missing transmission lines and grid upgrades are often a key barrier to reaching COD, leading to deemed energy claims that burden offtakers [HY-06].</w:t>
      </w:r>
    </w:p>
    <w:p>
      <w:pPr>
        <w:keepNext/>
      </w:pPr>
      <w:r>
        <w:rPr>
          <w:b/>
          <w:color w:val="0B3020"/>
          <w:sz w:val="18"/>
        </w:rPr>
        <w:t>Table Q.1. Schedule benchmarks from the sources</w:t>
      </w:r>
    </w:p>
    <w:tbl>
      <w:tblPr>
        <w:tblStyle w:val="TableGrid"/>
        <w:tblW w:type="auto" w:w="0"/>
        <w:jc w:val="center"/>
        <w:tblLook w:firstColumn="1" w:firstRow="1" w:lastColumn="0" w:lastRow="0" w:noHBand="0" w:noVBand="1" w:val="04A0"/>
      </w:tblPr>
      <w:tblGrid>
        <w:gridCol w:w="3213"/>
        <w:gridCol w:w="3213"/>
        <w:gridCol w:w="3213"/>
      </w:tblGrid>
      <w:tr>
        <w:tc>
          <w:tcPr>
            <w:tcW w:type="dxa" w:w="4740"/>
            <w:shd w:val="clear" w:color="auto" w:fill="0B3020"/>
          </w:tcPr>
          <w:p>
            <w:pPr>
              <w:spacing w:after="0"/>
            </w:pPr>
            <w:r>
              <w:rPr>
                <w:b/>
                <w:color w:val="FFFFFF"/>
                <w:sz w:val="16"/>
              </w:rPr>
              <w:t>Item</w:t>
            </w:r>
          </w:p>
        </w:tc>
        <w:tc>
          <w:tcPr>
            <w:tcW w:type="dxa" w:w="4266"/>
            <w:shd w:val="clear" w:color="auto" w:fill="0B3020"/>
          </w:tcPr>
          <w:p>
            <w:pPr>
              <w:spacing w:after="0"/>
            </w:pPr>
            <w:r>
              <w:rPr>
                <w:b/>
                <w:color w:val="FFFFFF"/>
                <w:sz w:val="16"/>
              </w:rPr>
              <w:t>Benchmark</w:t>
            </w:r>
          </w:p>
        </w:tc>
        <w:tc>
          <w:tcPr>
            <w:tcW w:type="dxa" w:w="632"/>
            <w:shd w:val="clear" w:color="auto" w:fill="0B3020"/>
          </w:tcPr>
          <w:p>
            <w:pPr>
              <w:spacing w:after="0"/>
            </w:pPr>
            <w:r>
              <w:rPr>
                <w:b/>
                <w:color w:val="FFFFFF"/>
                <w:sz w:val="16"/>
              </w:rPr>
              <w:t>Source</w:t>
            </w:r>
          </w:p>
        </w:tc>
      </w:tr>
      <w:tr>
        <w:tc>
          <w:tcPr>
            <w:tcW w:type="dxa" w:w="4740"/>
          </w:tcPr>
          <w:p>
            <w:pPr>
              <w:spacing w:after="0"/>
            </w:pPr>
            <w:r>
              <w:rPr>
                <w:color w:val="1D1D1D"/>
                <w:sz w:val="16"/>
              </w:rPr>
              <w:t>Detailed design</w:t>
            </w:r>
          </w:p>
        </w:tc>
        <w:tc>
          <w:tcPr>
            <w:tcW w:type="dxa" w:w="4266"/>
          </w:tcPr>
          <w:p>
            <w:pPr>
              <w:spacing w:after="0"/>
            </w:pPr>
            <w:r>
              <w:rPr>
                <w:color w:val="1D1D1D"/>
                <w:sz w:val="16"/>
              </w:rPr>
              <w:t>A few months (small HPP); more than a year (large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Tendering and procuring EPC contractors, medium and large HPP</w:t>
            </w:r>
          </w:p>
        </w:tc>
        <w:tc>
          <w:tcPr>
            <w:tcW w:type="dxa" w:w="4266"/>
            <w:shd w:val="clear" w:color="auto" w:fill="FAF8F2"/>
          </w:tcPr>
          <w:p>
            <w:pPr>
              <w:spacing w:after="0"/>
            </w:pPr>
            <w:r>
              <w:rPr>
                <w:color w:val="1D1D1D"/>
                <w:sz w:val="16"/>
              </w:rPr>
              <w:t>Up to 18 months; up to two years for a BOO tender</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Construction, small HPP</w:t>
            </w:r>
          </w:p>
        </w:tc>
        <w:tc>
          <w:tcPr>
            <w:tcW w:type="dxa" w:w="4266"/>
          </w:tcPr>
          <w:p>
            <w:pPr>
              <w:spacing w:after="0"/>
            </w:pPr>
            <w:r>
              <w:rPr>
                <w:color w:val="1D1D1D"/>
                <w:sz w:val="16"/>
              </w:rPr>
              <w:t>9 to 18 months</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Construction, medium and large HPP</w:t>
            </w:r>
          </w:p>
        </w:tc>
        <w:tc>
          <w:tcPr>
            <w:tcW w:type="dxa" w:w="4266"/>
            <w:shd w:val="clear" w:color="auto" w:fill="FAF8F2"/>
          </w:tcPr>
          <w:p>
            <w:pPr>
              <w:spacing w:after="0"/>
            </w:pPr>
            <w:r>
              <w:rPr>
                <w:color w:val="1D1D1D"/>
                <w:sz w:val="16"/>
              </w:rPr>
              <w:t>Up to four years</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Observed: Nyamwamba II, 7.8 MW, Uganda</w:t>
            </w:r>
          </w:p>
        </w:tc>
        <w:tc>
          <w:tcPr>
            <w:tcW w:type="dxa" w:w="4266"/>
          </w:tcPr>
          <w:p>
            <w:pPr>
              <w:spacing w:after="0"/>
            </w:pPr>
            <w:r>
              <w:rPr>
                <w:color w:val="1D1D1D"/>
                <w:sz w:val="16"/>
              </w:rPr>
              <w:t>About 29 months, construction start to COD</w:t>
            </w:r>
          </w:p>
        </w:tc>
        <w:tc>
          <w:tcPr>
            <w:tcW w:type="dxa" w:w="632"/>
          </w:tcPr>
          <w:p>
            <w:pPr>
              <w:spacing w:after="0"/>
            </w:pPr>
            <w:r>
              <w:rPr>
                <w:color w:val="1D1D1D"/>
                <w:sz w:val="16"/>
              </w:rPr>
              <w:t>[DE:S12]</w:t>
            </w:r>
          </w:p>
        </w:tc>
      </w:tr>
      <w:tr>
        <w:tc>
          <w:tcPr>
            <w:tcW w:type="dxa" w:w="4740"/>
            <w:shd w:val="clear" w:color="auto" w:fill="FAF8F2"/>
          </w:tcPr>
          <w:p>
            <w:pPr>
              <w:spacing w:after="0"/>
            </w:pPr>
            <w:r>
              <w:rPr>
                <w:color w:val="1D1D1D"/>
                <w:sz w:val="16"/>
              </w:rPr>
              <w:t>Observed: Nachtigal, 420 MW, Cameroon</w:t>
            </w:r>
          </w:p>
        </w:tc>
        <w:tc>
          <w:tcPr>
            <w:tcW w:type="dxa" w:w="4266"/>
            <w:shd w:val="clear" w:color="auto" w:fill="FAF8F2"/>
          </w:tcPr>
          <w:p>
            <w:pPr>
              <w:spacing w:after="0"/>
            </w:pPr>
            <w:r>
              <w:rPr>
                <w:color w:val="1D1D1D"/>
                <w:sz w:val="16"/>
              </w:rPr>
              <w:t>Five-year construction period</w:t>
            </w:r>
          </w:p>
        </w:tc>
        <w:tc>
          <w:tcPr>
            <w:tcW w:type="dxa" w:w="632"/>
            <w:shd w:val="clear" w:color="auto" w:fill="FAF8F2"/>
          </w:tcPr>
          <w:p>
            <w:pPr>
              <w:spacing w:after="0"/>
            </w:pPr>
            <w:r>
              <w:rPr>
                <w:color w:val="1D1D1D"/>
                <w:sz w:val="16"/>
              </w:rPr>
              <w:t>[DE:S13]</w:t>
            </w:r>
          </w:p>
        </w:tc>
      </w:tr>
      <w:tr>
        <w:tc>
          <w:tcPr>
            <w:tcW w:type="dxa" w:w="4740"/>
          </w:tcPr>
          <w:p>
            <w:pPr>
              <w:spacing w:after="0"/>
            </w:pPr>
            <w:r>
              <w:rPr>
                <w:color w:val="1D1D1D"/>
                <w:sz w:val="16"/>
              </w:rPr>
              <w:t>Large hydro, initiation to COD</w:t>
            </w:r>
          </w:p>
        </w:tc>
        <w:tc>
          <w:tcPr>
            <w:tcW w:type="dxa" w:w="4266"/>
          </w:tcPr>
          <w:p>
            <w:pPr>
              <w:spacing w:after="0"/>
            </w:pPr>
            <w:r>
              <w:rPr>
                <w:color w:val="1D1D1D"/>
                <w:sz w:val="16"/>
              </w:rPr>
              <w:t>Typically 8 to 10 years or more</w:t>
            </w:r>
          </w:p>
        </w:tc>
        <w:tc>
          <w:tcPr>
            <w:tcW w:type="dxa" w:w="632"/>
          </w:tcPr>
          <w:p>
            <w:pPr>
              <w:spacing w:after="0"/>
            </w:pPr>
            <w:r>
              <w:rPr>
                <w:color w:val="1D1D1D"/>
                <w:sz w:val="16"/>
              </w:rPr>
              <w:t>[HY-06]</w:t>
            </w:r>
          </w:p>
        </w:tc>
      </w:tr>
      <w:tr>
        <w:tc>
          <w:tcPr>
            <w:tcW w:type="dxa" w:w="4740"/>
            <w:shd w:val="clear" w:color="auto" w:fill="FAF8F2"/>
          </w:tcPr>
          <w:p>
            <w:pPr>
              <w:spacing w:after="0"/>
            </w:pPr>
            <w:r>
              <w:rPr>
                <w:color w:val="1D1D1D"/>
                <w:sz w:val="16"/>
              </w:rPr>
              <w:t>Schedule overrun, large dams reference class</w:t>
            </w:r>
          </w:p>
        </w:tc>
        <w:tc>
          <w:tcPr>
            <w:tcW w:type="dxa" w:w="4266"/>
            <w:shd w:val="clear" w:color="auto" w:fill="FAF8F2"/>
          </w:tcPr>
          <w:p>
            <w:pPr>
              <w:spacing w:after="0"/>
            </w:pPr>
            <w:r>
              <w:rPr>
                <w:color w:val="1D1D1D"/>
                <w:sz w:val="16"/>
              </w:rPr>
              <w:t>Median 27%, mean 44% of planned period</w:t>
            </w:r>
          </w:p>
        </w:tc>
        <w:tc>
          <w:tcPr>
            <w:tcW w:type="dxa" w:w="632"/>
            <w:shd w:val="clear" w:color="auto" w:fill="FAF8F2"/>
          </w:tcPr>
          <w:p>
            <w:pPr>
              <w:spacing w:after="0"/>
            </w:pPr>
            <w:r>
              <w:rPr>
                <w:color w:val="1D1D1D"/>
                <w:sz w:val="16"/>
              </w:rPr>
              <w:t>[HY-08]</w:t>
            </w:r>
          </w:p>
        </w:tc>
      </w:tr>
      <w:tr>
        <w:tc>
          <w:tcPr>
            <w:tcW w:type="dxa" w:w="4740"/>
          </w:tcPr>
          <w:p>
            <w:pPr>
              <w:spacing w:after="0"/>
            </w:pPr>
            <w:r>
              <w:rPr>
                <w:color w:val="1D1D1D"/>
                <w:sz w:val="16"/>
              </w:rPr>
              <w:t>Commissioning, one test phase</w:t>
            </w:r>
          </w:p>
        </w:tc>
        <w:tc>
          <w:tcPr>
            <w:tcW w:type="dxa" w:w="4266"/>
          </w:tcPr>
          <w:p>
            <w:pPr>
              <w:spacing w:after="0"/>
            </w:pPr>
            <w:r>
              <w:rPr>
                <w:color w:val="1D1D1D"/>
                <w:sz w:val="16"/>
              </w:rPr>
              <w:t>About one month each; less for small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Commissioning, two 150 MW units (E&amp;M plant)</w:t>
            </w:r>
          </w:p>
        </w:tc>
        <w:tc>
          <w:tcPr>
            <w:tcW w:type="dxa" w:w="4266"/>
            <w:shd w:val="clear" w:color="auto" w:fill="FAF8F2"/>
          </w:tcPr>
          <w:p>
            <w:pPr>
              <w:spacing w:after="0"/>
            </w:pPr>
            <w:r>
              <w:rPr>
                <w:color w:val="1D1D1D"/>
                <w:sz w:val="16"/>
              </w:rPr>
              <w:t>About seven months in the IFC example schedule</w:t>
            </w:r>
          </w:p>
        </w:tc>
        <w:tc>
          <w:tcPr>
            <w:tcW w:type="dxa" w:w="632"/>
            <w:shd w:val="clear" w:color="auto" w:fill="FAF8F2"/>
          </w:tcPr>
          <w:p>
            <w:pPr>
              <w:spacing w:after="0"/>
            </w:pPr>
            <w:r>
              <w:rPr>
                <w:color w:val="1D1D1D"/>
                <w:sz w:val="16"/>
              </w:rPr>
              <w:t>[DE:S1]</w:t>
            </w:r>
          </w:p>
        </w:tc>
      </w:tr>
    </w:tbl>
    <w:p>
      <w:pPr>
        <w:spacing w:after="40"/>
      </w:pPr>
    </w:p>
    <w:p>
      <w:pPr>
        <w:jc w:val="both"/>
      </w:pPr>
      <w:r>
        <w:rPr>
          <w:i/>
        </w:rPr>
        <w:t>Note: The HY-08 overrun data refer to large dams (245 projects in 65 countries) and are a reference class, not an Africa-specific or run-of-river distribution.</w:t>
      </w:r>
    </w:p>
    <w:p>
      <w:pPr>
        <w:jc w:val="both"/>
      </w:pPr>
      <w:r>
        <w:rPr/>
        <w:t>Payment profile is part of planning. The IFC guide gives a typical EPC payment schedule: civil works 10% advance, 80% against milestones and 10% on handover; E&amp;M 30% advance, 50% on delivery of equipment and 20% on acceptance [DE:S1]. Contractors tend to load cost into delivery items, so the commissioning line in a price schedule does not represent actual commissioning cost [DE:S1].</w:t>
      </w:r>
    </w:p>
    <w:p>
      <w:pPr>
        <w:pStyle w:val="Heading3"/>
      </w:pPr>
      <w:r>
        <w:t>Q.3 Construction methods and their risks</w:t>
      </w:r>
    </w:p>
    <w:p>
      <w:pPr>
        <w:jc w:val="both"/>
      </w:pPr>
      <w:r>
        <w:rPr/>
        <w:t>Civil works are 50% or more of project cost and the least predictable block, driven by geology, natural hazards and weather [DE:S1]. Stakeholders rank geotechnical and seismic conditions as the top technical risk [HY-06].</w:t>
      </w:r>
    </w:p>
    <w:p>
      <w:pPr>
        <w:jc w:val="both"/>
      </w:pPr>
      <w:r>
        <w:rPr/>
        <w:t>Underground works. Drill and blast is conventional in hard rock; tunnel boring machines (TBMs) raise efficiency and install support as they advance [DE:S1]. Poor rock entails large costs, so an experienced geologist should assess tunnel risk individually [DE:S1]. ESHA documents a tunnel under heterogeneous colluvium where TBMs were not feasible and excavation proceeded metre by metre with small charges and grouting, and a fault zone that needed an entirely different support system; lithology along the alignment decides the method, and major faults must be known in advance [LIT:S6].</w:t>
      </w:r>
    </w:p>
    <w:p>
      <w:pPr>
        <w:jc w:val="both"/>
      </w:pPr>
      <w:r>
        <w:rPr/>
        <w:t>Surface works and first filling. ESHA records a canal on weathered sandstone where first filling saturated the slope and a landslide broke the reservoir embankment [LIT:S6]. First filling is a construction risk, not an operating event.</w:t>
      </w:r>
    </w:p>
    <w:p>
      <w:pPr>
        <w:jc w:val="both"/>
      </w:pPr>
      <w:r>
        <w:rPr/>
        <w:t>Risk allocation for ground conditions. "Unforeseen conditions" clauses breed disputes, and full transfer of ground risk is often refused or priced high; experienced developers agree a geotechnical baseline with a cost-sharing formula outside it [LIT:S7]. Turnkey EPC passes most risk but is expensive and few contractors can do everything, so many owners split the work into an E&amp;M contract with a turbine supplier, a civil contract (often with local contractors where local content rules apply) and a transmission contract [LIT:S7]. FIDIC is the market standard: Silver Book for turnkey EPC, Yellow Book for E&amp;M and transmission, Red Book for civil works [LIT:S7; DE:S1]. Splitting lots moves interface risk to the owner, and the IFC guide calls interface management a demanding task requiring highly experienced engineering [DE:S1].</w:t>
      </w:r>
    </w:p>
    <w:p>
      <w:pPr>
        <w:jc w:val="both"/>
      </w:pPr>
      <w:r>
        <w:rPr/>
        <w:t>Contingency. Estimates in the IFC sample average 9.1% of total plant cost, while industry practice is 15% on civil works, 7.5% to 10% on E&amp;M and 7.5% to 10% on grid connection [DE:S1]. Real cost overruns on large dams have a median of 27% and a mean of 96% [HY-08].</w:t>
      </w:r>
    </w:p>
    <w:p>
      <w:pPr>
        <w:pStyle w:val="Heading3"/>
      </w:pPr>
      <w:r>
        <w:t>Q.4 Quality assurance, supervision and lender monitoring</w:t>
      </w:r>
    </w:p>
    <w:p>
      <w:pPr>
        <w:jc w:val="both"/>
      </w:pPr>
      <w:r>
        <w:rPr/>
        <w:t>Three parties check the contractor.</w:t>
      </w:r>
    </w:p>
    <w:p>
      <w:pPr>
        <w:spacing w:after="60"/>
        <w:ind w:left="397" w:hanging="397"/>
      </w:pPr>
      <w:r>
        <w:rPr/>
        <w:t>•</w:t>
        <w:tab/>
        <w:t>The owner's engineer supervises the EPC contractor on the owner's behalf and, under split-lot procurement, manages the interfaces between lots and specifies them in the detailed design [DE:S1]. Under the FIDIC Silver Book there is no independent "Engineer" in the contract, so the employer carries the engineering role itself [DE:S1].</w:t>
      </w:r>
    </w:p>
    <w:p>
      <w:pPr>
        <w:spacing w:after="60"/>
        <w:ind w:left="397" w:hanging="397"/>
      </w:pPr>
      <w:r>
        <w:rPr/>
        <w:t>•</w:t>
        <w:tab/>
        <w:t>The lenders' technical adviser (independent engineer) reviews the feasibility study and draft contracts during due diligence, then monitors construction for lenders [DE:S1]. Monitoring uses progress reports and site visits, with quarterly reviews; lenders may also hire an independent engineer for commissioning [DE:S1].</w:t>
      </w:r>
    </w:p>
    <w:p>
      <w:pPr>
        <w:spacing w:after="60"/>
        <w:ind w:left="397" w:hanging="397"/>
      </w:pPr>
      <w:r>
        <w:rPr/>
        <w:t>•</w:t>
        <w:tab/>
        <w:t>The commissioning engineer receives, before any commissioning test, all quality certificates, test procedures and installation test results [DE:S1].</w:t>
      </w:r>
    </w:p>
    <w:p>
      <w:pPr>
        <w:jc w:val="both"/>
      </w:pPr>
      <w:r>
        <w:rPr/>
        <w:t>Construction and installation quality is a key technical risk: plants are one-off designs and terminating an underperforming contractor is expensive and slow, so contractor due diligence, full specifications, performance guarantees and adequate supervision are needed [HY-06]. The IFC guide adds that design must conform to national standards and, where these are silent, to USACE manuals and ICOLD bulletins [DE:S1].</w:t>
      </w:r>
    </w:p>
    <w:p>
      <w:pPr>
        <w:jc w:val="both"/>
      </w:pPr>
      <w:r>
        <w:rPr/>
        <w:t>A useful monitoring report (recommended format, not a source requirement) shows float on the critical path, cost to complete and contingency drawn, ground encountered against the baseline, open non-conformances, safety and E&amp;S performance, and long-lead equipment status.</w:t>
      </w:r>
    </w:p>
    <w:p>
      <w:pPr>
        <w:pStyle w:val="Heading3"/>
      </w:pPr>
      <w:r>
        <w:t>Q.5 Health, safety and construction-phase E&amp;S</w:t>
      </w:r>
    </w:p>
    <w:p>
      <w:pPr>
        <w:jc w:val="both"/>
      </w:pPr>
      <w:r>
        <w:rPr/>
        <w:t>The IFC guide requires that human health and safety be considered at all times during construction and flags worker health and safety as a specific issue where tunnelling is involved, together with noise, dust and vibration [DE:S1]. Under the Equator Principles, projects in non-designated countries, which include all of sub-Saharan Africa, are assessed against the IFC Performance Standards and the World Bank Group EHS Guidelines [DE:S1; DE:S49]. Contractor environmental rules, with penalties for non-compliance, should cover camp siting, gravel extraction, waste disposal, water pollution and worker behaviour; access road impacts can exceed those of the reservoir [DE:S1].</w:t>
      </w:r>
    </w:p>
    <w:p>
      <w:pPr>
        <w:jc w:val="both"/>
      </w:pPr>
      <w:r>
        <w:rPr/>
        <w:t>The sources do not give accident frequency benchmarks for hydro construction. A committee should ask for the contractor's injury record on comparable underground work.</w:t>
      </w:r>
    </w:p>
    <w:p>
      <w:pPr>
        <w:pStyle w:val="Heading3"/>
      </w:pPr>
      <w:r>
        <w:t>Q.6 Commissioning sequence and tests</w:t>
      </w:r>
    </w:p>
    <w:p>
      <w:pPr>
        <w:jc w:val="both"/>
      </w:pPr>
      <w:r>
        <w:rPr/>
        <w:t>Commissioning tests the plant "from water to wire" and requires civil, mechanical and electrical expertise [DE:S1]. The sequence below follows the IFC guide.</w:t>
      </w:r>
    </w:p>
    <w:p>
      <w:pPr>
        <w:keepNext/>
      </w:pPr>
      <w:r>
        <w:rPr>
          <w:b/>
          <w:color w:val="0B3020"/>
          <w:sz w:val="18"/>
        </w:rPr>
        <w:t>Table Q.2. Commissioning sequence and principal tests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82"/>
            <w:shd w:val="clear" w:color="auto" w:fill="0B3020"/>
          </w:tcPr>
          <w:p>
            <w:pPr>
              <w:spacing w:after="0"/>
            </w:pPr>
            <w:r>
              <w:rPr>
                <w:b/>
                <w:color w:val="FFFFFF"/>
                <w:sz w:val="16"/>
              </w:rPr>
              <w:t>Phase</w:t>
            </w:r>
          </w:p>
        </w:tc>
        <w:tc>
          <w:tcPr>
            <w:tcW w:type="dxa" w:w="3570"/>
            <w:shd w:val="clear" w:color="auto" w:fill="0B3020"/>
          </w:tcPr>
          <w:p>
            <w:pPr>
              <w:spacing w:after="0"/>
            </w:pPr>
            <w:r>
              <w:rPr>
                <w:b/>
                <w:color w:val="FFFFFF"/>
                <w:sz w:val="16"/>
              </w:rPr>
              <w:t>Preconditions</w:t>
            </w:r>
          </w:p>
        </w:tc>
        <w:tc>
          <w:tcPr>
            <w:tcW w:type="dxa" w:w="3570"/>
            <w:shd w:val="clear" w:color="auto" w:fill="0B3020"/>
          </w:tcPr>
          <w:p>
            <w:pPr>
              <w:spacing w:after="0"/>
            </w:pPr>
            <w:r>
              <w:rPr>
                <w:b/>
                <w:color w:val="FFFFFF"/>
                <w:sz w:val="16"/>
              </w:rPr>
              <w:t>Principal tests</w:t>
            </w:r>
          </w:p>
        </w:tc>
        <w:tc>
          <w:tcPr>
            <w:tcW w:type="dxa" w:w="416"/>
            <w:shd w:val="clear" w:color="auto" w:fill="0B3020"/>
          </w:tcPr>
          <w:p>
            <w:pPr>
              <w:spacing w:after="0"/>
            </w:pPr>
            <w:r>
              <w:rPr>
                <w:b/>
                <w:color w:val="FFFFFF"/>
                <w:sz w:val="16"/>
              </w:rPr>
              <w:t>Source</w:t>
            </w:r>
          </w:p>
        </w:tc>
      </w:tr>
      <w:tr>
        <w:tc>
          <w:tcPr>
            <w:tcW w:type="dxa" w:w="2082"/>
          </w:tcPr>
          <w:p>
            <w:pPr>
              <w:spacing w:after="0"/>
            </w:pPr>
            <w:r>
              <w:rPr>
                <w:color w:val="1D1D1D"/>
                <w:sz w:val="16"/>
              </w:rPr>
              <w:t>Dry tests</w:t>
            </w:r>
          </w:p>
        </w:tc>
        <w:tc>
          <w:tcPr>
            <w:tcW w:type="dxa" w:w="3570"/>
          </w:tcPr>
          <w:p>
            <w:pPr>
              <w:spacing w:after="0"/>
            </w:pPr>
            <w:r>
              <w:rPr>
                <w:color w:val="1D1D1D"/>
                <w:sz w:val="16"/>
              </w:rPr>
              <w:t>Installation complete; before impounding, waterway filling, or (run-of-river) flooding of the construction pit and cofferdam removal</w:t>
            </w:r>
          </w:p>
        </w:tc>
        <w:tc>
          <w:tcPr>
            <w:tcW w:type="dxa" w:w="3570"/>
          </w:tcPr>
          <w:p>
            <w:pPr>
              <w:spacing w:after="0"/>
            </w:pPr>
            <w:r>
              <w:rPr>
                <w:color w:val="1D1D1D"/>
                <w:sz w:val="16"/>
              </w:rPr>
              <w:t>Gate speeds; alignment and bearing clearances; tightness tests; wicket gate and valve timing; governor sequences with simulated signals; winding insulation and high-voltage withstand; protection checks</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Wet tests, hydro-mechanical</w:t>
            </w:r>
          </w:p>
        </w:tc>
        <w:tc>
          <w:tcPr>
            <w:tcW w:type="dxa" w:w="3570"/>
            <w:shd w:val="clear" w:color="auto" w:fill="FAF8F2"/>
          </w:tcPr>
          <w:p>
            <w:pPr>
              <w:spacing w:after="0"/>
            </w:pPr>
            <w:r>
              <w:rPr>
                <w:color w:val="1D1D1D"/>
                <w:sz w:val="16"/>
              </w:rPr>
              <w:t>Water-retaining structures inspected; impounding and waterway filling planned with groundwater, leakage and deformation monitoring</w:t>
            </w:r>
          </w:p>
        </w:tc>
        <w:tc>
          <w:tcPr>
            <w:tcW w:type="dxa" w:w="3570"/>
            <w:shd w:val="clear" w:color="auto" w:fill="FAF8F2"/>
          </w:tcPr>
          <w:p>
            <w:pPr>
              <w:spacing w:after="0"/>
            </w:pPr>
            <w:r>
              <w:rPr>
                <w:color w:val="1D1D1D"/>
                <w:sz w:val="16"/>
              </w:rPr>
              <w:t>Leakage of closed gates and valves; pressure tests on tunnels and penstocks; discharge tests on regulating gates (spillway tests may wait for the right season)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Speed-no-load tests</w:t>
            </w:r>
          </w:p>
        </w:tc>
        <w:tc>
          <w:tcPr>
            <w:tcW w:type="dxa" w:w="3570"/>
          </w:tcPr>
          <w:p>
            <w:pPr>
              <w:spacing w:after="0"/>
            </w:pPr>
            <w:r>
              <w:rPr>
                <w:color w:val="1D1D1D"/>
                <w:sz w:val="16"/>
              </w:rPr>
              <w:t>Waterways filled</w:t>
            </w:r>
          </w:p>
        </w:tc>
        <w:tc>
          <w:tcPr>
            <w:tcW w:type="dxa" w:w="3570"/>
          </w:tcPr>
          <w:p>
            <w:pPr>
              <w:spacing w:after="0"/>
            </w:pPr>
            <w:r>
              <w:rPr>
                <w:color w:val="1D1D1D"/>
                <w:sz w:val="16"/>
              </w:rPr>
              <w:t>Start and stop sequences with braking; initial run with over-speed test; bearing temperature stabilisation; shaft run-out and vibration; protection and excitation tests; short-circuit and no-load curves; synchronisation</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Load tests</w:t>
            </w:r>
          </w:p>
        </w:tc>
        <w:tc>
          <w:tcPr>
            <w:tcW w:type="dxa" w:w="3570"/>
            <w:shd w:val="clear" w:color="auto" w:fill="FAF8F2"/>
          </w:tcPr>
          <w:p>
            <w:pPr>
              <w:spacing w:after="0"/>
            </w:pPr>
            <w:r>
              <w:rPr>
                <w:color w:val="1D1D1D"/>
                <w:sz w:val="16"/>
              </w:rPr>
              <w:t>Switchyard and line tested and ready</w:t>
            </w:r>
          </w:p>
        </w:tc>
        <w:tc>
          <w:tcPr>
            <w:tcW w:type="dxa" w:w="3570"/>
            <w:shd w:val="clear" w:color="auto" w:fill="FAF8F2"/>
          </w:tcPr>
          <w:p>
            <w:pPr>
              <w:spacing w:after="0"/>
            </w:pPr>
            <w:r>
              <w:rPr>
                <w:color w:val="1D1D1D"/>
                <w:sz w:val="16"/>
              </w:rPr>
              <w:t>Load rejection at 25, 50, 75, 100 and 110% of design load; reactive capability; power system stabiliser; V-curve; temperature rise and output; vibration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Joint tests (multi-unit)</w:t>
            </w:r>
          </w:p>
        </w:tc>
        <w:tc>
          <w:tcPr>
            <w:tcW w:type="dxa" w:w="3570"/>
          </w:tcPr>
          <w:p>
            <w:pPr>
              <w:spacing w:after="0"/>
            </w:pPr>
            <w:r>
              <w:rPr>
                <w:color w:val="1D1D1D"/>
                <w:sz w:val="16"/>
              </w:rPr>
              <w:t>All units commissioned</w:t>
            </w:r>
          </w:p>
        </w:tc>
        <w:tc>
          <w:tcPr>
            <w:tcW w:type="dxa" w:w="3570"/>
          </w:tcPr>
          <w:p>
            <w:pPr>
              <w:spacing w:after="0"/>
            </w:pPr>
            <w:r>
              <w:rPr>
                <w:color w:val="1D1D1D"/>
                <w:sz w:val="16"/>
              </w:rPr>
              <w:t>Simultaneous load rejection at maximum load, checking pressure and speed rise against contract limits; active and reactive power sharing</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Performance tests</w:t>
            </w:r>
          </w:p>
        </w:tc>
        <w:tc>
          <w:tcPr>
            <w:tcW w:type="dxa" w:w="3570"/>
            <w:shd w:val="clear" w:color="auto" w:fill="FAF8F2"/>
          </w:tcPr>
          <w:p>
            <w:pPr>
              <w:spacing w:after="0"/>
            </w:pPr>
            <w:r>
              <w:rPr>
                <w:color w:val="1D1D1D"/>
                <w:sz w:val="16"/>
              </w:rPr>
              <w:t>Units above 5 MW</w:t>
            </w:r>
          </w:p>
        </w:tc>
        <w:tc>
          <w:tcPr>
            <w:tcW w:type="dxa" w:w="3570"/>
            <w:shd w:val="clear" w:color="auto" w:fill="FAF8F2"/>
          </w:tcPr>
          <w:p>
            <w:pPr>
              <w:spacing w:after="0"/>
            </w:pPr>
            <w:r>
              <w:rPr>
                <w:color w:val="1D1D1D"/>
                <w:sz w:val="16"/>
              </w:rPr>
              <w:t>Field acceptance test to IEC 60041 for turbine efficiency and an index test on at least one turbine; generator losses on at least one generator</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Trial operation and reliability run</w:t>
            </w:r>
          </w:p>
        </w:tc>
        <w:tc>
          <w:tcPr>
            <w:tcW w:type="dxa" w:w="3570"/>
          </w:tcPr>
          <w:p>
            <w:pPr>
              <w:spacing w:after="0"/>
            </w:pPr>
            <w:r>
              <w:rPr>
                <w:color w:val="1D1D1D"/>
                <w:sz w:val="16"/>
              </w:rPr>
              <w:t>Tests on completion passed</w:t>
            </w:r>
          </w:p>
        </w:tc>
        <w:tc>
          <w:tcPr>
            <w:tcW w:type="dxa" w:w="3570"/>
          </w:tcPr>
          <w:p>
            <w:pPr>
              <w:spacing w:after="0"/>
            </w:pPr>
            <w:r>
              <w:rPr>
                <w:color w:val="1D1D1D"/>
                <w:sz w:val="16"/>
              </w:rPr>
              <w:t>Continuous normal operation across a range of loads: 3 to 10 days for small projects, about 30 days per unit for large projects; restarted in full if a defect shows reliability is not achieved</w:t>
            </w:r>
          </w:p>
        </w:tc>
        <w:tc>
          <w:tcPr>
            <w:tcW w:type="dxa" w:w="416"/>
          </w:tcPr>
          <w:p>
            <w:pPr>
              <w:spacing w:after="0"/>
            </w:pPr>
            <w:r>
              <w:rPr>
                <w:color w:val="1D1D1D"/>
                <w:sz w:val="16"/>
              </w:rPr>
              <w:t>[DE:S1]</w:t>
            </w:r>
          </w:p>
        </w:tc>
      </w:tr>
    </w:tbl>
    <w:p>
      <w:pPr>
        <w:spacing w:after="40"/>
      </w:pPr>
    </w:p>
    <w:p>
      <w:pPr>
        <w:jc w:val="both"/>
      </w:pPr>
      <w:r>
        <w:rPr/>
        <w:t>Three points matter for a lender. First, if units are identical, performance tests are normally done on one unit only, but any sign that guarantees will be missed may require tests on all units to establish the basis for liquidated damages [DE:S1]. Second, the index test measures relative efficiency; its value is as a baseline for later index tests, so it must be recorded and kept. Third, turnover points between contractors must be signed, for example line readiness before synchronisation, and the grid operator, which usually controls the line, must be engaged early [DE:S1].</w:t>
      </w:r>
    </w:p>
    <w:p>
      <w:pPr>
        <w:pStyle w:val="Heading3"/>
      </w:pPr>
      <w:r>
        <w:t>Q.7 Taking-over, defects liability and warranties</w:t>
      </w:r>
    </w:p>
    <w:p>
      <w:pPr>
        <w:jc w:val="both"/>
      </w:pPr>
      <w:r>
        <w:rPr/>
        <w:t>The acceptance certificate usually releases the EPC contractor and triggers final payment [DE:S1]. The IFC example schedule shows a provisional acceptance certificate per unit after its reliability run and a final acceptance certificate after joint tests [DE:S1].</w:t>
      </w:r>
    </w:p>
    <w:p>
      <w:pPr>
        <w:jc w:val="both"/>
      </w:pPr>
      <w:r>
        <w:rPr/>
        <w:t>During the defects notification period, for example 24 months, the contractor must return to rectify defects found after taking-over [LIT:S7]. Prudent owners de-water and re-inspect tunnels inside that period, with a major payment milestone or credit cover tied to its expiry, and capture longer manufacturer warranties by assignment, collateral warranty or a multi-layered defects regime [LIT:S7].</w:t>
      </w:r>
    </w:p>
    <w:p>
      <w:pPr>
        <w:pStyle w:val="Heading3"/>
      </w:pPr>
      <w:r>
        <w:t>Q.8 O&amp;M organisation and staffing</w:t>
      </w:r>
    </w:p>
    <w:p>
      <w:pPr>
        <w:jc w:val="both"/>
      </w:pPr>
      <w:r>
        <w:rPr/>
        <w:t>Three organisational models appear in the sources.</w:t>
      </w:r>
    </w:p>
    <w:p>
      <w:pPr>
        <w:spacing w:after="60"/>
        <w:ind w:left="397" w:hanging="397"/>
      </w:pPr>
      <w:r>
        <w:rPr/>
        <w:t>•</w:t>
        <w:tab/>
        <w:t>Owner-operated. Large utilities typically have their own O&amp;M division [DE:S1]. Utilities with many plants operate them remotely from a central control room, with "flying teams" for scheduled maintenance and troubleshooting [DE:S1].</w:t>
      </w:r>
    </w:p>
    <w:p>
      <w:pPr>
        <w:spacing w:after="60"/>
        <w:ind w:left="397" w:hanging="397"/>
      </w:pPr>
      <w:r>
        <w:rPr/>
        <w:t>•</w:t>
        <w:tab/>
        <w:t>O&amp;M contractor. Smaller producers often outsource to specialised O&amp;M companies or to equipment suppliers. The contract should require the operator to meet the owner's PPA obligations, with PPA responsibilities and non-performance penalties passed through [DE:S1].</w:t>
      </w:r>
    </w:p>
    <w:p>
      <w:pPr>
        <w:spacing w:after="60"/>
        <w:ind w:left="397" w:hanging="397"/>
      </w:pPr>
      <w:r>
        <w:rPr/>
        <w:t>•</w:t>
        <w:tab/>
        <w:t>Manufacturer support. Supplier presence on site during the guarantee period on larger projects; on smaller projects, remote diagnostics and parameter adjustment through software-based control systems [DE:S1].</w:t>
      </w:r>
    </w:p>
    <w:p>
      <w:pPr>
        <w:jc w:val="both"/>
      </w:pPr>
      <w:r>
        <w:rPr/>
        <w:t>Future staff should train at the manufacturer and join installation and commissioning [DE:S1]. For a 300 MW, two-unit plant in a middle-income country, the IFC guide gives 40 staff, including 14 shift operators; in a developing country with high unemployment, three to ten times as many [DE:S1].</w:t>
      </w:r>
    </w:p>
    <w:p>
      <w:pPr>
        <w:pStyle w:val="Heading3"/>
      </w:pPr>
      <w:r>
        <w:t>Q.9 Maintenance regime, intervals and component lives</w:t>
      </w:r>
    </w:p>
    <w:p>
      <w:pPr>
        <w:jc w:val="both"/>
      </w:pPr>
      <w:r>
        <w:rPr/>
        <w:t>Preventive (scheduled) maintenance remains the core of most programmes; reliability-centred maintenance must never become a cost-cutting substitute for it; condition-based (predictive) maintenance, monitoring temperature, vibration and dissolved gas, is unsuitable as the sole regime. The recommended practice combines them, using as-found records at each teardown to adjust intervals [DE:S1]. Starts and stops should be minimised to extend life, and spares procurement should follow actual consumption [DE:S1].</w:t>
      </w:r>
    </w:p>
    <w:p>
      <w:pPr>
        <w:jc w:val="both"/>
      </w:pPr>
      <w:r>
        <w:rPr/>
        <w:t>Routine tasks include gate and valve testing, dam monitoring, waterway inspection, runner cavitation repair, silt monitoring and transformer oil analysis [DE:S1].</w:t>
      </w:r>
    </w:p>
    <w:p>
      <w:pPr>
        <w:keepNext/>
      </w:pPr>
      <w:r>
        <w:rPr>
          <w:b/>
          <w:color w:val="0B3020"/>
          <w:sz w:val="18"/>
        </w:rPr>
        <w:t>Table Q.3. Component lives and maintenance intervals</w:t>
      </w:r>
    </w:p>
    <w:tbl>
      <w:tblPr>
        <w:tblStyle w:val="TableGrid"/>
        <w:tblW w:type="auto" w:w="0"/>
        <w:jc w:val="center"/>
        <w:tblLook w:firstColumn="1" w:firstRow="1" w:lastColumn="0" w:lastRow="0" w:noHBand="0" w:noVBand="1" w:val="04A0"/>
      </w:tblPr>
      <w:tblGrid>
        <w:gridCol w:w="3213"/>
        <w:gridCol w:w="3213"/>
        <w:gridCol w:w="3213"/>
      </w:tblGrid>
      <w:tr>
        <w:tc>
          <w:tcPr>
            <w:tcW w:type="dxa" w:w="4553"/>
            <w:shd w:val="clear" w:color="auto" w:fill="0B3020"/>
          </w:tcPr>
          <w:p>
            <w:pPr>
              <w:spacing w:after="0"/>
            </w:pPr>
            <w:r>
              <w:rPr>
                <w:b/>
                <w:color w:val="FFFFFF"/>
                <w:sz w:val="16"/>
              </w:rPr>
              <w:t>Item</w:t>
            </w:r>
          </w:p>
        </w:tc>
        <w:tc>
          <w:tcPr>
            <w:tcW w:type="dxa" w:w="4553"/>
            <w:shd w:val="clear" w:color="auto" w:fill="0B3020"/>
          </w:tcPr>
          <w:p>
            <w:pPr>
              <w:spacing w:after="0"/>
            </w:pPr>
            <w:r>
              <w:rPr>
                <w:b/>
                <w:color w:val="FFFFFF"/>
                <w:sz w:val="16"/>
              </w:rPr>
              <w:t>Value</w:t>
            </w:r>
          </w:p>
        </w:tc>
        <w:tc>
          <w:tcPr>
            <w:tcW w:type="dxa" w:w="531"/>
            <w:shd w:val="clear" w:color="auto" w:fill="0B3020"/>
          </w:tcPr>
          <w:p>
            <w:pPr>
              <w:spacing w:after="0"/>
            </w:pPr>
            <w:r>
              <w:rPr>
                <w:b/>
                <w:color w:val="FFFFFF"/>
                <w:sz w:val="16"/>
              </w:rPr>
              <w:t>Source</w:t>
            </w:r>
          </w:p>
        </w:tc>
      </w:tr>
      <w:tr>
        <w:tc>
          <w:tcPr>
            <w:tcW w:type="dxa" w:w="4553"/>
          </w:tcPr>
          <w:p>
            <w:pPr>
              <w:spacing w:after="0"/>
            </w:pPr>
            <w:r>
              <w:rPr>
                <w:color w:val="1D1D1D"/>
                <w:sz w:val="16"/>
              </w:rPr>
              <w:t>Economic life of plant, with rehabilitation</w:t>
            </w:r>
          </w:p>
        </w:tc>
        <w:tc>
          <w:tcPr>
            <w:tcW w:type="dxa" w:w="4553"/>
          </w:tcPr>
          <w:p>
            <w:pPr>
              <w:spacing w:after="0"/>
            </w:pPr>
            <w:r>
              <w:rPr>
                <w:color w:val="1D1D1D"/>
                <w:sz w:val="16"/>
              </w:rPr>
              <w:t>70 to 100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Main generating equipment (turbine other than runner, generator, governor, excitation, inlet valves)</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Turbine runners</w:t>
            </w:r>
          </w:p>
        </w:tc>
        <w:tc>
          <w:tcPr>
            <w:tcW w:type="dxa" w:w="4553"/>
          </w:tcPr>
          <w:p>
            <w:pPr>
              <w:spacing w:after="0"/>
            </w:pPr>
            <w:r>
              <w:rPr>
                <w:color w:val="1D1D1D"/>
                <w:sz w:val="16"/>
              </w:rPr>
              <w:t>10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Power transformers; HV switchgear and switchyard</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MV and LV switchgear; plant auxiliaries</w:t>
            </w:r>
          </w:p>
        </w:tc>
        <w:tc>
          <w:tcPr>
            <w:tcW w:type="dxa" w:w="4553"/>
          </w:tcPr>
          <w:p>
            <w:pPr>
              <w:spacing w:after="0"/>
            </w:pPr>
            <w:r>
              <w:rPr>
                <w:color w:val="1D1D1D"/>
                <w:sz w:val="16"/>
              </w:rPr>
              <w:t>30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Control, protection, SCADA, communication, metering</w:t>
            </w:r>
          </w:p>
        </w:tc>
        <w:tc>
          <w:tcPr>
            <w:tcW w:type="dxa" w:w="4553"/>
            <w:shd w:val="clear" w:color="auto" w:fill="FAF8F2"/>
          </w:tcPr>
          <w:p>
            <w:pPr>
              <w:spacing w:after="0"/>
            </w:pPr>
            <w:r>
              <w:rPr>
                <w:color w:val="1D1D1D"/>
                <w:sz w:val="16"/>
              </w:rPr>
              <w:t>20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Penstocks, gates, stoplogs, trash racks; transmission lines</w:t>
            </w:r>
          </w:p>
        </w:tc>
        <w:tc>
          <w:tcPr>
            <w:tcW w:type="dxa" w:w="4553"/>
          </w:tcPr>
          <w:p>
            <w:pPr>
              <w:spacing w:after="0"/>
            </w:pPr>
            <w:r>
              <w:rPr>
                <w:color w:val="1D1D1D"/>
                <w:sz w:val="16"/>
              </w:rPr>
              <w:t>70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Major overhaul of generating units</w:t>
            </w:r>
          </w:p>
        </w:tc>
        <w:tc>
          <w:tcPr>
            <w:tcW w:type="dxa" w:w="4553"/>
            <w:shd w:val="clear" w:color="auto" w:fill="FAF8F2"/>
          </w:tcPr>
          <w:p>
            <w:pPr>
              <w:spacing w:after="0"/>
            </w:pPr>
            <w:r>
              <w:rPr>
                <w:color w:val="1D1D1D"/>
                <w:sz w:val="16"/>
              </w:rPr>
              <w:t>Every 7 to 12 years; 4 to 6 weeks for units above 20 MW, 1 to 3 weeks below 5 MW</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Major rehabilitation and upgrade of E&amp;M</w:t>
            </w:r>
          </w:p>
        </w:tc>
        <w:tc>
          <w:tcPr>
            <w:tcW w:type="dxa" w:w="4553"/>
          </w:tcPr>
          <w:p>
            <w:pPr>
              <w:spacing w:after="0"/>
            </w:pPr>
            <w:r>
              <w:rPr>
                <w:color w:val="1D1D1D"/>
                <w:sz w:val="16"/>
              </w:rPr>
              <w:t>Typically at plant age 45 to 60 years</w:t>
            </w:r>
          </w:p>
        </w:tc>
        <w:tc>
          <w:tcPr>
            <w:tcW w:type="dxa" w:w="531"/>
          </w:tcPr>
          <w:p>
            <w:pPr>
              <w:spacing w:after="0"/>
            </w:pPr>
            <w:r>
              <w:rPr>
                <w:color w:val="1D1D1D"/>
                <w:sz w:val="16"/>
              </w:rPr>
              <w:t>[HY-06]</w:t>
            </w:r>
          </w:p>
        </w:tc>
      </w:tr>
    </w:tbl>
    <w:p>
      <w:pPr>
        <w:spacing w:after="40"/>
      </w:pPr>
    </w:p>
    <w:p>
      <w:pPr>
        <w:jc w:val="both"/>
      </w:pPr>
      <w:r>
        <w:rPr>
          <w:i/>
        </w:rPr>
        <w:t>Note: IFC lives are averages under normal conditions; sediment load, water quality, climate and the number of starts change them [DE:S1].</w:t>
      </w:r>
    </w:p>
    <w:p>
      <w:pPr>
        <w:jc w:val="both"/>
      </w:pPr>
      <w:r>
        <w:rPr/>
        <w:t>O&amp;M cost. Annual O&amp;M is quoted at 1.0% to 4.0% of investment; IEA assumes 2.2% for large plants, and including major E&amp;M replacement IFC gives about USD 45/kW/yr for large and USD 52/kW/yr for small plants [DE:S1]. IRENA's sample gives 1% to 3% of total installed cost, averaging slightly below 2% [HY-01]. The IFC guide breaks this down: E&amp;M maintenance at 2.0% to 2.5% of initial E&amp;M investment, of which about 40% for ongoing maintenance, spares and services and about 60% for a reserve fund for the major works every 7 to 12 years; civil maintenance at 0.4% to 0.6% of civil cost; and a spares stock worth 2.5% to 3.0% of the FOB equipment price [DE:S1]. OPEX also includes insurance and, in some countries, concession and water fees [DE:S1].</w:t>
      </w:r>
    </w:p>
    <w:p>
      <w:pPr>
        <w:pStyle w:val="Heading3"/>
      </w:pPr>
      <w:r>
        <w:t>Q.10 Performance monitoring</w:t>
      </w:r>
    </w:p>
    <w:p>
      <w:pPr>
        <w:jc w:val="both"/>
      </w:pPr>
      <w:r>
        <w:rPr/>
        <w:t>Availability is defined on a period basis; the formulas below are standard definitions.</w:t>
      </w:r>
    </w:p>
    <w:p>
      <w:pPr>
        <w:ind w:left="567"/>
      </w:pPr>
      <w:r>
        <w:rPr>
          <w:color w:val="0B3020"/>
          <w:sz w:val="20"/>
        </w:rPr>
        <w:t>A = (T − SO</w:t>
      </w:r>
      <w:r>
        <w:rPr>
          <w:color w:val="0B3020"/>
          <w:sz w:val="20"/>
        </w:rPr>
        <w:t>h</w:t>
      </w:r>
      <w:r>
        <w:rPr>
          <w:color w:val="0B3020"/>
          <w:sz w:val="20"/>
        </w:rPr>
        <w:t xml:space="preserve"> − FO</w:t>
      </w:r>
      <w:r>
        <w:rPr>
          <w:color w:val="0B3020"/>
          <w:sz w:val="20"/>
        </w:rPr>
        <w:t>h</w:t>
      </w:r>
      <w:r>
        <w:rPr>
          <w:color w:val="0B3020"/>
          <w:sz w:val="20"/>
        </w:rPr>
        <w:t>) / T</w:t>
      </w:r>
    </w:p>
    <w:p>
      <w:pPr>
        <w:ind w:left="567"/>
      </w:pPr>
      <w:r>
        <w:rPr>
          <w:color w:val="0B3020"/>
          <w:sz w:val="20"/>
        </w:rPr>
        <w:t>FOR = FO</w:t>
      </w:r>
      <w:r>
        <w:rPr>
          <w:color w:val="0B3020"/>
          <w:sz w:val="20"/>
        </w:rPr>
        <w:t>h</w:t>
      </w:r>
      <w:r>
        <w:rPr>
          <w:color w:val="0B3020"/>
          <w:sz w:val="20"/>
        </w:rPr>
        <w:t xml:space="preserve"> / (FO</w:t>
      </w:r>
      <w:r>
        <w:rPr>
          <w:color w:val="0B3020"/>
          <w:sz w:val="20"/>
        </w:rPr>
        <w:t>h</w:t>
      </w:r>
      <w:r>
        <w:rPr>
          <w:color w:val="0B3020"/>
          <w:sz w:val="20"/>
        </w:rPr>
        <w:t xml:space="preserve"> + S</w:t>
      </w:r>
      <w:r>
        <w:rPr>
          <w:color w:val="0B3020"/>
          <w:sz w:val="20"/>
        </w:rPr>
        <w:t>h</w:t>
      </w:r>
      <w:r>
        <w:rPr>
          <w:color w:val="0B3020"/>
          <w:sz w:val="20"/>
        </w:rPr>
        <w:t>)</w:t>
      </w:r>
    </w:p>
    <w:p>
      <w:pPr>
        <w:ind w:left="567"/>
      </w:pPr>
      <w:r>
        <w:rPr>
          <w:color w:val="0B3020"/>
          <w:sz w:val="20"/>
        </w:rPr>
        <w:t>η = P / (ρ g Q H)</w:t>
      </w:r>
    </w:p>
    <w:p>
      <w:pPr>
        <w:jc w:val="both"/>
      </w:pPr>
      <w:r>
        <w:rPr/>
        <w:t>where T is period hours, SO</w:t>
      </w:r>
      <w:r>
        <w:rPr/>
        <w:t>h</w:t>
      </w:r>
      <w:r>
        <w:rPr/>
        <w:t xml:space="preserve"> scheduled outage hours, FO</w:t>
      </w:r>
      <w:r>
        <w:rPr/>
        <w:t>h</w:t>
      </w:r>
      <w:r>
        <w:rPr/>
        <w:t xml:space="preserve"> forced outage hours, S</w:t>
      </w:r>
      <w:r>
        <w:rPr/>
        <w:t>h</w:t>
      </w:r>
      <w:r>
        <w:rPr/>
        <w:t xml:space="preserve"> service hours, P electrical or shaft power, Q flow and H net head. The IFC guide gives a typical trajectory: about 95% availability in year one (18 days unavailable: 11 days scheduled, 7 days forced), improving to 97% to 98% after three years (4 to 6 days scheduled, 3 to 5 days forced) [DE:S1]. Required availability is usually set in the PPA [DE:S1]. Efficiency degradation is tracked by repeating index tests against the commissioning baseline. Plants should keep event and incident reports to detect equipment weaknesses, and often must record discharges and levels daily or hourly under the water permit [DE:S1].</w:t>
      </w:r>
    </w:p>
    <w:p>
      <w:pPr>
        <w:pStyle w:val="Heading3"/>
      </w:pPr>
      <w:r>
        <w:t>Q.11 Insurance</w:t>
      </w:r>
    </w:p>
    <w:p>
      <w:pPr>
        <w:jc w:val="both"/>
      </w:pPr>
      <w:r>
        <w:rPr/>
        <w:t>The IFC guide distinguishes pre-completion insurance (construction risks, environmental and political risks) from post-completion insurance (operational failures, environmental, political, non-payment and transfer risks), and notes that obligatory construction insurances are usually required [DE:S1]. Political risk insurance is typically available to both equity and debt where credit-worthy cover is needed [LIT:S7]. Parametric weather insurance and hydrological hedges have not been widely deployed in Africa and remain difficult to place and expensive because local capital and insurance markets lack depth [LIT:S7]. The sources give no premium rates; a committee should ask for quoted rates, deductibles and the treatment of underground works.</w:t>
      </w:r>
    </w:p>
    <w:p>
      <w:pPr>
        <w:pStyle w:val="Heading3"/>
      </w:pPr>
      <w:r>
        <w:t>Q.12 Refurbishment and end of concession</w:t>
      </w:r>
    </w:p>
    <w:p>
      <w:pPr>
        <w:jc w:val="both"/>
      </w:pPr>
      <w:r>
        <w:rPr/>
        <w:t>Under a BOT concession the facility is transferred to the public authority at the end of the term without further payment [DE:S1]. Nachtigal is being developed as a BOT with transfer to the government of Cameroon after 35 years [LIT:S7]. With main equipment lasting about 40 years [DE:S1], transfer condition is a negotiated issue; the sources set no hand-back tests. The method is to define, in the concession, minimum residual-life or condition criteria per component class (Table Q.3), a final joint inspection including waterway de-watering, and a hand-back reserve funded in the last years.</w:t>
      </w:r>
    </w:p>
    <w:p>
      <w:pPr>
        <w:jc w:val="both"/>
      </w:pPr>
      <w:r>
        <w:rPr/>
        <w:t>In Africa, refurbishment is a large market in its own right: 60% of screened facilities have a high or medium need for refurbishment, totalling USD 6.8 billion and 14.7 GW [HY-06]. Rehabilitation is lower risk than greenfield, but uncertainty over ownership, valuation and tariffs has limited private participation [HY-06].</w:t>
      </w:r>
    </w:p>
    <w:p>
      <w:pPr>
        <w:pStyle w:val="Heading3"/>
      </w:pPr>
      <w:r>
        <w:t>Q.13 Kasiri illustration</w:t>
      </w:r>
    </w:p>
    <w:p>
      <w:pPr>
        <w:jc w:val="both"/>
      </w:pPr>
      <w:r>
        <w:rPr/>
        <w:t>Case values: 60 MW, construction three years, operations 25 years, plant cost about USD 157m (civil 68, hydromechanical 9, electromechanical 33), contingency 10%, availability 0.95, P50 about 292 GWh/yr. Check: P = 1,000 × 9.81 × 57 × 120 × 0.92 × 0.98 ≈ 60.5 MW, consistent with the rating.</w:t>
      </w:r>
    </w:p>
    <w:p>
      <w:pPr>
        <w:keepNext/>
      </w:pPr>
      <w:r>
        <w:rPr>
          <w:b/>
          <w:color w:val="0B3020"/>
          <w:sz w:val="18"/>
        </w:rPr>
        <w:t>Table Q.4. Kasiri construction and O&amp;M checks using source benchmarks</w:t>
      </w:r>
    </w:p>
    <w:tbl>
      <w:tblPr>
        <w:tblStyle w:val="TableGrid"/>
        <w:tblW w:type="auto" w:w="0"/>
        <w:jc w:val="center"/>
        <w:tblLook w:firstColumn="1" w:firstRow="1" w:lastColumn="0" w:lastRow="0" w:noHBand="0" w:noVBand="1" w:val="04A0"/>
      </w:tblPr>
      <w:tblGrid>
        <w:gridCol w:w="3213"/>
        <w:gridCol w:w="3213"/>
        <w:gridCol w:w="3213"/>
      </w:tblGrid>
      <w:tr>
        <w:tc>
          <w:tcPr>
            <w:tcW w:type="dxa" w:w="2079"/>
            <w:shd w:val="clear" w:color="auto" w:fill="0B3020"/>
          </w:tcPr>
          <w:p>
            <w:pPr>
              <w:spacing w:after="0"/>
            </w:pPr>
            <w:r>
              <w:rPr>
                <w:b/>
                <w:color w:val="FFFFFF"/>
                <w:sz w:val="16"/>
              </w:rPr>
              <w:t>Check</w:t>
            </w:r>
          </w:p>
        </w:tc>
        <w:tc>
          <w:tcPr>
            <w:tcW w:type="dxa" w:w="3780"/>
            <w:shd w:val="clear" w:color="auto" w:fill="0B3020"/>
          </w:tcPr>
          <w:p>
            <w:pPr>
              <w:spacing w:after="0"/>
            </w:pPr>
            <w:r>
              <w:rPr>
                <w:b/>
                <w:color w:val="FFFFFF"/>
                <w:sz w:val="16"/>
              </w:rPr>
              <w:t>Calculation</w:t>
            </w:r>
          </w:p>
        </w:tc>
        <w:tc>
          <w:tcPr>
            <w:tcW w:type="dxa" w:w="3780"/>
            <w:shd w:val="clear" w:color="auto" w:fill="0B3020"/>
          </w:tcPr>
          <w:p>
            <w:pPr>
              <w:spacing w:after="0"/>
            </w:pPr>
            <w:r>
              <w:rPr>
                <w:b/>
                <w:color w:val="FFFFFF"/>
                <w:sz w:val="16"/>
              </w:rPr>
              <w:t>Result</w:t>
            </w:r>
          </w:p>
        </w:tc>
      </w:tr>
      <w:tr>
        <w:tc>
          <w:tcPr>
            <w:tcW w:type="dxa" w:w="2079"/>
          </w:tcPr>
          <w:p>
            <w:pPr>
              <w:spacing w:after="0"/>
            </w:pPr>
            <w:r>
              <w:rPr>
                <w:color w:val="1D1D1D"/>
                <w:sz w:val="16"/>
              </w:rPr>
              <w:t>Schedule against reference class</w:t>
            </w:r>
          </w:p>
        </w:tc>
        <w:tc>
          <w:tcPr>
            <w:tcW w:type="dxa" w:w="3780"/>
          </w:tcPr>
          <w:p>
            <w:pPr>
              <w:spacing w:after="0"/>
            </w:pPr>
            <w:r>
              <w:rPr>
                <w:color w:val="1D1D1D"/>
                <w:sz w:val="16"/>
              </w:rPr>
              <w:t>36 months × 1.27 (median) and × 1.44 (mean) [HY-08]</w:t>
            </w:r>
          </w:p>
        </w:tc>
        <w:tc>
          <w:tcPr>
            <w:tcW w:type="dxa" w:w="3780"/>
          </w:tcPr>
          <w:p>
            <w:pPr>
              <w:spacing w:after="0"/>
            </w:pPr>
            <w:r>
              <w:rPr>
                <w:color w:val="1D1D1D"/>
                <w:sz w:val="16"/>
              </w:rPr>
              <w:t>About 46 and 52 months</w:t>
            </w:r>
          </w:p>
        </w:tc>
      </w:tr>
      <w:tr>
        <w:tc>
          <w:tcPr>
            <w:tcW w:type="dxa" w:w="2079"/>
            <w:shd w:val="clear" w:color="auto" w:fill="FAF8F2"/>
          </w:tcPr>
          <w:p>
            <w:pPr>
              <w:spacing w:after="0"/>
            </w:pPr>
            <w:r>
              <w:rPr>
                <w:color w:val="1D1D1D"/>
                <w:sz w:val="16"/>
              </w:rPr>
              <w:t>Contingency at industry practice</w:t>
            </w:r>
          </w:p>
        </w:tc>
        <w:tc>
          <w:tcPr>
            <w:tcW w:type="dxa" w:w="3780"/>
            <w:shd w:val="clear" w:color="auto" w:fill="FAF8F2"/>
          </w:tcPr>
          <w:p>
            <w:pPr>
              <w:spacing w:after="0"/>
            </w:pPr>
            <w:r>
              <w:rPr>
                <w:color w:val="1D1D1D"/>
                <w:sz w:val="16"/>
              </w:rPr>
              <w:t>15% × 68 + (7.5% to 10%) × (9 + 33) [DE:S1]</w:t>
            </w:r>
          </w:p>
        </w:tc>
        <w:tc>
          <w:tcPr>
            <w:tcW w:type="dxa" w:w="3780"/>
            <w:shd w:val="clear" w:color="auto" w:fill="FAF8F2"/>
          </w:tcPr>
          <w:p>
            <w:pPr>
              <w:spacing w:after="0"/>
            </w:pPr>
            <w:r>
              <w:rPr>
                <w:color w:val="1D1D1D"/>
                <w:sz w:val="16"/>
              </w:rPr>
              <w:t>USD 13.4m to 14.4m, about 12% to 13% of these lines; the case charges 10% on a USD 142.6m subtotal that includes development costs and the contractor's premium (USD 14.3m)</w:t>
            </w:r>
          </w:p>
        </w:tc>
      </w:tr>
      <w:tr>
        <w:tc>
          <w:tcPr>
            <w:tcW w:type="dxa" w:w="2079"/>
          </w:tcPr>
          <w:p>
            <w:pPr>
              <w:spacing w:after="0"/>
            </w:pPr>
            <w:r>
              <w:rPr>
                <w:color w:val="1D1D1D"/>
                <w:sz w:val="16"/>
              </w:rPr>
              <w:t>EPC advances</w:t>
            </w:r>
          </w:p>
        </w:tc>
        <w:tc>
          <w:tcPr>
            <w:tcW w:type="dxa" w:w="3780"/>
          </w:tcPr>
          <w:p>
            <w:pPr>
              <w:spacing w:after="0"/>
            </w:pPr>
            <w:r>
              <w:rPr>
                <w:color w:val="1D1D1D"/>
                <w:sz w:val="16"/>
              </w:rPr>
              <w:t>10% × 68 civil; 30% × 42 HM and E&amp;M [DE:S1]</w:t>
            </w:r>
          </w:p>
        </w:tc>
        <w:tc>
          <w:tcPr>
            <w:tcW w:type="dxa" w:w="3780"/>
          </w:tcPr>
          <w:p>
            <w:pPr>
              <w:spacing w:after="0"/>
            </w:pPr>
            <w:r>
              <w:rPr>
                <w:color w:val="1D1D1D"/>
                <w:sz w:val="16"/>
              </w:rPr>
              <w:t>USD 6.8m and 12.6m</w:t>
            </w:r>
          </w:p>
        </w:tc>
      </w:tr>
      <w:tr>
        <w:tc>
          <w:tcPr>
            <w:tcW w:type="dxa" w:w="2079"/>
            <w:shd w:val="clear" w:color="auto" w:fill="FAF8F2"/>
          </w:tcPr>
          <w:p>
            <w:pPr>
              <w:spacing w:after="0"/>
            </w:pPr>
            <w:r>
              <w:rPr>
                <w:color w:val="1D1D1D"/>
                <w:sz w:val="16"/>
              </w:rPr>
              <w:t>E&amp;M maintenance budget</w:t>
            </w:r>
          </w:p>
        </w:tc>
        <w:tc>
          <w:tcPr>
            <w:tcW w:type="dxa" w:w="3780"/>
            <w:shd w:val="clear" w:color="auto" w:fill="FAF8F2"/>
          </w:tcPr>
          <w:p>
            <w:pPr>
              <w:spacing w:after="0"/>
            </w:pPr>
            <w:r>
              <w:rPr>
                <w:color w:val="1D1D1D"/>
                <w:sz w:val="16"/>
              </w:rPr>
              <w:t>2.0% to 2.5% × 42 [DE:S1]</w:t>
            </w:r>
          </w:p>
        </w:tc>
        <w:tc>
          <w:tcPr>
            <w:tcW w:type="dxa" w:w="3780"/>
            <w:shd w:val="clear" w:color="auto" w:fill="FAF8F2"/>
          </w:tcPr>
          <w:p>
            <w:pPr>
              <w:spacing w:after="0"/>
            </w:pPr>
            <w:r>
              <w:rPr>
                <w:color w:val="1D1D1D"/>
                <w:sz w:val="16"/>
              </w:rPr>
              <w:t>USD 0.84m to 1.05m/yr, of which about 60% to the major overhaul reserve</w:t>
            </w:r>
          </w:p>
        </w:tc>
      </w:tr>
      <w:tr>
        <w:tc>
          <w:tcPr>
            <w:tcW w:type="dxa" w:w="2079"/>
          </w:tcPr>
          <w:p>
            <w:pPr>
              <w:spacing w:after="0"/>
            </w:pPr>
            <w:r>
              <w:rPr>
                <w:color w:val="1D1D1D"/>
                <w:sz w:val="16"/>
              </w:rPr>
              <w:t>Civil maintenance</w:t>
            </w:r>
          </w:p>
        </w:tc>
        <w:tc>
          <w:tcPr>
            <w:tcW w:type="dxa" w:w="3780"/>
          </w:tcPr>
          <w:p>
            <w:pPr>
              <w:spacing w:after="0"/>
            </w:pPr>
            <w:r>
              <w:rPr>
                <w:color w:val="1D1D1D"/>
                <w:sz w:val="16"/>
              </w:rPr>
              <w:t>0.4% to 0.6% × 68 [DE:S1]</w:t>
            </w:r>
          </w:p>
        </w:tc>
        <w:tc>
          <w:tcPr>
            <w:tcW w:type="dxa" w:w="3780"/>
          </w:tcPr>
          <w:p>
            <w:pPr>
              <w:spacing w:after="0"/>
            </w:pPr>
            <w:r>
              <w:rPr>
                <w:color w:val="1D1D1D"/>
                <w:sz w:val="16"/>
              </w:rPr>
              <w:t>USD 0.27m to 0.41m/yr</w:t>
            </w:r>
          </w:p>
        </w:tc>
      </w:tr>
      <w:tr>
        <w:tc>
          <w:tcPr>
            <w:tcW w:type="dxa" w:w="2079"/>
            <w:shd w:val="clear" w:color="auto" w:fill="FAF8F2"/>
          </w:tcPr>
          <w:p>
            <w:pPr>
              <w:spacing w:after="0"/>
            </w:pPr>
            <w:r>
              <w:rPr>
                <w:color w:val="1D1D1D"/>
                <w:sz w:val="16"/>
              </w:rPr>
              <w:t>Total O&amp;M cross-check</w:t>
            </w:r>
          </w:p>
        </w:tc>
        <w:tc>
          <w:tcPr>
            <w:tcW w:type="dxa" w:w="3780"/>
            <w:shd w:val="clear" w:color="auto" w:fill="FAF8F2"/>
          </w:tcPr>
          <w:p>
            <w:pPr>
              <w:spacing w:after="0"/>
            </w:pPr>
            <w:r>
              <w:rPr>
                <w:color w:val="1D1D1D"/>
                <w:sz w:val="16"/>
              </w:rPr>
              <w:t>USD 45/kW/yr × 60,000 kW [DE:S1]</w:t>
            </w:r>
          </w:p>
        </w:tc>
        <w:tc>
          <w:tcPr>
            <w:tcW w:type="dxa" w:w="3780"/>
            <w:shd w:val="clear" w:color="auto" w:fill="FAF8F2"/>
          </w:tcPr>
          <w:p>
            <w:pPr>
              <w:spacing w:after="0"/>
            </w:pPr>
            <w:r>
              <w:rPr>
                <w:color w:val="1D1D1D"/>
                <w:sz w:val="16"/>
              </w:rPr>
              <w:t>USD 2.7m/yr, about 1.7% of plant cost</w:t>
            </w:r>
          </w:p>
        </w:tc>
      </w:tr>
      <w:tr>
        <w:tc>
          <w:tcPr>
            <w:tcW w:type="dxa" w:w="2079"/>
          </w:tcPr>
          <w:p>
            <w:pPr>
              <w:spacing w:after="0"/>
            </w:pPr>
            <w:r>
              <w:rPr>
                <w:color w:val="1D1D1D"/>
                <w:sz w:val="16"/>
              </w:rPr>
              <w:t>Overhauls in 25 years</w:t>
            </w:r>
          </w:p>
        </w:tc>
        <w:tc>
          <w:tcPr>
            <w:tcW w:type="dxa" w:w="3780"/>
          </w:tcPr>
          <w:p>
            <w:pPr>
              <w:spacing w:after="0"/>
            </w:pPr>
            <w:r>
              <w:rPr>
                <w:color w:val="1D1D1D"/>
                <w:sz w:val="16"/>
              </w:rPr>
              <w:t>7 to 12 year cycle [DE:S1]</w:t>
            </w:r>
          </w:p>
        </w:tc>
        <w:tc>
          <w:tcPr>
            <w:tcW w:type="dxa" w:w="3780"/>
          </w:tcPr>
          <w:p>
            <w:pPr>
              <w:spacing w:after="0"/>
            </w:pPr>
            <w:r>
              <w:rPr>
                <w:color w:val="1D1D1D"/>
                <w:sz w:val="16"/>
              </w:rPr>
              <w:t>Two to three per unit</w:t>
            </w:r>
          </w:p>
        </w:tc>
      </w:tr>
      <w:tr>
        <w:tc>
          <w:tcPr>
            <w:tcW w:type="dxa" w:w="2079"/>
            <w:shd w:val="clear" w:color="auto" w:fill="FAF8F2"/>
          </w:tcPr>
          <w:p>
            <w:pPr>
              <w:spacing w:after="0"/>
            </w:pPr>
            <w:r>
              <w:rPr>
                <w:color w:val="1D1D1D"/>
                <w:sz w:val="16"/>
              </w:rPr>
              <w:t>Runner and control system renewal</w:t>
            </w:r>
          </w:p>
        </w:tc>
        <w:tc>
          <w:tcPr>
            <w:tcW w:type="dxa" w:w="3780"/>
            <w:shd w:val="clear" w:color="auto" w:fill="FAF8F2"/>
          </w:tcPr>
          <w:p>
            <w:pPr>
              <w:spacing w:after="0"/>
            </w:pPr>
            <w:r>
              <w:rPr>
                <w:color w:val="1D1D1D"/>
                <w:sz w:val="16"/>
              </w:rPr>
              <w:t>10 and 20 year lives [DE:S1]</w:t>
            </w:r>
          </w:p>
        </w:tc>
        <w:tc>
          <w:tcPr>
            <w:tcW w:type="dxa" w:w="3780"/>
            <w:shd w:val="clear" w:color="auto" w:fill="FAF8F2"/>
          </w:tcPr>
          <w:p>
            <w:pPr>
              <w:spacing w:after="0"/>
            </w:pPr>
            <w:r>
              <w:rPr>
                <w:color w:val="1D1D1D"/>
                <w:sz w:val="16"/>
              </w:rPr>
              <w:t>Runners around years 10 and 20; controls around year 20</w:t>
            </w:r>
          </w:p>
        </w:tc>
      </w:tr>
      <w:tr>
        <w:tc>
          <w:tcPr>
            <w:tcW w:type="dxa" w:w="2079"/>
          </w:tcPr>
          <w:p>
            <w:pPr>
              <w:spacing w:after="0"/>
            </w:pPr>
            <w:r>
              <w:rPr>
                <w:color w:val="1D1D1D"/>
                <w:sz w:val="16"/>
              </w:rPr>
              <w:t>Availability</w:t>
            </w:r>
          </w:p>
        </w:tc>
        <w:tc>
          <w:tcPr>
            <w:tcW w:type="dxa" w:w="3780"/>
          </w:tcPr>
          <w:p>
            <w:pPr>
              <w:spacing w:after="0"/>
            </w:pPr>
            <w:r>
              <w:rPr>
                <w:color w:val="1D1D1D"/>
                <w:sz w:val="16"/>
              </w:rPr>
              <w:t>Case 0.95 against IFC year 1 of 95% and later 97% to 98% [DE:S1]</w:t>
            </w:r>
          </w:p>
        </w:tc>
        <w:tc>
          <w:tcPr>
            <w:tcW w:type="dxa" w:w="3780"/>
          </w:tcPr>
          <w:p>
            <w:pPr>
              <w:spacing w:after="0"/>
            </w:pPr>
            <w:r>
              <w:rPr>
                <w:color w:val="1D1D1D"/>
                <w:sz w:val="16"/>
              </w:rPr>
              <w:t>Conservative after year 3</w:t>
            </w:r>
          </w:p>
        </w:tc>
      </w:tr>
    </w:tbl>
    <w:p>
      <w:pPr>
        <w:spacing w:after="40"/>
      </w:pPr>
    </w:p>
    <w:p>
      <w:pPr>
        <w:jc w:val="both"/>
      </w:pPr>
      <w:r>
        <w:rPr>
          <w:i/>
        </w:rPr>
        <w:t>Note: Applying the IFC E&amp;M percentage to hydromechanical as well as electromechanical cost is an analyst assumption.</w:t>
      </w:r>
    </w:p>
    <w:p>
      <w:pPr>
        <w:jc w:val="both"/>
      </w:pPr>
      <w:r>
        <w:rPr/>
        <w:t>Each percentage point of availability is worth roughly 292 / 0.95 × 0.01 ≈ 3.1 GWh/yr if outages fell evenly across the year. They need not. Usable flow in February is 20 minus 4 = 16 m3/s, 28% of rated flow. Under the two-unit base case of Annex P (28.5 m3/s each, not a case fact), one unit can pass all usable February flow and stays above its 40% minimum of 11.4 m3/s, so an overhaul of the other unit then loses almost no energy, subject to part-load efficiency. The O&amp;M plan should therefore place overhauls in the lowest-flow months (February, September and January), and the model should not deduct scheduled outages pro rata.</w:t>
      </w:r>
    </w:p>
    <w:p>
      <w:pPr>
        <w:pStyle w:val="Heading3"/>
      </w:pPr>
      <w:r>
        <w:t>Q.14 Decision tests</w:t>
      </w:r>
    </w:p>
    <w:p>
      <w:pPr>
        <w:spacing w:after="60"/>
        <w:ind w:left="397" w:hanging="397"/>
      </w:pPr>
      <w:r>
        <w:rPr/>
        <w:t>1.</w:t>
        <w:tab/>
        <w:t>Does the baseline programme show the critical path through access, diversion, tunnelling, powerhouse, E&amp;M delivery and grid connection, with float stated for each, and does it survive a 27% schedule overrun on debt sizing?</w:t>
      </w:r>
    </w:p>
    <w:p>
      <w:pPr>
        <w:spacing w:after="60"/>
        <w:ind w:left="397" w:hanging="397"/>
      </w:pPr>
      <w:r>
        <w:rPr/>
        <w:t>2.</w:t>
        <w:tab/>
        <w:t>Is diversion timed to a named dry season, and what is the delay if that window is missed?</w:t>
      </w:r>
    </w:p>
    <w:p>
      <w:pPr>
        <w:spacing w:after="60"/>
        <w:ind w:left="397" w:hanging="397"/>
      </w:pPr>
      <w:r>
        <w:rPr/>
        <w:t>3.</w:t>
        <w:tab/>
        <w:t>How is ground risk allocated: a geotechnical baseline with a sharing formula, full contractor risk, or "unforeseen conditions" claims, and what does the price include for it?</w:t>
      </w:r>
    </w:p>
    <w:p>
      <w:pPr>
        <w:spacing w:after="60"/>
        <w:ind w:left="397" w:hanging="397"/>
      </w:pPr>
      <w:r>
        <w:rPr/>
        <w:t>4.</w:t>
        <w:tab/>
        <w:t>Is contingency on civil works at least 15%, or is a lower figure justified by completed underground investigations?</w:t>
      </w:r>
    </w:p>
    <w:p>
      <w:pPr>
        <w:spacing w:after="60"/>
        <w:ind w:left="397" w:hanging="397"/>
      </w:pPr>
      <w:r>
        <w:rPr/>
        <w:t>5.</w:t>
        <w:tab/>
        <w:t>Who manages interfaces between lots, and how many engineers with comparable underground and E&amp;M experience are on the owner's engineer's team?</w:t>
      </w:r>
    </w:p>
    <w:p>
      <w:pPr>
        <w:spacing w:after="60"/>
        <w:ind w:left="397" w:hanging="397"/>
      </w:pPr>
      <w:r>
        <w:rPr/>
        <w:t>6.</w:t>
        <w:tab/>
        <w:t>What do the lenders' technical adviser's reports cover, how often, and who receives them?</w:t>
      </w:r>
    </w:p>
    <w:p>
      <w:pPr>
        <w:spacing w:after="60"/>
        <w:ind w:left="397" w:hanging="397"/>
      </w:pPr>
      <w:r>
        <w:rPr/>
        <w:t>7.</w:t>
        <w:tab/>
        <w:t>Does the commissioning plan include an IEC 60041 field test and a recorded index-test baseline, and do liquidated damages attach to measured efficiency and output?</w:t>
      </w:r>
    </w:p>
    <w:p>
      <w:pPr>
        <w:spacing w:after="60"/>
        <w:ind w:left="397" w:hanging="397"/>
      </w:pPr>
      <w:r>
        <w:rPr/>
        <w:t>8.</w:t>
        <w:tab/>
        <w:t>Is the reliability run defined in days per unit, with full restart if it fails, and linked to provisional acceptance?</w:t>
      </w:r>
    </w:p>
    <w:p>
      <w:pPr>
        <w:spacing w:after="60"/>
        <w:ind w:left="397" w:hanging="397"/>
      </w:pPr>
      <w:r>
        <w:rPr/>
        <w:t>9.</w:t>
        <w:tab/>
        <w:t>Is a tunnel de-watering inspection scheduled inside the defects notification period, with a payment milestone or security still held, and are manufacturer warranties assigned to the owner?</w:t>
      </w:r>
    </w:p>
    <w:p>
      <w:pPr>
        <w:spacing w:after="60"/>
        <w:ind w:left="397" w:hanging="397"/>
      </w:pPr>
      <w:r>
        <w:rPr/>
        <w:t>10.</w:t>
        <w:tab/>
        <w:t>Who will operate the plant, what are its staffing plan and training programme, and are PPA availability obligations passed through to the O&amp;M contractor with penalties?</w:t>
      </w:r>
    </w:p>
    <w:p>
      <w:pPr>
        <w:spacing w:after="60"/>
        <w:ind w:left="397" w:hanging="397"/>
      </w:pPr>
      <w:r>
        <w:rPr/>
        <w:t>11.</w:t>
        <w:tab/>
        <w:t>Is there a funded major-maintenance reserve sized for overhauls every 7 to 12 years and runner and control-system renewal?</w:t>
      </w:r>
    </w:p>
    <w:p>
      <w:pPr>
        <w:spacing w:after="60"/>
        <w:ind w:left="397" w:hanging="397"/>
      </w:pPr>
      <w:r>
        <w:rPr/>
        <w:t>12.</w:t>
        <w:tab/>
        <w:t>For a concession, what condition and residual-life criteria apply at hand-back, and who pays for works needed to meet them?</w:t>
      </w:r>
    </w:p>
    <w:p>
      <w:pPr>
        <w:pStyle w:val="Heading2"/>
      </w:pPr>
      <w:r>
        <w:t>Annex R. Environmental, social and climate due diligence</w:t>
      </w:r>
    </w:p>
    <w:p>
      <w:pPr>
        <w:pStyle w:val="Heading3"/>
      </w:pPr>
      <w:r>
        <w:t>R.1 Why E&amp;S risk is credit risk</w:t>
      </w:r>
    </w:p>
    <w:p>
      <w:pPr>
        <w:jc w:val="both"/>
      </w:pPr>
      <w:r>
        <w:rPr/>
        <w:t>Lenders treat environmental and social (E&amp;S) performance as a loan condition. Under Equator Principles transactions the borrower covenants to carry out specified E&amp;S actions; failure is a breach that lets the lender act, up to cancelling the loan and demanding repayment [DE:S1]. Private participants in large hydro rank resettlement and biodiversity risk among the main barriers to investment, and prefer projects with minimal resettlement, community support and IFC-compliant standards [HY-06]. Site selection is the largest determinant of E&amp;S risk: on an unsuitable site no mitigation can redress the balance of costs and benefits [DE:S1]. Due diligence therefore starts at screening, not after the design is fixed.</w:t>
      </w:r>
    </w:p>
    <w:p>
      <w:pPr>
        <w:pStyle w:val="Heading3"/>
      </w:pPr>
      <w:r>
        <w:t>R.2 The lender standards framework</w:t>
      </w:r>
    </w:p>
    <w:p>
      <w:pPr>
        <w:jc w:val="both"/>
      </w:pPr>
      <w:r>
        <w:rPr>
          <w:b/>
        </w:rPr>
        <w:t>National law.</w:t>
      </w:r>
      <w:r>
        <w:rPr/>
        <w:t xml:space="preserve"> An environmental licence normally depends on an approved E&amp;S impact assessment (ESIA) and carries obligations for mitigation, monitoring and reporting over the project life [DE:S1]. Licences can lapse if construction does not start in time (one year in Jordan, in the IFC guide's example), and fees apply; Mozambique's was 0.2 percent of total project cost [DE:S1]. A heritage clearance, a water use permit that also covers transboundary conflicts, and confirmation that the site is outside protected areas are typical related permits [DE:S1].</w:t>
      </w:r>
    </w:p>
    <w:p>
      <w:pPr>
        <w:jc w:val="both"/>
      </w:pPr>
      <w:r>
        <w:rPr>
          <w:b/>
        </w:rPr>
        <w:t>IFC Performance Standards (2012).</w:t>
      </w:r>
      <w:r>
        <w:rPr/>
        <w:t xml:space="preserve"> The eight Performance Standards (PS) are de facto the private sector E&amp;S benchmark, have no size threshold, and are mirrored closely by the African Development Bank, EBRD and other multilaterals [DE:S1]. Uganda's GET FiT programme made PS compliance an eligibility condition for small hydro [DE:S9].</w:t>
      </w:r>
    </w:p>
    <w:p>
      <w:pPr>
        <w:jc w:val="both"/>
      </w:pPr>
      <w:r>
        <w:rPr>
          <w:b/>
        </w:rPr>
        <w:t>Equator Principles.</w:t>
      </w:r>
      <w:r>
        <w:rPr/>
        <w:t xml:space="preserve"> EP4 took effect on 1 October 2020 and applies to project finance with total capital cost of USD 10 million or more [DE:S49; DE:S50]. In non-designated countries, which include all of sub-Saharan Africa, the review tests compliance with the PS and the World Bank Group EHS Guidelines [DE:S1; DE:S49; DE:S50]. The IFC guide lists the ten EP III principles: categorisation, assessment, applicable standards, management system and action plan, stakeholder engagement, grievance mechanism, independent review, covenants, independent monitoring, and reporting [DE:S1]. EP4's changes should be checked against its text; the sources reviewed do not summarise them.</w:t>
      </w:r>
    </w:p>
    <w:p>
      <w:pPr>
        <w:jc w:val="both"/>
      </w:pPr>
      <w:r>
        <w:rPr>
          <w:b/>
        </w:rPr>
        <w:t>World Bank framework.</w:t>
      </w:r>
      <w:r>
        <w:rPr/>
        <w:t xml:space="preserve"> Where the World Bank lends or guarantees, its own framework applies, including its good practice note on dam safety [HY-15]. IDA-financed Rusumo Falls was supervised against a safeguards rating [A2:S16].</w:t>
      </w:r>
    </w:p>
    <w:p>
      <w:pPr>
        <w:jc w:val="both"/>
      </w:pPr>
      <w:r>
        <w:rPr>
          <w:b/>
        </w:rPr>
        <w:t>Categorisation.</w:t>
      </w:r>
      <w:r>
        <w:rPr/>
        <w:t xml:space="preserve"> FMO classified Kikagati in Uganda as Category A and Siti and Nyamwamba as B+ [DE:S51; DE:S52; DE:S40b]. Installed capacity does not indicate impact [DE:S1]; the dewatered reach, land take and habitat decide the category.</w:t>
      </w:r>
    </w:p>
    <w:p>
      <w:pPr>
        <w:keepNext/>
      </w:pPr>
      <w:r>
        <w:rPr>
          <w:b/>
          <w:color w:val="0B3020"/>
          <w:sz w:val="18"/>
        </w:rPr>
        <w:t>Table R.1. IFC Performance Standards: typical hydro issues and evidence lenders request</w:t>
      </w:r>
    </w:p>
    <w:tbl>
      <w:tblPr>
        <w:tblStyle w:val="TableGrid"/>
        <w:tblW w:type="auto" w:w="0"/>
        <w:jc w:val="center"/>
        <w:tblLook w:firstColumn="1" w:firstRow="1" w:lastColumn="0" w:lastRow="0" w:noHBand="0" w:noVBand="1" w:val="04A0"/>
      </w:tblPr>
      <w:tblGrid>
        <w:gridCol w:w="3213"/>
        <w:gridCol w:w="3213"/>
        <w:gridCol w:w="3213"/>
      </w:tblGrid>
      <w:tr>
        <w:tc>
          <w:tcPr>
            <w:tcW w:type="dxa" w:w="2029"/>
            <w:shd w:val="clear" w:color="auto" w:fill="0B3020"/>
          </w:tcPr>
          <w:p>
            <w:pPr>
              <w:spacing w:after="0"/>
            </w:pPr>
            <w:r>
              <w:rPr>
                <w:b/>
                <w:color w:val="FFFFFF"/>
                <w:sz w:val="16"/>
              </w:rPr>
              <w:t>Performance Standard</w:t>
            </w:r>
          </w:p>
        </w:tc>
        <w:tc>
          <w:tcPr>
            <w:tcW w:type="dxa" w:w="3804"/>
            <w:shd w:val="clear" w:color="auto" w:fill="0B3020"/>
          </w:tcPr>
          <w:p>
            <w:pPr>
              <w:spacing w:after="0"/>
            </w:pPr>
            <w:r>
              <w:rPr>
                <w:b/>
                <w:color w:val="FFFFFF"/>
                <w:sz w:val="16"/>
              </w:rPr>
              <w:t>Typical hydro issues</w:t>
            </w:r>
          </w:p>
        </w:tc>
        <w:tc>
          <w:tcPr>
            <w:tcW w:type="dxa" w:w="3804"/>
            <w:shd w:val="clear" w:color="auto" w:fill="0B3020"/>
          </w:tcPr>
          <w:p>
            <w:pPr>
              <w:spacing w:after="0"/>
            </w:pPr>
            <w:r>
              <w:rPr>
                <w:b/>
                <w:color w:val="FFFFFF"/>
                <w:sz w:val="16"/>
              </w:rPr>
              <w:t>Evidence lenders ask for</w:t>
            </w:r>
          </w:p>
        </w:tc>
      </w:tr>
      <w:tr>
        <w:tc>
          <w:tcPr>
            <w:tcW w:type="dxa" w:w="2029"/>
          </w:tcPr>
          <w:p>
            <w:pPr>
              <w:spacing w:after="0"/>
            </w:pPr>
            <w:r>
              <w:rPr>
                <w:color w:val="1D1D1D"/>
                <w:sz w:val="16"/>
              </w:rPr>
              <w:t>PS 1 Assessment and management</w:t>
            </w:r>
          </w:p>
        </w:tc>
        <w:tc>
          <w:tcPr>
            <w:tcW w:type="dxa" w:w="3804"/>
          </w:tcPr>
          <w:p>
            <w:pPr>
              <w:spacing w:after="0"/>
            </w:pPr>
            <w:r>
              <w:rPr>
                <w:color w:val="1D1D1D"/>
                <w:sz w:val="16"/>
              </w:rPr>
              <w:t>Area of influence; cumulative impacts of other plants; greenhouse gas significance; emergency plans [DE:S1]</w:t>
            </w:r>
          </w:p>
        </w:tc>
        <w:tc>
          <w:tcPr>
            <w:tcW w:type="dxa" w:w="3804"/>
          </w:tcPr>
          <w:p>
            <w:pPr>
              <w:spacing w:after="0"/>
            </w:pPr>
            <w:r>
              <w:rPr>
                <w:color w:val="1D1D1D"/>
                <w:sz w:val="16"/>
              </w:rPr>
              <w:t>ESIA to PS and EHS Guidelines; management system; ESMP and sub-plans; cumulative assessment; engagement plan and grievance mechanism [DE:S1]</w:t>
            </w:r>
          </w:p>
        </w:tc>
      </w:tr>
      <w:tr>
        <w:tc>
          <w:tcPr>
            <w:tcW w:type="dxa" w:w="2029"/>
            <w:shd w:val="clear" w:color="auto" w:fill="FAF8F2"/>
          </w:tcPr>
          <w:p>
            <w:pPr>
              <w:spacing w:after="0"/>
            </w:pPr>
            <w:r>
              <w:rPr>
                <w:color w:val="1D1D1D"/>
                <w:sz w:val="16"/>
              </w:rPr>
              <w:t>PS 2 Labour</w:t>
            </w:r>
          </w:p>
        </w:tc>
        <w:tc>
          <w:tcPr>
            <w:tcW w:type="dxa" w:w="3804"/>
            <w:shd w:val="clear" w:color="auto" w:fill="FAF8F2"/>
          </w:tcPr>
          <w:p>
            <w:pPr>
              <w:spacing w:after="0"/>
            </w:pPr>
            <w:r>
              <w:rPr>
                <w:color w:val="1D1D1D"/>
                <w:sz w:val="16"/>
              </w:rPr>
              <w:t>Large workforce, tunnelling safety, camps, subcontractor terms [DE:S1]</w:t>
            </w:r>
          </w:p>
        </w:tc>
        <w:tc>
          <w:tcPr>
            <w:tcW w:type="dxa" w:w="3804"/>
            <w:shd w:val="clear" w:color="auto" w:fill="FAF8F2"/>
          </w:tcPr>
          <w:p>
            <w:pPr>
              <w:spacing w:after="0"/>
            </w:pPr>
            <w:r>
              <w:rPr>
                <w:color w:val="1D1D1D"/>
                <w:sz w:val="16"/>
              </w:rPr>
              <w:t>HR policy; contractor E&amp;S clauses; underground safety plan; worker grievance channel</w:t>
            </w:r>
          </w:p>
        </w:tc>
      </w:tr>
      <w:tr>
        <w:tc>
          <w:tcPr>
            <w:tcW w:type="dxa" w:w="2029"/>
          </w:tcPr>
          <w:p>
            <w:pPr>
              <w:spacing w:after="0"/>
            </w:pPr>
            <w:r>
              <w:rPr>
                <w:color w:val="1D1D1D"/>
                <w:sz w:val="16"/>
              </w:rPr>
              <w:t>PS 3 Pollution prevention</w:t>
            </w:r>
          </w:p>
        </w:tc>
        <w:tc>
          <w:tcPr>
            <w:tcW w:type="dxa" w:w="3804"/>
          </w:tcPr>
          <w:p>
            <w:pPr>
              <w:spacing w:after="0"/>
            </w:pPr>
            <w:r>
              <w:rPr>
                <w:color w:val="1D1D1D"/>
                <w:sz w:val="16"/>
              </w:rPr>
              <w:t>Spoil, runoff, noise, dust, vibration, blasting [DE:S1]</w:t>
            </w:r>
          </w:p>
        </w:tc>
        <w:tc>
          <w:tcPr>
            <w:tcW w:type="dxa" w:w="3804"/>
          </w:tcPr>
          <w:p>
            <w:pPr>
              <w:spacing w:after="0"/>
            </w:pPr>
            <w:r>
              <w:rPr>
                <w:color w:val="1D1D1D"/>
                <w:sz w:val="16"/>
              </w:rPr>
              <w:t>Spoil and waste plan [DE:S1]; water quality baseline; blasting plan</w:t>
            </w:r>
          </w:p>
        </w:tc>
      </w:tr>
      <w:tr>
        <w:tc>
          <w:tcPr>
            <w:tcW w:type="dxa" w:w="2029"/>
            <w:shd w:val="clear" w:color="auto" w:fill="FAF8F2"/>
          </w:tcPr>
          <w:p>
            <w:pPr>
              <w:spacing w:after="0"/>
            </w:pPr>
            <w:r>
              <w:rPr>
                <w:color w:val="1D1D1D"/>
                <w:sz w:val="16"/>
              </w:rPr>
              <w:t>PS 4 Community health and safety</w:t>
            </w:r>
          </w:p>
        </w:tc>
        <w:tc>
          <w:tcPr>
            <w:tcW w:type="dxa" w:w="3804"/>
            <w:shd w:val="clear" w:color="auto" w:fill="FAF8F2"/>
          </w:tcPr>
          <w:p>
            <w:pPr>
              <w:spacing w:after="0"/>
            </w:pPr>
            <w:r>
              <w:rPr>
                <w:color w:val="1D1D1D"/>
                <w:sz w:val="16"/>
              </w:rPr>
              <w:t>Dam safety, releases, drowning, vector-borne disease, traffic [DE:S1]</w:t>
            </w:r>
          </w:p>
        </w:tc>
        <w:tc>
          <w:tcPr>
            <w:tcW w:type="dxa" w:w="3804"/>
            <w:shd w:val="clear" w:color="auto" w:fill="FAF8F2"/>
          </w:tcPr>
          <w:p>
            <w:pPr>
              <w:spacing w:after="0"/>
            </w:pPr>
            <w:r>
              <w:rPr>
                <w:color w:val="1D1D1D"/>
                <w:sz w:val="16"/>
              </w:rPr>
              <w:t>Design to good practice with external review where risk is high [DE:S1]; design flood basis; emergency preparedness plan; dam safety panel where required [HY-15]</w:t>
            </w:r>
          </w:p>
        </w:tc>
      </w:tr>
      <w:tr>
        <w:tc>
          <w:tcPr>
            <w:tcW w:type="dxa" w:w="2029"/>
          </w:tcPr>
          <w:p>
            <w:pPr>
              <w:spacing w:after="0"/>
            </w:pPr>
            <w:r>
              <w:rPr>
                <w:color w:val="1D1D1D"/>
                <w:sz w:val="16"/>
              </w:rPr>
              <w:t>PS 5 Land and resettlement</w:t>
            </w:r>
          </w:p>
        </w:tc>
        <w:tc>
          <w:tcPr>
            <w:tcW w:type="dxa" w:w="3804"/>
          </w:tcPr>
          <w:p>
            <w:pPr>
              <w:spacing w:after="0"/>
            </w:pPr>
            <w:r>
              <w:rPr>
                <w:color w:val="1D1D1D"/>
                <w:sz w:val="16"/>
              </w:rPr>
              <w:t>Land for headworks, roads, quarries and line; customary tenure; loss of fishing, farming, grazing [DE:S1; LIT:S7]</w:t>
            </w:r>
          </w:p>
        </w:tc>
        <w:tc>
          <w:tcPr>
            <w:tcW w:type="dxa" w:w="3804"/>
          </w:tcPr>
          <w:p>
            <w:pPr>
              <w:spacing w:after="0"/>
            </w:pPr>
            <w:r>
              <w:rPr>
                <w:color w:val="1D1D1D"/>
                <w:sz w:val="16"/>
              </w:rPr>
              <w:t>RAP or livelihood restoration plan; census and cut-off date; entitlement matrix; budget; completion audit</w:t>
            </w:r>
          </w:p>
        </w:tc>
      </w:tr>
      <w:tr>
        <w:tc>
          <w:tcPr>
            <w:tcW w:type="dxa" w:w="2029"/>
            <w:shd w:val="clear" w:color="auto" w:fill="FAF8F2"/>
          </w:tcPr>
          <w:p>
            <w:pPr>
              <w:spacing w:after="0"/>
            </w:pPr>
            <w:r>
              <w:rPr>
                <w:color w:val="1D1D1D"/>
                <w:sz w:val="16"/>
              </w:rPr>
              <w:t>PS 6 Biodiversity</w:t>
            </w:r>
          </w:p>
        </w:tc>
        <w:tc>
          <w:tcPr>
            <w:tcW w:type="dxa" w:w="3804"/>
            <w:shd w:val="clear" w:color="auto" w:fill="FAF8F2"/>
          </w:tcPr>
          <w:p>
            <w:pPr>
              <w:spacing w:after="0"/>
            </w:pPr>
            <w:r>
              <w:rPr>
                <w:color w:val="1D1D1D"/>
                <w:sz w:val="16"/>
              </w:rPr>
              <w:t>Habitat conversion, river fragmentation, fish migration, flow change, threatened species [DE:S1]</w:t>
            </w:r>
          </w:p>
        </w:tc>
        <w:tc>
          <w:tcPr>
            <w:tcW w:type="dxa" w:w="3804"/>
            <w:shd w:val="clear" w:color="auto" w:fill="FAF8F2"/>
          </w:tcPr>
          <w:p>
            <w:pPr>
              <w:spacing w:after="0"/>
            </w:pPr>
            <w:r>
              <w:rPr>
                <w:color w:val="1D1D1D"/>
                <w:sz w:val="16"/>
              </w:rPr>
              <w:t>Seasonal baseline; critical habitat assessment; e-flow study; biodiversity management plan [DE:S1]; offset design for residual loss</w:t>
            </w:r>
          </w:p>
        </w:tc>
      </w:tr>
      <w:tr>
        <w:tc>
          <w:tcPr>
            <w:tcW w:type="dxa" w:w="2029"/>
          </w:tcPr>
          <w:p>
            <w:pPr>
              <w:spacing w:after="0"/>
            </w:pPr>
            <w:r>
              <w:rPr>
                <w:color w:val="1D1D1D"/>
                <w:sz w:val="16"/>
              </w:rPr>
              <w:t>PS 7 Indigenous peoples</w:t>
            </w:r>
          </w:p>
        </w:tc>
        <w:tc>
          <w:tcPr>
            <w:tcW w:type="dxa" w:w="3804"/>
          </w:tcPr>
          <w:p>
            <w:pPr>
              <w:spacing w:after="0"/>
            </w:pPr>
            <w:r>
              <w:rPr>
                <w:color w:val="1D1D1D"/>
                <w:sz w:val="16"/>
              </w:rPr>
              <w:t>Groups with distinct identity and customary resource use [DE:S1]</w:t>
            </w:r>
          </w:p>
        </w:tc>
        <w:tc>
          <w:tcPr>
            <w:tcW w:type="dxa" w:w="3804"/>
          </w:tcPr>
          <w:p>
            <w:pPr>
              <w:spacing w:after="0"/>
            </w:pPr>
            <w:r>
              <w:rPr>
                <w:color w:val="1D1D1D"/>
                <w:sz w:val="16"/>
              </w:rPr>
              <w:t>Screening; tailored consultation record; indigenous peoples plan if triggered</w:t>
            </w:r>
          </w:p>
        </w:tc>
      </w:tr>
      <w:tr>
        <w:tc>
          <w:tcPr>
            <w:tcW w:type="dxa" w:w="2029"/>
            <w:shd w:val="clear" w:color="auto" w:fill="FAF8F2"/>
          </w:tcPr>
          <w:p>
            <w:pPr>
              <w:spacing w:after="0"/>
            </w:pPr>
            <w:r>
              <w:rPr>
                <w:color w:val="1D1D1D"/>
                <w:sz w:val="16"/>
              </w:rPr>
              <w:t>PS 8 Cultural heritage</w:t>
            </w:r>
          </w:p>
        </w:tc>
        <w:tc>
          <w:tcPr>
            <w:tcW w:type="dxa" w:w="3804"/>
            <w:shd w:val="clear" w:color="auto" w:fill="FAF8F2"/>
          </w:tcPr>
          <w:p>
            <w:pPr>
              <w:spacing w:after="0"/>
            </w:pPr>
            <w:r>
              <w:rPr>
                <w:color w:val="1D1D1D"/>
                <w:sz w:val="16"/>
              </w:rPr>
              <w:t>Archaeological and sacred sites in inundation or works areas [DE:S1]</w:t>
            </w:r>
          </w:p>
        </w:tc>
        <w:tc>
          <w:tcPr>
            <w:tcW w:type="dxa" w:w="3804"/>
            <w:shd w:val="clear" w:color="auto" w:fill="FAF8F2"/>
          </w:tcPr>
          <w:p>
            <w:pPr>
              <w:spacing w:after="0"/>
            </w:pPr>
            <w:r>
              <w:rPr>
                <w:color w:val="1D1D1D"/>
                <w:sz w:val="16"/>
              </w:rPr>
              <w:t>Heritage survey; authority clearance [DE:S1]; chance finds procedure</w:t>
            </w:r>
          </w:p>
        </w:tc>
      </w:tr>
    </w:tbl>
    <w:p>
      <w:pPr>
        <w:spacing w:after="40"/>
      </w:pPr>
    </w:p>
    <w:p>
      <w:pPr>
        <w:jc w:val="both"/>
      </w:pPr>
      <w:r>
        <w:rPr>
          <w:i/>
        </w:rPr>
        <w:t>Note: Uncited evidence items are the standard outputs of a PS review, listed as a checklist.</w:t>
      </w:r>
    </w:p>
    <w:p>
      <w:pPr>
        <w:pStyle w:val="Heading3"/>
      </w:pPr>
      <w:r>
        <w:t>R.3 The ESIA: process and scope</w:t>
      </w:r>
    </w:p>
    <w:p>
      <w:pPr>
        <w:jc w:val="both"/>
      </w:pPr>
      <w:r>
        <w:rPr/>
        <w:t>The ESIA starts at site selection, informs the feasibility design and produces an E&amp;S management plan (ESMP) made of specific plans, such as a resettlement action plan (RAP), biodiversity plan, spoil plan and stakeholder engagement plan [DE:S1]. The feasibility study should report ESIA results and management plans next to the technical concept [DE:S1]. The logic is the mitigation hierarchy: avoid, minimise, then compensate or offset [DE:S1].</w:t>
      </w:r>
    </w:p>
    <w:p>
      <w:pPr>
        <w:jc w:val="both"/>
      </w:pPr>
      <w:r>
        <w:rPr>
          <w:b/>
        </w:rPr>
        <w:t>Area of influence.</w:t>
      </w:r>
      <w:r>
        <w:rPr/>
        <w:t xml:space="preserve"> PS 1 requires it to be defined [DE:S1]. For a diversion scheme it covers the impoundment, headworks, dewatered reach, river below the tailrace, roads, quarries, spoil areas, camps and the line corridor. Access roads can have impacts far larger than the reservoir, lines fragment forest and kill large birds, and quarries enlarge the land lost [DE:S1]. Kasiri's 35 km, 132 kV line is inside the area of influence.</w:t>
      </w:r>
    </w:p>
    <w:p>
      <w:pPr>
        <w:jc w:val="both"/>
      </w:pPr>
      <w:r>
        <w:rPr>
          <w:b/>
        </w:rPr>
        <w:t>Baseline seasons.</w:t>
      </w:r>
      <w:r>
        <w:rPr/>
        <w:t xml:space="preserve"> The sources set no minimum duration. The test is whether surveys cover the flow extremes that drive impacts. Kasiri's mean monthly flow ranges from 20 m3/s in February to 70 m3/s in May (case values); a single-season baseline would miss either low-flow stress in the dewatered reach or high-flow conditions for fish movement.</w:t>
      </w:r>
    </w:p>
    <w:p>
      <w:pPr>
        <w:jc w:val="both"/>
      </w:pPr>
      <w:r>
        <w:rPr>
          <w:b/>
        </w:rPr>
        <w:t>Cumulative impact assessment.</w:t>
      </w:r>
      <w:r>
        <w:rPr/>
        <w:t xml:space="preserve"> The ESIA for the first dam on a river should assess all known proposed dams, and cumulative mitigation should be complete or well advanced before the second dam is built [DE:S1]. In a cascade each reservoir must not raise the tailwater of the plant upstream [DE:S1]. The World Bank report proposes that DFIs help governments prepare pre-feasibility studies that include river basin management plans and cumulative impact assessments [HY-06].</w:t>
      </w:r>
    </w:p>
    <w:p>
      <w:pPr>
        <w:pStyle w:val="Heading3"/>
      </w:pPr>
      <w:r>
        <w:t>R.4 Key hydro impacts</w:t>
      </w:r>
    </w:p>
    <w:p>
      <w:pPr>
        <w:jc w:val="both"/>
      </w:pPr>
      <w:r>
        <w:rPr>
          <w:b/>
        </w:rPr>
        <w:t>Flow alteration.</w:t>
      </w:r>
      <w:r>
        <w:rPr/>
        <w:t xml:space="preserve"> Downstream regime change can destroy floodplain ecosystems, worsen low-flow pollution and cut sediment and nutrient loads [DE:S1]; diversion can leave a reach almost dry [DE:S1; LIT:S6]. Base-load operation reproduces natural flows more easily than peaking [DE:S1]. Management plans should specify environmental releases, including for private dams [DE:S1].</w:t>
      </w:r>
    </w:p>
    <w:p>
      <w:pPr>
        <w:jc w:val="both"/>
      </w:pPr>
      <w:r>
        <w:rPr>
          <w:b/>
        </w:rPr>
        <w:t>Environmental flows.</w:t>
      </w:r>
      <w:r>
        <w:rPr/>
        <w:t xml:space="preserve"> The residual, reserved or compensation flow is almost always a permit condition; too little damages aquatic life, too much cuts output, especially in dry periods [LIT:S6]. Setting it is specialist work: understand the river, ecology and downstream uses, consult dependent communities, define values to protect, choose a method, then monitor [DE:S1]. The flow duration curve and low-flow statistics such as Q</w:t>
      </w:r>
      <w:r>
        <w:rPr/>
        <w:t>95</w:t>
      </w:r>
      <w:r>
        <w:rPr/>
        <w:t xml:space="preserve"> give the hydrological reference [LIT:S6]. The energy cost follows from the case data:</w:t>
      </w:r>
    </w:p>
    <w:p>
      <w:pPr>
        <w:ind w:left="567"/>
      </w:pPr>
      <w:r>
        <w:rPr>
          <w:color w:val="0B3020"/>
          <w:sz w:val="20"/>
        </w:rPr>
        <w:t>E</w:t>
      </w:r>
      <w:r>
        <w:rPr>
          <w:color w:val="0B3020"/>
          <w:sz w:val="20"/>
        </w:rPr>
        <w:t>loss</w:t>
      </w:r>
      <w:r>
        <w:rPr>
          <w:color w:val="0B3020"/>
          <w:sz w:val="20"/>
        </w:rPr>
        <w:t xml:space="preserve"> = ρ × g × H</w:t>
      </w:r>
      <w:r>
        <w:rPr>
          <w:color w:val="0B3020"/>
          <w:sz w:val="20"/>
        </w:rPr>
        <w:t>n</w:t>
      </w:r>
      <w:r>
        <w:rPr>
          <w:color w:val="0B3020"/>
          <w:sz w:val="20"/>
        </w:rPr>
        <w:t xml:space="preserve"> × η</w:t>
      </w:r>
      <w:r>
        <w:rPr>
          <w:color w:val="0B3020"/>
          <w:sz w:val="20"/>
        </w:rPr>
        <w:t>t</w:t>
      </w:r>
      <w:r>
        <w:rPr>
          <w:color w:val="0B3020"/>
          <w:sz w:val="20"/>
        </w:rPr>
        <w:t xml:space="preserve"> × η</w:t>
      </w:r>
      <w:r>
        <w:rPr>
          <w:color w:val="0B3020"/>
          <w:sz w:val="20"/>
        </w:rPr>
        <w:t>gt</w:t>
      </w:r>
      <w:r>
        <w:rPr>
          <w:color w:val="0B3020"/>
          <w:sz w:val="20"/>
        </w:rPr>
        <w:t xml:space="preserve"> × A × Σ (Q</w:t>
      </w:r>
      <w:r>
        <w:rPr>
          <w:color w:val="0B3020"/>
          <w:sz w:val="20"/>
        </w:rPr>
        <w:t>e</w:t>
      </w:r>
      <w:r>
        <w:rPr>
          <w:color w:val="0B3020"/>
          <w:sz w:val="20"/>
        </w:rPr>
        <w:t xml:space="preserve"> × h</w:t>
      </w:r>
      <w:r>
        <w:rPr>
          <w:color w:val="0B3020"/>
          <w:sz w:val="20"/>
        </w:rPr>
        <w:t>m</w:t>
      </w:r>
      <w:r>
        <w:rPr>
          <w:color w:val="0B3020"/>
          <w:sz w:val="20"/>
        </w:rPr>
        <w:t>), over months where Q</w:t>
      </w:r>
      <w:r>
        <w:rPr>
          <w:color w:val="0B3020"/>
          <w:sz w:val="20"/>
        </w:rPr>
        <w:t>m</w:t>
      </w:r>
      <w:r>
        <w:rPr>
          <w:color w:val="0B3020"/>
          <w:sz w:val="20"/>
        </w:rPr>
        <w:t xml:space="preserve"> &lt; Q</w:t>
      </w:r>
      <w:r>
        <w:rPr>
          <w:color w:val="0B3020"/>
          <w:sz w:val="20"/>
        </w:rPr>
        <w:t>d</w:t>
      </w:r>
      <w:r>
        <w:rPr>
          <w:color w:val="0B3020"/>
          <w:sz w:val="20"/>
        </w:rPr>
        <w:t xml:space="preserve"> + Q</w:t>
      </w:r>
      <w:r>
        <w:rPr>
          <w:color w:val="0B3020"/>
          <w:sz w:val="20"/>
        </w:rPr>
        <w:t>e</w:t>
      </w:r>
    </w:p>
    <w:p>
      <w:pPr>
        <w:jc w:val="both"/>
      </w:pPr>
      <w:r>
        <w:rPr/>
        <w:t>With H</w:t>
      </w:r>
      <w:r>
        <w:rPr/>
        <w:t>n</w:t>
      </w:r>
      <w:r>
        <w:rPr/>
        <w:t xml:space="preserve"> = 120 m, η</w:t>
      </w:r>
      <w:r>
        <w:rPr/>
        <w:t>t</w:t>
      </w:r>
      <w:r>
        <w:rPr/>
        <w:t xml:space="preserve"> = 0.92, η</w:t>
      </w:r>
      <w:r>
        <w:rPr/>
        <w:t>gt</w:t>
      </w:r>
      <w:r>
        <w:rPr/>
        <w:t xml:space="preserve"> = 0.98 and A = 0.95, each m3/s gives about 1.01 MW. Only May's mean (70 m3/s) exceeds Q</w:t>
      </w:r>
      <w:r>
        <w:rPr/>
        <w:t>d</w:t>
      </w:r>
      <w:r>
        <w:rPr/>
        <w:t xml:space="preserve"> + Q</w:t>
      </w:r>
      <w:r>
        <w:rPr/>
        <w:t>e</w:t>
      </w:r>
      <w:r>
        <w:rPr/>
        <w:t xml:space="preserve"> = 61 m3/s, so the release costs energy in eleven months, about 8,016 hours.</w:t>
      </w:r>
    </w:p>
    <w:p>
      <w:pPr>
        <w:keepNext/>
      </w:pPr>
      <w:r>
        <w:rPr>
          <w:b/>
          <w:color w:val="0B3020"/>
          <w:sz w:val="18"/>
        </w:rPr>
        <w:t>Table R.2. Kasiri environmental flow by month (case mean flows)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2"/>
            <w:shd w:val="clear" w:color="auto" w:fill="0B3020"/>
          </w:tcPr>
          <w:p>
            <w:pPr>
              <w:spacing w:after="0"/>
            </w:pPr>
            <w:r>
              <w:rPr>
                <w:b/>
                <w:color w:val="FFFFFF"/>
                <w:sz w:val="16"/>
              </w:rPr>
              <w:t>Month</w:t>
            </w:r>
          </w:p>
        </w:tc>
        <w:tc>
          <w:tcPr>
            <w:tcW w:type="dxa" w:w="1952"/>
            <w:shd w:val="clear" w:color="auto" w:fill="0B3020"/>
          </w:tcPr>
          <w:p>
            <w:pPr>
              <w:spacing w:after="0"/>
            </w:pPr>
            <w:r>
              <w:rPr>
                <w:b/>
                <w:color w:val="FFFFFF"/>
                <w:sz w:val="16"/>
              </w:rPr>
              <w:t>Mean flow (m3/s)</w:t>
            </w:r>
          </w:p>
        </w:tc>
        <w:tc>
          <w:tcPr>
            <w:tcW w:type="dxa" w:w="4026"/>
            <w:shd w:val="clear" w:color="auto" w:fill="0B3020"/>
          </w:tcPr>
          <w:p>
            <w:pPr>
              <w:spacing w:after="0"/>
            </w:pPr>
            <w:r>
              <w:rPr>
                <w:b/>
                <w:color w:val="FFFFFF"/>
                <w:sz w:val="16"/>
              </w:rPr>
              <w:t>Turbine flow after 4 m3/s release</w:t>
            </w:r>
          </w:p>
        </w:tc>
        <w:tc>
          <w:tcPr>
            <w:tcW w:type="dxa" w:w="2928"/>
            <w:shd w:val="clear" w:color="auto" w:fill="0B3020"/>
          </w:tcPr>
          <w:p>
            <w:pPr>
              <w:spacing w:after="0"/>
            </w:pPr>
            <w:r>
              <w:rPr>
                <w:b/>
                <w:color w:val="FFFFFF"/>
                <w:sz w:val="16"/>
              </w:rPr>
              <w:t>Release as share of flow</w:t>
            </w:r>
          </w:p>
        </w:tc>
      </w:tr>
      <w:tr>
        <w:tc>
          <w:tcPr>
            <w:tcW w:type="dxa" w:w="732"/>
          </w:tcPr>
          <w:p>
            <w:pPr>
              <w:spacing w:after="0"/>
            </w:pPr>
            <w:r>
              <w:rPr>
                <w:color w:val="1D1D1D"/>
                <w:sz w:val="16"/>
              </w:rPr>
              <w:t>Jan</w:t>
            </w:r>
          </w:p>
        </w:tc>
        <w:tc>
          <w:tcPr>
            <w:tcW w:type="dxa" w:w="1952"/>
          </w:tcPr>
          <w:p>
            <w:pPr>
              <w:spacing w:after="0"/>
            </w:pPr>
            <w:r>
              <w:rPr>
                <w:color w:val="1D1D1D"/>
                <w:sz w:val="16"/>
              </w:rPr>
              <w:t>24</w:t>
            </w:r>
          </w:p>
        </w:tc>
        <w:tc>
          <w:tcPr>
            <w:tcW w:type="dxa" w:w="4026"/>
          </w:tcPr>
          <w:p>
            <w:pPr>
              <w:spacing w:after="0"/>
            </w:pPr>
            <w:r>
              <w:rPr>
                <w:color w:val="1D1D1D"/>
                <w:sz w:val="16"/>
              </w:rPr>
              <w:t>20</w:t>
            </w:r>
          </w:p>
        </w:tc>
        <w:tc>
          <w:tcPr>
            <w:tcW w:type="dxa" w:w="2928"/>
          </w:tcPr>
          <w:p>
            <w:pPr>
              <w:spacing w:after="0"/>
            </w:pPr>
            <w:r>
              <w:rPr>
                <w:color w:val="1D1D1D"/>
                <w:sz w:val="16"/>
              </w:rPr>
              <w:t>17%</w:t>
            </w:r>
          </w:p>
        </w:tc>
      </w:tr>
      <w:tr>
        <w:tc>
          <w:tcPr>
            <w:tcW w:type="dxa" w:w="732"/>
            <w:shd w:val="clear" w:color="auto" w:fill="FAF8F2"/>
          </w:tcPr>
          <w:p>
            <w:pPr>
              <w:spacing w:after="0"/>
            </w:pPr>
            <w:r>
              <w:rPr>
                <w:color w:val="1D1D1D"/>
                <w:sz w:val="16"/>
              </w:rPr>
              <w:t>Feb</w:t>
            </w:r>
          </w:p>
        </w:tc>
        <w:tc>
          <w:tcPr>
            <w:tcW w:type="dxa" w:w="1952"/>
            <w:shd w:val="clear" w:color="auto" w:fill="FAF8F2"/>
          </w:tcPr>
          <w:p>
            <w:pPr>
              <w:spacing w:after="0"/>
            </w:pPr>
            <w:r>
              <w:rPr>
                <w:color w:val="1D1D1D"/>
                <w:sz w:val="16"/>
              </w:rPr>
              <w:t>20</w:t>
            </w:r>
          </w:p>
        </w:tc>
        <w:tc>
          <w:tcPr>
            <w:tcW w:type="dxa" w:w="4026"/>
            <w:shd w:val="clear" w:color="auto" w:fill="FAF8F2"/>
          </w:tcPr>
          <w:p>
            <w:pPr>
              <w:spacing w:after="0"/>
            </w:pPr>
            <w:r>
              <w:rPr>
                <w:color w:val="1D1D1D"/>
                <w:sz w:val="16"/>
              </w:rPr>
              <w:t>16</w:t>
            </w:r>
          </w:p>
        </w:tc>
        <w:tc>
          <w:tcPr>
            <w:tcW w:type="dxa" w:w="2928"/>
            <w:shd w:val="clear" w:color="auto" w:fill="FAF8F2"/>
          </w:tcPr>
          <w:p>
            <w:pPr>
              <w:spacing w:after="0"/>
            </w:pPr>
            <w:r>
              <w:rPr>
                <w:color w:val="1D1D1D"/>
                <w:sz w:val="16"/>
              </w:rPr>
              <w:t>20%</w:t>
            </w:r>
          </w:p>
        </w:tc>
      </w:tr>
      <w:tr>
        <w:tc>
          <w:tcPr>
            <w:tcW w:type="dxa" w:w="732"/>
          </w:tcPr>
          <w:p>
            <w:pPr>
              <w:spacing w:after="0"/>
            </w:pPr>
            <w:r>
              <w:rPr>
                <w:color w:val="1D1D1D"/>
                <w:sz w:val="16"/>
              </w:rPr>
              <w:t>Mar</w:t>
            </w:r>
          </w:p>
        </w:tc>
        <w:tc>
          <w:tcPr>
            <w:tcW w:type="dxa" w:w="1952"/>
          </w:tcPr>
          <w:p>
            <w:pPr>
              <w:spacing w:after="0"/>
            </w:pPr>
            <w:r>
              <w:rPr>
                <w:color w:val="1D1D1D"/>
                <w:sz w:val="16"/>
              </w:rPr>
              <w:t>28</w:t>
            </w:r>
          </w:p>
        </w:tc>
        <w:tc>
          <w:tcPr>
            <w:tcW w:type="dxa" w:w="4026"/>
          </w:tcPr>
          <w:p>
            <w:pPr>
              <w:spacing w:after="0"/>
            </w:pPr>
            <w:r>
              <w:rPr>
                <w:color w:val="1D1D1D"/>
                <w:sz w:val="16"/>
              </w:rPr>
              <w:t>24</w:t>
            </w:r>
          </w:p>
        </w:tc>
        <w:tc>
          <w:tcPr>
            <w:tcW w:type="dxa" w:w="2928"/>
          </w:tcPr>
          <w:p>
            <w:pPr>
              <w:spacing w:after="0"/>
            </w:pPr>
            <w:r>
              <w:rPr>
                <w:color w:val="1D1D1D"/>
                <w:sz w:val="16"/>
              </w:rPr>
              <w:t>14%</w:t>
            </w:r>
          </w:p>
        </w:tc>
      </w:tr>
      <w:tr>
        <w:tc>
          <w:tcPr>
            <w:tcW w:type="dxa" w:w="732"/>
            <w:shd w:val="clear" w:color="auto" w:fill="FAF8F2"/>
          </w:tcPr>
          <w:p>
            <w:pPr>
              <w:spacing w:after="0"/>
            </w:pPr>
            <w:r>
              <w:rPr>
                <w:color w:val="1D1D1D"/>
                <w:sz w:val="16"/>
              </w:rPr>
              <w:t>Apr</w:t>
            </w:r>
          </w:p>
        </w:tc>
        <w:tc>
          <w:tcPr>
            <w:tcW w:type="dxa" w:w="1952"/>
            <w:shd w:val="clear" w:color="auto" w:fill="FAF8F2"/>
          </w:tcPr>
          <w:p>
            <w:pPr>
              <w:spacing w:after="0"/>
            </w:pPr>
            <w:r>
              <w:rPr>
                <w:color w:val="1D1D1D"/>
                <w:sz w:val="16"/>
              </w:rPr>
              <w:t>52</w:t>
            </w:r>
          </w:p>
        </w:tc>
        <w:tc>
          <w:tcPr>
            <w:tcW w:type="dxa" w:w="4026"/>
            <w:shd w:val="clear" w:color="auto" w:fill="FAF8F2"/>
          </w:tcPr>
          <w:p>
            <w:pPr>
              <w:spacing w:after="0"/>
            </w:pPr>
            <w:r>
              <w:rPr>
                <w:color w:val="1D1D1D"/>
                <w:sz w:val="16"/>
              </w:rPr>
              <w:t>48</w:t>
            </w:r>
          </w:p>
        </w:tc>
        <w:tc>
          <w:tcPr>
            <w:tcW w:type="dxa" w:w="2928"/>
            <w:shd w:val="clear" w:color="auto" w:fill="FAF8F2"/>
          </w:tcPr>
          <w:p>
            <w:pPr>
              <w:spacing w:after="0"/>
            </w:pPr>
            <w:r>
              <w:rPr>
                <w:color w:val="1D1D1D"/>
                <w:sz w:val="16"/>
              </w:rPr>
              <w:t>8%</w:t>
            </w:r>
          </w:p>
        </w:tc>
      </w:tr>
      <w:tr>
        <w:tc>
          <w:tcPr>
            <w:tcW w:type="dxa" w:w="732"/>
          </w:tcPr>
          <w:p>
            <w:pPr>
              <w:spacing w:after="0"/>
            </w:pPr>
            <w:r>
              <w:rPr>
                <w:color w:val="1D1D1D"/>
                <w:sz w:val="16"/>
              </w:rPr>
              <w:t>May</w:t>
            </w:r>
          </w:p>
        </w:tc>
        <w:tc>
          <w:tcPr>
            <w:tcW w:type="dxa" w:w="1952"/>
          </w:tcPr>
          <w:p>
            <w:pPr>
              <w:spacing w:after="0"/>
            </w:pPr>
            <w:r>
              <w:rPr>
                <w:color w:val="1D1D1D"/>
                <w:sz w:val="16"/>
              </w:rPr>
              <w:t>70</w:t>
            </w:r>
          </w:p>
        </w:tc>
        <w:tc>
          <w:tcPr>
            <w:tcW w:type="dxa" w:w="4026"/>
          </w:tcPr>
          <w:p>
            <w:pPr>
              <w:spacing w:after="0"/>
            </w:pPr>
            <w:r>
              <w:rPr>
                <w:color w:val="1D1D1D"/>
                <w:sz w:val="16"/>
              </w:rPr>
              <w:t>57 (9 spilled)</w:t>
            </w:r>
          </w:p>
        </w:tc>
        <w:tc>
          <w:tcPr>
            <w:tcW w:type="dxa" w:w="2928"/>
          </w:tcPr>
          <w:p>
            <w:pPr>
              <w:spacing w:after="0"/>
            </w:pPr>
            <w:r>
              <w:rPr>
                <w:color w:val="1D1D1D"/>
                <w:sz w:val="16"/>
              </w:rPr>
              <w:t>6%</w:t>
            </w:r>
          </w:p>
        </w:tc>
      </w:tr>
      <w:tr>
        <w:tc>
          <w:tcPr>
            <w:tcW w:type="dxa" w:w="732"/>
            <w:shd w:val="clear" w:color="auto" w:fill="FAF8F2"/>
          </w:tcPr>
          <w:p>
            <w:pPr>
              <w:spacing w:after="0"/>
            </w:pPr>
            <w:r>
              <w:rPr>
                <w:color w:val="1D1D1D"/>
                <w:sz w:val="16"/>
              </w:rPr>
              <w:t>Jun</w:t>
            </w:r>
          </w:p>
        </w:tc>
        <w:tc>
          <w:tcPr>
            <w:tcW w:type="dxa" w:w="1952"/>
            <w:shd w:val="clear" w:color="auto" w:fill="FAF8F2"/>
          </w:tcPr>
          <w:p>
            <w:pPr>
              <w:spacing w:after="0"/>
            </w:pPr>
            <w:r>
              <w:rPr>
                <w:color w:val="1D1D1D"/>
                <w:sz w:val="16"/>
              </w:rPr>
              <w:t>58</w:t>
            </w:r>
          </w:p>
        </w:tc>
        <w:tc>
          <w:tcPr>
            <w:tcW w:type="dxa" w:w="4026"/>
            <w:shd w:val="clear" w:color="auto" w:fill="FAF8F2"/>
          </w:tcPr>
          <w:p>
            <w:pPr>
              <w:spacing w:after="0"/>
            </w:pPr>
            <w:r>
              <w:rPr>
                <w:color w:val="1D1D1D"/>
                <w:sz w:val="16"/>
              </w:rPr>
              <w:t>54</w:t>
            </w:r>
          </w:p>
        </w:tc>
        <w:tc>
          <w:tcPr>
            <w:tcW w:type="dxa" w:w="2928"/>
            <w:shd w:val="clear" w:color="auto" w:fill="FAF8F2"/>
          </w:tcPr>
          <w:p>
            <w:pPr>
              <w:spacing w:after="0"/>
            </w:pPr>
            <w:r>
              <w:rPr>
                <w:color w:val="1D1D1D"/>
                <w:sz w:val="16"/>
              </w:rPr>
              <w:t>7%</w:t>
            </w:r>
          </w:p>
        </w:tc>
      </w:tr>
      <w:tr>
        <w:tc>
          <w:tcPr>
            <w:tcW w:type="dxa" w:w="732"/>
          </w:tcPr>
          <w:p>
            <w:pPr>
              <w:spacing w:after="0"/>
            </w:pPr>
            <w:r>
              <w:rPr>
                <w:color w:val="1D1D1D"/>
                <w:sz w:val="16"/>
              </w:rPr>
              <w:t>Jul</w:t>
            </w:r>
          </w:p>
        </w:tc>
        <w:tc>
          <w:tcPr>
            <w:tcW w:type="dxa" w:w="1952"/>
          </w:tcPr>
          <w:p>
            <w:pPr>
              <w:spacing w:after="0"/>
            </w:pPr>
            <w:r>
              <w:rPr>
                <w:color w:val="1D1D1D"/>
                <w:sz w:val="16"/>
              </w:rPr>
              <w:t>40</w:t>
            </w:r>
          </w:p>
        </w:tc>
        <w:tc>
          <w:tcPr>
            <w:tcW w:type="dxa" w:w="4026"/>
          </w:tcPr>
          <w:p>
            <w:pPr>
              <w:spacing w:after="0"/>
            </w:pPr>
            <w:r>
              <w:rPr>
                <w:color w:val="1D1D1D"/>
                <w:sz w:val="16"/>
              </w:rPr>
              <w:t>36</w:t>
            </w:r>
          </w:p>
        </w:tc>
        <w:tc>
          <w:tcPr>
            <w:tcW w:type="dxa" w:w="2928"/>
          </w:tcPr>
          <w:p>
            <w:pPr>
              <w:spacing w:after="0"/>
            </w:pPr>
            <w:r>
              <w:rPr>
                <w:color w:val="1D1D1D"/>
                <w:sz w:val="16"/>
              </w:rPr>
              <w:t>10%</w:t>
            </w:r>
          </w:p>
        </w:tc>
      </w:tr>
      <w:tr>
        <w:tc>
          <w:tcPr>
            <w:tcW w:type="dxa" w:w="732"/>
            <w:shd w:val="clear" w:color="auto" w:fill="FAF8F2"/>
          </w:tcPr>
          <w:p>
            <w:pPr>
              <w:spacing w:after="0"/>
            </w:pPr>
            <w:r>
              <w:rPr>
                <w:color w:val="1D1D1D"/>
                <w:sz w:val="16"/>
              </w:rPr>
              <w:t>Aug</w:t>
            </w:r>
          </w:p>
        </w:tc>
        <w:tc>
          <w:tcPr>
            <w:tcW w:type="dxa" w:w="1952"/>
            <w:shd w:val="clear" w:color="auto" w:fill="FAF8F2"/>
          </w:tcPr>
          <w:p>
            <w:pPr>
              <w:spacing w:after="0"/>
            </w:pPr>
            <w:r>
              <w:rPr>
                <w:color w:val="1D1D1D"/>
                <w:sz w:val="16"/>
              </w:rPr>
              <w:t>28</w:t>
            </w:r>
          </w:p>
        </w:tc>
        <w:tc>
          <w:tcPr>
            <w:tcW w:type="dxa" w:w="4026"/>
            <w:shd w:val="clear" w:color="auto" w:fill="FAF8F2"/>
          </w:tcPr>
          <w:p>
            <w:pPr>
              <w:spacing w:after="0"/>
            </w:pPr>
            <w:r>
              <w:rPr>
                <w:color w:val="1D1D1D"/>
                <w:sz w:val="16"/>
              </w:rPr>
              <w:t>24</w:t>
            </w:r>
          </w:p>
        </w:tc>
        <w:tc>
          <w:tcPr>
            <w:tcW w:type="dxa" w:w="2928"/>
            <w:shd w:val="clear" w:color="auto" w:fill="FAF8F2"/>
          </w:tcPr>
          <w:p>
            <w:pPr>
              <w:spacing w:after="0"/>
            </w:pPr>
            <w:r>
              <w:rPr>
                <w:color w:val="1D1D1D"/>
                <w:sz w:val="16"/>
              </w:rPr>
              <w:t>14%</w:t>
            </w:r>
          </w:p>
        </w:tc>
      </w:tr>
      <w:tr>
        <w:tc>
          <w:tcPr>
            <w:tcW w:type="dxa" w:w="732"/>
          </w:tcPr>
          <w:p>
            <w:pPr>
              <w:spacing w:after="0"/>
            </w:pPr>
            <w:r>
              <w:rPr>
                <w:color w:val="1D1D1D"/>
                <w:sz w:val="16"/>
              </w:rPr>
              <w:t>Sep</w:t>
            </w:r>
          </w:p>
        </w:tc>
        <w:tc>
          <w:tcPr>
            <w:tcW w:type="dxa" w:w="1952"/>
          </w:tcPr>
          <w:p>
            <w:pPr>
              <w:spacing w:after="0"/>
            </w:pPr>
            <w:r>
              <w:rPr>
                <w:color w:val="1D1D1D"/>
                <w:sz w:val="16"/>
              </w:rPr>
              <w:t>22</w:t>
            </w:r>
          </w:p>
        </w:tc>
        <w:tc>
          <w:tcPr>
            <w:tcW w:type="dxa" w:w="4026"/>
          </w:tcPr>
          <w:p>
            <w:pPr>
              <w:spacing w:after="0"/>
            </w:pPr>
            <w:r>
              <w:rPr>
                <w:color w:val="1D1D1D"/>
                <w:sz w:val="16"/>
              </w:rPr>
              <w:t>18</w:t>
            </w:r>
          </w:p>
        </w:tc>
        <w:tc>
          <w:tcPr>
            <w:tcW w:type="dxa" w:w="2928"/>
          </w:tcPr>
          <w:p>
            <w:pPr>
              <w:spacing w:after="0"/>
            </w:pPr>
            <w:r>
              <w:rPr>
                <w:color w:val="1D1D1D"/>
                <w:sz w:val="16"/>
              </w:rPr>
              <w:t>18%</w:t>
            </w:r>
          </w:p>
        </w:tc>
      </w:tr>
      <w:tr>
        <w:tc>
          <w:tcPr>
            <w:tcW w:type="dxa" w:w="732"/>
            <w:shd w:val="clear" w:color="auto" w:fill="FAF8F2"/>
          </w:tcPr>
          <w:p>
            <w:pPr>
              <w:spacing w:after="0"/>
            </w:pPr>
            <w:r>
              <w:rPr>
                <w:color w:val="1D1D1D"/>
                <w:sz w:val="16"/>
              </w:rPr>
              <w:t>Oct</w:t>
            </w:r>
          </w:p>
        </w:tc>
        <w:tc>
          <w:tcPr>
            <w:tcW w:type="dxa" w:w="1952"/>
            <w:shd w:val="clear" w:color="auto" w:fill="FAF8F2"/>
          </w:tcPr>
          <w:p>
            <w:pPr>
              <w:spacing w:after="0"/>
            </w:pPr>
            <w:r>
              <w:rPr>
                <w:color w:val="1D1D1D"/>
                <w:sz w:val="16"/>
              </w:rPr>
              <w:t>30</w:t>
            </w:r>
          </w:p>
        </w:tc>
        <w:tc>
          <w:tcPr>
            <w:tcW w:type="dxa" w:w="4026"/>
            <w:shd w:val="clear" w:color="auto" w:fill="FAF8F2"/>
          </w:tcPr>
          <w:p>
            <w:pPr>
              <w:spacing w:after="0"/>
            </w:pPr>
            <w:r>
              <w:rPr>
                <w:color w:val="1D1D1D"/>
                <w:sz w:val="16"/>
              </w:rPr>
              <w:t>26</w:t>
            </w:r>
          </w:p>
        </w:tc>
        <w:tc>
          <w:tcPr>
            <w:tcW w:type="dxa" w:w="2928"/>
            <w:shd w:val="clear" w:color="auto" w:fill="FAF8F2"/>
          </w:tcPr>
          <w:p>
            <w:pPr>
              <w:spacing w:after="0"/>
            </w:pPr>
            <w:r>
              <w:rPr>
                <w:color w:val="1D1D1D"/>
                <w:sz w:val="16"/>
              </w:rPr>
              <w:t>13%</w:t>
            </w:r>
          </w:p>
        </w:tc>
      </w:tr>
      <w:tr>
        <w:tc>
          <w:tcPr>
            <w:tcW w:type="dxa" w:w="732"/>
          </w:tcPr>
          <w:p>
            <w:pPr>
              <w:spacing w:after="0"/>
            </w:pPr>
            <w:r>
              <w:rPr>
                <w:color w:val="1D1D1D"/>
                <w:sz w:val="16"/>
              </w:rPr>
              <w:t>Nov</w:t>
            </w:r>
          </w:p>
        </w:tc>
        <w:tc>
          <w:tcPr>
            <w:tcW w:type="dxa" w:w="1952"/>
          </w:tcPr>
          <w:p>
            <w:pPr>
              <w:spacing w:after="0"/>
            </w:pPr>
            <w:r>
              <w:rPr>
                <w:color w:val="1D1D1D"/>
                <w:sz w:val="16"/>
              </w:rPr>
              <w:t>46</w:t>
            </w:r>
          </w:p>
        </w:tc>
        <w:tc>
          <w:tcPr>
            <w:tcW w:type="dxa" w:w="4026"/>
          </w:tcPr>
          <w:p>
            <w:pPr>
              <w:spacing w:after="0"/>
            </w:pPr>
            <w:r>
              <w:rPr>
                <w:color w:val="1D1D1D"/>
                <w:sz w:val="16"/>
              </w:rPr>
              <w:t>42</w:t>
            </w:r>
          </w:p>
        </w:tc>
        <w:tc>
          <w:tcPr>
            <w:tcW w:type="dxa" w:w="2928"/>
          </w:tcPr>
          <w:p>
            <w:pPr>
              <w:spacing w:after="0"/>
            </w:pPr>
            <w:r>
              <w:rPr>
                <w:color w:val="1D1D1D"/>
                <w:sz w:val="16"/>
              </w:rPr>
              <w:t>9%</w:t>
            </w:r>
          </w:p>
        </w:tc>
      </w:tr>
      <w:tr>
        <w:tc>
          <w:tcPr>
            <w:tcW w:type="dxa" w:w="732"/>
            <w:shd w:val="clear" w:color="auto" w:fill="FAF8F2"/>
          </w:tcPr>
          <w:p>
            <w:pPr>
              <w:spacing w:after="0"/>
            </w:pPr>
            <w:r>
              <w:rPr>
                <w:color w:val="1D1D1D"/>
                <w:sz w:val="16"/>
              </w:rPr>
              <w:t>Dec</w:t>
            </w:r>
          </w:p>
        </w:tc>
        <w:tc>
          <w:tcPr>
            <w:tcW w:type="dxa" w:w="1952"/>
            <w:shd w:val="clear" w:color="auto" w:fill="FAF8F2"/>
          </w:tcPr>
          <w:p>
            <w:pPr>
              <w:spacing w:after="0"/>
            </w:pPr>
            <w:r>
              <w:rPr>
                <w:color w:val="1D1D1D"/>
                <w:sz w:val="16"/>
              </w:rPr>
              <w:t>36</w:t>
            </w:r>
          </w:p>
        </w:tc>
        <w:tc>
          <w:tcPr>
            <w:tcW w:type="dxa" w:w="4026"/>
            <w:shd w:val="clear" w:color="auto" w:fill="FAF8F2"/>
          </w:tcPr>
          <w:p>
            <w:pPr>
              <w:spacing w:after="0"/>
            </w:pPr>
            <w:r>
              <w:rPr>
                <w:color w:val="1D1D1D"/>
                <w:sz w:val="16"/>
              </w:rPr>
              <w:t>32</w:t>
            </w:r>
          </w:p>
        </w:tc>
        <w:tc>
          <w:tcPr>
            <w:tcW w:type="dxa" w:w="2928"/>
            <w:shd w:val="clear" w:color="auto" w:fill="FAF8F2"/>
          </w:tcPr>
          <w:p>
            <w:pPr>
              <w:spacing w:after="0"/>
            </w:pPr>
            <w:r>
              <w:rPr>
                <w:color w:val="1D1D1D"/>
                <w:sz w:val="16"/>
              </w:rPr>
              <w:t>11%</w:t>
            </w:r>
          </w:p>
        </w:tc>
      </w:tr>
    </w:tbl>
    <w:p>
      <w:pPr>
        <w:spacing w:after="40"/>
      </w:pPr>
    </w:p>
    <w:p>
      <w:pPr>
        <w:jc w:val="both"/>
      </w:pPr>
      <w:r>
        <w:rPr>
          <w:i/>
        </w:rPr>
        <w:t>Note: Derived from case values; monthly means hide daily variation. The same method reproduces the case P50 of about 292 GWh/yr.</w:t>
      </w:r>
    </w:p>
    <w:p>
      <w:pPr>
        <w:jc w:val="both"/>
      </w:pPr>
      <w:r>
        <w:rPr/>
        <w:t>The release costs about 32 GWh/yr, 11 percent of P50. Each further 1 m3/s costs about 8 GWh/yr (close to 3 percent of P50) until the release exceeds 13 m3/s and bites in May too. The release is 10.6 percent of mean flow but 17 to 20 percent of flow in the driest months, where ecologists will test its adequacy.</w:t>
      </w:r>
    </w:p>
    <w:p>
      <w:pPr>
        <w:jc w:val="both"/>
      </w:pPr>
      <w:r>
        <w:rPr>
          <w:b/>
        </w:rPr>
        <w:t>Fish passage.</w:t>
      </w:r>
      <w:r>
        <w:rPr/>
        <w:t xml:space="preserve"> Dams block upstream migration, downstream passage through turbines and spillways often fails, and ladders, lifts and trap-and-truck schemes are usually of limited effectiveness [DE:S1]. Fish-friendly turbines are emerging [DE:S1]; intakes need fish diversion and passes where required [LIT:S6]. Stocking with non-native species is undesirable [DE:S1].</w:t>
      </w:r>
    </w:p>
    <w:p>
      <w:pPr>
        <w:jc w:val="both"/>
      </w:pPr>
      <w:r>
        <w:rPr>
          <w:b/>
        </w:rPr>
        <w:t>Sediment.</w:t>
      </w:r>
      <w:r>
        <w:rPr/>
        <w:t xml:space="preserve"> Sedimentation erodes live storage; catchment management, flushing, check structures and mechanical removal are the responses [DE:S1]. Hard sediment abrades turbines [DE:S1]. At Rusumo, sediment and organic matter in the cooling-water system caused shaft-seal wear and outages [A2:S16].</w:t>
      </w:r>
    </w:p>
    <w:p>
      <w:pPr>
        <w:jc w:val="both"/>
      </w:pPr>
      <w:r>
        <w:rPr>
          <w:b/>
        </w:rPr>
        <w:t>Water quality.</w:t>
      </w:r>
      <w:r>
        <w:rPr/>
        <w:t xml:space="preserve"> Impoundment lowers oxygen and dilution, flooded biomass decays, and low oxygen or gas supersaturation kills fish; selective clearing before filling is standard mitigation [DE:S1].</w:t>
      </w:r>
    </w:p>
    <w:p>
      <w:pPr>
        <w:jc w:val="both"/>
      </w:pPr>
      <w:r>
        <w:rPr>
          <w:b/>
        </w:rPr>
        <w:t>Reservoir greenhouse gases.</w:t>
      </w:r>
      <w:r>
        <w:rPr/>
        <w:t xml:space="preserve"> Flooded biomass emits carbon dioxide and methane. Most hydro more than offsets this, but some reservoirs, such as Balbina in Brazil, appear to emit more than gas-fired generation would for many years; the best mitigation is to flood little land, especially forest [DE:S1]. PS 1 requires significance to be assessed [DE:S1], and Climate Bonds Initiative criteria require low greenhouse gas infrastructure [HY-06]. The sources give no threshold; for run-of-river with small pondage the issue is usually minor, but the ESIA should state flooded area and biomass.</w:t>
      </w:r>
    </w:p>
    <w:p>
      <w:pPr>
        <w:jc w:val="both"/>
      </w:pPr>
      <w:r>
        <w:rPr>
          <w:b/>
        </w:rPr>
        <w:t>Biodiversity and critical habitat.</w:t>
      </w:r>
      <w:r>
        <w:rPr/>
        <w:t xml:space="preserve"> Flooded riverine forest is usually worth more than the aquatic habitat created [DE:S1]. PS 6 bars significant conversion of natural and critical habitat unless specific conditions are met; compensatory protected areas of comparable size and quality are the preferred offset, and wildlife rescue rarely succeeds [DE:S1].</w:t>
      </w:r>
    </w:p>
    <w:p>
      <w:pPr>
        <w:pStyle w:val="Heading3"/>
      </w:pPr>
      <w:r>
        <w:t>R.5 Land acquisition and resettlement</w:t>
      </w:r>
    </w:p>
    <w:p>
      <w:pPr>
        <w:jc w:val="both"/>
      </w:pPr>
      <w:r>
        <w:rPr/>
        <w:t>Involuntary displacement is considered the most adverse social impact of hydro [DE:S1]. PS 5 requires design alternatives that avoid or minimise displacement and aims to restore or improve livelihoods; economic losses from fisheries, farmland, grazing or clay need replacement resources or income restoration [DE:S1]. Land registration may be incomplete and land may be state or customary, so acquisition is negotiated or compulsory; lenders want the government's commitment to compulsory acquisition, and the allocation of resettlement cost, written into the implementation agreement [LIT:S7]. Customary ownership is often contested and entitlement is hard to determine [HY-06].</w:t>
      </w:r>
    </w:p>
    <w:p>
      <w:pPr>
        <w:jc w:val="both"/>
      </w:pPr>
      <w:r>
        <w:rPr/>
        <w:t>Resettlement is a cost and schedule risk. At Rusumo Falls the livelihood restoration and local development programmes rose from USD 18 million to about USD 38 million, more than double; after blasting damage, 580 structures in Tanzania needed repair; 80 households in Rwanda had to be relocated, with the decision taken only in 2023; and the closing date moved from December 2020 to June 2025 through three restructurings [A2:S16]. Not all of that delay was E&amp;S, but the case shows a land line item doubling on the critical path. The RAP should contain a census and cut-off date, entitlement matrix, budget with its own contingency, and a schedule tied to contractor access dates, because late access becomes a claim.</w:t>
      </w:r>
    </w:p>
    <w:p>
      <w:pPr>
        <w:pStyle w:val="Heading3"/>
      </w:pPr>
      <w:r>
        <w:t>R.6 Indigenous peoples and cultural heritage</w:t>
      </w:r>
    </w:p>
    <w:p>
      <w:pPr>
        <w:jc w:val="both"/>
      </w:pPr>
      <w:r>
        <w:rPr/>
        <w:t>PS 7 requires full respect for indigenous peoples' rights, livelihoods and culture, recognising their often marginal legal and economic status [DE:S1]. The IFC guide's summary does not set out PS 7's consent conditions, so the committee should ask whether screening found indigenous peoples and which PS 7 requirements apply. Under PS 8, heritage objects can be salvaged, but sacred sites usually cannot be replaced [DE:S1]. Many countries require a heritage clearance for the land [DE:S1]; a chance finds procedure belongs in the construction contract.</w:t>
      </w:r>
    </w:p>
    <w:p>
      <w:pPr>
        <w:pStyle w:val="Heading3"/>
      </w:pPr>
      <w:r>
        <w:t>R.7 Community health, safety and dam safety</w:t>
      </w:r>
    </w:p>
    <w:p>
      <w:pPr>
        <w:jc w:val="both"/>
      </w:pPr>
      <w:r>
        <w:rPr/>
        <w:t>PS 4 requires design, construction and operation to good international practice by competent professionals, with external review in high-risk cases [DE:S1]. The IFC guide distinguishes the normal operation design flood, defined by a return period such as 100 years and set by national rules for the hazard class, from the maximum design flood the structures must survive, the probable maximum or 10,000-year flood [DE:S1]. The World Bank's dam safety note is accompanied by technical notes on hydrological and seismic risk [HY-15; R4:S1]. Other risks are drowning, which needs access control, and water-related disease such as malaria and schistosomiasis around reservoirs in warm climates [DE:S1]. PS 1 requires emergency plans [DE:S1]; for a dam this means a tested emergency preparedness plan for downstream communities.</w:t>
      </w:r>
    </w:p>
    <w:p>
      <w:pPr>
        <w:pStyle w:val="Heading3"/>
      </w:pPr>
      <w:r>
        <w:t>R.8 Stakeholder engagement and grievance</w:t>
      </w:r>
    </w:p>
    <w:p>
      <w:pPr>
        <w:jc w:val="both"/>
      </w:pPr>
      <w:r>
        <w:rPr/>
        <w:t>PS 1 requires stakeholder engagement, disclosure and a grievance mechanism, and the Equator Principles treat engagement and grievance as separate principles [DE:S1]. Even small projects face local distrust, and communication must run from inception to commissioning [DE:S1]. Benefit sharing through local content, a revenue contribution such as a water royalty, or profit sharing can reduce opposition [LIT:S7]. The committee should ask for the grievance log: numbers, categories, time to close and open cases.</w:t>
      </w:r>
    </w:p>
    <w:p>
      <w:pPr>
        <w:pStyle w:val="Heading3"/>
      </w:pPr>
      <w:r>
        <w:t>R.9 Transboundary rivers</w:t>
      </w:r>
    </w:p>
    <w:p>
      <w:pPr>
        <w:jc w:val="both"/>
      </w:pPr>
      <w:r>
        <w:rPr/>
        <w:t>Water use is treated as a sovereignty matter where rivers cross borders, as the Grand Ethiopian Renaissance Dam dispute shows; treaties such as that behind the Zambezi River Authority provide cooperation and dispute resolution [LIT:S7]. The host government may need to join international agreements [HY-06], and the water permit covers transboundary conflicts [DE:S1]. Rusumo, on a border river, is owned equally by three states [A2:S16]. Multilateral lenders apply their own procedures for international waterways; the sources do not describe them, so obtain the requirement in writing and put any riparian notification on the schedule.</w:t>
      </w:r>
    </w:p>
    <w:p>
      <w:pPr>
        <w:pStyle w:val="Heading3"/>
      </w:pPr>
      <w:r>
        <w:t>R.10 Sustainability tools and green labels</w:t>
      </w:r>
    </w:p>
    <w:p>
      <w:pPr>
        <w:jc w:val="both"/>
      </w:pPr>
      <w:r>
        <w:rPr/>
        <w:t>The Hydropower Sustainability Tools comprise the good practice guidelines, the Assessment Protocol (HSAP) and the ESG Gap Analysis Tool (HESG), covering more than 20 topics; an HESG review found Gabon's Dibwangui scheme met 11 of 12 good practice criteria [LIT:S7]. The Hydropower Sustainability Standard certifies at Bronze, Silver and Gold [HY-03]. One green bond index admits large hydro only with an HSAP score of 3 or more or a commitment to the eight PS [HY-06]. A pre-emptive gap analysis is a cheap way to find weaknesses before lenders do.</w:t>
      </w:r>
    </w:p>
    <w:p>
      <w:pPr>
        <w:pStyle w:val="Heading3"/>
      </w:pPr>
      <w:r>
        <w:t>R.11 Climate resilience and screening</w:t>
      </w:r>
    </w:p>
    <w:p>
      <w:pPr>
        <w:jc w:val="both"/>
      </w:pPr>
      <w:r>
        <w:rPr/>
        <w:t>Climate change may bring significant regional changes in flow volume and timing; the uncertainty is outside the developer's control but can be simulated [DE:S1]. A 2015 drought at Kariba caused load shedding in Zambia [LIT:S7], and the 2024 Kariba generation allocation was cut by about 47 percent, from 30 to 16 billion m3 [CL-04]. Planned dams would concentrate regional capacity in single basins, raising the risk of simultaneous shortfall [CL-03]. Methods exist: a six-phase screening and stress test [CL-01], basin-level revenue studies for African rivers [CL-02], and contract allocation of hydrology and flood risk [CL-06]. Hydrology risk transferred to government becomes a contingent liability [HY-06].</w:t>
      </w:r>
    </w:p>
    <w:p>
      <w:pPr>
        <w:jc w:val="both"/>
      </w:pPr>
      <w:r>
        <w:rPr/>
        <w:t>For Kasiri, scaling every monthly mean flow by 0.9 with the 4 m3/s release held fixed cuts modelled energy by about 10 percent, to roughly 264 GWh/yr; in February the release would then be 22 percent of flow. The 10 percent scenario is an analyst's test value, not a projection. The 12-year record is shorter than the 15 years the IFC guide expects [DE:S1], widening uncertainty before any climate adjustment. Screening should also re-run the design floods for heavier extreme rainfall and report spillway capacity and freeboard.</w:t>
      </w:r>
    </w:p>
    <w:p>
      <w:pPr>
        <w:pStyle w:val="Heading3"/>
      </w:pPr>
      <w:r>
        <w:t>R.12 E&amp;S action plan and covenants</w:t>
      </w:r>
    </w:p>
    <w:p>
      <w:pPr>
        <w:jc w:val="both"/>
      </w:pPr>
      <w:r>
        <w:rPr/>
        <w:t>Lender review ends in an E&amp;S action plan (ESAP): each gap against the PS, the action, owner, deadline and completion evidence. Action plan, independent review, covenants and monitoring are separate Equator Principles [DE:S1]. The IFC guide advises monitorable outcomes, annual work plans and budgets, and warns that delays can threaten a company's ability to meet E&amp;S commitments [DE:S1].</w:t>
      </w:r>
    </w:p>
    <w:p>
      <w:pPr>
        <w:keepNext/>
      </w:pPr>
      <w:r>
        <w:rPr>
          <w:b/>
          <w:color w:val="0B3020"/>
          <w:sz w:val="18"/>
        </w:rPr>
        <w:t>Table R.3. Where E&amp;S requirements sit in the financing documents</w:t>
      </w:r>
    </w:p>
    <w:tbl>
      <w:tblPr>
        <w:tblStyle w:val="TableGrid"/>
        <w:tblW w:type="auto" w:w="0"/>
        <w:jc w:val="center"/>
        <w:tblLook w:firstColumn="1" w:firstRow="1" w:lastColumn="0" w:lastRow="0" w:noHBand="0" w:noVBand="1" w:val="04A0"/>
      </w:tblPr>
      <w:tblGrid>
        <w:gridCol w:w="3213"/>
        <w:gridCol w:w="3213"/>
        <w:gridCol w:w="3213"/>
      </w:tblGrid>
      <w:tr>
        <w:tc>
          <w:tcPr>
            <w:tcW w:type="dxa" w:w="1662"/>
            <w:shd w:val="clear" w:color="auto" w:fill="0B3020"/>
          </w:tcPr>
          <w:p>
            <w:pPr>
              <w:spacing w:after="0"/>
            </w:pPr>
            <w:r>
              <w:rPr>
                <w:b/>
                <w:color w:val="FFFFFF"/>
                <w:sz w:val="16"/>
              </w:rPr>
              <w:t>Stage</w:t>
            </w:r>
          </w:p>
        </w:tc>
        <w:tc>
          <w:tcPr>
            <w:tcW w:type="dxa" w:w="3988"/>
            <w:shd w:val="clear" w:color="auto" w:fill="0B3020"/>
          </w:tcPr>
          <w:p>
            <w:pPr>
              <w:spacing w:after="0"/>
            </w:pPr>
            <w:r>
              <w:rPr>
                <w:b/>
                <w:color w:val="FFFFFF"/>
                <w:sz w:val="16"/>
              </w:rPr>
              <w:t>Typical requirement</w:t>
            </w:r>
          </w:p>
        </w:tc>
        <w:tc>
          <w:tcPr>
            <w:tcW w:type="dxa" w:w="3988"/>
            <w:shd w:val="clear" w:color="auto" w:fill="0B3020"/>
          </w:tcPr>
          <w:p>
            <w:pPr>
              <w:spacing w:after="0"/>
            </w:pPr>
            <w:r>
              <w:rPr>
                <w:b/>
                <w:color w:val="FFFFFF"/>
                <w:sz w:val="16"/>
              </w:rPr>
              <w:t>What to verify</w:t>
            </w:r>
          </w:p>
        </w:tc>
      </w:tr>
      <w:tr>
        <w:tc>
          <w:tcPr>
            <w:tcW w:type="dxa" w:w="1662"/>
          </w:tcPr>
          <w:p>
            <w:pPr>
              <w:spacing w:after="0"/>
            </w:pPr>
            <w:r>
              <w:rPr>
                <w:color w:val="1D1D1D"/>
                <w:sz w:val="16"/>
              </w:rPr>
              <w:t>Conditions precedent</w:t>
            </w:r>
          </w:p>
        </w:tc>
        <w:tc>
          <w:tcPr>
            <w:tcW w:type="dxa" w:w="3988"/>
          </w:tcPr>
          <w:p>
            <w:pPr>
              <w:spacing w:after="0"/>
            </w:pPr>
            <w:r>
              <w:rPr>
                <w:color w:val="1D1D1D"/>
                <w:sz w:val="16"/>
              </w:rPr>
              <w:t>ESIA licence; ESAP agreed; RAP approved; early-works land secured; E&amp;S staff in place</w:t>
            </w:r>
          </w:p>
        </w:tc>
        <w:tc>
          <w:tcPr>
            <w:tcW w:type="dxa" w:w="3988"/>
          </w:tcPr>
          <w:p>
            <w:pPr>
              <w:spacing w:after="0"/>
            </w:pPr>
            <w:r>
              <w:rPr>
                <w:color w:val="1D1D1D"/>
                <w:sz w:val="16"/>
              </w:rPr>
              <w:t>Licence expiry; ESAP status; land dates against contractor programme</w:t>
            </w:r>
          </w:p>
        </w:tc>
      </w:tr>
      <w:tr>
        <w:tc>
          <w:tcPr>
            <w:tcW w:type="dxa" w:w="1662"/>
            <w:shd w:val="clear" w:color="auto" w:fill="FAF8F2"/>
          </w:tcPr>
          <w:p>
            <w:pPr>
              <w:spacing w:after="0"/>
            </w:pPr>
            <w:r>
              <w:rPr>
                <w:color w:val="1D1D1D"/>
                <w:sz w:val="16"/>
              </w:rPr>
              <w:t>Construction</w:t>
            </w:r>
          </w:p>
        </w:tc>
        <w:tc>
          <w:tcPr>
            <w:tcW w:type="dxa" w:w="3988"/>
            <w:shd w:val="clear" w:color="auto" w:fill="FAF8F2"/>
          </w:tcPr>
          <w:p>
            <w:pPr>
              <w:spacing w:after="0"/>
            </w:pPr>
            <w:r>
              <w:rPr>
                <w:color w:val="1D1D1D"/>
                <w:sz w:val="16"/>
              </w:rPr>
              <w:t>ESMP and ESAP to deadline; contractor obligations; independent monitoring</w:t>
            </w:r>
          </w:p>
        </w:tc>
        <w:tc>
          <w:tcPr>
            <w:tcW w:type="dxa" w:w="3988"/>
            <w:shd w:val="clear" w:color="auto" w:fill="FAF8F2"/>
          </w:tcPr>
          <w:p>
            <w:pPr>
              <w:spacing w:after="0"/>
            </w:pPr>
            <w:r>
              <w:rPr>
                <w:color w:val="1D1D1D"/>
                <w:sz w:val="16"/>
              </w:rPr>
              <w:t>Contractor clauses; reporting frequency; adviser budget</w:t>
            </w:r>
          </w:p>
        </w:tc>
      </w:tr>
      <w:tr>
        <w:tc>
          <w:tcPr>
            <w:tcW w:type="dxa" w:w="1662"/>
          </w:tcPr>
          <w:p>
            <w:pPr>
              <w:spacing w:after="0"/>
            </w:pPr>
            <w:r>
              <w:rPr>
                <w:color w:val="1D1D1D"/>
                <w:sz w:val="16"/>
              </w:rPr>
              <w:t>Before impoundment or COD</w:t>
            </w:r>
          </w:p>
        </w:tc>
        <w:tc>
          <w:tcPr>
            <w:tcW w:type="dxa" w:w="3988"/>
          </w:tcPr>
          <w:p>
            <w:pPr>
              <w:spacing w:after="0"/>
            </w:pPr>
            <w:r>
              <w:rPr>
                <w:color w:val="1D1D1D"/>
                <w:sz w:val="16"/>
              </w:rPr>
              <w:t>RAP implemented; e-flow outlet and gauge installed; emergency plan tested; dam safety review</w:t>
            </w:r>
          </w:p>
        </w:tc>
        <w:tc>
          <w:tcPr>
            <w:tcW w:type="dxa" w:w="3988"/>
          </w:tcPr>
          <w:p>
            <w:pPr>
              <w:spacing w:after="0"/>
            </w:pPr>
            <w:r>
              <w:rPr>
                <w:color w:val="1D1D1D"/>
                <w:sz w:val="16"/>
              </w:rPr>
              <w:t>Completion audit; e-flow data logging; drill record</w:t>
            </w:r>
          </w:p>
        </w:tc>
      </w:tr>
      <w:tr>
        <w:tc>
          <w:tcPr>
            <w:tcW w:type="dxa" w:w="1662"/>
            <w:shd w:val="clear" w:color="auto" w:fill="FAF8F2"/>
          </w:tcPr>
          <w:p>
            <w:pPr>
              <w:spacing w:after="0"/>
            </w:pPr>
            <w:r>
              <w:rPr>
                <w:color w:val="1D1D1D"/>
                <w:sz w:val="16"/>
              </w:rPr>
              <w:t>Operation</w:t>
            </w:r>
          </w:p>
        </w:tc>
        <w:tc>
          <w:tcPr>
            <w:tcW w:type="dxa" w:w="3988"/>
            <w:shd w:val="clear" w:color="auto" w:fill="FAF8F2"/>
          </w:tcPr>
          <w:p>
            <w:pPr>
              <w:spacing w:after="0"/>
            </w:pPr>
            <w:r>
              <w:rPr>
                <w:color w:val="1D1D1D"/>
                <w:sz w:val="16"/>
              </w:rPr>
              <w:t>E-flow compliance; grievance mechanism; annual E&amp;S report; incident notice</w:t>
            </w:r>
          </w:p>
        </w:tc>
        <w:tc>
          <w:tcPr>
            <w:tcW w:type="dxa" w:w="3988"/>
            <w:shd w:val="clear" w:color="auto" w:fill="FAF8F2"/>
          </w:tcPr>
          <w:p>
            <w:pPr>
              <w:spacing w:after="0"/>
            </w:pPr>
            <w:r>
              <w:rPr>
                <w:color w:val="1D1D1D"/>
                <w:sz w:val="16"/>
              </w:rPr>
              <w:t>Compliance history; grievance statistics</w:t>
            </w:r>
          </w:p>
        </w:tc>
      </w:tr>
    </w:tbl>
    <w:p>
      <w:pPr>
        <w:spacing w:after="40"/>
      </w:pPr>
    </w:p>
    <w:p>
      <w:pPr>
        <w:jc w:val="both"/>
      </w:pPr>
      <w:r>
        <w:rPr>
          <w:i/>
        </w:rPr>
        <w:t>Note: Sequence follows the Equator Principles as described in the IFC guide [DE:S1]; items are a checklist, not quotations from a loan agreement.</w:t>
      </w:r>
    </w:p>
    <w:p>
      <w:pPr>
        <w:jc w:val="both"/>
      </w:pPr>
      <w:r>
        <w:rPr/>
        <w:t>ESAP deadlines that depend on government action, such as land acquisition, should be matched by government undertakings in the implementation agreement [LIT:S7].</w:t>
      </w:r>
    </w:p>
    <w:p>
      <w:pPr>
        <w:pStyle w:val="Heading3"/>
      </w:pPr>
      <w:r>
        <w:t>R.13 E&amp;S cost and schedule</w:t>
      </w:r>
    </w:p>
    <w:p>
      <w:pPr>
        <w:jc w:val="both"/>
      </w:pPr>
      <w:r>
        <w:rPr/>
        <w:t>Kasiri carries USD 5m for E&amp;S within a plant cost of about USD 157m (case values), about 3.2 percent. The line should be built up from the ESMP and RAP: land and compensation, livelihood restoration, e-flow outlet and monitoring, fish measures, biodiversity, community safety, the E&amp;S team and lenders' adviser. Study costs sit in development costs; single data points are about USD 4.8 million for the feasibility study and ESIA of the 53 MW Kakono project and line [DE:S16], and a USD 992,000 preparation grant, including the ESIA, for a 7.8 MW Kenyan community hydro [DE:S17].</w:t>
      </w:r>
    </w:p>
    <w:p>
      <w:pPr>
        <w:jc w:val="both"/>
      </w:pPr>
      <w:r>
        <w:rPr/>
        <w:t>If Kasiri's E&amp;S line doubled, as Rusumo's livelihood programmes did [A2:S16], the extra USD 5m would equal about 3 percent of plant cost and absorb part of the 10 percent contingency. Schedule risk can exceed cost risk: a missed survey season, late RAP, open grievance or e-flow dispute can delay close or site access, and a lapsed licence must be renewed [DE:S1]. The schedule should show survey windows, disclosure periods, licence issue, RAP implementation and lender review as linked tasks with float.</w:t>
      </w:r>
    </w:p>
    <w:p>
      <w:pPr>
        <w:pStyle w:val="Heading3"/>
      </w:pPr>
      <w:r>
        <w:t>R.14 Decision tests</w:t>
      </w:r>
    </w:p>
    <w:p>
      <w:pPr>
        <w:spacing w:after="60"/>
        <w:ind w:left="397" w:hanging="397"/>
      </w:pPr>
      <w:r>
        <w:rPr/>
        <w:t>1.</w:t>
        <w:tab/>
        <w:t>Which E&amp;S category has each lender assigned, and does the ESIA scope match it?</w:t>
      </w:r>
    </w:p>
    <w:p>
      <w:pPr>
        <w:spacing w:after="60"/>
        <w:ind w:left="397" w:hanging="397"/>
      </w:pPr>
      <w:r>
        <w:rPr/>
        <w:t>2.</w:t>
        <w:tab/>
        <w:t>Does the area of influence include the dewatered reach, roads, quarries, camps and the 35 km line, each with baseline data?</w:t>
      </w:r>
    </w:p>
    <w:p>
      <w:pPr>
        <w:spacing w:after="60"/>
        <w:ind w:left="397" w:hanging="397"/>
      </w:pPr>
      <w:r>
        <w:rPr/>
        <w:t>3.</w:t>
        <w:tab/>
        <w:t>Did baseline surveys cover both the low-flow months (January to March, September) and the high-flow months (April to June)?</w:t>
      </w:r>
    </w:p>
    <w:p>
      <w:pPr>
        <w:spacing w:after="60"/>
        <w:ind w:left="397" w:hanging="397"/>
      </w:pPr>
      <w:r>
        <w:rPr/>
        <w:t>4.</w:t>
        <w:tab/>
        <w:t>Is the 4 m3/s e-flow fixed in the water permit, what method set it, and does the model show about 8 GWh/yr lost per additional 1 m3/s?</w:t>
      </w:r>
    </w:p>
    <w:p>
      <w:pPr>
        <w:spacing w:after="60"/>
        <w:ind w:left="397" w:hanging="397"/>
      </w:pPr>
      <w:r>
        <w:rPr/>
        <w:t>5.</w:t>
        <w:tab/>
        <w:t>Are other plants existing or planned on the river, and has a cumulative impact assessment been done?</w:t>
      </w:r>
    </w:p>
    <w:p>
      <w:pPr>
        <w:spacing w:after="60"/>
        <w:ind w:left="397" w:hanging="397"/>
      </w:pPr>
      <w:r>
        <w:rPr/>
        <w:t>6.</w:t>
        <w:tab/>
        <w:t>How many households are physically or economically displaced, and is the RAP budget built from the census with its own contingency?</w:t>
      </w:r>
    </w:p>
    <w:p>
      <w:pPr>
        <w:spacing w:after="60"/>
        <w:ind w:left="397" w:hanging="397"/>
      </w:pPr>
      <w:r>
        <w:rPr/>
        <w:t>7.</w:t>
        <w:tab/>
        <w:t>Has the government committed to compulsory acquisition if needed, and who bears resettlement overruns?</w:t>
      </w:r>
    </w:p>
    <w:p>
      <w:pPr>
        <w:spacing w:after="60"/>
        <w:ind w:left="397" w:hanging="397"/>
      </w:pPr>
      <w:r>
        <w:rPr/>
        <w:t>8.</w:t>
        <w:tab/>
        <w:t>What did screening find on indigenous peoples, critical habitat and cultural heritage?</w:t>
      </w:r>
    </w:p>
    <w:p>
      <w:pPr>
        <w:spacing w:after="60"/>
        <w:ind w:left="397" w:hanging="397"/>
      </w:pPr>
      <w:r>
        <w:rPr/>
        <w:t>9.</w:t>
        <w:tab/>
        <w:t>Which design floods were used, has an independent reviewer accepted them, and is there a tested emergency preparedness plan?</w:t>
      </w:r>
    </w:p>
    <w:p>
      <w:pPr>
        <w:spacing w:after="60"/>
        <w:ind w:left="397" w:hanging="397"/>
      </w:pPr>
      <w:r>
        <w:rPr/>
        <w:t>10.</w:t>
        <w:tab/>
        <w:t>Is the river transboundary, and are notification or treaty steps on the schedule?</w:t>
      </w:r>
    </w:p>
    <w:p>
      <w:pPr>
        <w:spacing w:after="60"/>
        <w:ind w:left="397" w:hanging="397"/>
      </w:pPr>
      <w:r>
        <w:rPr/>
        <w:t>11.</w:t>
        <w:tab/>
        <w:t>What are P50 energy and minimum DSCR under a 10 percent flow reduction?</w:t>
      </w:r>
    </w:p>
    <w:p>
      <w:pPr>
        <w:spacing w:after="60"/>
        <w:ind w:left="397" w:hanging="397"/>
      </w:pPr>
      <w:r>
        <w:rPr/>
        <w:t>12.</w:t>
        <w:tab/>
        <w:t>Which ESAP items are conditions precedent, which depend on government action, and are their deadlines achievable?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From River to Financial Close: A Developer, Lender and Government Framework for Hydropower Projects in Africa</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