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960000" cy="1520969"/>
            <wp:docPr id="1" name="Picture 1"/>
            <wp:cNvGraphicFramePr>
              <a:graphicFrameLocks noChangeAspect="1"/>
            </wp:cNvGraphicFramePr>
            <a:graphic>
              <a:graphicData uri="http://schemas.openxmlformats.org/drawingml/2006/picture">
                <pic:pic>
                  <pic:nvPicPr>
                    <pic:cNvPr id="0" name="aef_logo.png"/>
                    <pic:cNvPicPr/>
                  </pic:nvPicPr>
                  <pic:blipFill>
                    <a:blip r:embed="rId9"/>
                    <a:stretch>
                      <a:fillRect/>
                    </a:stretch>
                  </pic:blipFill>
                  <pic:spPr>
                    <a:xfrm>
                      <a:off x="0" y="0"/>
                      <a:ext cx="3960000" cy="1520969"/>
                    </a:xfrm>
                    <a:prstGeom prst="rect"/>
                  </pic:spPr>
                </pic:pic>
              </a:graphicData>
            </a:graphic>
          </wp:inline>
        </w:drawing>
      </w:r>
    </w:p>
    <w:p>
      <w:pPr>
        <w:spacing w:before="1200"/>
      </w:pPr>
      <w:r>
        <w:rPr>
          <w:b/>
          <w:color w:val="B07C0F"/>
          <w:sz w:val="22"/>
        </w:rPr>
        <w:t>MANUAL 7</w:t>
      </w:r>
    </w:p>
    <w:p>
      <w:pPr>
        <w:pBdr>
          <w:bottom w:val="single" w:sz="18" w:space="4" w:color="B07C0F"/>
        </w:pBdr>
      </w:pPr>
      <w:r>
        <w:rPr>
          <w:b/>
          <w:color w:val="0B3020"/>
          <w:sz w:val="56"/>
        </w:rPr>
        <w:t>MANUAL 7: User and Methodology Manual</w:t>
      </w:r>
    </w:p>
    <w:p>
      <w:r>
        <w:rPr>
          <w:color w:val="1D1D1D"/>
          <w:sz w:val="28"/>
        </w:rPr>
        <w:t>MODEL 7, Hydropower Development and Finance Model. Companion to Book 7, From River to Financial Close</w:t>
      </w:r>
    </w:p>
    <w:p>
      <w:pPr>
        <w:spacing w:before="800"/>
      </w:pPr>
      <w:r>
        <w:rPr>
          <w:b/>
          <w:color w:val="B07C0F"/>
          <w:sz w:val="17"/>
        </w:rPr>
        <w:t>AUTHOR &amp; IDEATION</w:t>
      </w:r>
    </w:p>
    <w:p>
      <w:r>
        <w:rPr>
          <w:b/>
          <w:color w:val="0B3020"/>
          <w:sz w:val="28"/>
        </w:rPr>
        <w:t>Emmanuel Boujieka Kamga</w:t>
      </w:r>
    </w:p>
    <w:p>
      <w:r>
        <w:rPr>
          <w:color w:val="666666"/>
          <w:sz w:val="19"/>
        </w:rPr>
        <w:t>Africa Energy Finance  |  Business &amp; Financial Models  |  October 2026</w:t>
      </w:r>
    </w:p>
    <w:p>
      <w:r>
        <w:rPr>
          <w:color w:val="666666"/>
          <w:sz w:val="19"/>
        </w:rPr>
        <w:t>Version 1.0 release candidate 1</w:t>
      </w:r>
    </w:p>
    <w:p>
      <w:pPr>
        <w:spacing w:before="1600"/>
      </w:pPr>
      <w:r>
        <w:rPr>
          <w:color w:val="666666"/>
          <w:sz w:val="16"/>
        </w:rPr>
        <w:t>© 2026 Emmanuel Boujieka Kamga. All rights reserved. Decision support material; not investment, legal, tax or accounting advice. The default model inputs and the Kasiri River Hydro case are fictional and illustrative.</w:t>
      </w:r>
    </w:p>
    <w:p>
      <w:r>
        <w:br w:type="page"/>
      </w:r>
    </w:p>
    <w:p>
      <w:r>
        <w:rPr>
          <w:b/>
          <w:color w:val="0B3020"/>
          <w:sz w:val="36"/>
        </w:rP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Bdr>
          <w:bottom w:val="single" w:sz="12" w:space="4" w:color="B07C0F"/>
        </w:pBdr>
      </w:pPr>
      <w:r>
        <w:t>About this manual</w:t>
      </w:r>
    </w:p>
    <w:p>
      <w:pPr>
        <w:jc w:val="both"/>
      </w:pPr>
      <w:r>
        <w:rPr/>
        <w:t xml:space="preserve">Version 1.0 release candidate 1. Companion to Book 7, </w:t>
      </w:r>
      <w:r>
        <w:rPr>
          <w:i/>
        </w:rPr>
        <w:t>Hydropower Development and Finance</w:t>
      </w:r>
      <w:r>
        <w:rPr/>
        <w:t>.</w:t>
      </w:r>
    </w:p>
    <w:tbl>
      <w:tblPr>
        <w:tblStyle w:val="TableGrid"/>
        <w:tblW w:type="auto" w:w="0"/>
        <w:jc w:val="center"/>
        <w:tblLook w:firstColumn="1" w:firstRow="1" w:lastColumn="0" w:lastRow="0" w:noHBand="0" w:noVBand="1" w:val="04A0"/>
      </w:tblPr>
      <w:tblGrid>
        <w:gridCol w:w="4819"/>
        <w:gridCol w:w="4819"/>
      </w:tblGrid>
      <w:tr>
        <w:tc>
          <w:tcPr>
            <w:tcW w:type="dxa" w:w="4891"/>
            <w:shd w:val="clear" w:color="auto" w:fill="0B3020"/>
          </w:tcPr>
          <w:p>
            <w:pPr>
              <w:spacing w:after="0"/>
            </w:pPr>
            <w:r>
              <w:rPr>
                <w:b/>
                <w:color w:val="FFFFFF"/>
                <w:sz w:val="16"/>
              </w:rPr>
              <w:t>Item</w:t>
            </w:r>
          </w:p>
        </w:tc>
        <w:tc>
          <w:tcPr>
            <w:tcW w:type="dxa" w:w="4747"/>
            <w:shd w:val="clear" w:color="auto" w:fill="0B3020"/>
          </w:tcPr>
          <w:p>
            <w:pPr>
              <w:spacing w:after="0"/>
            </w:pPr>
            <w:r>
              <w:rPr>
                <w:b/>
                <w:color w:val="FFFFFF"/>
                <w:sz w:val="16"/>
              </w:rPr>
              <w:t>File</w:t>
            </w:r>
          </w:p>
        </w:tc>
      </w:tr>
      <w:tr>
        <w:tc>
          <w:tcPr>
            <w:tcW w:type="dxa" w:w="4891"/>
          </w:tcPr>
          <w:p>
            <w:pPr>
              <w:spacing w:after="0"/>
            </w:pPr>
            <w:r>
              <w:rPr>
                <w:color w:val="1D1D1D"/>
                <w:sz w:val="16"/>
              </w:rPr>
              <w:t>Workbook</w:t>
            </w:r>
          </w:p>
        </w:tc>
        <w:tc>
          <w:tcPr>
            <w:tcW w:type="dxa" w:w="4747"/>
          </w:tcPr>
          <w:p>
            <w:pPr>
              <w:spacing w:after="0"/>
            </w:pPr>
            <w:r>
              <w:rPr>
                <w:rFonts w:ascii="Courier New" w:hAnsi="Courier New"/>
                <w:color w:val="1D1D1D"/>
                <w:sz w:val="16"/>
              </w:rPr>
              <w:t>model/Bankable_Hydro_Model.xlsx</w:t>
            </w:r>
          </w:p>
        </w:tc>
      </w:tr>
      <w:tr>
        <w:tc>
          <w:tcPr>
            <w:tcW w:type="dxa" w:w="4891"/>
            <w:shd w:val="clear" w:color="auto" w:fill="FAF8F2"/>
          </w:tcPr>
          <w:p>
            <w:pPr>
              <w:spacing w:after="0"/>
            </w:pPr>
            <w:r>
              <w:rPr>
                <w:color w:val="1D1D1D"/>
                <w:sz w:val="16"/>
              </w:rPr>
              <w:t>Generator (single source of truth)</w:t>
            </w:r>
          </w:p>
        </w:tc>
        <w:tc>
          <w:tcPr>
            <w:tcW w:type="dxa" w:w="4747"/>
            <w:shd w:val="clear" w:color="auto" w:fill="FAF8F2"/>
          </w:tcPr>
          <w:p>
            <w:pPr>
              <w:spacing w:after="0"/>
            </w:pPr>
            <w:r>
              <w:rPr>
                <w:rFonts w:ascii="Courier New" w:hAnsi="Courier New"/>
                <w:color w:val="1D1D1D"/>
                <w:sz w:val="16"/>
              </w:rPr>
              <w:t>model/build_model.py</w:t>
            </w:r>
          </w:p>
        </w:tc>
      </w:tr>
      <w:tr>
        <w:tc>
          <w:tcPr>
            <w:tcW w:type="dxa" w:w="4891"/>
          </w:tcPr>
          <w:p>
            <w:pPr>
              <w:spacing w:after="0"/>
            </w:pPr>
            <w:r>
              <w:rPr>
                <w:color w:val="1D1D1D"/>
                <w:sz w:val="16"/>
              </w:rPr>
              <w:t>Cell map written by the generator</w:t>
            </w:r>
          </w:p>
        </w:tc>
        <w:tc>
          <w:tcPr>
            <w:tcW w:type="dxa" w:w="4747"/>
          </w:tcPr>
          <w:p>
            <w:pPr>
              <w:spacing w:after="0"/>
            </w:pPr>
            <w:r>
              <w:rPr>
                <w:rFonts w:ascii="Courier New" w:hAnsi="Courier New"/>
                <w:color w:val="1D1D1D"/>
                <w:sz w:val="16"/>
              </w:rPr>
              <w:t>model/model_map.json</w:t>
            </w:r>
          </w:p>
        </w:tc>
      </w:tr>
      <w:tr>
        <w:tc>
          <w:tcPr>
            <w:tcW w:type="dxa" w:w="4891"/>
            <w:shd w:val="clear" w:color="auto" w:fill="FAF8F2"/>
          </w:tcPr>
          <w:p>
            <w:pPr>
              <w:spacing w:after="0"/>
            </w:pPr>
            <w:r>
              <w:rPr>
                <w:color w:val="1D1D1D"/>
                <w:sz w:val="16"/>
              </w:rPr>
              <w:t>Full-engine scenario results</w:t>
            </w:r>
          </w:p>
        </w:tc>
        <w:tc>
          <w:tcPr>
            <w:tcW w:type="dxa" w:w="4747"/>
            <w:shd w:val="clear" w:color="auto" w:fill="FAF8F2"/>
          </w:tcPr>
          <w:p>
            <w:pPr>
              <w:spacing w:after="0"/>
            </w:pPr>
            <w:r>
              <w:rPr>
                <w:rFonts w:ascii="Courier New" w:hAnsi="Courier New"/>
                <w:color w:val="1D1D1D"/>
                <w:sz w:val="16"/>
              </w:rPr>
              <w:t>model/snapshot_results.json</w:t>
            </w:r>
          </w:p>
        </w:tc>
      </w:tr>
      <w:tr>
        <w:tc>
          <w:tcPr>
            <w:tcW w:type="dxa" w:w="4891"/>
          </w:tcPr>
          <w:p>
            <w:pPr>
              <w:spacing w:after="0"/>
            </w:pPr>
            <w:r>
              <w:rPr>
                <w:color w:val="1D1D1D"/>
                <w:sz w:val="16"/>
              </w:rPr>
              <w:t>Scenario runner</w:t>
            </w:r>
          </w:p>
        </w:tc>
        <w:tc>
          <w:tcPr>
            <w:tcW w:type="dxa" w:w="4747"/>
          </w:tcPr>
          <w:p>
            <w:pPr>
              <w:spacing w:after="0"/>
            </w:pPr>
            <w:r>
              <w:rPr>
                <w:rFonts w:ascii="Courier New" w:hAnsi="Courier New"/>
                <w:color w:val="1D1D1D"/>
                <w:sz w:val="16"/>
              </w:rPr>
              <w:t>tools/run_snapshots.py</w:t>
            </w:r>
          </w:p>
        </w:tc>
      </w:tr>
      <w:tr>
        <w:tc>
          <w:tcPr>
            <w:tcW w:type="dxa" w:w="4891"/>
            <w:shd w:val="clear" w:color="auto" w:fill="FAF8F2"/>
          </w:tcPr>
          <w:p>
            <w:pPr>
              <w:spacing w:after="0"/>
            </w:pPr>
            <w:r>
              <w:rPr>
                <w:color w:val="1D1D1D"/>
                <w:sz w:val="16"/>
              </w:rPr>
              <w:t>Excel quoting repair</w:t>
            </w:r>
          </w:p>
        </w:tc>
        <w:tc>
          <w:tcPr>
            <w:tcW w:type="dxa" w:w="4747"/>
            <w:shd w:val="clear" w:color="auto" w:fill="FAF8F2"/>
          </w:tcPr>
          <w:p>
            <w:pPr>
              <w:spacing w:after="0"/>
            </w:pPr>
            <w:r>
              <w:rPr>
                <w:rFonts w:ascii="Courier New" w:hAnsi="Courier New"/>
                <w:color w:val="1D1D1D"/>
                <w:sz w:val="16"/>
              </w:rPr>
              <w:t>tools/model/excel_quote_fix.py</w:t>
            </w:r>
          </w:p>
        </w:tc>
      </w:tr>
      <w:tr>
        <w:tc>
          <w:tcPr>
            <w:tcW w:type="dxa" w:w="4891"/>
          </w:tcPr>
          <w:p>
            <w:pPr>
              <w:spacing w:after="0"/>
            </w:pPr>
            <w:r>
              <w:rPr>
                <w:color w:val="1D1D1D"/>
                <w:sz w:val="16"/>
              </w:rPr>
              <w:t>Circularity check</w:t>
            </w:r>
          </w:p>
        </w:tc>
        <w:tc>
          <w:tcPr>
            <w:tcW w:type="dxa" w:w="4747"/>
          </w:tcPr>
          <w:p>
            <w:pPr>
              <w:spacing w:after="0"/>
            </w:pPr>
            <w:r>
              <w:rPr>
                <w:rFonts w:ascii="Courier New" w:hAnsi="Courier New"/>
                <w:color w:val="1D1D1D"/>
                <w:sz w:val="16"/>
              </w:rPr>
              <w:t>tools/model/check_cycles.py</w:t>
            </w:r>
          </w:p>
        </w:tc>
      </w:tr>
      <w:tr>
        <w:tc>
          <w:tcPr>
            <w:tcW w:type="dxa" w:w="4891"/>
            <w:shd w:val="clear" w:color="auto" w:fill="FAF8F2"/>
          </w:tcPr>
          <w:p>
            <w:pPr>
              <w:spacing w:after="0"/>
            </w:pPr>
            <w:r>
              <w:rPr>
                <w:color w:val="1D1D1D"/>
                <w:sz w:val="16"/>
              </w:rPr>
              <w:t>Independent test report</w:t>
            </w:r>
          </w:p>
        </w:tc>
        <w:tc>
          <w:tcPr>
            <w:tcW w:type="dxa" w:w="4747"/>
            <w:shd w:val="clear" w:color="auto" w:fill="FAF8F2"/>
          </w:tcPr>
          <w:p>
            <w:pPr>
              <w:spacing w:after="0"/>
            </w:pPr>
            <w:r>
              <w:rPr>
                <w:rFonts w:ascii="Courier New" w:hAnsi="Courier New"/>
                <w:color w:val="1D1D1D"/>
                <w:sz w:val="16"/>
              </w:rPr>
              <w:t>docs/MODEL7_TEST_REPORT.md</w:t>
            </w:r>
          </w:p>
        </w:tc>
      </w:tr>
      <w:tr>
        <w:tc>
          <w:tcPr>
            <w:tcW w:type="dxa" w:w="4891"/>
          </w:tcPr>
          <w:p>
            <w:pPr>
              <w:spacing w:after="0"/>
            </w:pPr>
            <w:r>
              <w:rPr>
                <w:color w:val="1D1D1D"/>
                <w:sz w:val="16"/>
              </w:rPr>
              <w:t>Validation summary in the book</w:t>
            </w:r>
          </w:p>
        </w:tc>
        <w:tc>
          <w:tcPr>
            <w:tcW w:type="dxa" w:w="4747"/>
          </w:tcPr>
          <w:p>
            <w:pPr>
              <w:spacing w:after="0"/>
            </w:pPr>
            <w:r>
              <w:rPr>
                <w:color w:val="1D1D1D"/>
                <w:sz w:val="16"/>
              </w:rPr>
              <w:t>Book 7, Annex K</w:t>
            </w:r>
          </w:p>
        </w:tc>
      </w:tr>
    </w:tbl>
    <w:p>
      <w:pPr>
        <w:spacing w:after="40"/>
      </w:pPr>
    </w:p>
    <w:p>
      <w:pPr>
        <w:jc w:val="both"/>
      </w:pPr>
      <w:r>
        <w:rPr/>
        <w:t xml:space="preserve">This manual replaces </w:t>
      </w:r>
      <w:r>
        <w:rPr>
          <w:rFonts w:ascii="Courier New" w:hAnsi="Courier New"/>
        </w:rPr>
        <w:t>manual/USER_MANUAL.md</w:t>
      </w:r>
      <w:r>
        <w:rPr/>
        <w:t xml:space="preserve">, which describes an earlier model built around the Lumora Falls case. Every sheet name, input, formula and figure below refers to the current MODEL 7 and its default Kasiri case. Figures quoted as "base case" are the workbook's values with default inputs; figures quoted as "snapshot" come from </w:t>
      </w:r>
      <w:r>
        <w:rPr>
          <w:rFonts w:ascii="Courier New" w:hAnsi="Courier New"/>
        </w:rPr>
        <w:t>model/snapshot_results.json</w:t>
      </w:r>
      <w:r>
        <w:rPr/>
        <w:t>.</w:t>
      </w:r>
    </w:p>
    <w:p>
      <w:r>
        <w:br w:type="page"/>
      </w:r>
    </w:p>
    <w:p>
      <w:pPr>
        <w:pStyle w:val="Heading1"/>
        <w:pBdr>
          <w:bottom w:val="single" w:sz="12" w:space="4" w:color="B07C0F"/>
        </w:pBdr>
      </w:pPr>
      <w:r>
        <w:t>1. What the model does and its place with Book 7</w:t>
      </w:r>
    </w:p>
    <w:p>
      <w:pPr>
        <w:pStyle w:val="Heading2"/>
      </w:pPr>
      <w:r>
        <w:t>1.1 The question</w:t>
      </w:r>
    </w:p>
    <w:p>
      <w:pPr>
        <w:jc w:val="both"/>
      </w:pPr>
      <w:r>
        <w:rPr/>
        <w:t>The workbook opens with one question: can this project deliver bankable power without creating unsustainable public liabilities? Book 7 breaks that question into the decisions taken between a river site and financial close, and MODEL 7 is the engine that gives each decision numbers.</w:t>
      </w:r>
    </w:p>
    <w:p>
      <w:pPr>
        <w:jc w:val="both"/>
      </w:pPr>
      <w:r>
        <w:rPr/>
        <w:t>Book 7 rests on three ideas that the model reproduces.</w:t>
      </w:r>
    </w:p>
    <w:p>
      <w:pPr>
        <w:spacing w:after="60"/>
        <w:ind w:left="397" w:hanging="397"/>
      </w:pPr>
      <w:r>
        <w:rPr/>
        <w:t>1.</w:t>
        <w:tab/>
        <w:t xml:space="preserve">A hydro project is three investments in one asset: a development option (site to close), a construction contract (close to commercial operation) and an operating annuity (commercial operation to end of concession). The model values each: </w:t>
      </w:r>
      <w:r>
        <w:rPr>
          <w:i/>
        </w:rPr>
        <w:t>01A_DEVELOPMENT</w:t>
      </w:r>
      <w:r>
        <w:rPr/>
        <w:t xml:space="preserve"> for the option, </w:t>
      </w:r>
      <w:r>
        <w:rPr>
          <w:i/>
        </w:rPr>
        <w:t>05A_CONTRACTING</w:t>
      </w:r>
      <w:r>
        <w:rPr/>
        <w:t xml:space="preserve">, </w:t>
      </w:r>
      <w:r>
        <w:rPr>
          <w:i/>
        </w:rPr>
        <w:t>05_PLANT_CAPEX</w:t>
      </w:r>
      <w:r>
        <w:rPr/>
        <w:t xml:space="preserve"> and </w:t>
      </w:r>
      <w:r>
        <w:rPr>
          <w:i/>
        </w:rPr>
        <w:t>06_CONSTRUCTION</w:t>
      </w:r>
      <w:r>
        <w:rPr/>
        <w:t xml:space="preserve"> for the build, and the operating sheets for the annuity.</w:t>
      </w:r>
    </w:p>
    <w:p>
      <w:pPr>
        <w:spacing w:after="60"/>
        <w:ind w:left="397" w:hanging="397"/>
      </w:pPr>
      <w:r>
        <w:rPr/>
        <w:t>2.</w:t>
        <w:tab/>
        <w:t xml:space="preserve">Three parties must each accept the project: the developer, the lenders and the state. The model reports each party's measures side by side on </w:t>
      </w:r>
      <w:r>
        <w:rPr>
          <w:i/>
        </w:rPr>
        <w:t>32_DASHBOARD</w:t>
      </w:r>
      <w:r>
        <w:rPr/>
        <w:t>.</w:t>
      </w:r>
    </w:p>
    <w:p>
      <w:pPr>
        <w:spacing w:after="60"/>
        <w:ind w:left="397" w:hanging="397"/>
      </w:pPr>
      <w:r>
        <w:rPr/>
        <w:t>3.</w:t>
        <w:tab/>
        <w:t xml:space="preserve">The Hydro Readiness Framework asks eight questions, tested by 23 financial close gates, and ends in one close decision. The model applies the 23 gates on </w:t>
      </w:r>
      <w:r>
        <w:rPr>
          <w:i/>
        </w:rPr>
        <w:t>30A_CLOSE_READINESS</w:t>
      </w:r>
      <w:r>
        <w:rPr/>
        <w:t xml:space="preserve"> and maps them to the book on </w:t>
      </w:r>
      <w:r>
        <w:rPr>
          <w:i/>
        </w:rPr>
        <w:t>34_FRAMEWORK_MAP</w:t>
      </w:r>
      <w:r>
        <w:rPr/>
        <w:t>.</w:t>
      </w:r>
    </w:p>
    <w:tbl>
      <w:tblPr>
        <w:tblStyle w:val="TableGrid"/>
        <w:tblW w:type="auto" w:w="0"/>
        <w:jc w:val="center"/>
        <w:tblLook w:firstColumn="1" w:firstRow="1" w:lastColumn="0" w:lastRow="0" w:noHBand="0" w:noVBand="1" w:val="04A0"/>
      </w:tblPr>
      <w:tblGrid>
        <w:gridCol w:w="3213"/>
        <w:gridCol w:w="3213"/>
        <w:gridCol w:w="3213"/>
      </w:tblGrid>
      <w:tr>
        <w:tc>
          <w:tcPr>
            <w:tcW w:type="dxa" w:w="4417"/>
            <w:shd w:val="clear" w:color="auto" w:fill="0B3020"/>
          </w:tcPr>
          <w:p>
            <w:pPr>
              <w:spacing w:after="0"/>
            </w:pPr>
            <w:r>
              <w:rPr>
                <w:b/>
                <w:color w:val="FFFFFF"/>
                <w:sz w:val="16"/>
              </w:rPr>
              <w:t>Question</w:t>
            </w:r>
          </w:p>
        </w:tc>
        <w:tc>
          <w:tcPr>
            <w:tcW w:type="dxa" w:w="3346"/>
            <w:shd w:val="clear" w:color="auto" w:fill="0B3020"/>
          </w:tcPr>
          <w:p>
            <w:pPr>
              <w:spacing w:after="0"/>
            </w:pPr>
            <w:r>
              <w:rPr>
                <w:b/>
                <w:color w:val="FFFFFF"/>
                <w:sz w:val="16"/>
              </w:rPr>
              <w:t>Must be accepted by</w:t>
            </w:r>
          </w:p>
        </w:tc>
        <w:tc>
          <w:tcPr>
            <w:tcW w:type="dxa" w:w="1874"/>
            <w:shd w:val="clear" w:color="auto" w:fill="0B3020"/>
          </w:tcPr>
          <w:p>
            <w:pPr>
              <w:spacing w:after="0"/>
            </w:pPr>
            <w:r>
              <w:rPr>
                <w:b/>
                <w:color w:val="FFFFFF"/>
                <w:sz w:val="16"/>
              </w:rPr>
              <w:t>Gates on 30A</w:t>
            </w:r>
          </w:p>
        </w:tc>
      </w:tr>
      <w:tr>
        <w:tc>
          <w:tcPr>
            <w:tcW w:type="dxa" w:w="4417"/>
          </w:tcPr>
          <w:p>
            <w:pPr>
              <w:spacing w:after="0"/>
            </w:pPr>
            <w:r>
              <w:rPr>
                <w:color w:val="1D1D1D"/>
                <w:sz w:val="16"/>
              </w:rPr>
              <w:t>Q1 Technically viable</w:t>
            </w:r>
          </w:p>
        </w:tc>
        <w:tc>
          <w:tcPr>
            <w:tcW w:type="dxa" w:w="3346"/>
          </w:tcPr>
          <w:p>
            <w:pPr>
              <w:spacing w:after="0"/>
            </w:pPr>
            <w:r>
              <w:rPr>
                <w:color w:val="1D1D1D"/>
                <w:sz w:val="16"/>
              </w:rPr>
              <w:t>Developer, lenders</w:t>
            </w:r>
          </w:p>
        </w:tc>
        <w:tc>
          <w:tcPr>
            <w:tcW w:type="dxa" w:w="1874"/>
          </w:tcPr>
          <w:p>
            <w:pPr>
              <w:spacing w:after="0"/>
            </w:pPr>
            <w:r>
              <w:rPr>
                <w:color w:val="1D1D1D"/>
                <w:sz w:val="16"/>
              </w:rPr>
              <w:t>1 to 4</w:t>
            </w:r>
          </w:p>
        </w:tc>
      </w:tr>
      <w:tr>
        <w:tc>
          <w:tcPr>
            <w:tcW w:type="dxa" w:w="4417"/>
            <w:shd w:val="clear" w:color="auto" w:fill="FAF8F2"/>
          </w:tcPr>
          <w:p>
            <w:pPr>
              <w:spacing w:after="0"/>
            </w:pPr>
            <w:r>
              <w:rPr>
                <w:color w:val="1D1D1D"/>
                <w:sz w:val="16"/>
              </w:rPr>
              <w:t>Q2 Developable</w:t>
            </w:r>
          </w:p>
        </w:tc>
        <w:tc>
          <w:tcPr>
            <w:tcW w:type="dxa" w:w="3346"/>
            <w:shd w:val="clear" w:color="auto" w:fill="FAF8F2"/>
          </w:tcPr>
          <w:p>
            <w:pPr>
              <w:spacing w:after="0"/>
            </w:pPr>
            <w:r>
              <w:rPr>
                <w:color w:val="1D1D1D"/>
                <w:sz w:val="16"/>
              </w:rPr>
              <w:t>Developer, state</w:t>
            </w:r>
          </w:p>
        </w:tc>
        <w:tc>
          <w:tcPr>
            <w:tcW w:type="dxa" w:w="1874"/>
            <w:shd w:val="clear" w:color="auto" w:fill="FAF8F2"/>
          </w:tcPr>
          <w:p>
            <w:pPr>
              <w:spacing w:after="0"/>
            </w:pPr>
            <w:r>
              <w:rPr>
                <w:color w:val="1D1D1D"/>
                <w:sz w:val="16"/>
              </w:rPr>
              <w:t>5 to 10</w:t>
            </w:r>
          </w:p>
        </w:tc>
      </w:tr>
      <w:tr>
        <w:tc>
          <w:tcPr>
            <w:tcW w:type="dxa" w:w="4417"/>
          </w:tcPr>
          <w:p>
            <w:pPr>
              <w:spacing w:after="0"/>
            </w:pPr>
            <w:r>
              <w:rPr>
                <w:color w:val="1D1D1D"/>
                <w:sz w:val="16"/>
              </w:rPr>
              <w:t>Q3 Economic for the system</w:t>
            </w:r>
          </w:p>
        </w:tc>
        <w:tc>
          <w:tcPr>
            <w:tcW w:type="dxa" w:w="3346"/>
          </w:tcPr>
          <w:p>
            <w:pPr>
              <w:spacing w:after="0"/>
            </w:pPr>
            <w:r>
              <w:rPr>
                <w:color w:val="1D1D1D"/>
                <w:sz w:val="16"/>
              </w:rPr>
              <w:t>State</w:t>
            </w:r>
          </w:p>
        </w:tc>
        <w:tc>
          <w:tcPr>
            <w:tcW w:type="dxa" w:w="1874"/>
          </w:tcPr>
          <w:p>
            <w:pPr>
              <w:spacing w:after="0"/>
            </w:pPr>
            <w:r>
              <w:rPr>
                <w:color w:val="1D1D1D"/>
                <w:sz w:val="16"/>
              </w:rPr>
              <w:t>11, 12</w:t>
            </w:r>
          </w:p>
        </w:tc>
      </w:tr>
      <w:tr>
        <w:tc>
          <w:tcPr>
            <w:tcW w:type="dxa" w:w="4417"/>
            <w:shd w:val="clear" w:color="auto" w:fill="FAF8F2"/>
          </w:tcPr>
          <w:p>
            <w:pPr>
              <w:spacing w:after="0"/>
            </w:pPr>
            <w:r>
              <w:rPr>
                <w:color w:val="1D1D1D"/>
                <w:sz w:val="16"/>
              </w:rPr>
              <w:t>Q4 Investable for the developer</w:t>
            </w:r>
          </w:p>
        </w:tc>
        <w:tc>
          <w:tcPr>
            <w:tcW w:type="dxa" w:w="3346"/>
            <w:shd w:val="clear" w:color="auto" w:fill="FAF8F2"/>
          </w:tcPr>
          <w:p>
            <w:pPr>
              <w:spacing w:after="0"/>
            </w:pPr>
            <w:r>
              <w:rPr>
                <w:color w:val="1D1D1D"/>
                <w:sz w:val="16"/>
              </w:rPr>
              <w:t>Developer</w:t>
            </w:r>
          </w:p>
        </w:tc>
        <w:tc>
          <w:tcPr>
            <w:tcW w:type="dxa" w:w="1874"/>
            <w:shd w:val="clear" w:color="auto" w:fill="FAF8F2"/>
          </w:tcPr>
          <w:p>
            <w:pPr>
              <w:spacing w:after="0"/>
            </w:pPr>
            <w:r>
              <w:rPr>
                <w:color w:val="1D1D1D"/>
                <w:sz w:val="16"/>
              </w:rPr>
              <w:t>19</w:t>
            </w:r>
          </w:p>
        </w:tc>
      </w:tr>
      <w:tr>
        <w:tc>
          <w:tcPr>
            <w:tcW w:type="dxa" w:w="4417"/>
          </w:tcPr>
          <w:p>
            <w:pPr>
              <w:spacing w:after="0"/>
            </w:pPr>
            <w:r>
              <w:rPr>
                <w:color w:val="1D1D1D"/>
                <w:sz w:val="16"/>
              </w:rPr>
              <w:t>Q5 Bankable</w:t>
            </w:r>
          </w:p>
        </w:tc>
        <w:tc>
          <w:tcPr>
            <w:tcW w:type="dxa" w:w="3346"/>
          </w:tcPr>
          <w:p>
            <w:pPr>
              <w:spacing w:after="0"/>
            </w:pPr>
            <w:r>
              <w:rPr>
                <w:color w:val="1D1D1D"/>
                <w:sz w:val="16"/>
              </w:rPr>
              <w:t>Lenders</w:t>
            </w:r>
          </w:p>
        </w:tc>
        <w:tc>
          <w:tcPr>
            <w:tcW w:type="dxa" w:w="1874"/>
          </w:tcPr>
          <w:p>
            <w:pPr>
              <w:spacing w:after="0"/>
            </w:pPr>
            <w:r>
              <w:rPr>
                <w:color w:val="1D1D1D"/>
                <w:sz w:val="16"/>
              </w:rPr>
              <w:t>17, 18, 20, 23</w:t>
            </w:r>
          </w:p>
        </w:tc>
      </w:tr>
      <w:tr>
        <w:tc>
          <w:tcPr>
            <w:tcW w:type="dxa" w:w="4417"/>
            <w:shd w:val="clear" w:color="auto" w:fill="FAF8F2"/>
          </w:tcPr>
          <w:p>
            <w:pPr>
              <w:spacing w:after="0"/>
            </w:pPr>
            <w:r>
              <w:rPr>
                <w:color w:val="1D1D1D"/>
                <w:sz w:val="16"/>
              </w:rPr>
              <w:t>Q6 Buildable on budget</w:t>
            </w:r>
          </w:p>
        </w:tc>
        <w:tc>
          <w:tcPr>
            <w:tcW w:type="dxa" w:w="3346"/>
            <w:shd w:val="clear" w:color="auto" w:fill="FAF8F2"/>
          </w:tcPr>
          <w:p>
            <w:pPr>
              <w:spacing w:after="0"/>
            </w:pPr>
            <w:r>
              <w:rPr>
                <w:color w:val="1D1D1D"/>
                <w:sz w:val="16"/>
              </w:rPr>
              <w:t>Developer, lenders</w:t>
            </w:r>
          </w:p>
        </w:tc>
        <w:tc>
          <w:tcPr>
            <w:tcW w:type="dxa" w:w="1874"/>
            <w:shd w:val="clear" w:color="auto" w:fill="FAF8F2"/>
          </w:tcPr>
          <w:p>
            <w:pPr>
              <w:spacing w:after="0"/>
            </w:pPr>
            <w:r>
              <w:rPr>
                <w:color w:val="1D1D1D"/>
                <w:sz w:val="16"/>
              </w:rPr>
              <w:t>13, 14, 22</w:t>
            </w:r>
          </w:p>
        </w:tc>
      </w:tr>
      <w:tr>
        <w:tc>
          <w:tcPr>
            <w:tcW w:type="dxa" w:w="4417"/>
          </w:tcPr>
          <w:p>
            <w:pPr>
              <w:spacing w:after="0"/>
            </w:pPr>
            <w:r>
              <w:rPr>
                <w:color w:val="1D1D1D"/>
                <w:sz w:val="16"/>
              </w:rPr>
              <w:t>Q7 Affordable for buyer and state</w:t>
            </w:r>
          </w:p>
        </w:tc>
        <w:tc>
          <w:tcPr>
            <w:tcW w:type="dxa" w:w="3346"/>
          </w:tcPr>
          <w:p>
            <w:pPr>
              <w:spacing w:after="0"/>
            </w:pPr>
            <w:r>
              <w:rPr>
                <w:color w:val="1D1D1D"/>
                <w:sz w:val="16"/>
              </w:rPr>
              <w:t>State</w:t>
            </w:r>
          </w:p>
        </w:tc>
        <w:tc>
          <w:tcPr>
            <w:tcW w:type="dxa" w:w="1874"/>
          </w:tcPr>
          <w:p>
            <w:pPr>
              <w:spacing w:after="0"/>
            </w:pPr>
            <w:r>
              <w:rPr>
                <w:color w:val="1D1D1D"/>
                <w:sz w:val="16"/>
              </w:rPr>
              <w:t>15, 16, 21</w:t>
            </w:r>
          </w:p>
        </w:tc>
      </w:tr>
      <w:tr>
        <w:tc>
          <w:tcPr>
            <w:tcW w:type="dxa" w:w="4417"/>
            <w:shd w:val="clear" w:color="auto" w:fill="FAF8F2"/>
          </w:tcPr>
          <w:p>
            <w:pPr>
              <w:spacing w:after="0"/>
            </w:pPr>
            <w:r>
              <w:rPr>
                <w:color w:val="1D1D1D"/>
                <w:sz w:val="16"/>
              </w:rPr>
              <w:t>Q8 Ready to close</w:t>
            </w:r>
          </w:p>
        </w:tc>
        <w:tc>
          <w:tcPr>
            <w:tcW w:type="dxa" w:w="3346"/>
            <w:shd w:val="clear" w:color="auto" w:fill="FAF8F2"/>
          </w:tcPr>
          <w:p>
            <w:pPr>
              <w:spacing w:after="0"/>
            </w:pPr>
            <w:r>
              <w:rPr>
                <w:color w:val="1D1D1D"/>
                <w:sz w:val="16"/>
              </w:rPr>
              <w:t>Developer, lenders, state</w:t>
            </w:r>
          </w:p>
        </w:tc>
        <w:tc>
          <w:tcPr>
            <w:tcW w:type="dxa" w:w="1874"/>
            <w:shd w:val="clear" w:color="auto" w:fill="FAF8F2"/>
          </w:tcPr>
          <w:p>
            <w:pPr>
              <w:spacing w:after="0"/>
            </w:pPr>
            <w:r>
              <w:rPr>
                <w:color w:val="1D1D1D"/>
                <w:sz w:val="16"/>
              </w:rPr>
              <w:t>All 23</w:t>
            </w:r>
          </w:p>
        </w:tc>
      </w:tr>
    </w:tbl>
    <w:p>
      <w:pPr>
        <w:spacing w:after="40"/>
      </w:pPr>
    </w:p>
    <w:p>
      <w:pPr>
        <w:pStyle w:val="Heading2"/>
      </w:pPr>
      <w:r>
        <w:t>1.2 The engine</w:t>
      </w:r>
    </w:p>
    <w:p>
      <w:pPr>
        <w:jc w:val="both"/>
      </w:pPr>
      <w:r>
        <w:rPr/>
        <w:t>The workbook is a single integrated engine that runs in this order: hydro resource, plant, transmission, grid, demand, utility, regulation, PPA, finance, PPP or IPP structure, government support, fiscal exposure, and finally the two levels of gates. A change anywhere flows through to every later link.</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Property</w:t>
            </w:r>
          </w:p>
        </w:tc>
        <w:tc>
          <w:tcPr>
            <w:tcW w:type="dxa" w:w="4819"/>
            <w:shd w:val="clear" w:color="auto" w:fill="0B3020"/>
          </w:tcPr>
          <w:p>
            <w:pPr>
              <w:spacing w:after="0"/>
            </w:pPr>
            <w:r>
              <w:rPr>
                <w:b/>
                <w:color w:val="FFFFFF"/>
                <w:sz w:val="16"/>
              </w:rPr>
              <w:t>MODEL 7</w:t>
            </w:r>
          </w:p>
        </w:tc>
      </w:tr>
      <w:tr>
        <w:tc>
          <w:tcPr>
            <w:tcW w:type="dxa" w:w="4819"/>
          </w:tcPr>
          <w:p>
            <w:pPr>
              <w:spacing w:after="0"/>
            </w:pPr>
            <w:r>
              <w:rPr>
                <w:color w:val="1D1D1D"/>
                <w:sz w:val="16"/>
              </w:rPr>
              <w:t>Sheets</w:t>
            </w:r>
          </w:p>
        </w:tc>
        <w:tc>
          <w:tcPr>
            <w:tcW w:type="dxa" w:w="4819"/>
          </w:tcPr>
          <w:p>
            <w:pPr>
              <w:spacing w:after="0"/>
            </w:pPr>
            <w:r>
              <w:rPr>
                <w:color w:val="1D1D1D"/>
                <w:sz w:val="16"/>
              </w:rPr>
              <w:t>40</w:t>
            </w:r>
          </w:p>
        </w:tc>
      </w:tr>
      <w:tr>
        <w:tc>
          <w:tcPr>
            <w:tcW w:type="dxa" w:w="4819"/>
            <w:shd w:val="clear" w:color="auto" w:fill="FAF8F2"/>
          </w:tcPr>
          <w:p>
            <w:pPr>
              <w:spacing w:after="0"/>
            </w:pPr>
            <w:r>
              <w:rPr>
                <w:color w:val="1D1D1D"/>
                <w:sz w:val="16"/>
              </w:rPr>
              <w:t>Live formulas</w:t>
            </w:r>
          </w:p>
        </w:tc>
        <w:tc>
          <w:tcPr>
            <w:tcW w:type="dxa" w:w="4819"/>
            <w:shd w:val="clear" w:color="auto" w:fill="FAF8F2"/>
          </w:tcPr>
          <w:p>
            <w:pPr>
              <w:spacing w:after="0"/>
            </w:pPr>
            <w:r>
              <w:rPr>
                <w:color w:val="1D1D1D"/>
                <w:sz w:val="16"/>
              </w:rPr>
              <w:t>about 11,260</w:t>
            </w:r>
          </w:p>
        </w:tc>
      </w:tr>
      <w:tr>
        <w:tc>
          <w:tcPr>
            <w:tcW w:type="dxa" w:w="4819"/>
          </w:tcPr>
          <w:p>
            <w:pPr>
              <w:spacing w:after="0"/>
            </w:pPr>
            <w:r>
              <w:rPr>
                <w:color w:val="1D1D1D"/>
                <w:sz w:val="16"/>
              </w:rPr>
              <w:t>Periodicity</w:t>
            </w:r>
          </w:p>
        </w:tc>
        <w:tc>
          <w:tcPr>
            <w:tcW w:type="dxa" w:w="4819"/>
          </w:tcPr>
          <w:p>
            <w:pPr>
              <w:spacing w:after="0"/>
            </w:pPr>
            <w:r>
              <w:rPr>
                <w:color w:val="1D1D1D"/>
                <w:sz w:val="16"/>
              </w:rPr>
              <w:t xml:space="preserve">Annual, 40 periods (t = 1 to 40), plus ten development-year columns on </w:t>
            </w:r>
            <w:r>
              <w:rPr>
                <w:i/>
                <w:color w:val="1D1D1D"/>
                <w:sz w:val="16"/>
              </w:rPr>
              <w:t>01A_DEVELOPMENT</w:t>
            </w:r>
          </w:p>
        </w:tc>
      </w:tr>
      <w:tr>
        <w:tc>
          <w:tcPr>
            <w:tcW w:type="dxa" w:w="4819"/>
            <w:shd w:val="clear" w:color="auto" w:fill="FAF8F2"/>
          </w:tcPr>
          <w:p>
            <w:pPr>
              <w:spacing w:after="0"/>
            </w:pPr>
            <w:r>
              <w:rPr>
                <w:color w:val="1D1D1D"/>
                <w:sz w:val="16"/>
              </w:rPr>
              <w:t>Macros, data tables, defined names, volatile functions, external links</w:t>
            </w:r>
          </w:p>
        </w:tc>
        <w:tc>
          <w:tcPr>
            <w:tcW w:type="dxa" w:w="4819"/>
            <w:shd w:val="clear" w:color="auto" w:fill="FAF8F2"/>
          </w:tcPr>
          <w:p>
            <w:pPr>
              <w:spacing w:after="0"/>
            </w:pPr>
            <w:r>
              <w:rPr>
                <w:color w:val="1D1D1D"/>
                <w:sz w:val="16"/>
              </w:rPr>
              <w:t>None</w:t>
            </w:r>
          </w:p>
        </w:tc>
      </w:tr>
      <w:tr>
        <w:tc>
          <w:tcPr>
            <w:tcW w:type="dxa" w:w="4819"/>
          </w:tcPr>
          <w:p>
            <w:pPr>
              <w:spacing w:after="0"/>
            </w:pPr>
            <w:r>
              <w:rPr>
                <w:color w:val="1D1D1D"/>
                <w:sz w:val="16"/>
              </w:rPr>
              <w:t>Circular references</w:t>
            </w:r>
          </w:p>
        </w:tc>
        <w:tc>
          <w:tcPr>
            <w:tcW w:type="dxa" w:w="4819"/>
          </w:tcPr>
          <w:p>
            <w:pPr>
              <w:spacing w:after="0"/>
            </w:pPr>
            <w:r>
              <w:rPr>
                <w:color w:val="1D1D1D"/>
                <w:sz w:val="16"/>
              </w:rPr>
              <w:t xml:space="preserve">None (checked with </w:t>
            </w:r>
            <w:r>
              <w:rPr>
                <w:rFonts w:ascii="Courier New" w:hAnsi="Courier New"/>
                <w:color w:val="1D1D1D"/>
                <w:sz w:val="16"/>
              </w:rPr>
              <w:t>tools/model/check_cycles.py</w:t>
            </w:r>
            <w:r>
              <w:rPr>
                <w:color w:val="1D1D1D"/>
                <w:sz w:val="16"/>
              </w:rPr>
              <w:t>)</w:t>
            </w:r>
          </w:p>
        </w:tc>
      </w:tr>
      <w:tr>
        <w:tc>
          <w:tcPr>
            <w:tcW w:type="dxa" w:w="4819"/>
            <w:shd w:val="clear" w:color="auto" w:fill="FAF8F2"/>
          </w:tcPr>
          <w:p>
            <w:pPr>
              <w:spacing w:after="0"/>
            </w:pPr>
            <w:r>
              <w:rPr>
                <w:color w:val="1D1D1D"/>
                <w:sz w:val="16"/>
              </w:rPr>
              <w:t>Scenario tables</w:t>
            </w:r>
          </w:p>
        </w:tc>
        <w:tc>
          <w:tcPr>
            <w:tcW w:type="dxa" w:w="4819"/>
            <w:shd w:val="clear" w:color="auto" w:fill="FAF8F2"/>
          </w:tcPr>
          <w:p>
            <w:pPr>
              <w:spacing w:after="0"/>
            </w:pPr>
            <w:r>
              <w:rPr>
                <w:color w:val="1D1D1D"/>
                <w:sz w:val="16"/>
              </w:rPr>
              <w:t xml:space="preserve">Written as static values by </w:t>
            </w:r>
            <w:r>
              <w:rPr>
                <w:rFonts w:ascii="Courier New" w:hAnsi="Courier New"/>
                <w:color w:val="1D1D1D"/>
                <w:sz w:val="16"/>
              </w:rPr>
              <w:t>tools/run_snapshots.py</w:t>
            </w:r>
          </w:p>
        </w:tc>
      </w:tr>
    </w:tbl>
    <w:p>
      <w:pPr>
        <w:spacing w:after="40"/>
      </w:pPr>
    </w:p>
    <w:p>
      <w:pPr>
        <w:pStyle w:val="Heading2"/>
      </w:pPr>
      <w:r>
        <w:t>1.3 The Kasiri case</w:t>
      </w:r>
    </w:p>
    <w:p>
      <w:pPr>
        <w:jc w:val="both"/>
      </w:pPr>
      <w:r>
        <w:rPr/>
        <w:t>The reference project is Kasiri River Hydro, a 60 MW run-of-river plant with small daily pondage on the fictional Kasiri River in the fictional Republic of Navaria. In Book 7 it is developed by the fictional Tamarind Hydro Ltd. The buyer is the fictional state-owned Navaria Electricity Company. Every input is illustrative, chosen to make the mechanics visible and to sit inside ranges found in public sources. Replace every input before using the model on a real project. The Lumora Falls scheme that appears in Book 7 as a contrast is not in the workbook.</w:t>
      </w:r>
    </w:p>
    <w:p>
      <w:pPr>
        <w:pStyle w:val="Heading2"/>
      </w:pPr>
      <w:r>
        <w:t>1.4 Versions</w:t>
      </w:r>
    </w:p>
    <w:tbl>
      <w:tblPr>
        <w:tblStyle w:val="TableGrid"/>
        <w:tblW w:type="auto" w:w="0"/>
        <w:jc w:val="center"/>
        <w:tblLook w:firstColumn="1" w:firstRow="1" w:lastColumn="0" w:lastRow="0" w:noHBand="0" w:noVBand="1" w:val="04A0"/>
      </w:tblPr>
      <w:tblGrid>
        <w:gridCol w:w="4819"/>
        <w:gridCol w:w="4819"/>
      </w:tblGrid>
      <w:tr>
        <w:tc>
          <w:tcPr>
            <w:tcW w:type="dxa" w:w="5102"/>
            <w:shd w:val="clear" w:color="auto" w:fill="0B3020"/>
          </w:tcPr>
          <w:p>
            <w:pPr>
              <w:spacing w:after="0"/>
            </w:pPr>
            <w:r>
              <w:rPr>
                <w:b/>
                <w:color w:val="FFFFFF"/>
                <w:sz w:val="16"/>
              </w:rPr>
              <w:t>Product</w:t>
            </w:r>
          </w:p>
        </w:tc>
        <w:tc>
          <w:tcPr>
            <w:tcW w:type="dxa" w:w="4535"/>
            <w:shd w:val="clear" w:color="auto" w:fill="0B3020"/>
          </w:tcPr>
          <w:p>
            <w:pPr>
              <w:spacing w:after="0"/>
            </w:pPr>
            <w:r>
              <w:rPr>
                <w:b/>
                <w:color w:val="FFFFFF"/>
                <w:sz w:val="16"/>
              </w:rPr>
              <w:t>Version</w:t>
            </w:r>
          </w:p>
        </w:tc>
      </w:tr>
      <w:tr>
        <w:tc>
          <w:tcPr>
            <w:tcW w:type="dxa" w:w="5102"/>
          </w:tcPr>
          <w:p>
            <w:pPr>
              <w:spacing w:after="0"/>
            </w:pPr>
            <w:r>
              <w:rPr>
                <w:color w:val="1D1D1D"/>
                <w:sz w:val="16"/>
              </w:rPr>
              <w:t>Book 7</w:t>
            </w:r>
          </w:p>
        </w:tc>
        <w:tc>
          <w:tcPr>
            <w:tcW w:type="dxa" w:w="4535"/>
          </w:tcPr>
          <w:p>
            <w:pPr>
              <w:spacing w:after="0"/>
            </w:pPr>
            <w:r>
              <w:rPr>
                <w:color w:val="1D1D1D"/>
                <w:sz w:val="16"/>
              </w:rPr>
              <w:t>v1.0 release candidate 1</w:t>
            </w:r>
          </w:p>
        </w:tc>
      </w:tr>
      <w:tr>
        <w:tc>
          <w:tcPr>
            <w:tcW w:type="dxa" w:w="5102"/>
            <w:shd w:val="clear" w:color="auto" w:fill="FAF8F2"/>
          </w:tcPr>
          <w:p>
            <w:pPr>
              <w:spacing w:after="0"/>
            </w:pPr>
            <w:r>
              <w:rPr>
                <w:color w:val="1D1D1D"/>
                <w:sz w:val="16"/>
              </w:rPr>
              <w:t>MODEL 7</w:t>
            </w:r>
          </w:p>
        </w:tc>
        <w:tc>
          <w:tcPr>
            <w:tcW w:type="dxa" w:w="4535"/>
            <w:shd w:val="clear" w:color="auto" w:fill="FAF8F2"/>
          </w:tcPr>
          <w:p>
            <w:pPr>
              <w:spacing w:after="0"/>
            </w:pPr>
            <w:r>
              <w:rPr>
                <w:color w:val="1D1D1D"/>
                <w:sz w:val="16"/>
              </w:rPr>
              <w:t>v1.0 release candidate 1</w:t>
            </w:r>
          </w:p>
        </w:tc>
      </w:tr>
      <w:tr>
        <w:tc>
          <w:tcPr>
            <w:tcW w:type="dxa" w:w="5102"/>
          </w:tcPr>
          <w:p>
            <w:pPr>
              <w:spacing w:after="0"/>
            </w:pPr>
            <w:r>
              <w:rPr>
                <w:color w:val="1D1D1D"/>
                <w:sz w:val="16"/>
              </w:rPr>
              <w:t>MANUAL 7 (this document)</w:t>
            </w:r>
          </w:p>
        </w:tc>
        <w:tc>
          <w:tcPr>
            <w:tcW w:type="dxa" w:w="4535"/>
          </w:tcPr>
          <w:p>
            <w:pPr>
              <w:spacing w:after="0"/>
            </w:pPr>
            <w:r>
              <w:rPr>
                <w:color w:val="1D1D1D"/>
                <w:sz w:val="16"/>
              </w:rPr>
              <w:t>v1.0 release candidate 1</w:t>
            </w:r>
          </w:p>
        </w:tc>
      </w:tr>
      <w:tr>
        <w:tc>
          <w:tcPr>
            <w:tcW w:type="dxa" w:w="5102"/>
            <w:shd w:val="clear" w:color="auto" w:fill="FAF8F2"/>
          </w:tcPr>
          <w:p>
            <w:pPr>
              <w:spacing w:after="0"/>
            </w:pPr>
            <w:r>
              <w:rPr>
                <w:color w:val="1D1D1D"/>
                <w:sz w:val="16"/>
              </w:rPr>
              <w:t>Case 7 (Kasiri River Hydro)</w:t>
            </w:r>
          </w:p>
        </w:tc>
        <w:tc>
          <w:tcPr>
            <w:tcW w:type="dxa" w:w="4535"/>
            <w:shd w:val="clear" w:color="auto" w:fill="FAF8F2"/>
          </w:tcPr>
          <w:p>
            <w:pPr>
              <w:spacing w:after="0"/>
            </w:pPr>
            <w:r>
              <w:rPr>
                <w:color w:val="1D1D1D"/>
                <w:sz w:val="16"/>
              </w:rPr>
              <w:t>v1.0 release candidate 1</w:t>
            </w:r>
          </w:p>
        </w:tc>
      </w:tr>
    </w:tbl>
    <w:p>
      <w:pPr>
        <w:spacing w:after="40"/>
      </w:pPr>
    </w:p>
    <w:p>
      <w:pPr>
        <w:jc w:val="both"/>
      </w:pPr>
      <w:r>
        <w:rPr/>
        <w:t xml:space="preserve">Version 1.0 is fixed after the workbook has been tested in Microsoft Excel and the open items in </w:t>
      </w:r>
      <w:r>
        <w:rPr>
          <w:rFonts w:ascii="Courier New" w:hAnsi="Courier New"/>
        </w:rPr>
        <w:t>docs/BOOK7_V04_QA_SUMMARY.md</w:t>
      </w:r>
      <w:r>
        <w:rPr/>
        <w:t xml:space="preserve"> are closed (</w:t>
      </w:r>
      <w:r>
        <w:rPr>
          <w:i/>
        </w:rPr>
        <w:t>00_README</w:t>
      </w:r>
      <w:r>
        <w:rPr/>
        <w:t>, "Versions").</w:t>
      </w:r>
    </w:p>
    <w:p>
      <w:pPr>
        <w:jc w:val="both"/>
      </w:pPr>
      <w:r>
        <w:rPr/>
        <w:t>Nothing in the model or this manual is investment, legal, tax or accounting advice.</w:t>
      </w:r>
    </w:p>
    <w:p>
      <w:r>
        <w:br w:type="page"/>
      </w:r>
    </w:p>
    <w:p>
      <w:pPr>
        <w:pStyle w:val="Heading1"/>
        <w:pBdr>
          <w:bottom w:val="single" w:sz="12" w:space="4" w:color="B07C0F"/>
        </w:pBdr>
      </w:pPr>
      <w:r>
        <w:t>2. Conventions</w:t>
      </w:r>
    </w:p>
    <w:p>
      <w:pPr>
        <w:pStyle w:val="Heading2"/>
      </w:pPr>
      <w:r>
        <w:t>2.1 Colours and formats</w:t>
      </w:r>
    </w:p>
    <w:tbl>
      <w:tblPr>
        <w:tblStyle w:val="TableGrid"/>
        <w:tblW w:type="auto" w:w="0"/>
        <w:jc w:val="center"/>
        <w:tblLook w:firstColumn="1" w:firstRow="1" w:lastColumn="0" w:lastRow="0" w:noHBand="0" w:noVBand="1" w:val="04A0"/>
      </w:tblPr>
      <w:tblGrid>
        <w:gridCol w:w="4819"/>
        <w:gridCol w:w="4819"/>
      </w:tblGrid>
      <w:tr>
        <w:tc>
          <w:tcPr>
            <w:tcW w:type="dxa" w:w="2503"/>
            <w:shd w:val="clear" w:color="auto" w:fill="0B3020"/>
          </w:tcPr>
          <w:p>
            <w:pPr>
              <w:spacing w:after="0"/>
            </w:pPr>
            <w:r>
              <w:rPr>
                <w:b/>
                <w:color w:val="FFFFFF"/>
                <w:sz w:val="16"/>
              </w:rPr>
              <w:t>Convention</w:t>
            </w:r>
          </w:p>
        </w:tc>
        <w:tc>
          <w:tcPr>
            <w:tcW w:type="dxa" w:w="7134"/>
            <w:shd w:val="clear" w:color="auto" w:fill="0B3020"/>
          </w:tcPr>
          <w:p>
            <w:pPr>
              <w:spacing w:after="0"/>
            </w:pPr>
            <w:r>
              <w:rPr>
                <w:b/>
                <w:color w:val="FFFFFF"/>
                <w:sz w:val="16"/>
              </w:rPr>
              <w:t>Meaning</w:t>
            </w:r>
          </w:p>
        </w:tc>
      </w:tr>
      <w:tr>
        <w:tc>
          <w:tcPr>
            <w:tcW w:type="dxa" w:w="2503"/>
          </w:tcPr>
          <w:p>
            <w:pPr>
              <w:spacing w:after="0"/>
            </w:pPr>
            <w:r>
              <w:rPr>
                <w:color w:val="1D1D1D"/>
                <w:sz w:val="16"/>
              </w:rPr>
              <w:t>Blue font</w:t>
            </w:r>
          </w:p>
        </w:tc>
        <w:tc>
          <w:tcPr>
            <w:tcW w:type="dxa" w:w="7134"/>
          </w:tcPr>
          <w:p>
            <w:pPr>
              <w:spacing w:after="0"/>
            </w:pPr>
            <w:r>
              <w:rPr>
                <w:color w:val="1D1D1D"/>
                <w:sz w:val="16"/>
              </w:rPr>
              <w:t>Hard-coded input</w:t>
            </w:r>
          </w:p>
        </w:tc>
      </w:tr>
      <w:tr>
        <w:tc>
          <w:tcPr>
            <w:tcW w:type="dxa" w:w="2503"/>
            <w:shd w:val="clear" w:color="auto" w:fill="FAF8F2"/>
          </w:tcPr>
          <w:p>
            <w:pPr>
              <w:spacing w:after="0"/>
            </w:pPr>
            <w:r>
              <w:rPr>
                <w:color w:val="1D1D1D"/>
                <w:sz w:val="16"/>
              </w:rPr>
              <w:t>Light yellow fill</w:t>
            </w:r>
          </w:p>
        </w:tc>
        <w:tc>
          <w:tcPr>
            <w:tcW w:type="dxa" w:w="7134"/>
            <w:shd w:val="clear" w:color="auto" w:fill="FAF8F2"/>
          </w:tcPr>
          <w:p>
            <w:pPr>
              <w:spacing w:after="0"/>
            </w:pPr>
            <w:r>
              <w:rPr>
                <w:color w:val="1D1D1D"/>
                <w:sz w:val="16"/>
              </w:rPr>
              <w:t>Ordinary input</w:t>
            </w:r>
          </w:p>
        </w:tc>
      </w:tr>
      <w:tr>
        <w:tc>
          <w:tcPr>
            <w:tcW w:type="dxa" w:w="2503"/>
          </w:tcPr>
          <w:p>
            <w:pPr>
              <w:spacing w:after="0"/>
            </w:pPr>
            <w:r>
              <w:rPr>
                <w:color w:val="1D1D1D"/>
                <w:sz w:val="16"/>
              </w:rPr>
              <w:t>Bright yellow fill</w:t>
            </w:r>
          </w:p>
        </w:tc>
        <w:tc>
          <w:tcPr>
            <w:tcW w:type="dxa" w:w="7134"/>
          </w:tcPr>
          <w:p>
            <w:pPr>
              <w:spacing w:after="0"/>
            </w:pPr>
            <w:r>
              <w:rPr>
                <w:color w:val="1D1D1D"/>
                <w:sz w:val="16"/>
              </w:rPr>
              <w:t>Key lever</w:t>
            </w:r>
          </w:p>
        </w:tc>
      </w:tr>
      <w:tr>
        <w:tc>
          <w:tcPr>
            <w:tcW w:type="dxa" w:w="2503"/>
            <w:shd w:val="clear" w:color="auto" w:fill="FAF8F2"/>
          </w:tcPr>
          <w:p>
            <w:pPr>
              <w:spacing w:after="0"/>
            </w:pPr>
            <w:r>
              <w:rPr>
                <w:color w:val="1D1D1D"/>
                <w:sz w:val="16"/>
              </w:rPr>
              <w:t>Black font</w:t>
            </w:r>
          </w:p>
        </w:tc>
        <w:tc>
          <w:tcPr>
            <w:tcW w:type="dxa" w:w="7134"/>
            <w:shd w:val="clear" w:color="auto" w:fill="FAF8F2"/>
          </w:tcPr>
          <w:p>
            <w:pPr>
              <w:spacing w:after="0"/>
            </w:pPr>
            <w:r>
              <w:rPr>
                <w:color w:val="1D1D1D"/>
                <w:sz w:val="16"/>
              </w:rPr>
              <w:t>Formula</w:t>
            </w:r>
          </w:p>
        </w:tc>
      </w:tr>
      <w:tr>
        <w:tc>
          <w:tcPr>
            <w:tcW w:type="dxa" w:w="2503"/>
          </w:tcPr>
          <w:p>
            <w:pPr>
              <w:spacing w:after="0"/>
            </w:pPr>
            <w:r>
              <w:rPr>
                <w:color w:val="1D1D1D"/>
                <w:sz w:val="16"/>
              </w:rPr>
              <w:t>Green font</w:t>
            </w:r>
          </w:p>
        </w:tc>
        <w:tc>
          <w:tcPr>
            <w:tcW w:type="dxa" w:w="7134"/>
          </w:tcPr>
          <w:p>
            <w:pPr>
              <w:spacing w:after="0"/>
            </w:pPr>
            <w:r>
              <w:rPr>
                <w:color w:val="1D1D1D"/>
                <w:sz w:val="16"/>
              </w:rPr>
              <w:t>Direct link to a cell on another sheet</w:t>
            </w:r>
          </w:p>
        </w:tc>
      </w:tr>
      <w:tr>
        <w:tc>
          <w:tcPr>
            <w:tcW w:type="dxa" w:w="2503"/>
            <w:shd w:val="clear" w:color="auto" w:fill="FAF8F2"/>
          </w:tcPr>
          <w:p>
            <w:pPr>
              <w:spacing w:after="0"/>
            </w:pPr>
            <w:r>
              <w:rPr>
                <w:color w:val="1D1D1D"/>
                <w:sz w:val="16"/>
              </w:rPr>
              <w:t>Green shaded cell</w:t>
            </w:r>
          </w:p>
        </w:tc>
        <w:tc>
          <w:tcPr>
            <w:tcW w:type="dxa" w:w="7134"/>
            <w:shd w:val="clear" w:color="auto" w:fill="FAF8F2"/>
          </w:tcPr>
          <w:p>
            <w:pPr>
              <w:spacing w:after="0"/>
            </w:pPr>
            <w:r>
              <w:rPr>
                <w:color w:val="1D1D1D"/>
                <w:sz w:val="16"/>
              </w:rPr>
              <w:t>Key output</w:t>
            </w:r>
          </w:p>
        </w:tc>
      </w:tr>
      <w:tr>
        <w:tc>
          <w:tcPr>
            <w:tcW w:type="dxa" w:w="2503"/>
          </w:tcPr>
          <w:p>
            <w:pPr>
              <w:spacing w:after="0"/>
            </w:pPr>
            <w:r>
              <w:rPr>
                <w:color w:val="1D1D1D"/>
                <w:sz w:val="16"/>
              </w:rPr>
              <w:t>Dark blue header bar</w:t>
            </w:r>
          </w:p>
        </w:tc>
        <w:tc>
          <w:tcPr>
            <w:tcW w:type="dxa" w:w="7134"/>
          </w:tcPr>
          <w:p>
            <w:pPr>
              <w:spacing w:after="0"/>
            </w:pPr>
            <w:r>
              <w:rPr>
                <w:color w:val="1D1D1D"/>
                <w:sz w:val="16"/>
              </w:rPr>
              <w:t>Sheet title and subtitle</w:t>
            </w:r>
          </w:p>
        </w:tc>
      </w:tr>
      <w:tr>
        <w:tc>
          <w:tcPr>
            <w:tcW w:type="dxa" w:w="2503"/>
            <w:shd w:val="clear" w:color="auto" w:fill="FAF8F2"/>
          </w:tcPr>
          <w:p>
            <w:pPr>
              <w:spacing w:after="0"/>
            </w:pPr>
            <w:r>
              <w:rPr>
                <w:color w:val="1D1D1D"/>
                <w:sz w:val="16"/>
              </w:rPr>
              <w:t>Light blue bar</w:t>
            </w:r>
          </w:p>
        </w:tc>
        <w:tc>
          <w:tcPr>
            <w:tcW w:type="dxa" w:w="7134"/>
            <w:shd w:val="clear" w:color="auto" w:fill="FAF8F2"/>
          </w:tcPr>
          <w:p>
            <w:pPr>
              <w:spacing w:after="0"/>
            </w:pPr>
            <w:r>
              <w:rPr>
                <w:color w:val="1D1D1D"/>
                <w:sz w:val="16"/>
              </w:rPr>
              <w:t>Section heading</w:t>
            </w:r>
          </w:p>
        </w:tc>
      </w:tr>
      <w:tr>
        <w:tc>
          <w:tcPr>
            <w:tcW w:type="dxa" w:w="2503"/>
          </w:tcPr>
          <w:p>
            <w:pPr>
              <w:spacing w:after="0"/>
            </w:pPr>
            <w:r>
              <w:rPr>
                <w:color w:val="1D1D1D"/>
                <w:sz w:val="16"/>
              </w:rPr>
              <w:t>Tab colours</w:t>
            </w:r>
          </w:p>
        </w:tc>
        <w:tc>
          <w:tcPr>
            <w:tcW w:type="dxa" w:w="7134"/>
          </w:tcPr>
          <w:p>
            <w:pPr>
              <w:spacing w:after="0"/>
            </w:pPr>
            <w:r>
              <w:rPr>
                <w:color w:val="1D1D1D"/>
                <w:sz w:val="16"/>
              </w:rPr>
              <w:t>00 dark blue; 01 to 19 blue; 20 to 29 green; 30 to 35 red</w:t>
            </w:r>
          </w:p>
        </w:tc>
      </w:tr>
    </w:tbl>
    <w:p>
      <w:pPr>
        <w:spacing w:after="40"/>
      </w:pPr>
    </w:p>
    <w:p>
      <w:pPr>
        <w:jc w:val="both"/>
      </w:pPr>
      <w:r>
        <w:rPr/>
        <w:t xml:space="preserve">Status cells on </w:t>
      </w:r>
      <w:r>
        <w:rPr>
          <w:i/>
        </w:rPr>
        <w:t>13_REGULATION</w:t>
      </w:r>
      <w:r>
        <w:rPr/>
        <w:t xml:space="preserve">, </w:t>
      </w:r>
      <w:r>
        <w:rPr>
          <w:i/>
        </w:rPr>
        <w:t>30_BANKABILITY</w:t>
      </w:r>
      <w:r>
        <w:rPr/>
        <w:t xml:space="preserve">, </w:t>
      </w:r>
      <w:r>
        <w:rPr>
          <w:i/>
        </w:rPr>
        <w:t>30A_CLOSE_READINESS</w:t>
      </w:r>
      <w:r>
        <w:rPr/>
        <w:t xml:space="preserve">, </w:t>
      </w:r>
      <w:r>
        <w:rPr>
          <w:i/>
        </w:rPr>
        <w:t>32_DASHBOARD</w:t>
      </w:r>
      <w:r>
        <w:rPr/>
        <w:t xml:space="preserve">, </w:t>
      </w:r>
      <w:r>
        <w:rPr>
          <w:i/>
        </w:rPr>
        <w:t>33_CHECKS</w:t>
      </w:r>
      <w:r>
        <w:rPr/>
        <w:t xml:space="preserve"> and </w:t>
      </w:r>
      <w:r>
        <w:rPr>
          <w:i/>
        </w:rPr>
        <w:t>35_BOOK_CHECK</w:t>
      </w:r>
      <w:r>
        <w:rPr/>
        <w:t xml:space="preserve"> are coloured by conditional formatting: green for READY, MET, OK and PASS; amber for CONDITIONAL, PARTIAL and CHECK; orange for GAP and DEVELOPMENT GAP; red for CRITICAL GAP, NOT MET and ERROR; grey for NO EVIDENCE.</w:t>
      </w:r>
    </w:p>
    <w:p>
      <w:pPr>
        <w:jc w:val="both"/>
      </w:pPr>
      <w:r>
        <w:rPr/>
        <w:t xml:space="preserve">Selector inputs carry data validation that stops an invalid entry with an error message: </w:t>
      </w:r>
      <w:r>
        <w:rPr>
          <w:i/>
        </w:rPr>
        <w:t>case</w:t>
      </w:r>
      <w:r>
        <w:rPr/>
        <w:t xml:space="preserve"> and </w:t>
      </w:r>
      <w:r>
        <w:rPr>
          <w:i/>
        </w:rPr>
        <w:t>gen_case</w:t>
      </w:r>
      <w:r>
        <w:rPr/>
        <w:t xml:space="preserve"> accept 1 to 3, </w:t>
      </w:r>
      <w:r>
        <w:rPr>
          <w:i/>
        </w:rPr>
        <w:t>lender_case</w:t>
      </w:r>
      <w:r>
        <w:rPr/>
        <w:t xml:space="preserve"> 1 to 4, </w:t>
      </w:r>
      <w:r>
        <w:rPr>
          <w:i/>
        </w:rPr>
        <w:t>structure</w:t>
      </w:r>
      <w:r>
        <w:rPr/>
        <w:t xml:space="preserve"> 1 to 5, </w:t>
      </w:r>
      <w:r>
        <w:rPr>
          <w:i/>
        </w:rPr>
        <w:t>debt_mode</w:t>
      </w:r>
      <w:r>
        <w:rPr/>
        <w:t xml:space="preserve"> 1 to 2, </w:t>
      </w:r>
      <w:r>
        <w:rPr>
          <w:i/>
        </w:rPr>
        <w:t>backstop</w:t>
      </w:r>
      <w:r>
        <w:rPr/>
        <w:t xml:space="preserve"> and the nine stress toggles 0 or 1. Status inputs on </w:t>
      </w:r>
      <w:r>
        <w:rPr>
          <w:i/>
        </w:rPr>
        <w:t>13_REGULATION</w:t>
      </w:r>
      <w:r>
        <w:rPr/>
        <w:t xml:space="preserve"> and </w:t>
      </w:r>
      <w:r>
        <w:rPr>
          <w:i/>
        </w:rPr>
        <w:t>30A_CLOSE_READINESS</w:t>
      </w:r>
      <w:r>
        <w:rPr/>
        <w:t xml:space="preserve"> are drop-down lists.</w:t>
      </w:r>
    </w:p>
    <w:p>
      <w:pPr>
        <w:pStyle w:val="Heading2"/>
      </w:pPr>
      <w:r>
        <w:t>2.2 Units</w:t>
      </w:r>
    </w:p>
    <w:p>
      <w:pPr>
        <w:jc w:val="both"/>
      </w:pPr>
      <w:r>
        <w:rPr/>
        <w:t xml:space="preserve">Money is in USD million (USDm), nominal, unless the label says "real 2026". Real inputs are in 2026 US dollars and are escalated by the US CPI or the capital cost escalation index. Energy is in GWh, capacity in MW, tariffs in USD/MWh. Utility local-currency flows are converted to USD equivalents at the model exchange rate (Navarian lira, NVL per USD). Negative amounts are costs or outflows unless the label says otherwise; on </w:t>
      </w:r>
      <w:r>
        <w:rPr>
          <w:i/>
        </w:rPr>
        <w:t>25_FISCAL_IMPACT</w:t>
      </w:r>
      <w:r>
        <w:rPr/>
        <w:t xml:space="preserve"> a negative fiscal NPV is a net cost to government.</w:t>
      </w:r>
    </w:p>
    <w:p>
      <w:pPr>
        <w:pStyle w:val="Heading2"/>
      </w:pPr>
      <w:r>
        <w:t>2.3 Timeline and layout</w:t>
      </w:r>
    </w:p>
    <w:p>
      <w:pPr>
        <w:jc w:val="both"/>
      </w:pPr>
      <w:r>
        <w:rPr/>
        <w:t>Time-series sheets share one layout: column A label, column B unit, column C total or key value, column D blank, columns E to AR periods t = 1 to 40. Rows 4 and 5 show the calendar year and the operating year (0 during construction and after the concession). Panes are frozen at E6.</w:t>
      </w:r>
    </w:p>
    <w:p>
      <w:pPr>
        <w:jc w:val="both"/>
      </w:pPr>
      <w:r>
        <w:rPr>
          <w:i/>
        </w:rPr>
        <w:t>06_CONSTRUCTION</w:t>
      </w:r>
      <w:r>
        <w:rPr/>
        <w:t xml:space="preserve"> is the timeline master. Its flags drive every other time-series sheet:</w:t>
      </w:r>
    </w:p>
    <w:p>
      <w:pPr>
        <w:spacing w:after="0"/>
        <w:ind w:left="283"/>
      </w:pPr>
      <w:r>
        <w:rPr>
          <w:rFonts w:ascii="Courier New" w:hAnsi="Courier New"/>
          <w:sz w:val="17"/>
        </w:rPr>
        <w:t>year       = start_year+t-1</w:t>
      </w:r>
    </w:p>
    <w:p>
      <w:pPr>
        <w:spacing w:after="0"/>
        <w:ind w:left="283"/>
      </w:pPr>
      <w:r>
        <w:rPr>
          <w:rFonts w:ascii="Courier New" w:hAnsi="Courier New"/>
          <w:sz w:val="17"/>
        </w:rPr>
        <w:t>cons_eff   = cons_years+eff_delay</w:t>
      </w:r>
    </w:p>
    <w:p>
      <w:pPr>
        <w:spacing w:after="0"/>
        <w:ind w:left="283"/>
      </w:pPr>
      <w:r>
        <w:rPr>
          <w:rFonts w:ascii="Courier New" w:hAnsi="Courier New"/>
          <w:sz w:val="17"/>
        </w:rPr>
        <w:t>cod_year   = start_year+cons_eff</w:t>
      </w:r>
    </w:p>
    <w:p>
      <w:pPr>
        <w:spacing w:after="0"/>
        <w:ind w:left="283"/>
      </w:pPr>
      <w:r>
        <w:rPr>
          <w:rFonts w:ascii="Courier New" w:hAnsi="Courier New"/>
          <w:sz w:val="17"/>
        </w:rPr>
        <w:t>consflag   = IF(t&lt;=cons_eff,1,0)</w:t>
      </w:r>
    </w:p>
    <w:p>
      <w:pPr>
        <w:spacing w:after="0"/>
        <w:ind w:left="283"/>
      </w:pPr>
      <w:r>
        <w:rPr>
          <w:rFonts w:ascii="Courier New" w:hAnsi="Courier New"/>
          <w:sz w:val="17"/>
        </w:rPr>
        <w:t>opflag     = IF(AND(t&gt;cons_eff,t&lt;=cons_eff+ops_years),1,0)</w:t>
      </w:r>
    </w:p>
    <w:p>
      <w:pPr>
        <w:spacing w:after="0"/>
        <w:ind w:left="283"/>
      </w:pPr>
      <w:r>
        <w:rPr>
          <w:rFonts w:ascii="Courier New" w:hAnsi="Courier New"/>
          <w:sz w:val="17"/>
        </w:rPr>
        <w:t>lastcons   = IF(t=cons_eff,1,0)</w:t>
      </w:r>
    </w:p>
    <w:p>
      <w:pPr>
        <w:spacing w:after="0"/>
        <w:ind w:left="283"/>
      </w:pPr>
      <w:r>
        <w:rPr>
          <w:rFonts w:ascii="Courier New" w:hAnsi="Courier New"/>
          <w:sz w:val="17"/>
        </w:rPr>
        <w:t>opyr       = IF(opflag=1,t-cons_eff,0)</w:t>
      </w:r>
    </w:p>
    <w:p>
      <w:pPr>
        <w:spacing w:after="40"/>
      </w:pPr>
    </w:p>
    <w:p>
      <w:pPr>
        <w:jc w:val="both"/>
      </w:pPr>
      <w:r>
        <w:rPr/>
        <w:t xml:space="preserve">Construction plus the concession must fit within the 40 periods; </w:t>
      </w:r>
      <w:r>
        <w:rPr>
          <w:i/>
        </w:rPr>
        <w:t>33_CHECKS</w:t>
      </w:r>
      <w:r>
        <w:rPr/>
        <w:t xml:space="preserve"> tests it.</w:t>
      </w:r>
    </w:p>
    <w:p>
      <w:pPr>
        <w:pStyle w:val="Heading2"/>
      </w:pPr>
      <w:r>
        <w:t>2.4 Model time for the Kasiri case</w:t>
      </w:r>
    </w:p>
    <w:p>
      <w:pPr>
        <w:jc w:val="both"/>
      </w:pPr>
      <w:r>
        <w:rPr/>
        <w:t>The Kasiri case runs on model time, not on calendar dates.</w:t>
      </w:r>
    </w:p>
    <w:tbl>
      <w:tblPr>
        <w:tblStyle w:val="TableGrid"/>
        <w:tblW w:type="auto" w:w="0"/>
        <w:jc w:val="center"/>
        <w:tblLook w:firstColumn="1" w:firstRow="1" w:lastColumn="0" w:lastRow="0" w:noHBand="0" w:noVBand="1" w:val="04A0"/>
      </w:tblPr>
      <w:tblGrid>
        <w:gridCol w:w="3213"/>
        <w:gridCol w:w="3213"/>
        <w:gridCol w:w="3213"/>
      </w:tblGrid>
      <w:tr>
        <w:tc>
          <w:tcPr>
            <w:tcW w:type="dxa" w:w="4094"/>
            <w:shd w:val="clear" w:color="auto" w:fill="0B3020"/>
          </w:tcPr>
          <w:p>
            <w:pPr>
              <w:spacing w:after="0"/>
            </w:pPr>
            <w:r>
              <w:rPr>
                <w:b/>
                <w:color w:val="FFFFFF"/>
                <w:sz w:val="16"/>
              </w:rPr>
              <w:t>Event</w:t>
            </w:r>
          </w:p>
        </w:tc>
        <w:tc>
          <w:tcPr>
            <w:tcW w:type="dxa" w:w="1023"/>
            <w:shd w:val="clear" w:color="auto" w:fill="0B3020"/>
          </w:tcPr>
          <w:p>
            <w:pPr>
              <w:spacing w:after="0"/>
            </w:pPr>
            <w:r>
              <w:rPr>
                <w:b/>
                <w:color w:val="FFFFFF"/>
                <w:sz w:val="16"/>
              </w:rPr>
              <w:t>Model year</w:t>
            </w:r>
          </w:p>
        </w:tc>
        <w:tc>
          <w:tcPr>
            <w:tcW w:type="dxa" w:w="4520"/>
            <w:shd w:val="clear" w:color="auto" w:fill="0B3020"/>
          </w:tcPr>
          <w:p>
            <w:pPr>
              <w:spacing w:after="0"/>
            </w:pPr>
            <w:r>
              <w:rPr>
                <w:b/>
                <w:color w:val="FFFFFF"/>
                <w:sz w:val="16"/>
              </w:rPr>
              <w:t>Source</w:t>
            </w:r>
          </w:p>
        </w:tc>
      </w:tr>
      <w:tr>
        <w:tc>
          <w:tcPr>
            <w:tcW w:type="dxa" w:w="4094"/>
          </w:tcPr>
          <w:p>
            <w:pPr>
              <w:spacing w:after="0"/>
            </w:pPr>
            <w:r>
              <w:rPr>
                <w:color w:val="1D1D1D"/>
                <w:sz w:val="16"/>
              </w:rPr>
              <w:t>Development starts (reconnaissance)</w:t>
            </w:r>
          </w:p>
        </w:tc>
        <w:tc>
          <w:tcPr>
            <w:tcW w:type="dxa" w:w="1023"/>
          </w:tcPr>
          <w:p>
            <w:pPr>
              <w:spacing w:after="0"/>
            </w:pPr>
            <w:r>
              <w:rPr>
                <w:color w:val="1D1D1D"/>
                <w:sz w:val="16"/>
              </w:rPr>
              <w:t>2021</w:t>
            </w:r>
          </w:p>
        </w:tc>
        <w:tc>
          <w:tcPr>
            <w:tcW w:type="dxa" w:w="4520"/>
          </w:tcPr>
          <w:p>
            <w:pPr>
              <w:spacing w:after="0"/>
            </w:pPr>
            <w:r>
              <w:rPr>
                <w:color w:val="1D1D1D"/>
                <w:sz w:val="16"/>
              </w:rPr>
              <w:t>Six stages totalling 72 months end at financial close</w:t>
            </w:r>
          </w:p>
        </w:tc>
      </w:tr>
      <w:tr>
        <w:tc>
          <w:tcPr>
            <w:tcW w:type="dxa" w:w="4094"/>
            <w:shd w:val="clear" w:color="auto" w:fill="FAF8F2"/>
          </w:tcPr>
          <w:p>
            <w:pPr>
              <w:spacing w:after="0"/>
            </w:pPr>
            <w:r>
              <w:rPr>
                <w:color w:val="1D1D1D"/>
                <w:sz w:val="16"/>
              </w:rPr>
              <w:t>Financial close, model start (t = 1)</w:t>
            </w:r>
          </w:p>
        </w:tc>
        <w:tc>
          <w:tcPr>
            <w:tcW w:type="dxa" w:w="1023"/>
            <w:shd w:val="clear" w:color="auto" w:fill="FAF8F2"/>
          </w:tcPr>
          <w:p>
            <w:pPr>
              <w:spacing w:after="0"/>
            </w:pPr>
            <w:r>
              <w:rPr>
                <w:color w:val="1D1D1D"/>
                <w:sz w:val="16"/>
              </w:rPr>
              <w:t>2027</w:t>
            </w:r>
          </w:p>
        </w:tc>
        <w:tc>
          <w:tcPr>
            <w:tcW w:type="dxa" w:w="4520"/>
            <w:shd w:val="clear" w:color="auto" w:fill="FAF8F2"/>
          </w:tcPr>
          <w:p>
            <w:pPr>
              <w:spacing w:after="0"/>
            </w:pPr>
            <w:r>
              <w:rPr>
                <w:rFonts w:ascii="Courier New" w:hAnsi="Courier New"/>
                <w:color w:val="1D1D1D"/>
                <w:sz w:val="16"/>
              </w:rPr>
              <w:t>start_year</w:t>
            </w:r>
            <w:r>
              <w:rPr>
                <w:color w:val="1D1D1D"/>
                <w:sz w:val="16"/>
              </w:rPr>
              <w:t xml:space="preserve"> on </w:t>
            </w:r>
            <w:r>
              <w:rPr>
                <w:i/>
                <w:color w:val="1D1D1D"/>
                <w:sz w:val="16"/>
              </w:rPr>
              <w:t>02_PROJECT_INPUTS</w:t>
            </w:r>
          </w:p>
        </w:tc>
      </w:tr>
      <w:tr>
        <w:tc>
          <w:tcPr>
            <w:tcW w:type="dxa" w:w="4094"/>
          </w:tcPr>
          <w:p>
            <w:pPr>
              <w:spacing w:after="0"/>
            </w:pPr>
            <w:r>
              <w:rPr>
                <w:color w:val="1D1D1D"/>
                <w:sz w:val="16"/>
              </w:rPr>
              <w:t>Construction</w:t>
            </w:r>
          </w:p>
        </w:tc>
        <w:tc>
          <w:tcPr>
            <w:tcW w:type="dxa" w:w="1023"/>
          </w:tcPr>
          <w:p>
            <w:pPr>
              <w:spacing w:after="0"/>
            </w:pPr>
            <w:r>
              <w:rPr>
                <w:color w:val="1D1D1D"/>
                <w:sz w:val="16"/>
              </w:rPr>
              <w:t>2027 to 2029</w:t>
            </w:r>
          </w:p>
        </w:tc>
        <w:tc>
          <w:tcPr>
            <w:tcW w:type="dxa" w:w="4520"/>
          </w:tcPr>
          <w:p>
            <w:pPr>
              <w:spacing w:after="0"/>
            </w:pPr>
            <w:r>
              <w:rPr>
                <w:rFonts w:ascii="Courier New" w:hAnsi="Courier New"/>
                <w:color w:val="1D1D1D"/>
                <w:sz w:val="16"/>
              </w:rPr>
              <w:t>cons_years</w:t>
            </w:r>
            <w:r>
              <w:rPr>
                <w:color w:val="1D1D1D"/>
                <w:sz w:val="16"/>
              </w:rPr>
              <w:t xml:space="preserve"> = 3</w:t>
            </w:r>
          </w:p>
        </w:tc>
      </w:tr>
      <w:tr>
        <w:tc>
          <w:tcPr>
            <w:tcW w:type="dxa" w:w="4094"/>
            <w:shd w:val="clear" w:color="auto" w:fill="FAF8F2"/>
          </w:tcPr>
          <w:p>
            <w:pPr>
              <w:spacing w:after="0"/>
            </w:pPr>
            <w:r>
              <w:rPr>
                <w:color w:val="1D1D1D"/>
                <w:sz w:val="16"/>
              </w:rPr>
              <w:t>Commercial operation (first full operating year)</w:t>
            </w:r>
          </w:p>
        </w:tc>
        <w:tc>
          <w:tcPr>
            <w:tcW w:type="dxa" w:w="1023"/>
            <w:shd w:val="clear" w:color="auto" w:fill="FAF8F2"/>
          </w:tcPr>
          <w:p>
            <w:pPr>
              <w:spacing w:after="0"/>
            </w:pPr>
            <w:r>
              <w:rPr>
                <w:color w:val="1D1D1D"/>
                <w:sz w:val="16"/>
              </w:rPr>
              <w:t>2030</w:t>
            </w:r>
          </w:p>
        </w:tc>
        <w:tc>
          <w:tcPr>
            <w:tcW w:type="dxa" w:w="4520"/>
            <w:shd w:val="clear" w:color="auto" w:fill="FAF8F2"/>
          </w:tcPr>
          <w:p>
            <w:pPr>
              <w:spacing w:after="0"/>
            </w:pPr>
            <w:r>
              <w:rPr>
                <w:rFonts w:ascii="Courier New" w:hAnsi="Courier New"/>
                <w:color w:val="1D1D1D"/>
                <w:sz w:val="16"/>
              </w:rPr>
              <w:t>cod_year</w:t>
            </w:r>
          </w:p>
        </w:tc>
      </w:tr>
      <w:tr>
        <w:tc>
          <w:tcPr>
            <w:tcW w:type="dxa" w:w="4094"/>
          </w:tcPr>
          <w:p>
            <w:pPr>
              <w:spacing w:after="0"/>
            </w:pPr>
            <w:r>
              <w:rPr>
                <w:color w:val="1D1D1D"/>
                <w:sz w:val="16"/>
              </w:rPr>
              <w:t>End of the 25-year PPA term</w:t>
            </w:r>
          </w:p>
        </w:tc>
        <w:tc>
          <w:tcPr>
            <w:tcW w:type="dxa" w:w="1023"/>
          </w:tcPr>
          <w:p>
            <w:pPr>
              <w:spacing w:after="0"/>
            </w:pPr>
            <w:r>
              <w:rPr>
                <w:color w:val="1D1D1D"/>
                <w:sz w:val="16"/>
              </w:rPr>
              <w:t>2054</w:t>
            </w:r>
          </w:p>
        </w:tc>
        <w:tc>
          <w:tcPr>
            <w:tcW w:type="dxa" w:w="4520"/>
          </w:tcPr>
          <w:p>
            <w:pPr>
              <w:spacing w:after="0"/>
            </w:pPr>
            <w:r>
              <w:rPr>
                <w:rFonts w:ascii="Courier New" w:hAnsi="Courier New"/>
                <w:color w:val="1D1D1D"/>
                <w:sz w:val="16"/>
              </w:rPr>
              <w:t>ops_years</w:t>
            </w:r>
            <w:r>
              <w:rPr>
                <w:color w:val="1D1D1D"/>
                <w:sz w:val="16"/>
              </w:rPr>
              <w:t xml:space="preserve"> = 25</w:t>
            </w:r>
          </w:p>
        </w:tc>
      </w:tr>
      <w:tr>
        <w:tc>
          <w:tcPr>
            <w:tcW w:type="dxa" w:w="4094"/>
            <w:shd w:val="clear" w:color="auto" w:fill="FAF8F2"/>
          </w:tcPr>
          <w:p>
            <w:pPr>
              <w:spacing w:after="0"/>
            </w:pPr>
            <w:r>
              <w:rPr>
                <w:color w:val="1D1D1D"/>
                <w:sz w:val="16"/>
              </w:rPr>
              <w:t>End of model horizon</w:t>
            </w:r>
          </w:p>
        </w:tc>
        <w:tc>
          <w:tcPr>
            <w:tcW w:type="dxa" w:w="1023"/>
            <w:shd w:val="clear" w:color="auto" w:fill="FAF8F2"/>
          </w:tcPr>
          <w:p>
            <w:pPr>
              <w:spacing w:after="0"/>
            </w:pPr>
            <w:r>
              <w:rPr>
                <w:color w:val="1D1D1D"/>
                <w:sz w:val="16"/>
              </w:rPr>
              <w:t>2066</w:t>
            </w:r>
          </w:p>
        </w:tc>
        <w:tc>
          <w:tcPr>
            <w:tcW w:type="dxa" w:w="4520"/>
            <w:shd w:val="clear" w:color="auto" w:fill="FAF8F2"/>
          </w:tcPr>
          <w:p>
            <w:pPr>
              <w:spacing w:after="0"/>
            </w:pPr>
            <w:r>
              <w:rPr>
                <w:color w:val="1D1D1D"/>
                <w:sz w:val="16"/>
              </w:rPr>
              <w:t>t = 40</w:t>
            </w:r>
          </w:p>
        </w:tc>
      </w:tr>
      <w:tr>
        <w:tc>
          <w:tcPr>
            <w:tcW w:type="dxa" w:w="4094"/>
          </w:tcPr>
          <w:p>
            <w:pPr>
              <w:spacing w:after="0"/>
            </w:pPr>
            <w:r>
              <w:rPr>
                <w:color w:val="1D1D1D"/>
                <w:sz w:val="16"/>
              </w:rPr>
              <w:t>Price base year for real inputs</w:t>
            </w:r>
          </w:p>
        </w:tc>
        <w:tc>
          <w:tcPr>
            <w:tcW w:type="dxa" w:w="1023"/>
          </w:tcPr>
          <w:p>
            <w:pPr>
              <w:spacing w:after="0"/>
            </w:pPr>
            <w:r>
              <w:rPr>
                <w:color w:val="1D1D1D"/>
                <w:sz w:val="16"/>
              </w:rPr>
              <w:t>2026</w:t>
            </w:r>
          </w:p>
        </w:tc>
        <w:tc>
          <w:tcPr>
            <w:tcW w:type="dxa" w:w="4520"/>
          </w:tcPr>
          <w:p>
            <w:pPr>
              <w:spacing w:after="0"/>
            </w:pPr>
            <w:r>
              <w:rPr>
                <w:rFonts w:ascii="Courier New" w:hAnsi="Courier New"/>
                <w:color w:val="1D1D1D"/>
                <w:sz w:val="16"/>
              </w:rPr>
              <w:t>base_year</w:t>
            </w:r>
          </w:p>
        </w:tc>
      </w:tr>
    </w:tbl>
    <w:p>
      <w:pPr>
        <w:spacing w:after="40"/>
      </w:pPr>
    </w:p>
    <w:p>
      <w:pPr>
        <w:jc w:val="both"/>
      </w:pPr>
      <w:r>
        <w:rPr/>
        <w:t xml:space="preserve">When Book 7 says Tamarind is "at the start of permitting", it means the stage reached (stage 4 on </w:t>
      </w:r>
      <w:r>
        <w:rPr>
          <w:i/>
        </w:rPr>
        <w:t>01A_DEVELOPMENT</w:t>
      </w:r>
      <w:r>
        <w:rPr/>
        <w:t>), not a calendar date.</w:t>
      </w:r>
    </w:p>
    <w:p>
      <w:r>
        <w:br w:type="page"/>
      </w:r>
    </w:p>
    <w:p>
      <w:pPr>
        <w:pStyle w:val="Heading1"/>
        <w:pBdr>
          <w:bottom w:val="single" w:sz="12" w:space="4" w:color="B07C0F"/>
        </w:pBdr>
      </w:pPr>
      <w:r>
        <w:t>3. Sheet map</w:t>
      </w:r>
    </w:p>
    <w:p>
      <w:pPr>
        <w:jc w:val="both"/>
      </w:pPr>
      <w:r>
        <w:rPr/>
        <w:t xml:space="preserve">All 40 sheets, grouped as on </w:t>
      </w:r>
      <w:r>
        <w:rPr>
          <w:i/>
        </w:rPr>
        <w:t>00_README</w:t>
      </w:r>
      <w:r>
        <w:rPr/>
        <w:t>.</w:t>
      </w:r>
    </w:p>
    <w:p>
      <w:pPr>
        <w:jc w:val="both"/>
      </w:pPr>
      <w:r>
        <w:rPr>
          <w:b/>
        </w:rPr>
        <w:t>Orientation and control</w:t>
      </w:r>
    </w:p>
    <w:tbl>
      <w:tblPr>
        <w:tblStyle w:val="TableGrid"/>
        <w:tblW w:type="auto" w:w="0"/>
        <w:jc w:val="center"/>
        <w:tblLook w:firstColumn="1" w:firstRow="1" w:lastColumn="0" w:lastRow="0" w:noHBand="0" w:noVBand="1" w:val="04A0"/>
      </w:tblPr>
      <w:tblGrid>
        <w:gridCol w:w="4819"/>
        <w:gridCol w:w="4819"/>
      </w:tblGrid>
      <w:tr>
        <w:tc>
          <w:tcPr>
            <w:tcW w:type="dxa" w:w="2029"/>
            <w:shd w:val="clear" w:color="auto" w:fill="0B3020"/>
          </w:tcPr>
          <w:p>
            <w:pPr>
              <w:spacing w:after="0"/>
            </w:pPr>
            <w:r>
              <w:rPr>
                <w:b/>
                <w:color w:val="FFFFFF"/>
                <w:sz w:val="16"/>
              </w:rPr>
              <w:t>Sheet</w:t>
            </w:r>
          </w:p>
        </w:tc>
        <w:tc>
          <w:tcPr>
            <w:tcW w:type="dxa" w:w="7609"/>
            <w:shd w:val="clear" w:color="auto" w:fill="0B3020"/>
          </w:tcPr>
          <w:p>
            <w:pPr>
              <w:spacing w:after="0"/>
            </w:pPr>
            <w:r>
              <w:rPr>
                <w:b/>
                <w:color w:val="FFFFFF"/>
                <w:sz w:val="16"/>
              </w:rPr>
              <w:t>Purpose</w:t>
            </w:r>
          </w:p>
        </w:tc>
      </w:tr>
      <w:tr>
        <w:tc>
          <w:tcPr>
            <w:tcW w:type="dxa" w:w="2029"/>
          </w:tcPr>
          <w:p>
            <w:pPr>
              <w:spacing w:after="0"/>
            </w:pPr>
            <w:r>
              <w:rPr>
                <w:color w:val="1D1D1D"/>
                <w:sz w:val="16"/>
              </w:rPr>
              <w:t>00_README</w:t>
            </w:r>
          </w:p>
        </w:tc>
        <w:tc>
          <w:tcPr>
            <w:tcW w:type="dxa" w:w="7609"/>
          </w:tcPr>
          <w:p>
            <w:pPr>
              <w:spacing w:after="0"/>
            </w:pPr>
            <w:r>
              <w:rPr>
                <w:color w:val="1D1D1D"/>
                <w:sz w:val="16"/>
              </w:rPr>
              <w:t>Purpose, philosophy, users, colour code, units, circularity, versions, limitations, sheet map</w:t>
            </w:r>
          </w:p>
        </w:tc>
      </w:tr>
      <w:tr>
        <w:tc>
          <w:tcPr>
            <w:tcW w:type="dxa" w:w="2029"/>
            <w:shd w:val="clear" w:color="auto" w:fill="FAF8F2"/>
          </w:tcPr>
          <w:p>
            <w:pPr>
              <w:spacing w:after="0"/>
            </w:pPr>
            <w:r>
              <w:rPr>
                <w:color w:val="1D1D1D"/>
                <w:sz w:val="16"/>
              </w:rPr>
              <w:t>01_CONTROL_PANEL</w:t>
            </w:r>
          </w:p>
        </w:tc>
        <w:tc>
          <w:tcPr>
            <w:tcW w:type="dxa" w:w="7609"/>
            <w:shd w:val="clear" w:color="auto" w:fill="FAF8F2"/>
          </w:tcPr>
          <w:p>
            <w:pPr>
              <w:spacing w:after="0"/>
            </w:pPr>
            <w:r>
              <w:rPr>
                <w:color w:val="1D1D1D"/>
                <w:sz w:val="16"/>
              </w:rPr>
              <w:t>Case, generation case, lender case, structure, debt mode, budget backstop, nine stress toggles, five flexes, and an active-scenario read-out</w:t>
            </w:r>
          </w:p>
        </w:tc>
      </w:tr>
      <w:tr>
        <w:tc>
          <w:tcPr>
            <w:tcW w:type="dxa" w:w="2029"/>
          </w:tcPr>
          <w:p>
            <w:pPr>
              <w:spacing w:after="0"/>
            </w:pPr>
            <w:r>
              <w:rPr>
                <w:color w:val="1D1D1D"/>
                <w:sz w:val="16"/>
              </w:rPr>
              <w:t>01A_DEVELOPMENT</w:t>
            </w:r>
          </w:p>
        </w:tc>
        <w:tc>
          <w:tcPr>
            <w:tcW w:type="dxa" w:w="7609"/>
          </w:tcPr>
          <w:p>
            <w:pPr>
              <w:spacing w:after="0"/>
            </w:pPr>
            <w:r>
              <w:rPr>
                <w:color w:val="1D1D1D"/>
                <w:sz w:val="16"/>
              </w:rPr>
              <w:t>Six development stages, budget, attrition, risk-weighted developer NPV, break-even premium, value by stage, step-ups, sell-down, developer IRR</w:t>
            </w:r>
          </w:p>
        </w:tc>
      </w:tr>
    </w:tbl>
    <w:p>
      <w:pPr>
        <w:spacing w:after="40"/>
      </w:pPr>
    </w:p>
    <w:p>
      <w:pPr>
        <w:jc w:val="both"/>
      </w:pPr>
      <w:r>
        <w:rPr>
          <w:b/>
        </w:rPr>
        <w:t>Project (02 to 07, with 05A)</w:t>
      </w:r>
    </w:p>
    <w:tbl>
      <w:tblPr>
        <w:tblStyle w:val="TableGrid"/>
        <w:tblW w:type="auto" w:w="0"/>
        <w:jc w:val="center"/>
        <w:tblLook w:firstColumn="1" w:firstRow="1" w:lastColumn="0" w:lastRow="0" w:noHBand="0" w:noVBand="1" w:val="04A0"/>
      </w:tblPr>
      <w:tblGrid>
        <w:gridCol w:w="4819"/>
        <w:gridCol w:w="4819"/>
      </w:tblGrid>
      <w:tr>
        <w:tc>
          <w:tcPr>
            <w:tcW w:type="dxa" w:w="2128"/>
            <w:shd w:val="clear" w:color="auto" w:fill="0B3020"/>
          </w:tcPr>
          <w:p>
            <w:pPr>
              <w:spacing w:after="0"/>
            </w:pPr>
            <w:r>
              <w:rPr>
                <w:b/>
                <w:color w:val="FFFFFF"/>
                <w:sz w:val="16"/>
              </w:rPr>
              <w:t>Sheet</w:t>
            </w:r>
          </w:p>
        </w:tc>
        <w:tc>
          <w:tcPr>
            <w:tcW w:type="dxa" w:w="7510"/>
            <w:shd w:val="clear" w:color="auto" w:fill="0B3020"/>
          </w:tcPr>
          <w:p>
            <w:pPr>
              <w:spacing w:after="0"/>
            </w:pPr>
            <w:r>
              <w:rPr>
                <w:b/>
                <w:color w:val="FFFFFF"/>
                <w:sz w:val="16"/>
              </w:rPr>
              <w:t>Purpose</w:t>
            </w:r>
          </w:p>
        </w:tc>
      </w:tr>
      <w:tr>
        <w:tc>
          <w:tcPr>
            <w:tcW w:type="dxa" w:w="2128"/>
          </w:tcPr>
          <w:p>
            <w:pPr>
              <w:spacing w:after="0"/>
            </w:pPr>
            <w:r>
              <w:rPr>
                <w:color w:val="1D1D1D"/>
                <w:sz w:val="16"/>
              </w:rPr>
              <w:t>02_PROJECT_INPUTS</w:t>
            </w:r>
          </w:p>
        </w:tc>
        <w:tc>
          <w:tcPr>
            <w:tcW w:type="dxa" w:w="7510"/>
          </w:tcPr>
          <w:p>
            <w:pPr>
              <w:spacing w:after="0"/>
            </w:pPr>
            <w:r>
              <w:rPr>
                <w:color w:val="1D1D1D"/>
                <w:sz w:val="16"/>
              </w:rPr>
              <w:t>Project identity, timing, plant size, macro and discount rates</w:t>
            </w:r>
          </w:p>
        </w:tc>
      </w:tr>
      <w:tr>
        <w:tc>
          <w:tcPr>
            <w:tcW w:type="dxa" w:w="2128"/>
            <w:shd w:val="clear" w:color="auto" w:fill="FAF8F2"/>
          </w:tcPr>
          <w:p>
            <w:pPr>
              <w:spacing w:after="0"/>
            </w:pPr>
            <w:r>
              <w:rPr>
                <w:color w:val="1D1D1D"/>
                <w:sz w:val="16"/>
              </w:rPr>
              <w:t>03_HYDROLOGY</w:t>
            </w:r>
          </w:p>
        </w:tc>
        <w:tc>
          <w:tcPr>
            <w:tcW w:type="dxa" w:w="7510"/>
            <w:shd w:val="clear" w:color="auto" w:fill="FAF8F2"/>
          </w:tcPr>
          <w:p>
            <w:pPr>
              <w:spacing w:after="0"/>
            </w:pPr>
            <w:r>
              <w:rPr>
                <w:color w:val="1D1D1D"/>
                <w:sz w:val="16"/>
              </w:rPr>
              <w:t>Plant hydraulics, monthly flows to monthly power and energy, P50, P75, one-year P90 and ten-year P90</w:t>
            </w:r>
          </w:p>
        </w:tc>
      </w:tr>
      <w:tr>
        <w:tc>
          <w:tcPr>
            <w:tcW w:type="dxa" w:w="2128"/>
          </w:tcPr>
          <w:p>
            <w:pPr>
              <w:spacing w:after="0"/>
            </w:pPr>
            <w:r>
              <w:rPr>
                <w:color w:val="1D1D1D"/>
                <w:sz w:val="16"/>
              </w:rPr>
              <w:t>04_GENERATION</w:t>
            </w:r>
          </w:p>
        </w:tc>
        <w:tc>
          <w:tcPr>
            <w:tcW w:type="dxa" w:w="7510"/>
          </w:tcPr>
          <w:p>
            <w:pPr>
              <w:spacing w:after="0"/>
            </w:pPr>
            <w:r>
              <w:rPr>
                <w:color w:val="1D1D1D"/>
                <w:sz w:val="16"/>
              </w:rPr>
              <w:t>Installed, available, generated, evacuable, delivered and contracted energy; lender-case generation</w:t>
            </w:r>
          </w:p>
        </w:tc>
      </w:tr>
      <w:tr>
        <w:tc>
          <w:tcPr>
            <w:tcW w:type="dxa" w:w="2128"/>
            <w:shd w:val="clear" w:color="auto" w:fill="FAF8F2"/>
          </w:tcPr>
          <w:p>
            <w:pPr>
              <w:spacing w:after="0"/>
            </w:pPr>
            <w:r>
              <w:rPr>
                <w:color w:val="1D1D1D"/>
                <w:sz w:val="16"/>
              </w:rPr>
              <w:t>05_PLANT_CAPEX</w:t>
            </w:r>
          </w:p>
        </w:tc>
        <w:tc>
          <w:tcPr>
            <w:tcW w:type="dxa" w:w="7510"/>
            <w:shd w:val="clear" w:color="auto" w:fill="FAF8F2"/>
          </w:tcPr>
          <w:p>
            <w:pPr>
              <w:spacing w:after="0"/>
            </w:pPr>
            <w:r>
              <w:rPr>
                <w:color w:val="1D1D1D"/>
                <w:sz w:val="16"/>
              </w:rPr>
              <w:t>Cost build-up including development costs, contractor premium and contingency; benchmark comparison</w:t>
            </w:r>
          </w:p>
        </w:tc>
      </w:tr>
      <w:tr>
        <w:tc>
          <w:tcPr>
            <w:tcW w:type="dxa" w:w="2128"/>
          </w:tcPr>
          <w:p>
            <w:pPr>
              <w:spacing w:after="0"/>
            </w:pPr>
            <w:r>
              <w:rPr>
                <w:color w:val="1D1D1D"/>
                <w:sz w:val="16"/>
              </w:rPr>
              <w:t>05A_CONTRACTING</w:t>
            </w:r>
          </w:p>
        </w:tc>
        <w:tc>
          <w:tcPr>
            <w:tcW w:type="dxa" w:w="7510"/>
          </w:tcPr>
          <w:p>
            <w:pPr>
              <w:spacing w:after="0"/>
            </w:pPr>
            <w:r>
              <w:rPr>
                <w:color w:val="1D1D1D"/>
                <w:sz w:val="16"/>
              </w:rPr>
              <w:t>Turnkey, split-package or multi-contract structure: contractor premium and owner's share of overruns and delay</w:t>
            </w:r>
          </w:p>
        </w:tc>
      </w:tr>
      <w:tr>
        <w:tc>
          <w:tcPr>
            <w:tcW w:type="dxa" w:w="2128"/>
            <w:shd w:val="clear" w:color="auto" w:fill="FAF8F2"/>
          </w:tcPr>
          <w:p>
            <w:pPr>
              <w:spacing w:after="0"/>
            </w:pPr>
            <w:r>
              <w:rPr>
                <w:color w:val="1D1D1D"/>
                <w:sz w:val="16"/>
              </w:rPr>
              <w:t>06_CONSTRUCTION</w:t>
            </w:r>
          </w:p>
        </w:tc>
        <w:tc>
          <w:tcPr>
            <w:tcW w:type="dxa" w:w="7510"/>
            <w:shd w:val="clear" w:color="auto" w:fill="FAF8F2"/>
          </w:tcPr>
          <w:p>
            <w:pPr>
              <w:spacing w:after="0"/>
            </w:pPr>
            <w:r>
              <w:rPr>
                <w:color w:val="1D1D1D"/>
                <w:sz w:val="16"/>
              </w:rPr>
              <w:t>Timeline master, CPI and FX indices, escalation, S-curve phasing of plant cost</w:t>
            </w:r>
          </w:p>
        </w:tc>
      </w:tr>
      <w:tr>
        <w:tc>
          <w:tcPr>
            <w:tcW w:type="dxa" w:w="2128"/>
          </w:tcPr>
          <w:p>
            <w:pPr>
              <w:spacing w:after="0"/>
            </w:pPr>
            <w:r>
              <w:rPr>
                <w:color w:val="1D1D1D"/>
                <w:sz w:val="16"/>
              </w:rPr>
              <w:t>07_OPEX</w:t>
            </w:r>
          </w:p>
        </w:tc>
        <w:tc>
          <w:tcPr>
            <w:tcW w:type="dxa" w:w="7510"/>
          </w:tcPr>
          <w:p>
            <w:pPr>
              <w:spacing w:after="0"/>
            </w:pPr>
            <w:r>
              <w:rPr>
                <w:color w:val="1D1D1D"/>
                <w:sz w:val="16"/>
              </w:rPr>
              <w:t>O&amp;M, insurance, major maintenance reserve, G&amp;A, project transmission O&amp;M, water royalty</w:t>
            </w:r>
          </w:p>
        </w:tc>
      </w:tr>
    </w:tbl>
    <w:p>
      <w:pPr>
        <w:spacing w:after="40"/>
      </w:pPr>
    </w:p>
    <w:p>
      <w:pPr>
        <w:jc w:val="both"/>
      </w:pPr>
      <w:r>
        <w:rPr>
          <w:b/>
        </w:rPr>
        <w:t>Power system (08 to 10)</w:t>
      </w:r>
    </w:p>
    <w:tbl>
      <w:tblPr>
        <w:tblStyle w:val="TableGrid"/>
        <w:tblW w:type="auto" w:w="0"/>
        <w:jc w:val="center"/>
        <w:tblLook w:firstColumn="1" w:firstRow="1" w:lastColumn="0" w:lastRow="0" w:noHBand="0" w:noVBand="1" w:val="04A0"/>
      </w:tblPr>
      <w:tblGrid>
        <w:gridCol w:w="4819"/>
        <w:gridCol w:w="4819"/>
      </w:tblGrid>
      <w:tr>
        <w:tc>
          <w:tcPr>
            <w:tcW w:type="dxa" w:w="1928"/>
            <w:shd w:val="clear" w:color="auto" w:fill="0B3020"/>
          </w:tcPr>
          <w:p>
            <w:pPr>
              <w:spacing w:after="0"/>
            </w:pPr>
            <w:r>
              <w:rPr>
                <w:b/>
                <w:color w:val="FFFFFF"/>
                <w:sz w:val="16"/>
              </w:rPr>
              <w:t>Sheet</w:t>
            </w:r>
          </w:p>
        </w:tc>
        <w:tc>
          <w:tcPr>
            <w:tcW w:type="dxa" w:w="7710"/>
            <w:shd w:val="clear" w:color="auto" w:fill="0B3020"/>
          </w:tcPr>
          <w:p>
            <w:pPr>
              <w:spacing w:after="0"/>
            </w:pPr>
            <w:r>
              <w:rPr>
                <w:b/>
                <w:color w:val="FFFFFF"/>
                <w:sz w:val="16"/>
              </w:rPr>
              <w:t>Purpose</w:t>
            </w:r>
          </w:p>
        </w:tc>
      </w:tr>
      <w:tr>
        <w:tc>
          <w:tcPr>
            <w:tcW w:type="dxa" w:w="1928"/>
          </w:tcPr>
          <w:p>
            <w:pPr>
              <w:spacing w:after="0"/>
            </w:pPr>
            <w:r>
              <w:rPr>
                <w:color w:val="1D1D1D"/>
                <w:sz w:val="16"/>
              </w:rPr>
              <w:t>08_TRANSMISSION</w:t>
            </w:r>
          </w:p>
        </w:tc>
        <w:tc>
          <w:tcPr>
            <w:tcW w:type="dxa" w:w="7710"/>
          </w:tcPr>
          <w:p>
            <w:pPr>
              <w:spacing w:after="0"/>
            </w:pPr>
            <w:r>
              <w:rPr>
                <w:color w:val="1D1D1D"/>
                <w:sz w:val="16"/>
              </w:rPr>
              <w:t>Line, substation and reinforcement cost, who builds, transmission COD, readiness gap</w:t>
            </w:r>
          </w:p>
        </w:tc>
      </w:tr>
      <w:tr>
        <w:tc>
          <w:tcPr>
            <w:tcW w:type="dxa" w:w="1928"/>
            <w:shd w:val="clear" w:color="auto" w:fill="FAF8F2"/>
          </w:tcPr>
          <w:p>
            <w:pPr>
              <w:spacing w:after="0"/>
            </w:pPr>
            <w:r>
              <w:rPr>
                <w:color w:val="1D1D1D"/>
                <w:sz w:val="16"/>
              </w:rPr>
              <w:t>09_GRID</w:t>
            </w:r>
          </w:p>
        </w:tc>
        <w:tc>
          <w:tcPr>
            <w:tcW w:type="dxa" w:w="7710"/>
            <w:shd w:val="clear" w:color="auto" w:fill="FAF8F2"/>
          </w:tcPr>
          <w:p>
            <w:pPr>
              <w:spacing w:after="0"/>
            </w:pPr>
            <w:r>
              <w:rPr>
                <w:color w:val="1D1D1D"/>
                <w:sz w:val="16"/>
              </w:rPr>
              <w:t>System peak, absorption limit at minimum load, evacuation capacity, share of peak</w:t>
            </w:r>
          </w:p>
        </w:tc>
      </w:tr>
      <w:tr>
        <w:tc>
          <w:tcPr>
            <w:tcW w:type="dxa" w:w="1928"/>
          </w:tcPr>
          <w:p>
            <w:pPr>
              <w:spacing w:after="0"/>
            </w:pPr>
            <w:r>
              <w:rPr>
                <w:color w:val="1D1D1D"/>
                <w:sz w:val="16"/>
              </w:rPr>
              <w:t>10_DEMAND</w:t>
            </w:r>
          </w:p>
        </w:tc>
        <w:tc>
          <w:tcPr>
            <w:tcW w:type="dxa" w:w="7710"/>
          </w:tcPr>
          <w:p>
            <w:pPr>
              <w:spacing w:after="0"/>
            </w:pPr>
            <w:r>
              <w:rPr>
                <w:color w:val="1D1D1D"/>
                <w:sz w:val="16"/>
              </w:rPr>
              <w:t>Segment demand, potential, commercial, contracted and bankable demand</w:t>
            </w:r>
          </w:p>
        </w:tc>
      </w:tr>
    </w:tbl>
    <w:p>
      <w:pPr>
        <w:spacing w:after="40"/>
      </w:pPr>
    </w:p>
    <w:p>
      <w:pPr>
        <w:jc w:val="both"/>
      </w:pPr>
      <w:r>
        <w:rPr>
          <w:b/>
        </w:rPr>
        <w:t>Offtaker and utility (11, 12)</w:t>
      </w:r>
    </w:p>
    <w:tbl>
      <w:tblPr>
        <w:tblStyle w:val="TableGrid"/>
        <w:tblW w:type="auto" w:w="0"/>
        <w:jc w:val="center"/>
        <w:tblLook w:firstColumn="1" w:firstRow="1" w:lastColumn="0" w:lastRow="0" w:noHBand="0" w:noVBand="1" w:val="04A0"/>
      </w:tblPr>
      <w:tblGrid>
        <w:gridCol w:w="4819"/>
        <w:gridCol w:w="4819"/>
      </w:tblGrid>
      <w:tr>
        <w:tc>
          <w:tcPr>
            <w:tcW w:type="dxa" w:w="1493"/>
            <w:shd w:val="clear" w:color="auto" w:fill="0B3020"/>
          </w:tcPr>
          <w:p>
            <w:pPr>
              <w:spacing w:after="0"/>
            </w:pPr>
            <w:r>
              <w:rPr>
                <w:b/>
                <w:color w:val="FFFFFF"/>
                <w:sz w:val="16"/>
              </w:rPr>
              <w:t>Sheet</w:t>
            </w:r>
          </w:p>
        </w:tc>
        <w:tc>
          <w:tcPr>
            <w:tcW w:type="dxa" w:w="8145"/>
            <w:shd w:val="clear" w:color="auto" w:fill="0B3020"/>
          </w:tcPr>
          <w:p>
            <w:pPr>
              <w:spacing w:after="0"/>
            </w:pPr>
            <w:r>
              <w:rPr>
                <w:b/>
                <w:color w:val="FFFFFF"/>
                <w:sz w:val="16"/>
              </w:rPr>
              <w:t>Purpose</w:t>
            </w:r>
          </w:p>
        </w:tc>
      </w:tr>
      <w:tr>
        <w:tc>
          <w:tcPr>
            <w:tcW w:type="dxa" w:w="1493"/>
          </w:tcPr>
          <w:p>
            <w:pPr>
              <w:spacing w:after="0"/>
            </w:pPr>
            <w:r>
              <w:rPr>
                <w:color w:val="1D1D1D"/>
                <w:sz w:val="16"/>
              </w:rPr>
              <w:t>11_OFFTAKER</w:t>
            </w:r>
          </w:p>
        </w:tc>
        <w:tc>
          <w:tcPr>
            <w:tcW w:type="dxa" w:w="8145"/>
          </w:tcPr>
          <w:p>
            <w:pPr>
              <w:spacing w:after="0"/>
            </w:pPr>
            <w:r>
              <w:rPr>
                <w:color w:val="1D1D1D"/>
                <w:sz w:val="16"/>
              </w:rPr>
              <w:t>Offtake split, payment security in months of billing</w:t>
            </w:r>
          </w:p>
        </w:tc>
      </w:tr>
      <w:tr>
        <w:tc>
          <w:tcPr>
            <w:tcW w:type="dxa" w:w="1493"/>
            <w:shd w:val="clear" w:color="auto" w:fill="FAF8F2"/>
          </w:tcPr>
          <w:p>
            <w:pPr>
              <w:spacing w:after="0"/>
            </w:pPr>
            <w:r>
              <w:rPr>
                <w:color w:val="1D1D1D"/>
                <w:sz w:val="16"/>
              </w:rPr>
              <w:t>12_UTILITY</w:t>
            </w:r>
          </w:p>
        </w:tc>
        <w:tc>
          <w:tcPr>
            <w:tcW w:type="dxa" w:w="8145"/>
            <w:shd w:val="clear" w:color="auto" w:fill="FAF8F2"/>
          </w:tcPr>
          <w:p>
            <w:pPr>
              <w:spacing w:after="0"/>
            </w:pPr>
            <w:r>
              <w:rPr>
                <w:color w:val="1D1D1D"/>
                <w:sz w:val="16"/>
              </w:rPr>
              <w:t>Simplified utility cash model, maximum sustainable PPA payment, payment gap, no-project counterfactual</w:t>
            </w:r>
          </w:p>
        </w:tc>
      </w:tr>
    </w:tbl>
    <w:p>
      <w:pPr>
        <w:spacing w:after="40"/>
      </w:pPr>
    </w:p>
    <w:p>
      <w:pPr>
        <w:jc w:val="both"/>
      </w:pPr>
      <w:r>
        <w:rPr>
          <w:b/>
        </w:rPr>
        <w:t>Regulation, PPA, tariff and revenue (13 to 16)</w:t>
      </w:r>
    </w:p>
    <w:tbl>
      <w:tblPr>
        <w:tblStyle w:val="TableGrid"/>
        <w:tblW w:type="auto" w:w="0"/>
        <w:jc w:val="center"/>
        <w:tblLook w:firstColumn="1" w:firstRow="1" w:lastColumn="0" w:lastRow="0" w:noHBand="0" w:noVBand="1" w:val="04A0"/>
      </w:tblPr>
      <w:tblGrid>
        <w:gridCol w:w="4819"/>
        <w:gridCol w:w="4819"/>
      </w:tblGrid>
      <w:tr>
        <w:tc>
          <w:tcPr>
            <w:tcW w:type="dxa" w:w="1716"/>
            <w:shd w:val="clear" w:color="auto" w:fill="0B3020"/>
          </w:tcPr>
          <w:p>
            <w:pPr>
              <w:spacing w:after="0"/>
            </w:pPr>
            <w:r>
              <w:rPr>
                <w:b/>
                <w:color w:val="FFFFFF"/>
                <w:sz w:val="16"/>
              </w:rPr>
              <w:t>Sheet</w:t>
            </w:r>
          </w:p>
        </w:tc>
        <w:tc>
          <w:tcPr>
            <w:tcW w:type="dxa" w:w="7921"/>
            <w:shd w:val="clear" w:color="auto" w:fill="0B3020"/>
          </w:tcPr>
          <w:p>
            <w:pPr>
              <w:spacing w:after="0"/>
            </w:pPr>
            <w:r>
              <w:rPr>
                <w:b/>
                <w:color w:val="FFFFFF"/>
                <w:sz w:val="16"/>
              </w:rPr>
              <w:t>Purpose</w:t>
            </w:r>
          </w:p>
        </w:tc>
      </w:tr>
      <w:tr>
        <w:tc>
          <w:tcPr>
            <w:tcW w:type="dxa" w:w="1716"/>
          </w:tcPr>
          <w:p>
            <w:pPr>
              <w:spacing w:after="0"/>
            </w:pPr>
            <w:r>
              <w:rPr>
                <w:color w:val="1D1D1D"/>
                <w:sz w:val="16"/>
              </w:rPr>
              <w:t>13_REGULATION</w:t>
            </w:r>
          </w:p>
        </w:tc>
        <w:tc>
          <w:tcPr>
            <w:tcW w:type="dxa" w:w="7921"/>
          </w:tcPr>
          <w:p>
            <w:pPr>
              <w:spacing w:after="0"/>
            </w:pPr>
            <w:r>
              <w:rPr>
                <w:color w:val="1D1D1D"/>
                <w:sz w:val="16"/>
              </w:rPr>
              <w:t>Regulatory readiness matrix (16 items) and E&amp;S readiness inputs</w:t>
            </w:r>
          </w:p>
        </w:tc>
      </w:tr>
      <w:tr>
        <w:tc>
          <w:tcPr>
            <w:tcW w:type="dxa" w:w="1716"/>
            <w:shd w:val="clear" w:color="auto" w:fill="FAF8F2"/>
          </w:tcPr>
          <w:p>
            <w:pPr>
              <w:spacing w:after="0"/>
            </w:pPr>
            <w:r>
              <w:rPr>
                <w:color w:val="1D1D1D"/>
                <w:sz w:val="16"/>
              </w:rPr>
              <w:t>14_PPA</w:t>
            </w:r>
          </w:p>
        </w:tc>
        <w:tc>
          <w:tcPr>
            <w:tcW w:type="dxa" w:w="7921"/>
            <w:shd w:val="clear" w:color="auto" w:fill="FAF8F2"/>
          </w:tcPr>
          <w:p>
            <w:pPr>
              <w:spacing w:after="0"/>
            </w:pPr>
            <w:r>
              <w:rPr>
                <w:color w:val="1D1D1D"/>
                <w:sz w:val="16"/>
              </w:rPr>
              <w:t>Capacity and energy charges, indexation, currency share, deemed energy, take-or-pay, termination premium</w:t>
            </w:r>
          </w:p>
        </w:tc>
      </w:tr>
      <w:tr>
        <w:tc>
          <w:tcPr>
            <w:tcW w:type="dxa" w:w="1716"/>
          </w:tcPr>
          <w:p>
            <w:pPr>
              <w:spacing w:after="0"/>
            </w:pPr>
            <w:r>
              <w:rPr>
                <w:color w:val="1D1D1D"/>
                <w:sz w:val="16"/>
              </w:rPr>
              <w:t>15_TARIFF</w:t>
            </w:r>
          </w:p>
        </w:tc>
        <w:tc>
          <w:tcPr>
            <w:tcW w:type="dxa" w:w="7921"/>
          </w:tcPr>
          <w:p>
            <w:pPr>
              <w:spacing w:after="0"/>
            </w:pPr>
            <w:r>
              <w:rPr>
                <w:color w:val="1D1D1D"/>
                <w:sz w:val="16"/>
              </w:rPr>
              <w:t>Escalated tariff, blended tariff, LCOE row, affordability headroom</w:t>
            </w:r>
          </w:p>
        </w:tc>
      </w:tr>
      <w:tr>
        <w:tc>
          <w:tcPr>
            <w:tcW w:type="dxa" w:w="1716"/>
            <w:shd w:val="clear" w:color="auto" w:fill="FAF8F2"/>
          </w:tcPr>
          <w:p>
            <w:pPr>
              <w:spacing w:after="0"/>
            </w:pPr>
            <w:r>
              <w:rPr>
                <w:color w:val="1D1D1D"/>
                <w:sz w:val="16"/>
              </w:rPr>
              <w:t>16_REVENUE</w:t>
            </w:r>
          </w:p>
        </w:tc>
        <w:tc>
          <w:tcPr>
            <w:tcW w:type="dxa" w:w="7921"/>
            <w:shd w:val="clear" w:color="auto" w:fill="FAF8F2"/>
          </w:tcPr>
          <w:p>
            <w:pPr>
              <w:spacing w:after="0"/>
            </w:pPr>
            <w:r>
              <w:rPr>
                <w:color w:val="1D1D1D"/>
                <w:sz w:val="16"/>
              </w:rPr>
              <w:t>Energy paid, billed revenue, routing of the utility shortfall, cash revenue, lender-case revenue, revenue quality</w:t>
            </w:r>
          </w:p>
        </w:tc>
      </w:tr>
    </w:tbl>
    <w:p>
      <w:pPr>
        <w:spacing w:after="40"/>
      </w:pPr>
    </w:p>
    <w:p>
      <w:pPr>
        <w:jc w:val="both"/>
      </w:pPr>
      <w:r>
        <w:rPr>
          <w:b/>
        </w:rPr>
        <w:t>Finance (17 to 21, with 17A)</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0B3020"/>
          </w:tcPr>
          <w:p>
            <w:pPr>
              <w:spacing w:after="0"/>
            </w:pPr>
            <w:r>
              <w:rPr>
                <w:b/>
                <w:color w:val="FFFFFF"/>
                <w:sz w:val="16"/>
              </w:rPr>
              <w:t>Sheet</w:t>
            </w:r>
          </w:p>
        </w:tc>
        <w:tc>
          <w:tcPr>
            <w:tcW w:type="dxa" w:w="7414"/>
            <w:shd w:val="clear" w:color="auto" w:fill="0B3020"/>
          </w:tcPr>
          <w:p>
            <w:pPr>
              <w:spacing w:after="0"/>
            </w:pPr>
            <w:r>
              <w:rPr>
                <w:b/>
                <w:color w:val="FFFFFF"/>
                <w:sz w:val="16"/>
              </w:rPr>
              <w:t>Purpose</w:t>
            </w:r>
          </w:p>
        </w:tc>
      </w:tr>
      <w:tr>
        <w:tc>
          <w:tcPr>
            <w:tcW w:type="dxa" w:w="2224"/>
          </w:tcPr>
          <w:p>
            <w:pPr>
              <w:spacing w:after="0"/>
            </w:pPr>
            <w:r>
              <w:rPr>
                <w:color w:val="1D1D1D"/>
                <w:sz w:val="16"/>
              </w:rPr>
              <w:t>17_PROJECT_FINANCE</w:t>
            </w:r>
          </w:p>
        </w:tc>
        <w:tc>
          <w:tcPr>
            <w:tcW w:type="dxa" w:w="7414"/>
          </w:tcPr>
          <w:p>
            <w:pPr>
              <w:spacing w:after="0"/>
            </w:pPr>
            <w:r>
              <w:rPr>
                <w:color w:val="1D1D1D"/>
                <w:sz w:val="16"/>
              </w:rPr>
              <w:t>Funding base, sources and uses, debt capacity, financing gap, key results</w:t>
            </w:r>
          </w:p>
        </w:tc>
      </w:tr>
      <w:tr>
        <w:tc>
          <w:tcPr>
            <w:tcW w:type="dxa" w:w="2224"/>
            <w:shd w:val="clear" w:color="auto" w:fill="FAF8F2"/>
          </w:tcPr>
          <w:p>
            <w:pPr>
              <w:spacing w:after="0"/>
            </w:pPr>
            <w:r>
              <w:rPr>
                <w:color w:val="1D1D1D"/>
                <w:sz w:val="16"/>
              </w:rPr>
              <w:t>17A_STRUCTURES</w:t>
            </w:r>
          </w:p>
        </w:tc>
        <w:tc>
          <w:tcPr>
            <w:tcW w:type="dxa" w:w="7414"/>
            <w:shd w:val="clear" w:color="auto" w:fill="FAF8F2"/>
          </w:tcPr>
          <w:p>
            <w:pPr>
              <w:spacing w:after="0"/>
            </w:pPr>
            <w:r>
              <w:rPr>
                <w:color w:val="1D1D1D"/>
                <w:sz w:val="16"/>
              </w:rPr>
              <w:t>Five structures for the same project, live closed-form comparison, full-engine snapshot</w:t>
            </w:r>
          </w:p>
        </w:tc>
      </w:tr>
      <w:tr>
        <w:tc>
          <w:tcPr>
            <w:tcW w:type="dxa" w:w="2224"/>
          </w:tcPr>
          <w:p>
            <w:pPr>
              <w:spacing w:after="0"/>
            </w:pPr>
            <w:r>
              <w:rPr>
                <w:color w:val="1D1D1D"/>
                <w:sz w:val="16"/>
              </w:rPr>
              <w:t>18_DEBT</w:t>
            </w:r>
          </w:p>
        </w:tc>
        <w:tc>
          <w:tcPr>
            <w:tcW w:type="dxa" w:w="7414"/>
          </w:tcPr>
          <w:p>
            <w:pPr>
              <w:spacing w:after="0"/>
            </w:pPr>
            <w:r>
              <w:rPr>
                <w:color w:val="1D1D1D"/>
                <w:sz w:val="16"/>
              </w:rPr>
              <w:t>Locked-mode inputs, closed-form IDC factors, lender-case CFADS, sculpting, two tranches, DSRA target</w:t>
            </w:r>
          </w:p>
        </w:tc>
      </w:tr>
      <w:tr>
        <w:tc>
          <w:tcPr>
            <w:tcW w:type="dxa" w:w="2224"/>
            <w:shd w:val="clear" w:color="auto" w:fill="FAF8F2"/>
          </w:tcPr>
          <w:p>
            <w:pPr>
              <w:spacing w:after="0"/>
            </w:pPr>
            <w:r>
              <w:rPr>
                <w:color w:val="1D1D1D"/>
                <w:sz w:val="16"/>
              </w:rPr>
              <w:t>19_EQUITY</w:t>
            </w:r>
          </w:p>
        </w:tc>
        <w:tc>
          <w:tcPr>
            <w:tcW w:type="dxa" w:w="7414"/>
            <w:shd w:val="clear" w:color="auto" w:fill="FAF8F2"/>
          </w:tcPr>
          <w:p>
            <w:pPr>
              <w:spacing w:after="0"/>
            </w:pPr>
            <w:r>
              <w:rPr>
                <w:color w:val="1D1D1D"/>
                <w:sz w:val="16"/>
              </w:rPr>
              <w:t>Equity totals, returns by holder, termination value of private equity</w:t>
            </w:r>
          </w:p>
        </w:tc>
      </w:tr>
      <w:tr>
        <w:tc>
          <w:tcPr>
            <w:tcW w:type="dxa" w:w="2224"/>
          </w:tcPr>
          <w:p>
            <w:pPr>
              <w:spacing w:after="0"/>
            </w:pPr>
            <w:r>
              <w:rPr>
                <w:color w:val="1D1D1D"/>
                <w:sz w:val="16"/>
              </w:rPr>
              <w:t>20_CASH_FLOW</w:t>
            </w:r>
          </w:p>
        </w:tc>
        <w:tc>
          <w:tcPr>
            <w:tcW w:type="dxa" w:w="7414"/>
          </w:tcPr>
          <w:p>
            <w:pPr>
              <w:spacing w:after="0"/>
            </w:pPr>
            <w:r>
              <w:rPr>
                <w:color w:val="1D1D1D"/>
                <w:sz w:val="16"/>
              </w:rPr>
              <w:t>Construction funding, operating waterfall, DSRA movements, distributions, equity cash flows, LCOE streams</w:t>
            </w:r>
          </w:p>
        </w:tc>
      </w:tr>
      <w:tr>
        <w:tc>
          <w:tcPr>
            <w:tcW w:type="dxa" w:w="2224"/>
            <w:shd w:val="clear" w:color="auto" w:fill="FAF8F2"/>
          </w:tcPr>
          <w:p>
            <w:pPr>
              <w:spacing w:after="0"/>
            </w:pPr>
            <w:r>
              <w:rPr>
                <w:color w:val="1D1D1D"/>
                <w:sz w:val="16"/>
              </w:rPr>
              <w:t>21_TAX</w:t>
            </w:r>
          </w:p>
        </w:tc>
        <w:tc>
          <w:tcPr>
            <w:tcW w:type="dxa" w:w="7414"/>
            <w:shd w:val="clear" w:color="auto" w:fill="FAF8F2"/>
          </w:tcPr>
          <w:p>
            <w:pPr>
              <w:spacing w:after="0"/>
            </w:pPr>
            <w:r>
              <w:rPr>
                <w:color w:val="1D1D1D"/>
                <w:sz w:val="16"/>
              </w:rPr>
              <w:t>Depreciation, loss carry-forward, tax holiday, unlevered tax</w:t>
            </w:r>
          </w:p>
        </w:tc>
      </w:tr>
    </w:tbl>
    <w:p>
      <w:pPr>
        <w:spacing w:after="40"/>
      </w:pPr>
    </w:p>
    <w:p>
      <w:pPr>
        <w:jc w:val="both"/>
      </w:pPr>
      <w:r>
        <w:rPr>
          <w:b/>
        </w:rPr>
        <w:t>Public finance (22 to 26)</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0B3020"/>
          </w:tcPr>
          <w:p>
            <w:pPr>
              <w:spacing w:after="0"/>
            </w:pPr>
            <w:r>
              <w:rPr>
                <w:b/>
                <w:color w:val="FFFFFF"/>
                <w:sz w:val="16"/>
              </w:rPr>
              <w:t>Sheet</w:t>
            </w:r>
          </w:p>
        </w:tc>
        <w:tc>
          <w:tcPr>
            <w:tcW w:type="dxa" w:w="6803"/>
            <w:shd w:val="clear" w:color="auto" w:fill="0B3020"/>
          </w:tcPr>
          <w:p>
            <w:pPr>
              <w:spacing w:after="0"/>
            </w:pPr>
            <w:r>
              <w:rPr>
                <w:b/>
                <w:color w:val="FFFFFF"/>
                <w:sz w:val="16"/>
              </w:rPr>
              <w:t>Purpose</w:t>
            </w:r>
          </w:p>
        </w:tc>
      </w:tr>
      <w:tr>
        <w:tc>
          <w:tcPr>
            <w:tcW w:type="dxa" w:w="2835"/>
          </w:tcPr>
          <w:p>
            <w:pPr>
              <w:spacing w:after="0"/>
            </w:pPr>
            <w:r>
              <w:rPr>
                <w:color w:val="1D1D1D"/>
                <w:sz w:val="16"/>
              </w:rPr>
              <w:t>22_GOVERNMENT_SUPPORT</w:t>
            </w:r>
          </w:p>
        </w:tc>
        <w:tc>
          <w:tcPr>
            <w:tcW w:type="dxa" w:w="6803"/>
          </w:tcPr>
          <w:p>
            <w:pPr>
              <w:spacing w:after="0"/>
            </w:pPr>
            <w:r>
              <w:rPr>
                <w:color w:val="1D1D1D"/>
                <w:sz w:val="16"/>
              </w:rPr>
              <w:t>Direct government cash exposure</w:t>
            </w:r>
          </w:p>
        </w:tc>
      </w:tr>
      <w:tr>
        <w:tc>
          <w:tcPr>
            <w:tcW w:type="dxa" w:w="2835"/>
            <w:shd w:val="clear" w:color="auto" w:fill="FAF8F2"/>
          </w:tcPr>
          <w:p>
            <w:pPr>
              <w:spacing w:after="0"/>
            </w:pPr>
            <w:r>
              <w:rPr>
                <w:color w:val="1D1D1D"/>
                <w:sz w:val="16"/>
              </w:rPr>
              <w:t>23_GUARANTEES</w:t>
            </w:r>
          </w:p>
        </w:tc>
        <w:tc>
          <w:tcPr>
            <w:tcW w:type="dxa" w:w="6803"/>
            <w:shd w:val="clear" w:color="auto" w:fill="FAF8F2"/>
          </w:tcPr>
          <w:p>
            <w:pPr>
              <w:spacing w:after="0"/>
            </w:pPr>
            <w:r>
              <w:rPr>
                <w:color w:val="1D1D1D"/>
                <w:sz w:val="16"/>
              </w:rPr>
              <w:t>Exposure by instrument, year by year</w:t>
            </w:r>
          </w:p>
        </w:tc>
      </w:tr>
      <w:tr>
        <w:tc>
          <w:tcPr>
            <w:tcW w:type="dxa" w:w="2835"/>
          </w:tcPr>
          <w:p>
            <w:pPr>
              <w:spacing w:after="0"/>
            </w:pPr>
            <w:r>
              <w:rPr>
                <w:color w:val="1D1D1D"/>
                <w:sz w:val="16"/>
              </w:rPr>
              <w:t>24_CONTINGENT_LIABILITIES</w:t>
            </w:r>
          </w:p>
        </w:tc>
        <w:tc>
          <w:tcPr>
            <w:tcW w:type="dxa" w:w="6803"/>
          </w:tcPr>
          <w:p>
            <w:pPr>
              <w:spacing w:after="0"/>
            </w:pPr>
            <w:r>
              <w:rPr>
                <w:color w:val="1D1D1D"/>
                <w:sz w:val="16"/>
              </w:rPr>
              <w:t>Maximum simultaneous exposure, deterministic calls, expected loss</w:t>
            </w:r>
          </w:p>
        </w:tc>
      </w:tr>
      <w:tr>
        <w:tc>
          <w:tcPr>
            <w:tcW w:type="dxa" w:w="2835"/>
            <w:shd w:val="clear" w:color="auto" w:fill="FAF8F2"/>
          </w:tcPr>
          <w:p>
            <w:pPr>
              <w:spacing w:after="0"/>
            </w:pPr>
            <w:r>
              <w:rPr>
                <w:color w:val="1D1D1D"/>
                <w:sz w:val="16"/>
              </w:rPr>
              <w:t>25_FISCAL_IMPACT</w:t>
            </w:r>
          </w:p>
        </w:tc>
        <w:tc>
          <w:tcPr>
            <w:tcW w:type="dxa" w:w="6803"/>
            <w:shd w:val="clear" w:color="auto" w:fill="FAF8F2"/>
          </w:tcPr>
          <w:p>
            <w:pPr>
              <w:spacing w:after="0"/>
            </w:pPr>
            <w:r>
              <w:rPr>
                <w:color w:val="1D1D1D"/>
                <w:sz w:val="16"/>
              </w:rPr>
              <w:t>Net fiscal cash flow, central and consolidated fiscal NPV</w:t>
            </w:r>
          </w:p>
        </w:tc>
      </w:tr>
      <w:tr>
        <w:tc>
          <w:tcPr>
            <w:tcW w:type="dxa" w:w="2835"/>
          </w:tcPr>
          <w:p>
            <w:pPr>
              <w:spacing w:after="0"/>
            </w:pPr>
            <w:r>
              <w:rPr>
                <w:color w:val="1D1D1D"/>
                <w:sz w:val="16"/>
              </w:rPr>
              <w:t>26_DEBT_SUSTAINABILITY</w:t>
            </w:r>
          </w:p>
        </w:tc>
        <w:tc>
          <w:tcPr>
            <w:tcW w:type="dxa" w:w="6803"/>
          </w:tcPr>
          <w:p>
            <w:pPr>
              <w:spacing w:after="0"/>
            </w:pPr>
            <w:r>
              <w:rPr>
                <w:color w:val="1D1D1D"/>
                <w:sz w:val="16"/>
              </w:rPr>
              <w:t>Project-level fiscal exposure screening (not a debt sustainability analysis)</w:t>
            </w:r>
          </w:p>
        </w:tc>
      </w:tr>
    </w:tbl>
    <w:p>
      <w:pPr>
        <w:spacing w:after="40"/>
      </w:pPr>
    </w:p>
    <w:p>
      <w:pPr>
        <w:jc w:val="both"/>
      </w:pPr>
      <w:r>
        <w:rPr>
          <w:b/>
        </w:rPr>
        <w:t>Scenarios and risk (27 to 29)</w:t>
      </w:r>
    </w:p>
    <w:tbl>
      <w:tblPr>
        <w:tblStyle w:val="TableGrid"/>
        <w:tblW w:type="auto" w:w="0"/>
        <w:jc w:val="center"/>
        <w:tblLook w:firstColumn="1" w:firstRow="1" w:lastColumn="0" w:lastRow="0" w:noHBand="0" w:noVBand="1" w:val="04A0"/>
      </w:tblPr>
      <w:tblGrid>
        <w:gridCol w:w="4819"/>
        <w:gridCol w:w="4819"/>
      </w:tblGrid>
      <w:tr>
        <w:tc>
          <w:tcPr>
            <w:tcW w:type="dxa" w:w="2224"/>
            <w:shd w:val="clear" w:color="auto" w:fill="0B3020"/>
          </w:tcPr>
          <w:p>
            <w:pPr>
              <w:spacing w:after="0"/>
            </w:pPr>
            <w:r>
              <w:rPr>
                <w:b/>
                <w:color w:val="FFFFFF"/>
                <w:sz w:val="16"/>
              </w:rPr>
              <w:t>Sheet</w:t>
            </w:r>
          </w:p>
        </w:tc>
        <w:tc>
          <w:tcPr>
            <w:tcW w:type="dxa" w:w="7414"/>
            <w:shd w:val="clear" w:color="auto" w:fill="0B3020"/>
          </w:tcPr>
          <w:p>
            <w:pPr>
              <w:spacing w:after="0"/>
            </w:pPr>
            <w:r>
              <w:rPr>
                <w:b/>
                <w:color w:val="FFFFFF"/>
                <w:sz w:val="16"/>
              </w:rPr>
              <w:t>Purpose</w:t>
            </w:r>
          </w:p>
        </w:tc>
      </w:tr>
      <w:tr>
        <w:tc>
          <w:tcPr>
            <w:tcW w:type="dxa" w:w="2224"/>
          </w:tcPr>
          <w:p>
            <w:pPr>
              <w:spacing w:after="0"/>
            </w:pPr>
            <w:r>
              <w:rPr>
                <w:color w:val="1D1D1D"/>
                <w:sz w:val="16"/>
              </w:rPr>
              <w:t>27_SCENARIOS</w:t>
            </w:r>
          </w:p>
        </w:tc>
        <w:tc>
          <w:tcPr>
            <w:tcW w:type="dxa" w:w="7414"/>
          </w:tcPr>
          <w:p>
            <w:pPr>
              <w:spacing w:after="0"/>
            </w:pPr>
            <w:r>
              <w:rPr>
                <w:color w:val="1D1D1D"/>
                <w:sz w:val="16"/>
              </w:rPr>
              <w:t>Case table, stress parameters, effective levers, full-engine scenario snapshot</w:t>
            </w:r>
          </w:p>
        </w:tc>
      </w:tr>
      <w:tr>
        <w:tc>
          <w:tcPr>
            <w:tcW w:type="dxa" w:w="2224"/>
            <w:shd w:val="clear" w:color="auto" w:fill="FAF8F2"/>
          </w:tcPr>
          <w:p>
            <w:pPr>
              <w:spacing w:after="0"/>
            </w:pPr>
            <w:r>
              <w:rPr>
                <w:color w:val="1D1D1D"/>
                <w:sz w:val="16"/>
              </w:rPr>
              <w:t>28_SENSITIVITY</w:t>
            </w:r>
          </w:p>
        </w:tc>
        <w:tc>
          <w:tcPr>
            <w:tcW w:type="dxa" w:w="7414"/>
            <w:shd w:val="clear" w:color="auto" w:fill="FAF8F2"/>
          </w:tcPr>
          <w:p>
            <w:pPr>
              <w:spacing w:after="0"/>
            </w:pPr>
            <w:r>
              <w:rPr>
                <w:color w:val="1D1D1D"/>
                <w:sz w:val="16"/>
              </w:rPr>
              <w:t>Live closed-form LCOE tornado, full-engine sensitivity snapshot</w:t>
            </w:r>
          </w:p>
        </w:tc>
      </w:tr>
      <w:tr>
        <w:tc>
          <w:tcPr>
            <w:tcW w:type="dxa" w:w="2224"/>
          </w:tcPr>
          <w:p>
            <w:pPr>
              <w:spacing w:after="0"/>
            </w:pPr>
            <w:r>
              <w:rPr>
                <w:color w:val="1D1D1D"/>
                <w:sz w:val="16"/>
              </w:rPr>
              <w:t>29_RISK_ALLOCATION</w:t>
            </w:r>
          </w:p>
        </w:tc>
        <w:tc>
          <w:tcPr>
            <w:tcW w:type="dxa" w:w="7414"/>
          </w:tcPr>
          <w:p>
            <w:pPr>
              <w:spacing w:after="0"/>
            </w:pPr>
            <w:r>
              <w:rPr>
                <w:color w:val="1D1D1D"/>
                <w:sz w:val="16"/>
              </w:rPr>
              <w:t>16 risks against 8 parties, mitigability and instruments</w:t>
            </w:r>
          </w:p>
        </w:tc>
      </w:tr>
    </w:tbl>
    <w:p>
      <w:pPr>
        <w:spacing w:after="40"/>
      </w:pPr>
    </w:p>
    <w:p>
      <w:pPr>
        <w:jc w:val="both"/>
      </w:pPr>
      <w:r>
        <w:rPr>
          <w:b/>
        </w:rPr>
        <w:t>Gates, results and assurance (30 to 35)</w:t>
      </w:r>
    </w:p>
    <w:tbl>
      <w:tblPr>
        <w:tblStyle w:val="TableGrid"/>
        <w:tblW w:type="auto" w:w="0"/>
        <w:jc w:val="center"/>
        <w:tblLook w:firstColumn="1" w:firstRow="1" w:lastColumn="0" w:lastRow="0" w:noHBand="0" w:noVBand="1" w:val="04A0"/>
      </w:tblPr>
      <w:tblGrid>
        <w:gridCol w:w="4819"/>
        <w:gridCol w:w="4819"/>
      </w:tblGrid>
      <w:tr>
        <w:tc>
          <w:tcPr>
            <w:tcW w:type="dxa" w:w="2318"/>
            <w:shd w:val="clear" w:color="auto" w:fill="0B3020"/>
          </w:tcPr>
          <w:p>
            <w:pPr>
              <w:spacing w:after="0"/>
            </w:pPr>
            <w:r>
              <w:rPr>
                <w:b/>
                <w:color w:val="FFFFFF"/>
                <w:sz w:val="16"/>
              </w:rPr>
              <w:t>Sheet</w:t>
            </w:r>
          </w:p>
        </w:tc>
        <w:tc>
          <w:tcPr>
            <w:tcW w:type="dxa" w:w="7320"/>
            <w:shd w:val="clear" w:color="auto" w:fill="0B3020"/>
          </w:tcPr>
          <w:p>
            <w:pPr>
              <w:spacing w:after="0"/>
            </w:pPr>
            <w:r>
              <w:rPr>
                <w:b/>
                <w:color w:val="FFFFFF"/>
                <w:sz w:val="16"/>
              </w:rPr>
              <w:t>Purpose</w:t>
            </w:r>
          </w:p>
        </w:tc>
      </w:tr>
      <w:tr>
        <w:tc>
          <w:tcPr>
            <w:tcW w:type="dxa" w:w="2318"/>
          </w:tcPr>
          <w:p>
            <w:pPr>
              <w:spacing w:after="0"/>
            </w:pPr>
            <w:r>
              <w:rPr>
                <w:color w:val="1D1D1D"/>
                <w:sz w:val="16"/>
              </w:rPr>
              <w:t>30_BANKABILITY</w:t>
            </w:r>
          </w:p>
        </w:tc>
        <w:tc>
          <w:tcPr>
            <w:tcW w:type="dxa" w:w="7320"/>
          </w:tcPr>
          <w:p>
            <w:pPr>
              <w:spacing w:after="0"/>
            </w:pPr>
            <w:r>
              <w:rPr>
                <w:color w:val="1D1D1D"/>
                <w:sz w:val="16"/>
              </w:rPr>
              <w:t>9-gate bankability screen for the development stage, weakest-link scoring, ranked actions</w:t>
            </w:r>
          </w:p>
        </w:tc>
      </w:tr>
      <w:tr>
        <w:tc>
          <w:tcPr>
            <w:tcW w:type="dxa" w:w="2318"/>
            <w:shd w:val="clear" w:color="auto" w:fill="FAF8F2"/>
          </w:tcPr>
          <w:p>
            <w:pPr>
              <w:spacing w:after="0"/>
            </w:pPr>
            <w:r>
              <w:rPr>
                <w:color w:val="1D1D1D"/>
                <w:sz w:val="16"/>
              </w:rPr>
              <w:t>30A_CLOSE_READINESS</w:t>
            </w:r>
          </w:p>
        </w:tc>
        <w:tc>
          <w:tcPr>
            <w:tcW w:type="dxa" w:w="7320"/>
            <w:shd w:val="clear" w:color="auto" w:fill="FAF8F2"/>
          </w:tcPr>
          <w:p>
            <w:pPr>
              <w:spacing w:after="0"/>
            </w:pPr>
            <w:r>
              <w:rPr>
                <w:color w:val="1D1D1D"/>
                <w:sz w:val="16"/>
              </w:rPr>
              <w:t>23 financial close gates, evidence first; decision ladder; summary by framework question</w:t>
            </w:r>
          </w:p>
        </w:tc>
      </w:tr>
      <w:tr>
        <w:tc>
          <w:tcPr>
            <w:tcW w:type="dxa" w:w="2318"/>
          </w:tcPr>
          <w:p>
            <w:pPr>
              <w:spacing w:after="0"/>
            </w:pPr>
            <w:r>
              <w:rPr>
                <w:color w:val="1D1D1D"/>
                <w:sz w:val="16"/>
              </w:rPr>
              <w:t>31_CASE_STUDY</w:t>
            </w:r>
          </w:p>
        </w:tc>
        <w:tc>
          <w:tcPr>
            <w:tcW w:type="dxa" w:w="7320"/>
          </w:tcPr>
          <w:p>
            <w:pPr>
              <w:spacing w:after="0"/>
            </w:pPr>
            <w:r>
              <w:rPr>
                <w:color w:val="1D1D1D"/>
                <w:sz w:val="16"/>
              </w:rPr>
              <w:t>Kasiri against 15 public benchmark cases (unit cost as published, unadjusted)</w:t>
            </w:r>
          </w:p>
        </w:tc>
      </w:tr>
      <w:tr>
        <w:tc>
          <w:tcPr>
            <w:tcW w:type="dxa" w:w="2318"/>
            <w:shd w:val="clear" w:color="auto" w:fill="FAF8F2"/>
          </w:tcPr>
          <w:p>
            <w:pPr>
              <w:spacing w:after="0"/>
            </w:pPr>
            <w:r>
              <w:rPr>
                <w:color w:val="1D1D1D"/>
                <w:sz w:val="16"/>
              </w:rPr>
              <w:t>32_DASHBOARD</w:t>
            </w:r>
          </w:p>
        </w:tc>
        <w:tc>
          <w:tcPr>
            <w:tcW w:type="dxa" w:w="7320"/>
            <w:shd w:val="clear" w:color="auto" w:fill="FAF8F2"/>
          </w:tcPr>
          <w:p>
            <w:pPr>
              <w:spacing w:after="0"/>
            </w:pPr>
            <w:r>
              <w:rPr>
                <w:color w:val="1D1D1D"/>
                <w:sz w:val="16"/>
              </w:rPr>
              <w:t>Headline results for project, finance, developer, power system, utility, public finance; both gate levels; top five gaps and actions; four charts</w:t>
            </w:r>
          </w:p>
        </w:tc>
      </w:tr>
      <w:tr>
        <w:tc>
          <w:tcPr>
            <w:tcW w:type="dxa" w:w="2318"/>
          </w:tcPr>
          <w:p>
            <w:pPr>
              <w:spacing w:after="0"/>
            </w:pPr>
            <w:r>
              <w:rPr>
                <w:color w:val="1D1D1D"/>
                <w:sz w:val="16"/>
              </w:rPr>
              <w:t>33_CHECKS</w:t>
            </w:r>
          </w:p>
        </w:tc>
        <w:tc>
          <w:tcPr>
            <w:tcW w:type="dxa" w:w="7320"/>
          </w:tcPr>
          <w:p>
            <w:pPr>
              <w:spacing w:after="0"/>
            </w:pPr>
            <w:r>
              <w:rPr>
                <w:color w:val="1D1D1D"/>
                <w:sz w:val="16"/>
              </w:rPr>
              <w:t>14 integrity checks</w:t>
            </w:r>
          </w:p>
        </w:tc>
      </w:tr>
      <w:tr>
        <w:tc>
          <w:tcPr>
            <w:tcW w:type="dxa" w:w="2318"/>
            <w:shd w:val="clear" w:color="auto" w:fill="FAF8F2"/>
          </w:tcPr>
          <w:p>
            <w:pPr>
              <w:spacing w:after="0"/>
            </w:pPr>
            <w:r>
              <w:rPr>
                <w:color w:val="1D1D1D"/>
                <w:sz w:val="16"/>
              </w:rPr>
              <w:t>34_FRAMEWORK_MAP</w:t>
            </w:r>
          </w:p>
        </w:tc>
        <w:tc>
          <w:tcPr>
            <w:tcW w:type="dxa" w:w="7320"/>
            <w:shd w:val="clear" w:color="auto" w:fill="FAF8F2"/>
          </w:tcPr>
          <w:p>
            <w:pPr>
              <w:spacing w:after="0"/>
            </w:pPr>
            <w:r>
              <w:rPr>
                <w:color w:val="1D1D1D"/>
                <w:sz w:val="16"/>
              </w:rPr>
              <w:t>Each of the 23 gates mapped to its question, accepting party, model sheet, metric and book chapters; the 9-gate screen mapped to questions</w:t>
            </w:r>
          </w:p>
        </w:tc>
      </w:tr>
      <w:tr>
        <w:tc>
          <w:tcPr>
            <w:tcW w:type="dxa" w:w="2318"/>
          </w:tcPr>
          <w:p>
            <w:pPr>
              <w:spacing w:after="0"/>
            </w:pPr>
            <w:r>
              <w:rPr>
                <w:color w:val="1D1D1D"/>
                <w:sz w:val="16"/>
              </w:rPr>
              <w:t>35_BOOK_CHECK</w:t>
            </w:r>
          </w:p>
        </w:tc>
        <w:tc>
          <w:tcPr>
            <w:tcW w:type="dxa" w:w="7320"/>
          </w:tcPr>
          <w:p>
            <w:pPr>
              <w:spacing w:after="0"/>
            </w:pPr>
            <w:r>
              <w:rPr>
                <w:color w:val="1D1D1D"/>
                <w:sz w:val="16"/>
              </w:rPr>
              <w:t>Live model against the Kasiri figures printed in Book 7</w:t>
            </w:r>
          </w:p>
        </w:tc>
      </w:tr>
    </w:tbl>
    <w:p>
      <w:pPr>
        <w:spacing w:after="40"/>
      </w:pPr>
    </w:p>
    <w:p>
      <w:r>
        <w:br w:type="page"/>
      </w:r>
    </w:p>
    <w:p>
      <w:pPr>
        <w:pStyle w:val="Heading1"/>
        <w:pBdr>
          <w:bottom w:val="single" w:sz="12" w:space="4" w:color="B07C0F"/>
        </w:pBdr>
      </w:pPr>
      <w:r>
        <w:t>4. Quick start (15 minutes) on the Kasiri case</w:t>
      </w:r>
    </w:p>
    <w:p>
      <w:pPr>
        <w:jc w:val="both"/>
      </w:pPr>
      <w:r>
        <w:rPr/>
        <w:t xml:space="preserve">Open the workbook with default inputs. If it was last saved by LibreOffice, run </w:t>
      </w:r>
      <w:r>
        <w:rPr>
          <w:rFonts w:ascii="Courier New" w:hAnsi="Courier New"/>
        </w:rPr>
        <w:t>tools/model/excel_quote_fix.py</w:t>
      </w:r>
      <w:r>
        <w:rPr/>
        <w:t xml:space="preserve"> on it before opening it in Excel (section 7.6).</w:t>
      </w:r>
    </w:p>
    <w:p>
      <w:pPr>
        <w:jc w:val="both"/>
      </w:pPr>
      <w:r>
        <w:rPr>
          <w:b/>
        </w:rPr>
        <w:t>Step 1. Check the defaults (2 minutes).</w:t>
      </w:r>
      <w:r>
        <w:rPr/>
        <w:t xml:space="preserve"> On </w:t>
      </w:r>
      <w:r>
        <w:rPr>
          <w:i/>
        </w:rPr>
        <w:t>01_CONTROL_PANEL</w:t>
      </w:r>
      <w:r>
        <w:rPr/>
        <w:t>:</w:t>
      </w:r>
    </w:p>
    <w:tbl>
      <w:tblPr>
        <w:tblStyle w:val="TableGrid"/>
        <w:tblW w:type="auto" w:w="0"/>
        <w:jc w:val="center"/>
        <w:tblLook w:firstColumn="1" w:firstRow="1" w:lastColumn="0" w:lastRow="0" w:noHBand="0" w:noVBand="1" w:val="04A0"/>
      </w:tblPr>
      <w:tblGrid>
        <w:gridCol w:w="3213"/>
        <w:gridCol w:w="3213"/>
        <w:gridCol w:w="3213"/>
      </w:tblGrid>
      <w:tr>
        <w:tc>
          <w:tcPr>
            <w:tcW w:type="dxa" w:w="2775"/>
            <w:shd w:val="clear" w:color="auto" w:fill="0B3020"/>
          </w:tcPr>
          <w:p>
            <w:pPr>
              <w:spacing w:after="0"/>
            </w:pPr>
            <w:r>
              <w:rPr>
                <w:b/>
                <w:color w:val="FFFFFF"/>
                <w:sz w:val="16"/>
              </w:rPr>
              <w:t>Input</w:t>
            </w:r>
          </w:p>
        </w:tc>
        <w:tc>
          <w:tcPr>
            <w:tcW w:type="dxa" w:w="1022"/>
            <w:shd w:val="clear" w:color="auto" w:fill="0B3020"/>
          </w:tcPr>
          <w:p>
            <w:pPr>
              <w:spacing w:after="0"/>
            </w:pPr>
            <w:r>
              <w:rPr>
                <w:b/>
                <w:color w:val="FFFFFF"/>
                <w:sz w:val="16"/>
              </w:rPr>
              <w:t>Default</w:t>
            </w:r>
          </w:p>
        </w:tc>
        <w:tc>
          <w:tcPr>
            <w:tcW w:type="dxa" w:w="5841"/>
            <w:shd w:val="clear" w:color="auto" w:fill="0B3020"/>
          </w:tcPr>
          <w:p>
            <w:pPr>
              <w:spacing w:after="0"/>
            </w:pPr>
            <w:r>
              <w:rPr>
                <w:b/>
                <w:color w:val="FFFFFF"/>
                <w:sz w:val="16"/>
              </w:rPr>
              <w:t>Meaning</w:t>
            </w:r>
          </w:p>
        </w:tc>
      </w:tr>
      <w:tr>
        <w:tc>
          <w:tcPr>
            <w:tcW w:type="dxa" w:w="2775"/>
          </w:tcPr>
          <w:p>
            <w:pPr>
              <w:spacing w:after="0"/>
            </w:pPr>
            <w:r>
              <w:rPr>
                <w:rFonts w:ascii="Courier New" w:hAnsi="Courier New"/>
                <w:color w:val="1D1D1D"/>
                <w:sz w:val="16"/>
              </w:rPr>
              <w:t>case</w:t>
            </w:r>
          </w:p>
        </w:tc>
        <w:tc>
          <w:tcPr>
            <w:tcW w:type="dxa" w:w="1022"/>
          </w:tcPr>
          <w:p>
            <w:pPr>
              <w:spacing w:after="0"/>
            </w:pPr>
            <w:r>
              <w:rPr>
                <w:color w:val="1D1D1D"/>
                <w:sz w:val="16"/>
              </w:rPr>
              <w:t>1</w:t>
            </w:r>
          </w:p>
        </w:tc>
        <w:tc>
          <w:tcPr>
            <w:tcW w:type="dxa" w:w="5841"/>
          </w:tcPr>
          <w:p>
            <w:pPr>
              <w:spacing w:after="0"/>
            </w:pPr>
            <w:r>
              <w:rPr>
                <w:color w:val="1D1D1D"/>
                <w:sz w:val="16"/>
              </w:rPr>
              <w:t>Base case</w:t>
            </w:r>
          </w:p>
        </w:tc>
      </w:tr>
      <w:tr>
        <w:tc>
          <w:tcPr>
            <w:tcW w:type="dxa" w:w="2775"/>
            <w:shd w:val="clear" w:color="auto" w:fill="FAF8F2"/>
          </w:tcPr>
          <w:p>
            <w:pPr>
              <w:spacing w:after="0"/>
            </w:pPr>
            <w:r>
              <w:rPr>
                <w:rFonts w:ascii="Courier New" w:hAnsi="Courier New"/>
                <w:color w:val="1D1D1D"/>
                <w:sz w:val="16"/>
              </w:rPr>
              <w:t>gen_case</w:t>
            </w:r>
          </w:p>
        </w:tc>
        <w:tc>
          <w:tcPr>
            <w:tcW w:type="dxa" w:w="1022"/>
            <w:shd w:val="clear" w:color="auto" w:fill="FAF8F2"/>
          </w:tcPr>
          <w:p>
            <w:pPr>
              <w:spacing w:after="0"/>
            </w:pPr>
            <w:r>
              <w:rPr>
                <w:color w:val="1D1D1D"/>
                <w:sz w:val="16"/>
              </w:rPr>
              <w:t>1</w:t>
            </w:r>
          </w:p>
        </w:tc>
        <w:tc>
          <w:tcPr>
            <w:tcW w:type="dxa" w:w="5841"/>
            <w:shd w:val="clear" w:color="auto" w:fill="FAF8F2"/>
          </w:tcPr>
          <w:p>
            <w:pPr>
              <w:spacing w:after="0"/>
            </w:pPr>
            <w:r>
              <w:rPr>
                <w:color w:val="1D1D1D"/>
                <w:sz w:val="16"/>
              </w:rPr>
              <w:t>P50 in the cash flows</w:t>
            </w:r>
          </w:p>
        </w:tc>
      </w:tr>
      <w:tr>
        <w:tc>
          <w:tcPr>
            <w:tcW w:type="dxa" w:w="2775"/>
          </w:tcPr>
          <w:p>
            <w:pPr>
              <w:spacing w:after="0"/>
            </w:pPr>
            <w:r>
              <w:rPr>
                <w:rFonts w:ascii="Courier New" w:hAnsi="Courier New"/>
                <w:color w:val="1D1D1D"/>
                <w:sz w:val="16"/>
              </w:rPr>
              <w:t>lender_case</w:t>
            </w:r>
          </w:p>
        </w:tc>
        <w:tc>
          <w:tcPr>
            <w:tcW w:type="dxa" w:w="1022"/>
          </w:tcPr>
          <w:p>
            <w:pPr>
              <w:spacing w:after="0"/>
            </w:pPr>
            <w:r>
              <w:rPr>
                <w:color w:val="1D1D1D"/>
                <w:sz w:val="16"/>
              </w:rPr>
              <w:t>4</w:t>
            </w:r>
          </w:p>
        </w:tc>
        <w:tc>
          <w:tcPr>
            <w:tcW w:type="dxa" w:w="5841"/>
          </w:tcPr>
          <w:p>
            <w:pPr>
              <w:spacing w:after="0"/>
            </w:pPr>
            <w:r>
              <w:rPr>
                <w:color w:val="1D1D1D"/>
                <w:sz w:val="16"/>
              </w:rPr>
              <w:t>Debt sized on the ten-year P90</w:t>
            </w:r>
          </w:p>
        </w:tc>
      </w:tr>
      <w:tr>
        <w:tc>
          <w:tcPr>
            <w:tcW w:type="dxa" w:w="2775"/>
            <w:shd w:val="clear" w:color="auto" w:fill="FAF8F2"/>
          </w:tcPr>
          <w:p>
            <w:pPr>
              <w:spacing w:after="0"/>
            </w:pPr>
            <w:r>
              <w:rPr>
                <w:rFonts w:ascii="Courier New" w:hAnsi="Courier New"/>
                <w:color w:val="1D1D1D"/>
                <w:sz w:val="16"/>
              </w:rPr>
              <w:t>structure</w:t>
            </w:r>
          </w:p>
        </w:tc>
        <w:tc>
          <w:tcPr>
            <w:tcW w:type="dxa" w:w="1022"/>
            <w:shd w:val="clear" w:color="auto" w:fill="FAF8F2"/>
          </w:tcPr>
          <w:p>
            <w:pPr>
              <w:spacing w:after="0"/>
            </w:pPr>
            <w:r>
              <w:rPr>
                <w:color w:val="1D1D1D"/>
                <w:sz w:val="16"/>
              </w:rPr>
              <w:t>2</w:t>
            </w:r>
          </w:p>
        </w:tc>
        <w:tc>
          <w:tcPr>
            <w:tcW w:type="dxa" w:w="5841"/>
            <w:shd w:val="clear" w:color="auto" w:fill="FAF8F2"/>
          </w:tcPr>
          <w:p>
            <w:pPr>
              <w:spacing w:after="0"/>
            </w:pPr>
            <w:r>
              <w:rPr>
                <w:color w:val="1D1D1D"/>
                <w:sz w:val="16"/>
              </w:rPr>
              <w:t>IPP (private BOOT)</w:t>
            </w:r>
          </w:p>
        </w:tc>
      </w:tr>
      <w:tr>
        <w:tc>
          <w:tcPr>
            <w:tcW w:type="dxa" w:w="2775"/>
          </w:tcPr>
          <w:p>
            <w:pPr>
              <w:spacing w:after="0"/>
            </w:pPr>
            <w:r>
              <w:rPr>
                <w:rFonts w:ascii="Courier New" w:hAnsi="Courier New"/>
                <w:color w:val="1D1D1D"/>
                <w:sz w:val="16"/>
              </w:rPr>
              <w:t>debt_mode</w:t>
            </w:r>
          </w:p>
        </w:tc>
        <w:tc>
          <w:tcPr>
            <w:tcW w:type="dxa" w:w="1022"/>
          </w:tcPr>
          <w:p>
            <w:pPr>
              <w:spacing w:after="0"/>
            </w:pPr>
            <w:r>
              <w:rPr>
                <w:color w:val="1D1D1D"/>
                <w:sz w:val="16"/>
              </w:rPr>
              <w:t>1</w:t>
            </w:r>
          </w:p>
        </w:tc>
        <w:tc>
          <w:tcPr>
            <w:tcW w:type="dxa" w:w="5841"/>
          </w:tcPr>
          <w:p>
            <w:pPr>
              <w:spacing w:after="0"/>
            </w:pPr>
            <w:r>
              <w:rPr>
                <w:color w:val="1D1D1D"/>
                <w:sz w:val="16"/>
              </w:rPr>
              <w:t>Debt sculpted in the model</w:t>
            </w:r>
          </w:p>
        </w:tc>
      </w:tr>
      <w:tr>
        <w:tc>
          <w:tcPr>
            <w:tcW w:type="dxa" w:w="2775"/>
            <w:shd w:val="clear" w:color="auto" w:fill="FAF8F2"/>
          </w:tcPr>
          <w:p>
            <w:pPr>
              <w:spacing w:after="0"/>
            </w:pPr>
            <w:r>
              <w:rPr>
                <w:rFonts w:ascii="Courier New" w:hAnsi="Courier New"/>
                <w:color w:val="1D1D1D"/>
                <w:sz w:val="16"/>
              </w:rPr>
              <w:t>backstop</w:t>
            </w:r>
          </w:p>
        </w:tc>
        <w:tc>
          <w:tcPr>
            <w:tcW w:type="dxa" w:w="1022"/>
            <w:shd w:val="clear" w:color="auto" w:fill="FAF8F2"/>
          </w:tcPr>
          <w:p>
            <w:pPr>
              <w:spacing w:after="0"/>
            </w:pPr>
            <w:r>
              <w:rPr>
                <w:color w:val="1D1D1D"/>
                <w:sz w:val="16"/>
              </w:rPr>
              <w:t>1</w:t>
            </w:r>
          </w:p>
        </w:tc>
        <w:tc>
          <w:tcPr>
            <w:tcW w:type="dxa" w:w="5841"/>
            <w:shd w:val="clear" w:color="auto" w:fill="FAF8F2"/>
          </w:tcPr>
          <w:p>
            <w:pPr>
              <w:spacing w:after="0"/>
            </w:pPr>
            <w:r>
              <w:rPr>
                <w:color w:val="1D1D1D"/>
                <w:sz w:val="16"/>
              </w:rPr>
              <w:t>Budget covers any utility PPA shortfall</w:t>
            </w:r>
          </w:p>
        </w:tc>
      </w:tr>
      <w:tr>
        <w:tc>
          <w:tcPr>
            <w:tcW w:type="dxa" w:w="2775"/>
          </w:tcPr>
          <w:p>
            <w:pPr>
              <w:spacing w:after="0"/>
            </w:pPr>
            <w:r>
              <w:rPr>
                <w:rFonts w:ascii="Courier New" w:hAnsi="Courier New"/>
                <w:color w:val="1D1D1D"/>
                <w:sz w:val="16"/>
              </w:rPr>
              <w:t>bs_share</w:t>
            </w:r>
          </w:p>
        </w:tc>
        <w:tc>
          <w:tcPr>
            <w:tcW w:type="dxa" w:w="1022"/>
          </w:tcPr>
          <w:p>
            <w:pPr>
              <w:spacing w:after="0"/>
            </w:pPr>
            <w:r>
              <w:rPr>
                <w:color w:val="1D1D1D"/>
                <w:sz w:val="16"/>
              </w:rPr>
              <w:t>100%</w:t>
            </w:r>
          </w:p>
        </w:tc>
        <w:tc>
          <w:tcPr>
            <w:tcW w:type="dxa" w:w="5841"/>
          </w:tcPr>
          <w:p>
            <w:pPr>
              <w:spacing w:after="0"/>
            </w:pPr>
            <w:r>
              <w:rPr>
                <w:color w:val="1D1D1D"/>
                <w:sz w:val="16"/>
              </w:rPr>
              <w:t>Share of the shortfall the budget covers</w:t>
            </w:r>
          </w:p>
        </w:tc>
      </w:tr>
      <w:tr>
        <w:tc>
          <w:tcPr>
            <w:tcW w:type="dxa" w:w="2775"/>
            <w:shd w:val="clear" w:color="auto" w:fill="FAF8F2"/>
          </w:tcPr>
          <w:p>
            <w:pPr>
              <w:spacing w:after="0"/>
            </w:pPr>
            <w:r>
              <w:rPr>
                <w:color w:val="1D1D1D"/>
                <w:sz w:val="16"/>
              </w:rPr>
              <w:t>Nine stress toggles</w:t>
            </w:r>
          </w:p>
        </w:tc>
        <w:tc>
          <w:tcPr>
            <w:tcW w:type="dxa" w:w="1022"/>
            <w:shd w:val="clear" w:color="auto" w:fill="FAF8F2"/>
          </w:tcPr>
          <w:p>
            <w:pPr>
              <w:spacing w:after="0"/>
            </w:pPr>
            <w:r>
              <w:rPr>
                <w:color w:val="1D1D1D"/>
                <w:sz w:val="16"/>
              </w:rPr>
              <w:t>0</w:t>
            </w:r>
          </w:p>
        </w:tc>
        <w:tc>
          <w:tcPr>
            <w:tcW w:type="dxa" w:w="5841"/>
            <w:shd w:val="clear" w:color="auto" w:fill="FAF8F2"/>
          </w:tcPr>
          <w:p>
            <w:pPr>
              <w:spacing w:after="0"/>
            </w:pPr>
            <w:r>
              <w:rPr>
                <w:color w:val="1D1D1D"/>
                <w:sz w:val="16"/>
              </w:rPr>
              <w:t>No stress</w:t>
            </w:r>
          </w:p>
        </w:tc>
      </w:tr>
      <w:tr>
        <w:tc>
          <w:tcPr>
            <w:tcW w:type="dxa" w:w="2775"/>
          </w:tcPr>
          <w:p>
            <w:pPr>
              <w:spacing w:after="0"/>
            </w:pPr>
            <w:r>
              <w:rPr>
                <w:color w:val="1D1D1D"/>
                <w:sz w:val="16"/>
              </w:rPr>
              <w:t>Five flexes</w:t>
            </w:r>
          </w:p>
        </w:tc>
        <w:tc>
          <w:tcPr>
            <w:tcW w:type="dxa" w:w="1022"/>
          </w:tcPr>
          <w:p>
            <w:pPr>
              <w:spacing w:after="0"/>
            </w:pPr>
            <w:r>
              <w:rPr>
                <w:color w:val="1D1D1D"/>
                <w:sz w:val="16"/>
              </w:rPr>
              <w:t>0%</w:t>
            </w:r>
          </w:p>
        </w:tc>
        <w:tc>
          <w:tcPr>
            <w:tcW w:type="dxa" w:w="5841"/>
          </w:tcPr>
          <w:p>
            <w:pPr>
              <w:spacing w:after="0"/>
            </w:pPr>
            <w:r>
              <w:rPr>
                <w:color w:val="1D1D1D"/>
                <w:sz w:val="16"/>
              </w:rPr>
              <w:t>No sensitivity</w:t>
            </w:r>
          </w:p>
        </w:tc>
      </w:tr>
    </w:tbl>
    <w:p>
      <w:pPr>
        <w:spacing w:after="40"/>
      </w:pPr>
    </w:p>
    <w:p>
      <w:pPr>
        <w:jc w:val="both"/>
      </w:pPr>
      <w:r>
        <w:rPr/>
        <w:t xml:space="preserve">On </w:t>
      </w:r>
      <w:r>
        <w:rPr>
          <w:i/>
        </w:rPr>
        <w:t>05A_CONTRACTING</w:t>
      </w:r>
      <w:r>
        <w:rPr/>
        <w:t xml:space="preserve">, </w:t>
      </w:r>
      <w:r>
        <w:rPr>
          <w:rFonts w:ascii="Courier New" w:hAnsi="Courier New"/>
        </w:rPr>
        <w:t>epc_struct</w:t>
      </w:r>
      <w:r>
        <w:rPr/>
        <w:t xml:space="preserve"> = 2 (split civil and E&amp;M packages).</w:t>
      </w:r>
    </w:p>
    <w:p>
      <w:pPr>
        <w:jc w:val="both"/>
      </w:pPr>
      <w:r>
        <w:rPr>
          <w:b/>
        </w:rPr>
        <w:t>Step 2. Confirm integrity (1 minute).</w:t>
      </w:r>
      <w:r>
        <w:rPr/>
        <w:t xml:space="preserve"> </w:t>
      </w:r>
      <w:r>
        <w:rPr>
          <w:i/>
        </w:rPr>
        <w:t>33_CHECKS</w:t>
      </w:r>
      <w:r>
        <w:rPr/>
        <w:t xml:space="preserve"> should read ALL OK and </w:t>
      </w:r>
      <w:r>
        <w:rPr>
          <w:i/>
        </w:rPr>
        <w:t>35_BOOK_CHECK</w:t>
      </w:r>
      <w:r>
        <w:rPr/>
        <w:t xml:space="preserve"> ALL PASS. Do not read any output until both do.</w:t>
      </w:r>
    </w:p>
    <w:p>
      <w:pPr>
        <w:jc w:val="both"/>
      </w:pPr>
      <w:r>
        <w:rPr>
          <w:b/>
        </w:rPr>
        <w:t>Step 3. Read the dashboard (4 minutes).</w:t>
      </w:r>
      <w:r>
        <w:rPr/>
        <w:t xml:space="preserve"> Row 4 of </w:t>
      </w:r>
      <w:r>
        <w:rPr>
          <w:i/>
        </w:rPr>
        <w:t>32_DASHBOARD</w:t>
      </w:r>
      <w:r>
        <w:rPr/>
        <w:t xml:space="preserve"> gives the three verdicts: the 9-gate screen reads NOT BANKABLE (a critical gap must be closed), the 23-gate close readiness reads "STOP: a critical gate is not met", and the fiscal screen reads "LOW additional fiscal pressure". The blocks below show:</w:t>
      </w:r>
    </w:p>
    <w:tbl>
      <w:tblPr>
        <w:tblStyle w:val="TableGrid"/>
        <w:tblW w:type="auto" w:w="0"/>
        <w:jc w:val="center"/>
        <w:tblLook w:firstColumn="1" w:firstRow="1" w:lastColumn="0" w:lastRow="0" w:noHBand="0" w:noVBand="1" w:val="04A0"/>
      </w:tblPr>
      <w:tblGrid>
        <w:gridCol w:w="4819"/>
        <w:gridCol w:w="4819"/>
      </w:tblGrid>
      <w:tr>
        <w:tc>
          <w:tcPr>
            <w:tcW w:type="dxa" w:w="1823"/>
            <w:shd w:val="clear" w:color="auto" w:fill="0B3020"/>
          </w:tcPr>
          <w:p>
            <w:pPr>
              <w:spacing w:after="0"/>
            </w:pPr>
            <w:r>
              <w:rPr>
                <w:b/>
                <w:color w:val="FFFFFF"/>
                <w:sz w:val="16"/>
              </w:rPr>
              <w:t>Block</w:t>
            </w:r>
          </w:p>
        </w:tc>
        <w:tc>
          <w:tcPr>
            <w:tcW w:type="dxa" w:w="7814"/>
            <w:shd w:val="clear" w:color="auto" w:fill="0B3020"/>
          </w:tcPr>
          <w:p>
            <w:pPr>
              <w:spacing w:after="0"/>
            </w:pPr>
            <w:r>
              <w:rPr>
                <w:b/>
                <w:color w:val="FFFFFF"/>
                <w:sz w:val="16"/>
              </w:rPr>
              <w:t>Base case values</w:t>
            </w:r>
          </w:p>
        </w:tc>
      </w:tr>
      <w:tr>
        <w:tc>
          <w:tcPr>
            <w:tcW w:type="dxa" w:w="1823"/>
          </w:tcPr>
          <w:p>
            <w:pPr>
              <w:spacing w:after="0"/>
            </w:pPr>
            <w:r>
              <w:rPr>
                <w:color w:val="1D1D1D"/>
                <w:sz w:val="16"/>
              </w:rPr>
              <w:t>Project</w:t>
            </w:r>
          </w:p>
        </w:tc>
        <w:tc>
          <w:tcPr>
            <w:tcW w:type="dxa" w:w="7814"/>
          </w:tcPr>
          <w:p>
            <w:pPr>
              <w:spacing w:after="0"/>
            </w:pPr>
            <w:r>
              <w:rPr>
                <w:color w:val="1D1D1D"/>
                <w:sz w:val="16"/>
              </w:rPr>
              <w:t>60 MW; P50 292 GWh; capacity factor 55.6%; plant cost USD 156.9m real; USD 2,614/kW; COD 2030; blended tariff in operating year 2 USD 117.8/MWh; plant LCOE USD 105.9/MWh; delivered system LCOE USD 108.1/MWh</w:t>
            </w:r>
          </w:p>
        </w:tc>
      </w:tr>
      <w:tr>
        <w:tc>
          <w:tcPr>
            <w:tcW w:type="dxa" w:w="1823"/>
            <w:shd w:val="clear" w:color="auto" w:fill="FAF8F2"/>
          </w:tcPr>
          <w:p>
            <w:pPr>
              <w:spacing w:after="0"/>
            </w:pPr>
            <w:r>
              <w:rPr>
                <w:color w:val="1D1D1D"/>
                <w:sz w:val="16"/>
              </w:rPr>
              <w:t>Financial</w:t>
            </w:r>
          </w:p>
        </w:tc>
        <w:tc>
          <w:tcPr>
            <w:tcW w:type="dxa" w:w="7814"/>
            <w:shd w:val="clear" w:color="auto" w:fill="FAF8F2"/>
          </w:tcPr>
          <w:p>
            <w:pPr>
              <w:spacing w:after="0"/>
            </w:pPr>
            <w:r>
              <w:rPr>
                <w:color w:val="1D1D1D"/>
                <w:sz w:val="16"/>
              </w:rPr>
              <w:t>Project IRR 11.2%; private equity IRR 13.8% (target 15.0%); project NPV USD 16.3m; minimum DSCR 1.53x; average DSCR 1.60x; LLCR 1.59x; debt capacity USD 147.8m; debt raised USD 145.4m; financing gap USD 4.1m</w:t>
            </w:r>
          </w:p>
        </w:tc>
      </w:tr>
      <w:tr>
        <w:tc>
          <w:tcPr>
            <w:tcW w:type="dxa" w:w="1823"/>
          </w:tcPr>
          <w:p>
            <w:pPr>
              <w:spacing w:after="0"/>
            </w:pPr>
            <w:r>
              <w:rPr>
                <w:color w:val="1D1D1D"/>
                <w:sz w:val="16"/>
              </w:rPr>
              <w:t>Developer</w:t>
            </w:r>
          </w:p>
        </w:tc>
        <w:tc>
          <w:tcPr>
            <w:tcW w:type="dxa" w:w="7814"/>
          </w:tcPr>
          <w:p>
            <w:pPr>
              <w:spacing w:after="0"/>
            </w:pPr>
            <w:r>
              <w:rPr>
                <w:color w:val="1D1D1D"/>
                <w:sz w:val="16"/>
              </w:rPr>
              <w:t>Budget USD 9.0m real over 6.0 years; probability of close 14.6%; risk-weighted NPV USD -0.95m; success-path IRR 16.0%; cash multiple 4.97x; break-even premium 18.9% of plant cost; equity step-up close to COD USD 18.3m</w:t>
            </w:r>
          </w:p>
        </w:tc>
      </w:tr>
      <w:tr>
        <w:tc>
          <w:tcPr>
            <w:tcW w:type="dxa" w:w="1823"/>
            <w:shd w:val="clear" w:color="auto" w:fill="FAF8F2"/>
          </w:tcPr>
          <w:p>
            <w:pPr>
              <w:spacing w:after="0"/>
            </w:pPr>
            <w:r>
              <w:rPr>
                <w:color w:val="1D1D1D"/>
                <w:sz w:val="16"/>
              </w:rPr>
              <w:t>Power system</w:t>
            </w:r>
          </w:p>
        </w:tc>
        <w:tc>
          <w:tcPr>
            <w:tcW w:type="dxa" w:w="7814"/>
            <w:shd w:val="clear" w:color="auto" w:fill="FAF8F2"/>
          </w:tcPr>
          <w:p>
            <w:pPr>
              <w:spacing w:after="0"/>
            </w:pPr>
            <w:r>
              <w:rPr>
                <w:color w:val="1D1D1D"/>
                <w:sz w:val="16"/>
              </w:rPr>
              <w:t>No transmission gap; 120 MW evacuation at COD; 3.3% of system peak; no curtailment</w:t>
            </w:r>
          </w:p>
        </w:tc>
      </w:tr>
      <w:tr>
        <w:tc>
          <w:tcPr>
            <w:tcW w:type="dxa" w:w="1823"/>
          </w:tcPr>
          <w:p>
            <w:pPr>
              <w:spacing w:after="0"/>
            </w:pPr>
            <w:r>
              <w:rPr>
                <w:color w:val="1D1D1D"/>
                <w:sz w:val="16"/>
              </w:rPr>
              <w:t>Utility</w:t>
            </w:r>
          </w:p>
        </w:tc>
        <w:tc>
          <w:tcPr>
            <w:tcW w:type="dxa" w:w="7814"/>
          </w:tcPr>
          <w:p>
            <w:pPr>
              <w:spacing w:after="0"/>
            </w:pPr>
            <w:r>
              <w:rPr>
                <w:color w:val="1D1D1D"/>
                <w:sz w:val="16"/>
              </w:rPr>
              <w:t>Collection 88%; receivable days about 120; payment capacity 5.96x the PPA bill in the worst of the first ten years; no payment gap</w:t>
            </w:r>
          </w:p>
        </w:tc>
      </w:tr>
      <w:tr>
        <w:tc>
          <w:tcPr>
            <w:tcW w:type="dxa" w:w="1823"/>
            <w:shd w:val="clear" w:color="auto" w:fill="FAF8F2"/>
          </w:tcPr>
          <w:p>
            <w:pPr>
              <w:spacing w:after="0"/>
            </w:pPr>
            <w:r>
              <w:rPr>
                <w:color w:val="1D1D1D"/>
                <w:sz w:val="16"/>
              </w:rPr>
              <w:t>Public finance</w:t>
            </w:r>
          </w:p>
        </w:tc>
        <w:tc>
          <w:tcPr>
            <w:tcW w:type="dxa" w:w="7814"/>
            <w:shd w:val="clear" w:color="auto" w:fill="FAF8F2"/>
          </w:tcPr>
          <w:p>
            <w:pPr>
              <w:spacing w:after="0"/>
            </w:pPr>
            <w:r>
              <w:rPr>
                <w:color w:val="1D1D1D"/>
                <w:sz w:val="16"/>
              </w:rPr>
              <w:t>No upfront contribution; peak contingent exposure USD 225.4m (0.56% of GDP); PV of expected loss USD 20.4m; fiscal NPV USD 34.8m central and USD -27.6m consolidated</w:t>
            </w:r>
          </w:p>
        </w:tc>
      </w:tr>
      <w:tr>
        <w:tc>
          <w:tcPr>
            <w:tcW w:type="dxa" w:w="1823"/>
          </w:tcPr>
          <w:p>
            <w:pPr>
              <w:spacing w:after="0"/>
            </w:pPr>
            <w:r>
              <w:rPr>
                <w:color w:val="1D1D1D"/>
                <w:sz w:val="16"/>
              </w:rPr>
              <w:t>23 gates</w:t>
            </w:r>
          </w:p>
        </w:tc>
        <w:tc>
          <w:tcPr>
            <w:tcW w:type="dxa" w:w="7814"/>
          </w:tcPr>
          <w:p>
            <w:pPr>
              <w:spacing w:after="0"/>
            </w:pPr>
            <w:r>
              <w:rPr>
                <w:color w:val="1D1D1D"/>
                <w:sz w:val="16"/>
              </w:rPr>
              <w:t>6 of 23 met; 7 critical gates not met</w:t>
            </w:r>
          </w:p>
        </w:tc>
      </w:tr>
    </w:tbl>
    <w:p>
      <w:pPr>
        <w:spacing w:after="40"/>
      </w:pPr>
    </w:p>
    <w:p>
      <w:pPr>
        <w:jc w:val="both"/>
      </w:pPr>
      <w:r>
        <w:rPr/>
        <w:t>The top-five lists rank the nine screen gates by score: Gate 6 (critical gap), Gates 1 and 5 (development gaps), then Gates 3 and 7.</w:t>
      </w:r>
    </w:p>
    <w:p>
      <w:pPr>
        <w:jc w:val="both"/>
      </w:pPr>
      <w:r>
        <w:rPr>
          <w:b/>
        </w:rPr>
        <w:t>Step 4. Read why the close decision is STOP (2 minutes).</w:t>
      </w:r>
      <w:r>
        <w:rPr/>
        <w:t xml:space="preserve"> On </w:t>
      </w:r>
      <w:r>
        <w:rPr>
          <w:i/>
        </w:rPr>
        <w:t>30A_CLOSE_READINESS</w:t>
      </w:r>
      <w:r>
        <w:rPr/>
        <w:t>, the seven critical gates not met are 1 (flow record and review), 3 (bankable feasibility sign-off), 5 (ESIA to lender standards), 8 (land rights), 15 (six months of payment security), 17 (financing plan committed) and 19 (equity IRR at target). The summary by question at the foot of the sheet, repeated on the dashboard, shows which party is waiting for what.</w:t>
      </w:r>
    </w:p>
    <w:p>
      <w:pPr>
        <w:jc w:val="both"/>
      </w:pPr>
      <w:r>
        <w:rPr>
          <w:b/>
        </w:rPr>
        <w:t>Step 5. Stress the river (2 minutes).</w:t>
      </w:r>
      <w:r>
        <w:rPr/>
        <w:t xml:space="preserve"> Set </w:t>
      </w:r>
      <w:r>
        <w:rPr>
          <w:rFonts w:ascii="Courier New" w:hAnsi="Courier New"/>
        </w:rPr>
        <w:t>st_drought</w:t>
      </w:r>
      <w:r>
        <w:rPr/>
        <w:t xml:space="preserve"> to 1. Debt sizing does not change, because the lender case excludes the drought window by design (section 6.9). The minimum DSCR falls below 1.0 (snapshot: 0.69x, with the DSRA drawn) and the drought-years shortfall appears on </w:t>
      </w:r>
      <w:r>
        <w:rPr>
          <w:i/>
        </w:rPr>
        <w:t>20_CASH_FLOW</w:t>
      </w:r>
      <w:r>
        <w:rPr/>
        <w:t>. Set it back to 0.</w:t>
      </w:r>
    </w:p>
    <w:p>
      <w:pPr>
        <w:jc w:val="both"/>
      </w:pPr>
      <w:r>
        <w:rPr>
          <w:b/>
        </w:rPr>
        <w:t>Step 6. Stress the buyer (2 minutes).</w:t>
      </w:r>
      <w:r>
        <w:rPr/>
        <w:t xml:space="preserve"> Set </w:t>
      </w:r>
      <w:r>
        <w:rPr>
          <w:rFonts w:ascii="Courier New" w:hAnsi="Courier New"/>
        </w:rPr>
        <w:t>st_offtaker</w:t>
      </w:r>
      <w:r>
        <w:rPr/>
        <w:t xml:space="preserve"> to 1. Payment capacity falls to zero within ten years; with the backstop on, the project is paid in full and the cost moves to the budget (snapshot consolidated fiscal NPV about USD -125m). Then set </w:t>
      </w:r>
      <w:r>
        <w:rPr>
          <w:rFonts w:ascii="Courier New" w:hAnsi="Courier New"/>
        </w:rPr>
        <w:t>backstop</w:t>
      </w:r>
      <w:r>
        <w:rPr/>
        <w:t xml:space="preserve"> to 0: the twelve-month PPA guarantee is exhausted, the rest becomes arrears to the project, and the minimum DSCR goes negative (snapshot -0.53x). Reset both to their defaults.</w:t>
      </w:r>
    </w:p>
    <w:p>
      <w:pPr>
        <w:jc w:val="both"/>
      </w:pPr>
      <w:r>
        <w:rPr>
          <w:b/>
        </w:rPr>
        <w:t>Step 7. Compare structures (2 minutes).</w:t>
      </w:r>
      <w:r>
        <w:rPr/>
        <w:t xml:space="preserve"> Set </w:t>
      </w:r>
      <w:r>
        <w:rPr>
          <w:rFonts w:ascii="Courier New" w:hAnsi="Courier New"/>
        </w:rPr>
        <w:t>structure</w:t>
      </w:r>
      <w:r>
        <w:rPr/>
        <w:t xml:space="preserve"> to 1, 3, 4 and 5 in turn and read </w:t>
      </w:r>
      <w:r>
        <w:rPr>
          <w:i/>
        </w:rPr>
        <w:t>17A_STRUCTURES</w:t>
      </w:r>
      <w:r>
        <w:rPr/>
        <w:t xml:space="preserve">, the dashboard and </w:t>
      </w:r>
      <w:r>
        <w:rPr>
          <w:i/>
        </w:rPr>
        <w:t>30A_CLOSE_READINESS</w:t>
      </w:r>
      <w:r>
        <w:rPr/>
        <w:t xml:space="preserve">. Reset to 2. With any change from the defaults, </w:t>
      </w:r>
      <w:r>
        <w:rPr>
          <w:i/>
        </w:rPr>
        <w:t>35_BOOK_CHECK</w:t>
      </w:r>
      <w:r>
        <w:rPr/>
        <w:t xml:space="preserve"> will show CHECK lines; that is expected.</w:t>
      </w:r>
    </w:p>
    <w:p>
      <w:r>
        <w:br w:type="page"/>
      </w:r>
    </w:p>
    <w:p>
      <w:pPr>
        <w:pStyle w:val="Heading1"/>
        <w:pBdr>
          <w:bottom w:val="single" w:sz="12" w:space="4" w:color="B07C0F"/>
        </w:pBdr>
      </w:pPr>
      <w:r>
        <w:t>5. Workflows by user</w:t>
      </w:r>
    </w:p>
    <w:p>
      <w:pPr>
        <w:jc w:val="both"/>
      </w:pPr>
      <w:r>
        <w:rPr/>
        <w:t xml:space="preserve">Each workflow starts from the framework question the user must answer and names the sheets that answer it. All users should finish on </w:t>
      </w:r>
      <w:r>
        <w:rPr>
          <w:i/>
        </w:rPr>
        <w:t>33_CHECKS</w:t>
      </w:r>
      <w:r>
        <w:rPr/>
        <w:t xml:space="preserve"> (ALL OK) and should record which inputs they changed.</w:t>
      </w:r>
    </w:p>
    <w:p>
      <w:pPr>
        <w:pStyle w:val="Heading2"/>
      </w:pPr>
      <w:r>
        <w:t>5.1 Developer (Q1, Q2, Q4, with Q6)</w:t>
      </w:r>
    </w:p>
    <w:p>
      <w:pPr>
        <w:spacing w:after="60"/>
        <w:ind w:left="397" w:hanging="397"/>
      </w:pPr>
      <w:r>
        <w:rPr/>
        <w:t>1.</w:t>
        <w:tab/>
        <w:t xml:space="preserve">Replace the hydrology on </w:t>
      </w:r>
      <w:r>
        <w:rPr>
          <w:i/>
        </w:rPr>
        <w:t>03_HYDROLOGY</w:t>
      </w:r>
      <w:r>
        <w:rPr/>
        <w:t xml:space="preserve"> (monthly flows, head, design flow, efficiencies, e-flow, availability, CV, record length, study maturity). Q1 depends on </w:t>
      </w:r>
      <w:r>
        <w:rPr>
          <w:rFonts w:ascii="Courier New" w:hAnsi="Courier New"/>
        </w:rPr>
        <w:t>rec_years</w:t>
      </w:r>
      <w:r>
        <w:rPr/>
        <w:t xml:space="preserve"> and </w:t>
      </w:r>
      <w:r>
        <w:rPr>
          <w:rFonts w:ascii="Courier New" w:hAnsi="Courier New"/>
        </w:rPr>
        <w:t>hyd_study</w:t>
      </w:r>
      <w:r>
        <w:rPr/>
        <w:t>.</w:t>
      </w:r>
    </w:p>
    <w:p>
      <w:pPr>
        <w:spacing w:after="60"/>
        <w:ind w:left="397" w:hanging="397"/>
      </w:pPr>
      <w:r>
        <w:rPr/>
        <w:t>2.</w:t>
        <w:tab/>
        <w:t xml:space="preserve">Replace the cost build-up on </w:t>
      </w:r>
      <w:r>
        <w:rPr>
          <w:i/>
        </w:rPr>
        <w:t>05_PLANT_CAPEX</w:t>
      </w:r>
      <w:r>
        <w:rPr/>
        <w:t xml:space="preserve"> and choose the contracting structure on </w:t>
      </w:r>
      <w:r>
        <w:rPr>
          <w:i/>
        </w:rPr>
        <w:t>05A_CONTRACTING</w:t>
      </w:r>
      <w:r>
        <w:rPr/>
        <w:t>.</w:t>
      </w:r>
    </w:p>
    <w:p>
      <w:pPr>
        <w:spacing w:after="60"/>
        <w:ind w:left="397" w:hanging="397"/>
      </w:pPr>
      <w:r>
        <w:rPr/>
        <w:t>3.</w:t>
        <w:tab/>
        <w:t xml:space="preserve">Enter the six stages on </w:t>
      </w:r>
      <w:r>
        <w:rPr>
          <w:i/>
        </w:rPr>
        <w:t>01A_DEVELOPMENT</w:t>
      </w:r>
      <w:r>
        <w:rPr/>
        <w:t xml:space="preserve"> (duration, real budget, probability of success) and the developer terms (premium, stake, discount rates, sell-down share).</w:t>
      </w:r>
    </w:p>
    <w:p>
      <w:pPr>
        <w:spacing w:after="60"/>
        <w:ind w:left="397" w:hanging="397"/>
      </w:pPr>
      <w:r>
        <w:rPr/>
        <w:t>4.</w:t>
        <w:tab/>
        <w:t>Read section D: the risk-weighted NPV answers whether to start; the success-path NPV says whether the project creates value even if it closes; the break-even premium and probability say what would make the start worthwhile. If the success-path NPV is negative, the break-even probability reads "n/a: negative on the success path"; fix the value at close (tariff, premium, cost) before spending on better odds.</w:t>
      </w:r>
    </w:p>
    <w:p>
      <w:pPr>
        <w:spacing w:after="60"/>
        <w:ind w:left="397" w:hanging="397"/>
      </w:pPr>
      <w:r>
        <w:rPr/>
        <w:t>5.</w:t>
        <w:tab/>
        <w:t>Read section F: success-path IRR, cash multiple and peak cash at risk.</w:t>
      </w:r>
    </w:p>
    <w:p>
      <w:pPr>
        <w:spacing w:after="60"/>
        <w:ind w:left="397" w:hanging="397"/>
      </w:pPr>
      <w:r>
        <w:rPr/>
        <w:t>6.</w:t>
        <w:tab/>
        <w:t xml:space="preserve">Use </w:t>
      </w:r>
      <w:r>
        <w:rPr>
          <w:rFonts w:ascii="Courier New" w:hAnsi="Courier New"/>
        </w:rPr>
        <w:t>fx_tariff</w:t>
      </w:r>
      <w:r>
        <w:rPr/>
        <w:t xml:space="preserve"> on </w:t>
      </w:r>
      <w:r>
        <w:rPr>
          <w:i/>
        </w:rPr>
        <w:t>01_CONTROL_PANEL</w:t>
      </w:r>
      <w:r>
        <w:rPr/>
        <w:t xml:space="preserve"> to see the tariff that brings the equity IRR to the target in </w:t>
      </w:r>
      <w:r>
        <w:rPr>
          <w:i/>
        </w:rPr>
        <w:t>17A_STRUCTURES</w:t>
      </w:r>
      <w:r>
        <w:rPr/>
        <w:t xml:space="preserve"> (</w:t>
      </w:r>
      <w:r>
        <w:rPr>
          <w:rFonts w:ascii="Courier New" w:hAnsi="Courier New"/>
        </w:rPr>
        <w:t>str_hurdle</w:t>
      </w:r>
      <w:r>
        <w:rPr/>
        <w:t>) and closes the financing gap. Check the effect on the utility (</w:t>
      </w:r>
      <w:r>
        <w:rPr>
          <w:i/>
        </w:rPr>
        <w:t>12_UTILITY</w:t>
      </w:r>
      <w:r>
        <w:rPr/>
        <w:t>) and on the consolidated fiscal NPV (</w:t>
      </w:r>
      <w:r>
        <w:rPr>
          <w:i/>
        </w:rPr>
        <w:t>25_FISCAL_IMPACT</w:t>
      </w:r>
      <w:r>
        <w:rPr/>
        <w:t>).</w:t>
      </w:r>
    </w:p>
    <w:p>
      <w:pPr>
        <w:spacing w:after="60"/>
        <w:ind w:left="397" w:hanging="397"/>
      </w:pPr>
      <w:r>
        <w:rPr/>
        <w:t>7.</w:t>
        <w:tab/>
        <w:t xml:space="preserve">Enter evidence statuses for the gates without an automatic test on </w:t>
      </w:r>
      <w:r>
        <w:rPr>
          <w:i/>
        </w:rPr>
        <w:t>30A_CLOSE_READINESS</w:t>
      </w:r>
      <w:r>
        <w:rPr/>
        <w:t xml:space="preserve"> and keep the document reference in column G.</w:t>
      </w:r>
    </w:p>
    <w:p>
      <w:pPr>
        <w:pStyle w:val="Heading2"/>
      </w:pPr>
      <w:r>
        <w:t>5.2 Co-developer (Q4, Q2)</w:t>
      </w:r>
    </w:p>
    <w:p>
      <w:pPr>
        <w:spacing w:after="60"/>
        <w:ind w:left="397" w:hanging="397"/>
      </w:pPr>
      <w:r>
        <w:rPr/>
        <w:t>1.</w:t>
        <w:tab/>
        <w:t xml:space="preserve">Identify the stage at which you would enter. Section D2 of </w:t>
      </w:r>
      <w:r>
        <w:rPr>
          <w:i/>
        </w:rPr>
        <w:t>01A_DEVELOPMENT</w:t>
      </w:r>
      <w:r>
        <w:rPr/>
        <w:t xml:space="preserve"> gives, for each stage about to start, the probability of close from there (column B), the PV of value at close (C), the PV of remaining spend (D) and the risk-weighted value of the whole position (E).</w:t>
      </w:r>
    </w:p>
    <w:p>
      <w:pPr>
        <w:spacing w:after="60"/>
        <w:ind w:left="397" w:hanging="397"/>
      </w:pPr>
      <w:r>
        <w:rPr/>
        <w:t>2.</w:t>
        <w:tab/>
        <w:t>Price entry from column E at your stage, never from the developer's sunk costs. For Kasiri at the start of permitting (stage 4): probability of close 57.8%, PV of value at close USD 3.34m, PV of remaining spend USD 2.06m, position value USD 1.28m.</w:t>
      </w:r>
    </w:p>
    <w:p>
      <w:pPr>
        <w:spacing w:after="60"/>
        <w:ind w:left="397" w:hanging="397"/>
      </w:pPr>
      <w:r>
        <w:rPr/>
        <w:t>3.</w:t>
        <w:tab/>
        <w:t>Book 7 (Chapter 18) derives a fair share for a co-developer that funds all remaining spend as column D divided by column C at the stage of entry, about 62% for Kasiri at stage 4. Rerun with your own discount rate (</w:t>
      </w:r>
      <w:r>
        <w:rPr>
          <w:rFonts w:ascii="Courier New" w:hAnsi="Courier New"/>
        </w:rPr>
        <w:t>dev_rate</w:t>
      </w:r>
      <w:r>
        <w:rPr/>
        <w:t>) and probabilities.</w:t>
      </w:r>
    </w:p>
    <w:p>
      <w:pPr>
        <w:spacing w:after="60"/>
        <w:ind w:left="397" w:hanging="397"/>
      </w:pPr>
      <w:r>
        <w:rPr/>
        <w:t>4.</w:t>
        <w:tab/>
        <w:t>Test the levers the book uses (snapshot runs "Dev: ..."): development discount rate, premium, stage odds, grant for the feasibility stage, tariff.</w:t>
      </w:r>
    </w:p>
    <w:p>
      <w:pPr>
        <w:pStyle w:val="Heading2"/>
      </w:pPr>
      <w:r>
        <w:t>5.3 Lender or DFI (Q5, with Q1 and Q6)</w:t>
      </w:r>
    </w:p>
    <w:p>
      <w:pPr>
        <w:spacing w:after="60"/>
        <w:ind w:left="397" w:hanging="397"/>
      </w:pPr>
      <w:r>
        <w:rPr/>
        <w:t>1.</w:t>
        <w:tab/>
        <w:t xml:space="preserve">Choose the lender case on </w:t>
      </w:r>
      <w:r>
        <w:rPr>
          <w:i/>
        </w:rPr>
        <w:t>01_CONTROL_PANEL</w:t>
      </w:r>
      <w:r>
        <w:rPr/>
        <w:t xml:space="preserve">: </w:t>
      </w:r>
      <w:r>
        <w:rPr>
          <w:rFonts w:ascii="Courier New" w:hAnsi="Courier New"/>
        </w:rPr>
        <w:t>lender_case</w:t>
      </w:r>
      <w:r>
        <w:rPr/>
        <w:t xml:space="preserve"> 1 (P50), 2 (P75), 3 (one-year P90) or 4 (ten-year P90, default). Keep </w:t>
      </w:r>
      <w:r>
        <w:rPr>
          <w:rFonts w:ascii="Courier New" w:hAnsi="Courier New"/>
        </w:rPr>
        <w:t>gen_case</w:t>
      </w:r>
      <w:r>
        <w:rPr/>
        <w:t xml:space="preserve"> = 1 for the sponsor view, or set 3 to see P90 in every year of the cash flows.</w:t>
      </w:r>
    </w:p>
    <w:p>
      <w:pPr>
        <w:spacing w:after="60"/>
        <w:ind w:left="397" w:hanging="397"/>
      </w:pPr>
      <w:r>
        <w:rPr/>
        <w:t>2.</w:t>
        <w:tab/>
        <w:t xml:space="preserve">Read </w:t>
      </w:r>
      <w:r>
        <w:rPr>
          <w:i/>
        </w:rPr>
        <w:t>18_DEBT</w:t>
      </w:r>
      <w:r>
        <w:rPr/>
        <w:t xml:space="preserve"> (lender-case CFADS, sculpting, tranches) and </w:t>
      </w:r>
      <w:r>
        <w:rPr>
          <w:i/>
        </w:rPr>
        <w:t>17_PROJECT_FINANCE</w:t>
      </w:r>
      <w:r>
        <w:rPr/>
        <w:t xml:space="preserve"> (debt capacity, which constraint binds, gearing, ratios). At Kasiri the gearing cap binds: debt USD 145.4m against a sculpted capacity of USD 147.8m.</w:t>
      </w:r>
    </w:p>
    <w:p>
      <w:pPr>
        <w:spacing w:after="60"/>
        <w:ind w:left="397" w:hanging="397"/>
      </w:pPr>
      <w:r>
        <w:rPr/>
        <w:t>3.</w:t>
        <w:tab/>
        <w:t xml:space="preserve">Lock the package before stressing it. Set </w:t>
      </w:r>
      <w:r>
        <w:rPr>
          <w:rFonts w:ascii="Courier New" w:hAnsi="Courier New"/>
        </w:rPr>
        <w:t>debt_mode</w:t>
      </w:r>
      <w:r>
        <w:rPr/>
        <w:t xml:space="preserve"> = 2 after entering the base-case </w:t>
      </w:r>
      <w:r>
        <w:rPr>
          <w:rFonts w:ascii="Courier New" w:hAnsi="Courier New"/>
        </w:rPr>
        <w:t>debt_m</w:t>
      </w:r>
      <w:r>
        <w:rPr/>
        <w:t xml:space="preserve">, </w:t>
      </w:r>
      <w:r>
        <w:rPr>
          <w:rFonts w:ascii="Courier New" w:hAnsi="Courier New"/>
        </w:rPr>
        <w:t>debt_c</w:t>
      </w:r>
      <w:r>
        <w:rPr/>
        <w:t xml:space="preserve">, </w:t>
      </w:r>
      <w:r>
        <w:rPr>
          <w:rFonts w:ascii="Courier New" w:hAnsi="Courier New"/>
        </w:rPr>
        <w:t>s_grant</w:t>
      </w:r>
      <w:r>
        <w:rPr/>
        <w:t xml:space="preserve"> and </w:t>
      </w:r>
      <w:r>
        <w:rPr>
          <w:rFonts w:ascii="Courier New" w:hAnsi="Courier New"/>
        </w:rPr>
        <w:t>s_goveq</w:t>
      </w:r>
      <w:r>
        <w:rPr/>
        <w:t xml:space="preserve"> in </w:t>
      </w:r>
      <w:r>
        <w:rPr>
          <w:i/>
        </w:rPr>
        <w:t>18_DEBT</w:t>
      </w:r>
      <w:r>
        <w:rPr/>
        <w:t xml:space="preserve"> C6 to C9 and the base-case commercial principal by operating year in row 12 (column E = operating year 1). The shipped values in these cells (USD 90m and a zero schedule) are placeholders, not the base case; with a zero schedule the commercial debt is repaid in one balloon and the balloon check on </w:t>
      </w:r>
      <w:r>
        <w:rPr>
          <w:i/>
        </w:rPr>
        <w:t>33_CHECKS</w:t>
      </w:r>
      <w:r>
        <w:rPr/>
        <w:t xml:space="preserve"> reads WARNING. The snapshot runner fills these inputs automatically in its own copies.</w:t>
      </w:r>
    </w:p>
    <w:p>
      <w:pPr>
        <w:spacing w:after="60"/>
        <w:ind w:left="397" w:hanging="397"/>
      </w:pPr>
      <w:r>
        <w:rPr/>
        <w:t>4.</w:t>
        <w:tab/>
        <w:t>Run the stresses one at a time, then combined (section 7). Read minimum DSCR, LLCR, the cumulative debt-service shortfall (</w:t>
      </w:r>
      <w:r>
        <w:rPr>
          <w:rFonts w:ascii="Courier New" w:hAnsi="Courier New"/>
        </w:rPr>
        <w:t>kpi_short</w:t>
      </w:r>
      <w:r>
        <w:rPr/>
        <w:t xml:space="preserve">), DSRA movements on </w:t>
      </w:r>
      <w:r>
        <w:rPr>
          <w:i/>
        </w:rPr>
        <w:t>20_CASH_FLOW</w:t>
      </w:r>
      <w:r>
        <w:rPr/>
        <w:t xml:space="preserve"> and the financing gap.</w:t>
      </w:r>
    </w:p>
    <w:p>
      <w:pPr>
        <w:spacing w:after="60"/>
        <w:ind w:left="397" w:hanging="397"/>
      </w:pPr>
      <w:r>
        <w:rPr/>
        <w:t>5.</w:t>
        <w:tab/>
        <w:t xml:space="preserve">Check Gates 17, 18, 20 and 23 on </w:t>
      </w:r>
      <w:r>
        <w:rPr>
          <w:i/>
        </w:rPr>
        <w:t>30A_CLOSE_READINESS</w:t>
      </w:r>
      <w:r>
        <w:rPr/>
        <w:t xml:space="preserve"> and Gates 1, 4, 5 and 7 of the screen on </w:t>
      </w:r>
      <w:r>
        <w:rPr>
          <w:i/>
        </w:rPr>
        <w:t>30_BANKABILITY</w:t>
      </w:r>
      <w:r>
        <w:rPr/>
        <w:t>.</w:t>
      </w:r>
    </w:p>
    <w:p>
      <w:pPr>
        <w:pStyle w:val="Heading2"/>
      </w:pPr>
      <w:r>
        <w:t>5.4 Ministry of finance or PPP unit (Q7, with Q3)</w:t>
      </w:r>
    </w:p>
    <w:p>
      <w:pPr>
        <w:spacing w:after="60"/>
        <w:ind w:left="397" w:hanging="397"/>
      </w:pPr>
      <w:r>
        <w:rPr/>
        <w:t>1.</w:t>
        <w:tab/>
        <w:t xml:space="preserve">Replace the country data on </w:t>
      </w:r>
      <w:r>
        <w:rPr>
          <w:i/>
        </w:rPr>
        <w:t>26_DEBT_SUSTAINABILITY</w:t>
      </w:r>
      <w:r>
        <w:rPr/>
        <w:t xml:space="preserve"> with the latest published IMF and World Bank DSA data, and set the four screening thresholds to your fiscal risk policy.</w:t>
      </w:r>
    </w:p>
    <w:p>
      <w:pPr>
        <w:spacing w:after="60"/>
        <w:ind w:left="397" w:hanging="397"/>
      </w:pPr>
      <w:r>
        <w:rPr/>
        <w:t>2.</w:t>
        <w:tab/>
        <w:t xml:space="preserve">Enter your own call probabilities and loss given call on </w:t>
      </w:r>
      <w:r>
        <w:rPr>
          <w:i/>
        </w:rPr>
        <w:t>24_CONTINGENT_LIABILITIES</w:t>
      </w:r>
      <w:r>
        <w:rPr/>
        <w:t>. They are judgements, not forecasts.</w:t>
      </w:r>
    </w:p>
    <w:p>
      <w:pPr>
        <w:spacing w:after="60"/>
        <w:ind w:left="397" w:hanging="397"/>
      </w:pPr>
      <w:r>
        <w:rPr/>
        <w:t>3.</w:t>
        <w:tab/>
        <w:t xml:space="preserve">Set the structure on </w:t>
      </w:r>
      <w:r>
        <w:rPr>
          <w:i/>
        </w:rPr>
        <w:t>01_CONTROL_PANEL</w:t>
      </w:r>
      <w:r>
        <w:rPr/>
        <w:t xml:space="preserve"> and read </w:t>
      </w:r>
      <w:r>
        <w:rPr>
          <w:i/>
        </w:rPr>
        <w:t>22_GOVERNMENT_SUPPORT</w:t>
      </w:r>
      <w:r>
        <w:rPr/>
        <w:t xml:space="preserve"> (direct cash), </w:t>
      </w:r>
      <w:r>
        <w:rPr>
          <w:i/>
        </w:rPr>
        <w:t>23_GUARANTEES</w:t>
      </w:r>
      <w:r>
        <w:rPr/>
        <w:t xml:space="preserve"> (exposure by instrument), </w:t>
      </w:r>
      <w:r>
        <w:rPr>
          <w:i/>
        </w:rPr>
        <w:t>24_CONTINGENT_LIABILITIES</w:t>
      </w:r>
      <w:r>
        <w:rPr/>
        <w:t xml:space="preserve"> (maximum simultaneous exposure, calls, expected loss), </w:t>
      </w:r>
      <w:r>
        <w:rPr>
          <w:i/>
        </w:rPr>
        <w:t>25_FISCAL_IMPACT</w:t>
      </w:r>
      <w:r>
        <w:rPr/>
        <w:t xml:space="preserve"> (central and consolidated fiscal NPV, peak cash need) and </w:t>
      </w:r>
      <w:r>
        <w:rPr>
          <w:i/>
        </w:rPr>
        <w:t>26_DEBT_SUSTAINABILITY</w:t>
      </w:r>
      <w:r>
        <w:rPr/>
        <w:t xml:space="preserve"> (screen).</w:t>
      </w:r>
    </w:p>
    <w:p>
      <w:pPr>
        <w:spacing w:after="60"/>
        <w:ind w:left="397" w:hanging="397"/>
      </w:pPr>
      <w:r>
        <w:rPr/>
        <w:t>4.</w:t>
        <w:tab/>
        <w:t xml:space="preserve">Test the routing of a shortfall with </w:t>
      </w:r>
      <w:r>
        <w:rPr>
          <w:rFonts w:ascii="Courier New" w:hAnsi="Courier New"/>
        </w:rPr>
        <w:t>st_offtaker</w:t>
      </w:r>
      <w:r>
        <w:rPr/>
        <w:t xml:space="preserve">, </w:t>
      </w:r>
      <w:r>
        <w:rPr>
          <w:rFonts w:ascii="Courier New" w:hAnsi="Courier New"/>
        </w:rPr>
        <w:t>backstop</w:t>
      </w:r>
      <w:r>
        <w:rPr/>
        <w:t xml:space="preserve"> and </w:t>
      </w:r>
      <w:r>
        <w:rPr>
          <w:rFonts w:ascii="Courier New" w:hAnsi="Courier New"/>
        </w:rPr>
        <w:t>bs_share</w:t>
      </w:r>
      <w:r>
        <w:rPr/>
        <w:t xml:space="preserve">, and the size of the PPA guarantee with </w:t>
      </w:r>
      <w:r>
        <w:rPr>
          <w:rFonts w:ascii="Courier New" w:hAnsi="Courier New"/>
        </w:rPr>
        <w:t>ppag_months</w:t>
      </w:r>
      <w:r>
        <w:rPr/>
        <w:t xml:space="preserve"> on </w:t>
      </w:r>
      <w:r>
        <w:rPr>
          <w:i/>
        </w:rPr>
        <w:t>23_GUARANTEES</w:t>
      </w:r>
      <w:r>
        <w:rPr/>
        <w:t>.</w:t>
      </w:r>
    </w:p>
    <w:p>
      <w:pPr>
        <w:spacing w:after="60"/>
        <w:ind w:left="397" w:hanging="397"/>
      </w:pPr>
      <w:r>
        <w:rPr/>
        <w:t>5.</w:t>
        <w:tab/>
        <w:t>Use the consolidated fiscal NPV as the headline public-sector measure: it includes the state utility through the no-project counterfactual.</w:t>
      </w:r>
    </w:p>
    <w:p>
      <w:pPr>
        <w:spacing w:after="60"/>
        <w:ind w:left="397" w:hanging="397"/>
      </w:pPr>
      <w:r>
        <w:rPr/>
        <w:t>6.</w:t>
        <w:tab/>
        <w:t xml:space="preserve">Gate 21 on </w:t>
      </w:r>
      <w:r>
        <w:rPr>
          <w:i/>
        </w:rPr>
        <w:t>30A_CLOSE_READINESS</w:t>
      </w:r>
      <w:r>
        <w:rPr/>
        <w:t xml:space="preserve"> is met when the screen is not HIGH; ministry approval itself is evidence to be recorded outside the model.</w:t>
      </w:r>
    </w:p>
    <w:p>
      <w:pPr>
        <w:pStyle w:val="Heading2"/>
      </w:pPr>
      <w:r>
        <w:t>5.5 Utility (Q7, Q3)</w:t>
      </w:r>
    </w:p>
    <w:p>
      <w:pPr>
        <w:spacing w:after="60"/>
        <w:ind w:left="397" w:hanging="397"/>
      </w:pPr>
      <w:r>
        <w:rPr/>
        <w:t>1.</w:t>
        <w:tab/>
        <w:t xml:space="preserve">Replace the inputs on </w:t>
      </w:r>
      <w:r>
        <w:rPr>
          <w:i/>
        </w:rPr>
        <w:t>12_UTILITY</w:t>
      </w:r>
      <w:r>
        <w:rPr/>
        <w:t xml:space="preserve"> with audited figures: customers, tariff, pass-through, technical and commercial losses, collection, cost of other supply and its USD share, operating cost, transfers, existing debt service, receivables.</w:t>
      </w:r>
    </w:p>
    <w:p>
      <w:pPr>
        <w:spacing w:after="60"/>
        <w:ind w:left="397" w:hanging="397"/>
      </w:pPr>
      <w:r>
        <w:rPr/>
        <w:t>2.</w:t>
        <w:tab/>
        <w:t xml:space="preserve">Replace segment demand and other supply on </w:t>
      </w:r>
      <w:r>
        <w:rPr>
          <w:i/>
        </w:rPr>
        <w:t>10_DEMAND</w:t>
      </w:r>
      <w:r>
        <w:rPr/>
        <w:t xml:space="preserve">, and system data on </w:t>
      </w:r>
      <w:r>
        <w:rPr>
          <w:i/>
        </w:rPr>
        <w:t>09_GRID</w:t>
      </w:r>
      <w:r>
        <w:rPr/>
        <w:t>.</w:t>
      </w:r>
    </w:p>
    <w:p>
      <w:pPr>
        <w:spacing w:after="60"/>
        <w:ind w:left="397" w:hanging="397"/>
      </w:pPr>
      <w:r>
        <w:rPr/>
        <w:t>3.</w:t>
        <w:tab/>
        <w:t>Read the maximum sustainable PPA payment against the PPA bill, the payment capacity ratio, unserved demand, the utility DSCR on existing debt, receivable days, and the incremental cash from the project (</w:t>
      </w:r>
      <w:r>
        <w:rPr>
          <w:rFonts w:ascii="Courier New" w:hAnsi="Courier New"/>
        </w:rPr>
        <w:t>f_soe</w:t>
      </w:r>
      <w:r>
        <w:rPr/>
        <w:t>).</w:t>
      </w:r>
    </w:p>
    <w:p>
      <w:pPr>
        <w:spacing w:after="60"/>
        <w:ind w:left="397" w:hanging="397"/>
      </w:pPr>
      <w:r>
        <w:rPr/>
        <w:t>4.</w:t>
        <w:tab/>
        <w:t xml:space="preserve">On </w:t>
      </w:r>
      <w:r>
        <w:rPr>
          <w:i/>
        </w:rPr>
        <w:t>15_TARIFF</w:t>
      </w:r>
      <w:r>
        <w:rPr/>
        <w:t>, compare the blended PPA tariff with collected revenue per MWh sent out. A negative headroom means each MWh bought costs the utility cash.</w:t>
      </w:r>
    </w:p>
    <w:p>
      <w:pPr>
        <w:pStyle w:val="Heading2"/>
      </w:pPr>
      <w:r>
        <w:t>5.6 Transaction adviser (Q8)</w:t>
      </w:r>
    </w:p>
    <w:p>
      <w:pPr>
        <w:spacing w:after="60"/>
        <w:ind w:left="397" w:hanging="397"/>
      </w:pPr>
      <w:r>
        <w:rPr/>
        <w:t>1.</w:t>
        <w:tab/>
        <w:t>Work through the chain in book order and keep a log of every input changed and its source.</w:t>
      </w:r>
    </w:p>
    <w:p>
      <w:pPr>
        <w:spacing w:after="60"/>
        <w:ind w:left="397" w:hanging="397"/>
      </w:pPr>
      <w:r>
        <w:rPr/>
        <w:t>2.</w:t>
        <w:tab/>
        <w:t xml:space="preserve">Run the full engine with </w:t>
      </w:r>
      <w:r>
        <w:rPr>
          <w:rFonts w:ascii="Courier New" w:hAnsi="Courier New"/>
        </w:rPr>
        <w:t>tools/run_snapshots.py</w:t>
      </w:r>
      <w:r>
        <w:rPr/>
        <w:t xml:space="preserve"> (section 7.5) to obtain the scenario, structure, sensitivity, contracting and developer tables, the required tariff by structure and the break-even flow.</w:t>
      </w:r>
    </w:p>
    <w:p>
      <w:pPr>
        <w:spacing w:after="60"/>
        <w:ind w:left="397" w:hanging="397"/>
      </w:pPr>
      <w:r>
        <w:rPr/>
        <w:t>3.</w:t>
        <w:tab/>
        <w:t xml:space="preserve">Use </w:t>
      </w:r>
      <w:r>
        <w:rPr>
          <w:i/>
        </w:rPr>
        <w:t>29_RISK_ALLOCATION</w:t>
      </w:r>
      <w:r>
        <w:rPr/>
        <w:t xml:space="preserve"> to agree who carries what, </w:t>
      </w:r>
      <w:r>
        <w:rPr>
          <w:i/>
        </w:rPr>
        <w:t>30_BANKABILITY</w:t>
      </w:r>
      <w:r>
        <w:rPr/>
        <w:t xml:space="preserve"> for the development-stage action list, and </w:t>
      </w:r>
      <w:r>
        <w:rPr>
          <w:i/>
        </w:rPr>
        <w:t>30A_CLOSE_READINESS</w:t>
      </w:r>
      <w:r>
        <w:rPr/>
        <w:t xml:space="preserve"> with </w:t>
      </w:r>
      <w:r>
        <w:rPr>
          <w:i/>
        </w:rPr>
        <w:t>34_FRAMEWORK_MAP</w:t>
      </w:r>
      <w:r>
        <w:rPr/>
        <w:t xml:space="preserve"> to turn open gates into a work programme by party.</w:t>
      </w:r>
    </w:p>
    <w:p>
      <w:pPr>
        <w:spacing w:after="60"/>
        <w:ind w:left="397" w:hanging="397"/>
      </w:pPr>
      <w:r>
        <w:rPr/>
        <w:t>4.</w:t>
        <w:tab/>
        <w:t xml:space="preserve">Before any committee paper, confirm </w:t>
      </w:r>
      <w:r>
        <w:rPr>
          <w:i/>
        </w:rPr>
        <w:t>33_CHECKS</w:t>
      </w:r>
      <w:r>
        <w:rPr/>
        <w:t xml:space="preserve"> ALL OK and record the snapshot date stamp.</w:t>
      </w:r>
    </w:p>
    <w:p>
      <w:r>
        <w:br w:type="page"/>
      </w:r>
    </w:p>
    <w:p>
      <w:pPr>
        <w:pStyle w:val="Heading1"/>
        <w:pBdr>
          <w:bottom w:val="single" w:sz="12" w:space="4" w:color="B07C0F"/>
        </w:pBdr>
      </w:pPr>
      <w:r>
        <w:t>6. Methodology and key formulas</w:t>
      </w:r>
    </w:p>
    <w:p>
      <w:pPr>
        <w:jc w:val="both"/>
      </w:pPr>
      <w:r>
        <w:rPr/>
        <w:t xml:space="preserve">Formulas are quoted from </w:t>
      </w:r>
      <w:r>
        <w:rPr>
          <w:rFonts w:ascii="Courier New" w:hAnsi="Courier New"/>
        </w:rPr>
        <w:t>model/build_model.py</w:t>
      </w:r>
      <w:r>
        <w:rPr/>
        <w:t xml:space="preserve">, with template references replaced by the model's plain cell names. A name such as </w:t>
      </w:r>
      <w:r>
        <w:rPr>
          <w:rFonts w:ascii="Courier New" w:hAnsi="Courier New"/>
        </w:rPr>
        <w:t>p50</w:t>
      </w:r>
      <w:r>
        <w:rPr/>
        <w:t xml:space="preserve"> is the name used in </w:t>
      </w:r>
      <w:r>
        <w:rPr>
          <w:rFonts w:ascii="Courier New" w:hAnsi="Courier New"/>
        </w:rPr>
        <w:t>model/model_map.json</w:t>
      </w:r>
      <w:r>
        <w:rPr/>
        <w:t>. "Row" in a time-series formula means the value in the same year.</w:t>
      </w:r>
    </w:p>
    <w:p>
      <w:pPr>
        <w:pStyle w:val="Heading2"/>
      </w:pPr>
      <w:r>
        <w:t>6.1 Hydrology and P-values (03_HYDROLOGY)</w:t>
      </w:r>
    </w:p>
    <w:p>
      <w:pPr>
        <w:jc w:val="both"/>
      </w:pPr>
      <w:r>
        <w:rPr/>
        <w:t>Monthly long-term mean flows (Jan to Dec, m³/s): 24, 20, 28, 52, 70, 58, 40, 28, 22, 30, 46, 36. February has 28.25 days, so the year has 365.25. For each month:</w:t>
      </w:r>
    </w:p>
    <w:p>
      <w:pPr>
        <w:spacing w:after="0"/>
        <w:ind w:left="283"/>
      </w:pPr>
      <w:r>
        <w:rPr>
          <w:rFonts w:ascii="Courier New" w:hAnsi="Courier New"/>
          <w:sz w:val="17"/>
        </w:rPr>
        <w:t>usable flow = MIN(MAX(flow-eflow,0),q_design)</w:t>
      </w:r>
    </w:p>
    <w:p>
      <w:pPr>
        <w:spacing w:after="0"/>
        <w:ind w:left="283"/>
      </w:pPr>
      <w:r>
        <w:rPr>
          <w:rFonts w:ascii="Courier New" w:hAnsi="Courier New"/>
          <w:sz w:val="17"/>
        </w:rPr>
        <w:t>power (MW)  = MIN(rho*grav*usable*head*eta_t*eta_g/1000000,inst_mw)</w:t>
      </w:r>
    </w:p>
    <w:p>
      <w:pPr>
        <w:spacing w:after="0"/>
        <w:ind w:left="283"/>
      </w:pPr>
      <w:r>
        <w:rPr>
          <w:rFonts w:ascii="Courier New" w:hAnsi="Courier New"/>
          <w:sz w:val="17"/>
        </w:rPr>
        <w:t>energy gross= power*days*24/1000</w:t>
      </w:r>
    </w:p>
    <w:p>
      <w:pPr>
        <w:spacing w:after="0"/>
        <w:ind w:left="283"/>
      </w:pPr>
      <w:r>
        <w:rPr>
          <w:rFonts w:ascii="Courier New" w:hAnsi="Courier New"/>
          <w:sz w:val="17"/>
        </w:rPr>
        <w:t>energy net  = energy gross*avail</w:t>
      </w:r>
    </w:p>
    <w:p>
      <w:pPr>
        <w:spacing w:after="0"/>
        <w:ind w:left="283"/>
      </w:pPr>
      <w:r>
        <w:rPr>
          <w:rFonts w:ascii="Courier New" w:hAnsi="Courier New"/>
          <w:sz w:val="17"/>
        </w:rPr>
        <w:t>spill       = MAX(flow-eflow-q_design,0)</w:t>
      </w:r>
    </w:p>
    <w:p>
      <w:pPr>
        <w:spacing w:after="40"/>
      </w:pPr>
    </w:p>
    <w:p>
      <w:pPr>
        <w:jc w:val="both"/>
      </w:pPr>
      <w:r>
        <w:rPr/>
        <w:t>Annual statistics:</w:t>
      </w:r>
    </w:p>
    <w:p>
      <w:pPr>
        <w:spacing w:after="0"/>
        <w:ind w:left="283"/>
      </w:pPr>
      <w:r>
        <w:rPr>
          <w:rFonts w:ascii="Courier New" w:hAnsi="Courier New"/>
          <w:sz w:val="17"/>
        </w:rPr>
        <w:t>p50    = sum of monthly net energy</w:t>
      </w:r>
    </w:p>
    <w:p>
      <w:pPr>
        <w:spacing w:after="0"/>
        <w:ind w:left="283"/>
      </w:pPr>
      <w:r>
        <w:rPr>
          <w:rFonts w:ascii="Courier New" w:hAnsi="Courier New"/>
          <w:sz w:val="17"/>
        </w:rPr>
        <w:t>p75    = p50*(1-z75*cv)                 z75 = 0.6745</w:t>
      </w:r>
    </w:p>
    <w:p>
      <w:pPr>
        <w:spacing w:after="0"/>
        <w:ind w:left="283"/>
      </w:pPr>
      <w:r>
        <w:rPr>
          <w:rFonts w:ascii="Courier New" w:hAnsi="Courier New"/>
          <w:sz w:val="17"/>
        </w:rPr>
        <w:t>p90    = p50*(1-z90*cv)                 z90 = 1.2816 (one-year P90)</w:t>
      </w:r>
    </w:p>
    <w:p>
      <w:pPr>
        <w:spacing w:after="0"/>
        <w:ind w:left="283"/>
      </w:pPr>
      <w:r>
        <w:rPr>
          <w:rFonts w:ascii="Courier New" w:hAnsi="Courier New"/>
          <w:sz w:val="17"/>
        </w:rPr>
        <w:t>p90_10 = p50*(1-z90*cv*SQRT((1+rho1)/(1-rho1)/10))</w:t>
      </w:r>
    </w:p>
    <w:p>
      <w:pPr>
        <w:spacing w:after="0"/>
        <w:ind w:left="283"/>
      </w:pPr>
      <w:r>
        <w:rPr>
          <w:rFonts w:ascii="Courier New" w:hAnsi="Courier New"/>
          <w:sz w:val="17"/>
        </w:rPr>
        <w:t>cf     = p50/(inst_mw*8.76)</w:t>
      </w:r>
    </w:p>
    <w:p>
      <w:pPr>
        <w:spacing w:after="0"/>
        <w:ind w:left="283"/>
      </w:pPr>
      <w:r>
        <w:rPr>
          <w:rFonts w:ascii="Courier New" w:hAnsi="Courier New"/>
          <w:sz w:val="17"/>
        </w:rPr>
        <w:t>firm_mw= lowest monthly power*avail</w:t>
      </w:r>
    </w:p>
    <w:p>
      <w:pPr>
        <w:spacing w:after="40"/>
      </w:pPr>
    </w:p>
    <w:p>
      <w:pPr>
        <w:jc w:val="both"/>
      </w:pPr>
      <w:r>
        <w:rPr/>
        <w:t xml:space="preserve">The ten-year P90 is the P90 of the ten-year average energy. Year-to-year correlation </w:t>
      </w:r>
      <w:r>
        <w:rPr>
          <w:rFonts w:ascii="Courier New" w:hAnsi="Courier New"/>
        </w:rPr>
        <w:t>rho1</w:t>
      </w:r>
      <w:r>
        <w:rPr/>
        <w:t xml:space="preserve"> (default 0.3) represents the persistence of dry years: it inflates the variance of the average through the factor (1+ρ)/(1−ρ)/n. With CV 15% the Kasiri values are P50 292.5 GWh, P75 262.9, one-year P90 236.3 and ten-year P90 268.3 GWh; P90/P50 is 0.81 and the capacity factor 55.6%. The check row "theoretical power at design flow" (60.5 MW) should be at least the installed capacity.</w:t>
      </w:r>
    </w:p>
    <w:p>
      <w:pPr>
        <w:jc w:val="both"/>
      </w:pPr>
      <w:r>
        <w:rPr/>
        <w:t>The sheet notes that energy computed from long-term mean monthly flows overstates energy when flows exceed design flow in some years, and should be replaced by a simulation over the full record when one exists.</w:t>
      </w:r>
    </w:p>
    <w:p>
      <w:pPr>
        <w:pStyle w:val="Heading2"/>
      </w:pPr>
      <w:r>
        <w:t>6.2 Energy (04_GENERATION)</w:t>
      </w:r>
    </w:p>
    <w:p>
      <w:pPr>
        <w:spacing w:after="0"/>
        <w:ind w:left="283"/>
      </w:pPr>
      <w:r>
        <w:rPr>
          <w:rFonts w:ascii="Courier New" w:hAnsi="Courier New"/>
          <w:sz w:val="17"/>
        </w:rPr>
        <w:t>p_sel     = CHOOSE(gen_case,p50,p75,p90)</w:t>
      </w:r>
    </w:p>
    <w:p>
      <w:pPr>
        <w:spacing w:after="0"/>
        <w:ind w:left="283"/>
      </w:pPr>
      <w:r>
        <w:rPr>
          <w:rFonts w:ascii="Courier New" w:hAnsi="Courier New"/>
          <w:sz w:val="17"/>
        </w:rPr>
        <w:t>p_len     = CHOOSE(lender_case,p50,p75,p90,p90_10)</w:t>
      </w:r>
    </w:p>
    <w:p>
      <w:pPr>
        <w:spacing w:after="0"/>
        <w:ind w:left="283"/>
      </w:pPr>
      <w:r>
        <w:rPr>
          <w:rFonts w:ascii="Courier New" w:hAnsi="Courier New"/>
          <w:sz w:val="17"/>
        </w:rPr>
        <w:t>drought   = IF(AND(st_drought=1,opyr&gt;=p_drought_start,opyr&lt;p_drought_start+p_drought_len),p_drought,1)</w:t>
      </w:r>
    </w:p>
    <w:p>
      <w:pPr>
        <w:spacing w:after="0"/>
        <w:ind w:left="283"/>
      </w:pPr>
      <w:r>
        <w:rPr>
          <w:rFonts w:ascii="Courier New" w:hAnsi="Courier New"/>
          <w:sz w:val="17"/>
        </w:rPr>
        <w:t>climate   = (1+eff_climate)^((year-base_year)/10)</w:t>
      </w:r>
    </w:p>
    <w:p>
      <w:pPr>
        <w:spacing w:after="0"/>
        <w:ind w:left="283"/>
      </w:pPr>
      <w:r>
        <w:rPr>
          <w:rFonts w:ascii="Courier New" w:hAnsi="Courier New"/>
          <w:sz w:val="17"/>
        </w:rPr>
        <w:t>rampf     = IF(opyr=1,ramp,1)</w:t>
      </w:r>
    </w:p>
    <w:p>
      <w:pPr>
        <w:spacing w:after="0"/>
        <w:ind w:left="283"/>
      </w:pPr>
      <w:r>
        <w:rPr>
          <w:rFonts w:ascii="Courier New" w:hAnsi="Courier New"/>
          <w:sz w:val="17"/>
        </w:rPr>
        <w:t>gen       = opflag*p_sel*eff_flow*drought*climate*rampf</w:t>
      </w:r>
    </w:p>
    <w:p>
      <w:pPr>
        <w:spacing w:after="0"/>
        <w:ind w:left="283"/>
      </w:pPr>
      <w:r>
        <w:rPr>
          <w:rFonts w:ascii="Courier New" w:hAnsi="Courier New"/>
          <w:sz w:val="17"/>
        </w:rPr>
        <w:t>gen_p50   = opflag*p50*eff_flow*climate*rampf</w:t>
      </w:r>
    </w:p>
    <w:p>
      <w:pPr>
        <w:spacing w:after="0"/>
        <w:ind w:left="283"/>
      </w:pPr>
      <w:r>
        <w:rPr>
          <w:rFonts w:ascii="Courier New" w:hAnsi="Courier New"/>
          <w:sz w:val="17"/>
        </w:rPr>
        <w:t>evacuable = gen*evac_ratio</w:t>
      </w:r>
    </w:p>
    <w:p>
      <w:pPr>
        <w:spacing w:after="0"/>
        <w:ind w:left="283"/>
      </w:pPr>
      <w:r>
        <w:rPr>
          <w:rFonts w:ascii="Courier New" w:hAnsi="Courier New"/>
          <w:sz w:val="17"/>
        </w:rPr>
        <w:t>delivered = MIN(evacuable,d_absorb)</w:t>
      </w:r>
    </w:p>
    <w:p>
      <w:pPr>
        <w:spacing w:after="0"/>
        <w:ind w:left="283"/>
      </w:pPr>
      <w:r>
        <w:rPr>
          <w:rFonts w:ascii="Courier New" w:hAnsi="Courier New"/>
          <w:sz w:val="17"/>
        </w:rPr>
        <w:t>gen_len   = opflag*p_len*eff_flow*climate*rampf</w:t>
      </w:r>
    </w:p>
    <w:p>
      <w:pPr>
        <w:spacing w:after="40"/>
      </w:pPr>
    </w:p>
    <w:p>
      <w:pPr>
        <w:jc w:val="both"/>
      </w:pPr>
      <w:r>
        <w:rPr/>
        <w:t xml:space="preserve">Installed, available, generated, evacuable, delivered and contracted energy are kept distinct. Curtailment for transmission or grid is </w:t>
      </w:r>
      <w:r>
        <w:rPr>
          <w:rFonts w:ascii="Courier New" w:hAnsi="Courier New"/>
        </w:rPr>
        <w:t>gen-evacuable</w:t>
      </w:r>
      <w:r>
        <w:rPr/>
        <w:t xml:space="preserve">; curtailment for lack of demand is </w:t>
      </w:r>
      <w:r>
        <w:rPr>
          <w:rFonts w:ascii="Courier New" w:hAnsi="Courier New"/>
        </w:rPr>
        <w:t>evacuable-delivered</w:t>
      </w:r>
      <w:r>
        <w:rPr/>
        <w:t xml:space="preserve">. Contracted energy is the P50 reference </w:t>
      </w:r>
      <w:r>
        <w:rPr>
          <w:rFonts w:ascii="Courier New" w:hAnsi="Courier New"/>
        </w:rPr>
        <w:t>gen_p50</w:t>
      </w:r>
      <w:r>
        <w:rPr/>
        <w:t xml:space="preserve">. The lender-case generation </w:t>
      </w:r>
      <w:r>
        <w:rPr>
          <w:rFonts w:ascii="Courier New" w:hAnsi="Courier New"/>
        </w:rPr>
        <w:t>gen_len</w:t>
      </w:r>
      <w:r>
        <w:rPr/>
        <w:t xml:space="preserve"> does not include the drought factor: the drought is tested separately.</w:t>
      </w:r>
    </w:p>
    <w:p>
      <w:pPr>
        <w:jc w:val="both"/>
      </w:pPr>
      <w:r>
        <w:rPr/>
        <w:t xml:space="preserve">The evacuation ratio comes from </w:t>
      </w:r>
      <w:r>
        <w:rPr>
          <w:i/>
        </w:rPr>
        <w:t>09_GRID</w:t>
      </w:r>
      <w:r>
        <w:rPr/>
        <w:t>:</w:t>
      </w:r>
    </w:p>
    <w:p>
      <w:pPr>
        <w:spacing w:after="0"/>
        <w:ind w:left="283"/>
      </w:pPr>
      <w:r>
        <w:rPr>
          <w:rFonts w:ascii="Courier New" w:hAnsi="Courier New"/>
          <w:sz w:val="17"/>
        </w:rPr>
        <w:t>peak       = peak0*d_dom/base-year domestic demand</w:t>
      </w:r>
    </w:p>
    <w:p>
      <w:pPr>
        <w:spacing w:after="0"/>
        <w:ind w:left="283"/>
      </w:pPr>
      <w:r>
        <w:rPr>
          <w:rFonts w:ascii="Courier New" w:hAnsi="Courier New"/>
          <w:sz w:val="17"/>
        </w:rPr>
        <w:t>absorb_mw  = MAX(0,peak*minload-mustrun)+ic_mw</w:t>
      </w:r>
    </w:p>
    <w:p>
      <w:pPr>
        <w:spacing w:after="0"/>
        <w:ind w:left="283"/>
      </w:pPr>
      <w:r>
        <w:rPr>
          <w:rFonts w:ascii="Courier New" w:hAnsi="Courier New"/>
          <w:sz w:val="17"/>
        </w:rPr>
        <w:t>line_mw    = IF(tx_ready=1,tx_mw,tx_interim)</w:t>
      </w:r>
    </w:p>
    <w:p>
      <w:pPr>
        <w:spacing w:after="0"/>
        <w:ind w:left="283"/>
      </w:pPr>
      <w:r>
        <w:rPr>
          <w:rFonts w:ascii="Courier New" w:hAnsi="Courier New"/>
          <w:sz w:val="17"/>
        </w:rPr>
        <w:t>evac_mw    = MIN(line_mw,absorb_mw)</w:t>
      </w:r>
    </w:p>
    <w:p>
      <w:pPr>
        <w:spacing w:after="0"/>
        <w:ind w:left="283"/>
      </w:pPr>
      <w:r>
        <w:rPr>
          <w:rFonts w:ascii="Courier New" w:hAnsi="Courier New"/>
          <w:sz w:val="17"/>
        </w:rPr>
        <w:t>evac_ratio = MIN(1,evac_mw/inst_mw)</w:t>
      </w:r>
    </w:p>
    <w:p>
      <w:pPr>
        <w:spacing w:after="40"/>
      </w:pPr>
    </w:p>
    <w:p>
      <w:pPr>
        <w:jc w:val="both"/>
      </w:pPr>
      <w:r>
        <w:rPr/>
        <w:t xml:space="preserve">Demand on </w:t>
      </w:r>
      <w:r>
        <w:rPr>
          <w:i/>
        </w:rPr>
        <w:t>10_DEMAND</w:t>
      </w:r>
      <w:r>
        <w:rPr/>
        <w:t xml:space="preserve"> grows by segment with the case growth rate, plus </w:t>
      </w:r>
      <w:r>
        <w:rPr>
          <w:rFonts w:ascii="Courier New" w:hAnsi="Courier New"/>
        </w:rPr>
        <w:t>eff_demg</w:t>
      </w:r>
      <w:r>
        <w:rPr/>
        <w:t xml:space="preserve">, and is multiplied by </w:t>
      </w:r>
      <w:r>
        <w:rPr>
          <w:rFonts w:ascii="Courier New" w:hAnsi="Courier New"/>
        </w:rPr>
        <w:t>eff_dem</w:t>
      </w:r>
      <w:r>
        <w:rPr/>
        <w:t xml:space="preserve"> from COD. Absorbable project energy is the supply gap plus displaceable thermal generation plus contracted exports. Bankable demand is </w:t>
      </w:r>
      <w:r>
        <w:rPr>
          <w:rFonts w:ascii="Courier New" w:hAnsi="Courier New"/>
        </w:rPr>
        <w:t>opflag*MIN(contracted,absorbable*commercial/(domestic+exp_con))</w:t>
      </w:r>
      <w:r>
        <w:rPr/>
        <w:t>; the worst ratio of bankable to contracted demand in operating years 1 to 5 feeds Gate 2.</w:t>
      </w:r>
    </w:p>
    <w:p>
      <w:pPr>
        <w:pStyle w:val="Heading2"/>
      </w:pPr>
      <w:r>
        <w:t>6.3 Capital cost build-up (05_PLANT_CAPEX, 06_CONSTRUCTION, 08_TRANSMISSION)</w:t>
      </w:r>
    </w:p>
    <w:p>
      <w:pPr>
        <w:jc w:val="both"/>
      </w:pPr>
      <w:r>
        <w:rPr/>
        <w:t>Plant cost in real 2026 USD:</w:t>
      </w:r>
    </w:p>
    <w:tbl>
      <w:tblPr>
        <w:tblStyle w:val="TableGrid"/>
        <w:tblW w:type="auto" w:w="0"/>
        <w:jc w:val="center"/>
        <w:tblLook w:firstColumn="1" w:firstRow="1" w:lastColumn="0" w:lastRow="0" w:noHBand="0" w:noVBand="1" w:val="04A0"/>
      </w:tblPr>
      <w:tblGrid>
        <w:gridCol w:w="3213"/>
        <w:gridCol w:w="3213"/>
        <w:gridCol w:w="3213"/>
      </w:tblGrid>
      <w:tr>
        <w:tc>
          <w:tcPr>
            <w:tcW w:type="dxa" w:w="3602"/>
            <w:shd w:val="clear" w:color="auto" w:fill="0B3020"/>
          </w:tcPr>
          <w:p>
            <w:pPr>
              <w:spacing w:after="0"/>
            </w:pPr>
            <w:r>
              <w:rPr>
                <w:b/>
                <w:color w:val="FFFFFF"/>
                <w:sz w:val="16"/>
              </w:rPr>
              <w:t>Line</w:t>
            </w:r>
          </w:p>
        </w:tc>
        <w:tc>
          <w:tcPr>
            <w:tcW w:type="dxa" w:w="1266"/>
            <w:shd w:val="clear" w:color="auto" w:fill="0B3020"/>
          </w:tcPr>
          <w:p>
            <w:pPr>
              <w:spacing w:after="0"/>
            </w:pPr>
            <w:r>
              <w:rPr>
                <w:b/>
                <w:color w:val="FFFFFF"/>
                <w:sz w:val="16"/>
              </w:rPr>
              <w:t>Kasiri (USDm)</w:t>
            </w:r>
          </w:p>
        </w:tc>
        <w:tc>
          <w:tcPr>
            <w:tcW w:type="dxa" w:w="4770"/>
            <w:shd w:val="clear" w:color="auto" w:fill="0B3020"/>
          </w:tcPr>
          <w:p>
            <w:pPr>
              <w:spacing w:after="0"/>
            </w:pPr>
            <w:r>
              <w:rPr>
                <w:b/>
                <w:color w:val="FFFFFF"/>
                <w:sz w:val="16"/>
              </w:rPr>
              <w:t>Formula or source</w:t>
            </w:r>
          </w:p>
        </w:tc>
      </w:tr>
      <w:tr>
        <w:tc>
          <w:tcPr>
            <w:tcW w:type="dxa" w:w="3602"/>
          </w:tcPr>
          <w:p>
            <w:pPr>
              <w:spacing w:after="0"/>
            </w:pPr>
            <w:r>
              <w:rPr>
                <w:color w:val="1D1D1D"/>
                <w:sz w:val="16"/>
              </w:rPr>
              <w:t>Civil works</w:t>
            </w:r>
          </w:p>
        </w:tc>
        <w:tc>
          <w:tcPr>
            <w:tcW w:type="dxa" w:w="1266"/>
          </w:tcPr>
          <w:p>
            <w:pPr>
              <w:spacing w:after="0"/>
            </w:pPr>
            <w:r>
              <w:rPr>
                <w:color w:val="1D1D1D"/>
                <w:sz w:val="16"/>
              </w:rPr>
              <w:t>68.0</w:t>
            </w:r>
          </w:p>
        </w:tc>
        <w:tc>
          <w:tcPr>
            <w:tcW w:type="dxa" w:w="4770"/>
          </w:tcPr>
          <w:p>
            <w:pPr>
              <w:spacing w:after="0"/>
            </w:pPr>
            <w:r>
              <w:rPr>
                <w:color w:val="1D1D1D"/>
                <w:sz w:val="16"/>
              </w:rPr>
              <w:t>Input</w:t>
            </w:r>
          </w:p>
        </w:tc>
      </w:tr>
      <w:tr>
        <w:tc>
          <w:tcPr>
            <w:tcW w:type="dxa" w:w="3602"/>
            <w:shd w:val="clear" w:color="auto" w:fill="FAF8F2"/>
          </w:tcPr>
          <w:p>
            <w:pPr>
              <w:spacing w:after="0"/>
            </w:pPr>
            <w:r>
              <w:rPr>
                <w:color w:val="1D1D1D"/>
                <w:sz w:val="16"/>
              </w:rPr>
              <w:t>Hydro-mechanical</w:t>
            </w:r>
          </w:p>
        </w:tc>
        <w:tc>
          <w:tcPr>
            <w:tcW w:type="dxa" w:w="1266"/>
            <w:shd w:val="clear" w:color="auto" w:fill="FAF8F2"/>
          </w:tcPr>
          <w:p>
            <w:pPr>
              <w:spacing w:after="0"/>
            </w:pPr>
            <w:r>
              <w:rPr>
                <w:color w:val="1D1D1D"/>
                <w:sz w:val="16"/>
              </w:rPr>
              <w:t>9.0</w:t>
            </w:r>
          </w:p>
        </w:tc>
        <w:tc>
          <w:tcPr>
            <w:tcW w:type="dxa" w:w="4770"/>
            <w:shd w:val="clear" w:color="auto" w:fill="FAF8F2"/>
          </w:tcPr>
          <w:p>
            <w:pPr>
              <w:spacing w:after="0"/>
            </w:pPr>
            <w:r>
              <w:rPr>
                <w:color w:val="1D1D1D"/>
                <w:sz w:val="16"/>
              </w:rPr>
              <w:t>Input</w:t>
            </w:r>
          </w:p>
        </w:tc>
      </w:tr>
      <w:tr>
        <w:tc>
          <w:tcPr>
            <w:tcW w:type="dxa" w:w="3602"/>
          </w:tcPr>
          <w:p>
            <w:pPr>
              <w:spacing w:after="0"/>
            </w:pPr>
            <w:r>
              <w:rPr>
                <w:color w:val="1D1D1D"/>
                <w:sz w:val="16"/>
              </w:rPr>
              <w:t>Electro-mechanical</w:t>
            </w:r>
          </w:p>
        </w:tc>
        <w:tc>
          <w:tcPr>
            <w:tcW w:type="dxa" w:w="1266"/>
          </w:tcPr>
          <w:p>
            <w:pPr>
              <w:spacing w:after="0"/>
            </w:pPr>
            <w:r>
              <w:rPr>
                <w:color w:val="1D1D1D"/>
                <w:sz w:val="16"/>
              </w:rPr>
              <w:t>33.0</w:t>
            </w:r>
          </w:p>
        </w:tc>
        <w:tc>
          <w:tcPr>
            <w:tcW w:type="dxa" w:w="4770"/>
          </w:tcPr>
          <w:p>
            <w:pPr>
              <w:spacing w:after="0"/>
            </w:pPr>
            <w:r>
              <w:rPr>
                <w:color w:val="1D1D1D"/>
                <w:sz w:val="16"/>
              </w:rPr>
              <w:t>Input</w:t>
            </w:r>
          </w:p>
        </w:tc>
      </w:tr>
      <w:tr>
        <w:tc>
          <w:tcPr>
            <w:tcW w:type="dxa" w:w="3602"/>
            <w:shd w:val="clear" w:color="auto" w:fill="FAF8F2"/>
          </w:tcPr>
          <w:p>
            <w:pPr>
              <w:spacing w:after="0"/>
            </w:pPr>
            <w:r>
              <w:rPr>
                <w:color w:val="1D1D1D"/>
                <w:sz w:val="16"/>
              </w:rPr>
              <w:t>Environmental and social</w:t>
            </w:r>
          </w:p>
        </w:tc>
        <w:tc>
          <w:tcPr>
            <w:tcW w:type="dxa" w:w="1266"/>
            <w:shd w:val="clear" w:color="auto" w:fill="FAF8F2"/>
          </w:tcPr>
          <w:p>
            <w:pPr>
              <w:spacing w:after="0"/>
            </w:pPr>
            <w:r>
              <w:rPr>
                <w:color w:val="1D1D1D"/>
                <w:sz w:val="16"/>
              </w:rPr>
              <w:t>5.0</w:t>
            </w:r>
          </w:p>
        </w:tc>
        <w:tc>
          <w:tcPr>
            <w:tcW w:type="dxa" w:w="4770"/>
            <w:shd w:val="clear" w:color="auto" w:fill="FAF8F2"/>
          </w:tcPr>
          <w:p>
            <w:pPr>
              <w:spacing w:after="0"/>
            </w:pPr>
            <w:r>
              <w:rPr>
                <w:color w:val="1D1D1D"/>
                <w:sz w:val="16"/>
              </w:rPr>
              <w:t>Input</w:t>
            </w:r>
          </w:p>
        </w:tc>
      </w:tr>
      <w:tr>
        <w:tc>
          <w:tcPr>
            <w:tcW w:type="dxa" w:w="3602"/>
          </w:tcPr>
          <w:p>
            <w:pPr>
              <w:spacing w:after="0"/>
            </w:pPr>
            <w:r>
              <w:rPr>
                <w:color w:val="1D1D1D"/>
                <w:sz w:val="16"/>
              </w:rPr>
              <w:t>Engineering and supervision</w:t>
            </w:r>
          </w:p>
        </w:tc>
        <w:tc>
          <w:tcPr>
            <w:tcW w:type="dxa" w:w="1266"/>
          </w:tcPr>
          <w:p>
            <w:pPr>
              <w:spacing w:after="0"/>
            </w:pPr>
            <w:r>
              <w:rPr>
                <w:color w:val="1D1D1D"/>
                <w:sz w:val="16"/>
              </w:rPr>
              <w:t>8.0</w:t>
            </w:r>
          </w:p>
        </w:tc>
        <w:tc>
          <w:tcPr>
            <w:tcW w:type="dxa" w:w="4770"/>
          </w:tcPr>
          <w:p>
            <w:pPr>
              <w:spacing w:after="0"/>
            </w:pPr>
            <w:r>
              <w:rPr>
                <w:color w:val="1D1D1D"/>
                <w:sz w:val="16"/>
              </w:rPr>
              <w:t>Input</w:t>
            </w:r>
          </w:p>
        </w:tc>
      </w:tr>
      <w:tr>
        <w:tc>
          <w:tcPr>
            <w:tcW w:type="dxa" w:w="3602"/>
            <w:shd w:val="clear" w:color="auto" w:fill="FAF8F2"/>
          </w:tcPr>
          <w:p>
            <w:pPr>
              <w:spacing w:after="0"/>
            </w:pPr>
            <w:r>
              <w:rPr>
                <w:color w:val="1D1D1D"/>
                <w:sz w:val="16"/>
              </w:rPr>
              <w:t>Owner's costs</w:t>
            </w:r>
          </w:p>
        </w:tc>
        <w:tc>
          <w:tcPr>
            <w:tcW w:type="dxa" w:w="1266"/>
            <w:shd w:val="clear" w:color="auto" w:fill="FAF8F2"/>
          </w:tcPr>
          <w:p>
            <w:pPr>
              <w:spacing w:after="0"/>
            </w:pPr>
            <w:r>
              <w:rPr>
                <w:color w:val="1D1D1D"/>
                <w:sz w:val="16"/>
              </w:rPr>
              <w:t>4.0</w:t>
            </w:r>
          </w:p>
        </w:tc>
        <w:tc>
          <w:tcPr>
            <w:tcW w:type="dxa" w:w="4770"/>
            <w:shd w:val="clear" w:color="auto" w:fill="FAF8F2"/>
          </w:tcPr>
          <w:p>
            <w:pPr>
              <w:spacing w:after="0"/>
            </w:pPr>
            <w:r>
              <w:rPr>
                <w:color w:val="1D1D1D"/>
                <w:sz w:val="16"/>
              </w:rPr>
              <w:t>Input</w:t>
            </w:r>
          </w:p>
        </w:tc>
      </w:tr>
      <w:tr>
        <w:tc>
          <w:tcPr>
            <w:tcW w:type="dxa" w:w="3602"/>
          </w:tcPr>
          <w:p>
            <w:pPr>
              <w:spacing w:after="0"/>
            </w:pPr>
            <w:r>
              <w:rPr>
                <w:color w:val="1D1D1D"/>
                <w:sz w:val="16"/>
              </w:rPr>
              <w:t>Development costs reimbursed at close</w:t>
            </w:r>
          </w:p>
        </w:tc>
        <w:tc>
          <w:tcPr>
            <w:tcW w:type="dxa" w:w="1266"/>
          </w:tcPr>
          <w:p>
            <w:pPr>
              <w:spacing w:after="0"/>
            </w:pPr>
            <w:r>
              <w:rPr>
                <w:color w:val="1D1D1D"/>
                <w:sz w:val="16"/>
              </w:rPr>
              <w:t>9.0</w:t>
            </w:r>
          </w:p>
        </w:tc>
        <w:tc>
          <w:tcPr>
            <w:tcW w:type="dxa" w:w="4770"/>
          </w:tcPr>
          <w:p>
            <w:pPr>
              <w:spacing w:after="0"/>
            </w:pPr>
            <w:r>
              <w:rPr>
                <w:rFonts w:ascii="Courier New" w:hAnsi="Courier New"/>
                <w:color w:val="1D1D1D"/>
                <w:sz w:val="16"/>
              </w:rPr>
              <w:t>cx_dev = dev_total</w:t>
            </w:r>
            <w:r>
              <w:rPr>
                <w:color w:val="1D1D1D"/>
                <w:sz w:val="16"/>
              </w:rPr>
              <w:t xml:space="preserve"> from </w:t>
            </w:r>
            <w:r>
              <w:rPr>
                <w:i/>
                <w:color w:val="1D1D1D"/>
                <w:sz w:val="16"/>
              </w:rPr>
              <w:t>01A_DEVELOPMENT</w:t>
            </w:r>
          </w:p>
        </w:tc>
      </w:tr>
      <w:tr>
        <w:tc>
          <w:tcPr>
            <w:tcW w:type="dxa" w:w="3602"/>
            <w:shd w:val="clear" w:color="auto" w:fill="FAF8F2"/>
          </w:tcPr>
          <w:p>
            <w:pPr>
              <w:spacing w:after="0"/>
            </w:pPr>
            <w:r>
              <w:rPr>
                <w:color w:val="1D1D1D"/>
                <w:sz w:val="16"/>
              </w:rPr>
              <w:t>Contractor risk premium</w:t>
            </w:r>
          </w:p>
        </w:tc>
        <w:tc>
          <w:tcPr>
            <w:tcW w:type="dxa" w:w="1266"/>
            <w:shd w:val="clear" w:color="auto" w:fill="FAF8F2"/>
          </w:tcPr>
          <w:p>
            <w:pPr>
              <w:spacing w:after="0"/>
            </w:pPr>
            <w:r>
              <w:rPr>
                <w:color w:val="1D1D1D"/>
                <w:sz w:val="16"/>
              </w:rPr>
              <w:t>6.6</w:t>
            </w:r>
          </w:p>
        </w:tc>
        <w:tc>
          <w:tcPr>
            <w:tcW w:type="dxa" w:w="4770"/>
            <w:shd w:val="clear" w:color="auto" w:fill="FAF8F2"/>
          </w:tcPr>
          <w:p>
            <w:pPr>
              <w:spacing w:after="0"/>
            </w:pPr>
            <w:r>
              <w:rPr>
                <w:rFonts w:ascii="Courier New" w:hAnsi="Courier New"/>
                <w:color w:val="1D1D1D"/>
                <w:sz w:val="16"/>
              </w:rPr>
              <w:t>cx_epcprem = (cx_civil+cx_hm+cx_em)*epc_prem</w:t>
            </w:r>
          </w:p>
        </w:tc>
      </w:tr>
      <w:tr>
        <w:tc>
          <w:tcPr>
            <w:tcW w:type="dxa" w:w="3602"/>
          </w:tcPr>
          <w:p>
            <w:pPr>
              <w:spacing w:after="0"/>
            </w:pPr>
            <w:r>
              <w:rPr>
                <w:color w:val="1D1D1D"/>
                <w:sz w:val="16"/>
              </w:rPr>
              <w:t>Subtotal</w:t>
            </w:r>
          </w:p>
        </w:tc>
        <w:tc>
          <w:tcPr>
            <w:tcW w:type="dxa" w:w="1266"/>
          </w:tcPr>
          <w:p>
            <w:pPr>
              <w:spacing w:after="0"/>
            </w:pPr>
            <w:r>
              <w:rPr>
                <w:color w:val="1D1D1D"/>
                <w:sz w:val="16"/>
              </w:rPr>
              <w:t>142.6</w:t>
            </w:r>
          </w:p>
        </w:tc>
        <w:tc>
          <w:tcPr>
            <w:tcW w:type="dxa" w:w="4770"/>
          </w:tcPr>
          <w:p>
            <w:pPr>
              <w:spacing w:after="0"/>
            </w:pPr>
            <w:r>
              <w:rPr>
                <w:color w:val="1D1D1D"/>
                <w:sz w:val="16"/>
              </w:rPr>
              <w:t>Sum</w:t>
            </w:r>
          </w:p>
        </w:tc>
      </w:tr>
      <w:tr>
        <w:tc>
          <w:tcPr>
            <w:tcW w:type="dxa" w:w="3602"/>
            <w:shd w:val="clear" w:color="auto" w:fill="FAF8F2"/>
          </w:tcPr>
          <w:p>
            <w:pPr>
              <w:spacing w:after="0"/>
            </w:pPr>
            <w:r>
              <w:rPr>
                <w:color w:val="1D1D1D"/>
                <w:sz w:val="16"/>
              </w:rPr>
              <w:t>Physical contingency 10%</w:t>
            </w:r>
          </w:p>
        </w:tc>
        <w:tc>
          <w:tcPr>
            <w:tcW w:type="dxa" w:w="1266"/>
            <w:shd w:val="clear" w:color="auto" w:fill="FAF8F2"/>
          </w:tcPr>
          <w:p>
            <w:pPr>
              <w:spacing w:after="0"/>
            </w:pPr>
            <w:r>
              <w:rPr>
                <w:color w:val="1D1D1D"/>
                <w:sz w:val="16"/>
              </w:rPr>
              <w:t>14.3</w:t>
            </w:r>
          </w:p>
        </w:tc>
        <w:tc>
          <w:tcPr>
            <w:tcW w:type="dxa" w:w="4770"/>
            <w:shd w:val="clear" w:color="auto" w:fill="FAF8F2"/>
          </w:tcPr>
          <w:p>
            <w:pPr>
              <w:spacing w:after="0"/>
            </w:pPr>
            <w:r>
              <w:rPr>
                <w:rFonts w:ascii="Courier New" w:hAnsi="Courier New"/>
                <w:color w:val="1D1D1D"/>
                <w:sz w:val="16"/>
              </w:rPr>
              <w:t>capex_base = cx_sub*(1+cont)</w:t>
            </w:r>
          </w:p>
        </w:tc>
      </w:tr>
      <w:tr>
        <w:tc>
          <w:tcPr>
            <w:tcW w:type="dxa" w:w="3602"/>
          </w:tcPr>
          <w:p>
            <w:pPr>
              <w:spacing w:after="0"/>
            </w:pPr>
            <w:r>
              <w:rPr>
                <w:color w:val="1D1D1D"/>
                <w:sz w:val="16"/>
              </w:rPr>
              <w:t>Base plant cost</w:t>
            </w:r>
          </w:p>
        </w:tc>
        <w:tc>
          <w:tcPr>
            <w:tcW w:type="dxa" w:w="1266"/>
          </w:tcPr>
          <w:p>
            <w:pPr>
              <w:spacing w:after="0"/>
            </w:pPr>
            <w:r>
              <w:rPr>
                <w:color w:val="1D1D1D"/>
                <w:sz w:val="16"/>
              </w:rPr>
              <w:t>156.9</w:t>
            </w:r>
          </w:p>
        </w:tc>
        <w:tc>
          <w:tcPr>
            <w:tcW w:type="dxa" w:w="4770"/>
          </w:tcPr>
          <w:p>
            <w:pPr>
              <w:spacing w:after="0"/>
            </w:pPr>
            <w:r>
              <w:rPr>
                <w:color w:val="1D1D1D"/>
                <w:sz w:val="16"/>
              </w:rPr>
              <w:t>USD 2,614/kW; 1.04x the benchmark of USD 2,515/kW</w:t>
            </w:r>
          </w:p>
        </w:tc>
      </w:tr>
    </w:tbl>
    <w:p>
      <w:pPr>
        <w:spacing w:after="40"/>
      </w:pPr>
    </w:p>
    <w:p>
      <w:pPr>
        <w:jc w:val="both"/>
      </w:pPr>
      <w:r>
        <w:rPr/>
        <w:t>The effective plant cost applies the case, the overrun stress, the owner's share of overruns and delay costs, and the flex:</w:t>
      </w:r>
    </w:p>
    <w:p>
      <w:pPr>
        <w:spacing w:after="0"/>
        <w:ind w:left="283"/>
      </w:pPr>
      <w:r>
        <w:rPr>
          <w:rFonts w:ascii="Courier New" w:hAnsi="Courier New"/>
          <w:sz w:val="17"/>
        </w:rPr>
        <w:t>eff_capex  = case_capex*(1+st_capex*p_overrun*epc_owner)*(1+fx_capex)</w:t>
      </w:r>
    </w:p>
    <w:p>
      <w:pPr>
        <w:spacing w:after="0"/>
        <w:ind w:left="283"/>
      </w:pPr>
      <w:r>
        <w:rPr>
          <w:rFonts w:ascii="Courier New" w:hAnsi="Courier New"/>
          <w:sz w:val="17"/>
        </w:rPr>
        <w:t>capex_real = capex_base*eff_capex*(1+delay_cost*eff_delay*epc_owner_d)</w:t>
      </w:r>
    </w:p>
    <w:p>
      <w:pPr>
        <w:spacing w:after="40"/>
      </w:pPr>
    </w:p>
    <w:p>
      <w:pPr>
        <w:jc w:val="both"/>
      </w:pPr>
      <w:r>
        <w:rPr/>
        <w:t xml:space="preserve">Phasing uses a sine S-curve over the effective construction period N that sums exactly to one for any N, and escalation at </w:t>
      </w:r>
      <w:r>
        <w:rPr>
          <w:rFonts w:ascii="Courier New" w:hAnsi="Courier New"/>
        </w:rPr>
        <w:t>capex_esc</w:t>
      </w:r>
      <w:r>
        <w:rPr/>
        <w:t>:</w:t>
      </w:r>
    </w:p>
    <w:p>
      <w:pPr>
        <w:spacing w:after="0"/>
        <w:ind w:left="283"/>
      </w:pPr>
      <w:r>
        <w:rPr>
          <w:rFonts w:ascii="Courier New" w:hAnsi="Courier New"/>
          <w:sz w:val="17"/>
        </w:rPr>
        <w:t>share_t   = IF(consflag=1,SIN(PI()*(t-0.5)/N)*SIN(PI()/(2*N)),0)</w:t>
      </w:r>
    </w:p>
    <w:p>
      <w:pPr>
        <w:spacing w:after="0"/>
        <w:ind w:left="283"/>
      </w:pPr>
      <w:r>
        <w:rPr>
          <w:rFonts w:ascii="Courier New" w:hAnsi="Courier New"/>
          <w:sz w:val="17"/>
        </w:rPr>
        <w:t>capex_nom = capex_real*share*escidx       escidx = (1+capex_esc)^(year-base_year)</w:t>
      </w:r>
    </w:p>
    <w:p>
      <w:pPr>
        <w:spacing w:after="40"/>
      </w:pPr>
    </w:p>
    <w:p>
      <w:pPr>
        <w:jc w:val="both"/>
      </w:pPr>
      <w:r>
        <w:rPr/>
        <w:t xml:space="preserve">Transmission cost is </w:t>
      </w:r>
      <w:r>
        <w:rPr>
          <w:rFonts w:ascii="Courier New" w:hAnsi="Courier New"/>
        </w:rPr>
        <w:t>(tx_km*tx_cost_km+tx_sub+tx_reinf)*eff_capex</w:t>
      </w:r>
      <w:r>
        <w:rPr/>
        <w:t xml:space="preserve"> (USD 16.7m real for Kasiri), spent over </w:t>
      </w:r>
      <w:r>
        <w:rPr>
          <w:rFonts w:ascii="Courier New" w:hAnsi="Courier New"/>
        </w:rPr>
        <w:t>tx_build</w:t>
      </w:r>
      <w:r>
        <w:rPr/>
        <w:t xml:space="preserve"> years before the planned transmission COD, with a delay penalty </w:t>
      </w:r>
      <w:r>
        <w:rPr>
          <w:rFonts w:ascii="Courier New" w:hAnsi="Courier New"/>
        </w:rPr>
        <w:t>(1+delay_cost*eff_tdelay)</w:t>
      </w:r>
      <w:r>
        <w:rPr/>
        <w:t xml:space="preserve"> spread over </w:t>
      </w:r>
      <w:r>
        <w:rPr>
          <w:rFonts w:ascii="Courier New" w:hAnsi="Courier New"/>
        </w:rPr>
        <w:t>tx_build+eff_tdelay</w:t>
      </w:r>
      <w:r>
        <w:rPr/>
        <w:t xml:space="preserve"> years. </w:t>
      </w:r>
      <w:r>
        <w:rPr>
          <w:rFonts w:ascii="Courier New" w:hAnsi="Courier New"/>
        </w:rPr>
        <w:t>tx_party</w:t>
      </w:r>
      <w:r>
        <w:rPr/>
        <w:t xml:space="preserve"> = 1 puts the spend on government, 2 on the project. Transmission COD is </w:t>
      </w:r>
      <w:r>
        <w:rPr>
          <w:rFonts w:ascii="Courier New" w:hAnsi="Courier New"/>
        </w:rPr>
        <w:t>start_year+cons_years+tx_lag+eff_tdelay</w:t>
      </w:r>
      <w:r>
        <w:rPr/>
        <w:t>; the readiness gap is transmission COD less plant COD.</w:t>
      </w:r>
    </w:p>
    <w:p>
      <w:pPr>
        <w:pStyle w:val="Heading2"/>
      </w:pPr>
      <w:r>
        <w:t>6.4 Construction contracting (05A_CONTRACTING)</w:t>
      </w:r>
    </w:p>
    <w:p>
      <w:pPr>
        <w:jc w:val="both"/>
      </w:pPr>
      <w:r>
        <w:rPr>
          <w:rFonts w:ascii="Courier New" w:hAnsi="Courier New"/>
        </w:rPr>
        <w:t>epc_struct</w:t>
      </w:r>
      <w:r>
        <w:rPr/>
        <w:t xml:space="preserve"> selects a column of indicative parameters: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212"/>
            <w:shd w:val="clear" w:color="auto" w:fill="0B3020"/>
          </w:tcPr>
          <w:p>
            <w:pPr>
              <w:spacing w:after="0"/>
            </w:pPr>
            <w:r>
              <w:rPr>
                <w:b/>
                <w:color w:val="FFFFFF"/>
                <w:sz w:val="16"/>
              </w:rPr>
              <w:t>Parameter</w:t>
            </w:r>
          </w:p>
        </w:tc>
        <w:tc>
          <w:tcPr>
            <w:tcW w:type="dxa" w:w="1278"/>
            <w:shd w:val="clear" w:color="auto" w:fill="0B3020"/>
          </w:tcPr>
          <w:p>
            <w:pPr>
              <w:spacing w:after="0"/>
            </w:pPr>
            <w:r>
              <w:rPr>
                <w:b/>
                <w:color w:val="FFFFFF"/>
                <w:sz w:val="16"/>
              </w:rPr>
              <w:t>1 Turnkey EPC</w:t>
            </w:r>
          </w:p>
        </w:tc>
        <w:tc>
          <w:tcPr>
            <w:tcW w:type="dxa" w:w="1574"/>
            <w:shd w:val="clear" w:color="auto" w:fill="0B3020"/>
          </w:tcPr>
          <w:p>
            <w:pPr>
              <w:spacing w:after="0"/>
            </w:pPr>
            <w:r>
              <w:rPr>
                <w:b/>
                <w:color w:val="FFFFFF"/>
                <w:sz w:val="16"/>
              </w:rPr>
              <w:t>2 Split packages</w:t>
            </w:r>
          </w:p>
        </w:tc>
        <w:tc>
          <w:tcPr>
            <w:tcW w:type="dxa" w:w="1574"/>
            <w:shd w:val="clear" w:color="auto" w:fill="0B3020"/>
          </w:tcPr>
          <w:p>
            <w:pPr>
              <w:spacing w:after="0"/>
            </w:pPr>
            <w:r>
              <w:rPr>
                <w:b/>
                <w:color w:val="FFFFFF"/>
                <w:sz w:val="16"/>
              </w:rPr>
              <w:t>3 Multi-contract</w:t>
            </w:r>
          </w:p>
        </w:tc>
      </w:tr>
      <w:tr>
        <w:tc>
          <w:tcPr>
            <w:tcW w:type="dxa" w:w="5212"/>
          </w:tcPr>
          <w:p>
            <w:pPr>
              <w:spacing w:after="0"/>
            </w:pPr>
            <w:r>
              <w:rPr>
                <w:color w:val="1D1D1D"/>
                <w:sz w:val="16"/>
              </w:rPr>
              <w:t>Contractor premium on civil, HM and E&amp;M (</w:t>
            </w:r>
            <w:r>
              <w:rPr>
                <w:rFonts w:ascii="Courier New" w:hAnsi="Courier New"/>
                <w:color w:val="1D1D1D"/>
                <w:sz w:val="16"/>
              </w:rPr>
              <w:t>epc_prem</w:t>
            </w:r>
            <w:r>
              <w:rPr>
                <w:color w:val="1D1D1D"/>
                <w:sz w:val="16"/>
              </w:rPr>
              <w:t>)</w:t>
            </w:r>
          </w:p>
        </w:tc>
        <w:tc>
          <w:tcPr>
            <w:tcW w:type="dxa" w:w="1278"/>
          </w:tcPr>
          <w:p>
            <w:pPr>
              <w:spacing w:after="0"/>
            </w:pPr>
            <w:r>
              <w:rPr>
                <w:color w:val="1D1D1D"/>
                <w:sz w:val="16"/>
              </w:rPr>
              <w:t>12%</w:t>
            </w:r>
          </w:p>
        </w:tc>
        <w:tc>
          <w:tcPr>
            <w:tcW w:type="dxa" w:w="1574"/>
          </w:tcPr>
          <w:p>
            <w:pPr>
              <w:spacing w:after="0"/>
            </w:pPr>
            <w:r>
              <w:rPr>
                <w:color w:val="1D1D1D"/>
                <w:sz w:val="16"/>
              </w:rPr>
              <w:t>6%</w:t>
            </w:r>
          </w:p>
        </w:tc>
        <w:tc>
          <w:tcPr>
            <w:tcW w:type="dxa" w:w="1574"/>
          </w:tcPr>
          <w:p>
            <w:pPr>
              <w:spacing w:after="0"/>
            </w:pPr>
            <w:r>
              <w:rPr>
                <w:color w:val="1D1D1D"/>
                <w:sz w:val="16"/>
              </w:rPr>
              <w:t>0%</w:t>
            </w:r>
          </w:p>
        </w:tc>
      </w:tr>
      <w:tr>
        <w:tc>
          <w:tcPr>
            <w:tcW w:type="dxa" w:w="5212"/>
            <w:shd w:val="clear" w:color="auto" w:fill="FAF8F2"/>
          </w:tcPr>
          <w:p>
            <w:pPr>
              <w:spacing w:after="0"/>
            </w:pPr>
            <w:r>
              <w:rPr>
                <w:color w:val="1D1D1D"/>
                <w:sz w:val="16"/>
              </w:rPr>
              <w:t>Owner's share of a cost overrun (</w:t>
            </w:r>
            <w:r>
              <w:rPr>
                <w:rFonts w:ascii="Courier New" w:hAnsi="Courier New"/>
                <w:color w:val="1D1D1D"/>
                <w:sz w:val="16"/>
              </w:rPr>
              <w:t>epc_owner</w:t>
            </w:r>
            <w:r>
              <w:rPr>
                <w:color w:val="1D1D1D"/>
                <w:sz w:val="16"/>
              </w:rPr>
              <w:t>)</w:t>
            </w:r>
          </w:p>
        </w:tc>
        <w:tc>
          <w:tcPr>
            <w:tcW w:type="dxa" w:w="1278"/>
            <w:shd w:val="clear" w:color="auto" w:fill="FAF8F2"/>
          </w:tcPr>
          <w:p>
            <w:pPr>
              <w:spacing w:after="0"/>
            </w:pPr>
            <w:r>
              <w:rPr>
                <w:color w:val="1D1D1D"/>
                <w:sz w:val="16"/>
              </w:rPr>
              <w:t>30%</w:t>
            </w:r>
          </w:p>
        </w:tc>
        <w:tc>
          <w:tcPr>
            <w:tcW w:type="dxa" w:w="1574"/>
            <w:shd w:val="clear" w:color="auto" w:fill="FAF8F2"/>
          </w:tcPr>
          <w:p>
            <w:pPr>
              <w:spacing w:after="0"/>
            </w:pPr>
            <w:r>
              <w:rPr>
                <w:color w:val="1D1D1D"/>
                <w:sz w:val="16"/>
              </w:rPr>
              <w:t>55%</w:t>
            </w:r>
          </w:p>
        </w:tc>
        <w:tc>
          <w:tcPr>
            <w:tcW w:type="dxa" w:w="1574"/>
            <w:shd w:val="clear" w:color="auto" w:fill="FAF8F2"/>
          </w:tcPr>
          <w:p>
            <w:pPr>
              <w:spacing w:after="0"/>
            </w:pPr>
            <w:r>
              <w:rPr>
                <w:color w:val="1D1D1D"/>
                <w:sz w:val="16"/>
              </w:rPr>
              <w:t>90%</w:t>
            </w:r>
          </w:p>
        </w:tc>
      </w:tr>
      <w:tr>
        <w:tc>
          <w:tcPr>
            <w:tcW w:type="dxa" w:w="5212"/>
          </w:tcPr>
          <w:p>
            <w:pPr>
              <w:spacing w:after="0"/>
            </w:pPr>
            <w:r>
              <w:rPr>
                <w:color w:val="1D1D1D"/>
                <w:sz w:val="16"/>
              </w:rPr>
              <w:t>Owner's share of delay cost after LDs (</w:t>
            </w:r>
            <w:r>
              <w:rPr>
                <w:rFonts w:ascii="Courier New" w:hAnsi="Courier New"/>
                <w:color w:val="1D1D1D"/>
                <w:sz w:val="16"/>
              </w:rPr>
              <w:t>epc_owner_d</w:t>
            </w:r>
            <w:r>
              <w:rPr>
                <w:color w:val="1D1D1D"/>
                <w:sz w:val="16"/>
              </w:rPr>
              <w:t>)</w:t>
            </w:r>
          </w:p>
        </w:tc>
        <w:tc>
          <w:tcPr>
            <w:tcW w:type="dxa" w:w="1278"/>
          </w:tcPr>
          <w:p>
            <w:pPr>
              <w:spacing w:after="0"/>
            </w:pPr>
            <w:r>
              <w:rPr>
                <w:color w:val="1D1D1D"/>
                <w:sz w:val="16"/>
              </w:rPr>
              <w:t>35%</w:t>
            </w:r>
          </w:p>
        </w:tc>
        <w:tc>
          <w:tcPr>
            <w:tcW w:type="dxa" w:w="1574"/>
          </w:tcPr>
          <w:p>
            <w:pPr>
              <w:spacing w:after="0"/>
            </w:pPr>
            <w:r>
              <w:rPr>
                <w:color w:val="1D1D1D"/>
                <w:sz w:val="16"/>
              </w:rPr>
              <w:t>60%</w:t>
            </w:r>
          </w:p>
        </w:tc>
        <w:tc>
          <w:tcPr>
            <w:tcW w:type="dxa" w:w="1574"/>
          </w:tcPr>
          <w:p>
            <w:pPr>
              <w:spacing w:after="0"/>
            </w:pPr>
            <w:r>
              <w:rPr>
                <w:color w:val="1D1D1D"/>
                <w:sz w:val="16"/>
              </w:rPr>
              <w:t>90%</w:t>
            </w:r>
          </w:p>
        </w:tc>
      </w:tr>
      <w:tr>
        <w:tc>
          <w:tcPr>
            <w:tcW w:type="dxa" w:w="5212"/>
            <w:shd w:val="clear" w:color="auto" w:fill="FAF8F2"/>
          </w:tcPr>
          <w:p>
            <w:pPr>
              <w:spacing w:after="0"/>
            </w:pPr>
            <w:r>
              <w:rPr>
                <w:color w:val="1D1D1D"/>
                <w:sz w:val="16"/>
              </w:rPr>
              <w:t>Interface risk (1 low to 3 high)</w:t>
            </w:r>
          </w:p>
        </w:tc>
        <w:tc>
          <w:tcPr>
            <w:tcW w:type="dxa" w:w="1278"/>
            <w:shd w:val="clear" w:color="auto" w:fill="FAF8F2"/>
          </w:tcPr>
          <w:p>
            <w:pPr>
              <w:spacing w:after="0"/>
            </w:pPr>
            <w:r>
              <w:rPr>
                <w:color w:val="1D1D1D"/>
                <w:sz w:val="16"/>
              </w:rPr>
              <w:t>1</w:t>
            </w:r>
          </w:p>
        </w:tc>
        <w:tc>
          <w:tcPr>
            <w:tcW w:type="dxa" w:w="1574"/>
            <w:shd w:val="clear" w:color="auto" w:fill="FAF8F2"/>
          </w:tcPr>
          <w:p>
            <w:pPr>
              <w:spacing w:after="0"/>
            </w:pPr>
            <w:r>
              <w:rPr>
                <w:color w:val="1D1D1D"/>
                <w:sz w:val="16"/>
              </w:rPr>
              <w:t>2</w:t>
            </w:r>
          </w:p>
        </w:tc>
        <w:tc>
          <w:tcPr>
            <w:tcW w:type="dxa" w:w="1574"/>
            <w:shd w:val="clear" w:color="auto" w:fill="FAF8F2"/>
          </w:tcPr>
          <w:p>
            <w:pPr>
              <w:spacing w:after="0"/>
            </w:pPr>
            <w:r>
              <w:rPr>
                <w:color w:val="1D1D1D"/>
                <w:sz w:val="16"/>
              </w:rPr>
              <w:t>3</w:t>
            </w:r>
          </w:p>
        </w:tc>
      </w:tr>
    </w:tbl>
    <w:p>
      <w:pPr>
        <w:spacing w:after="40"/>
      </w:pPr>
    </w:p>
    <w:p>
      <w:pPr>
        <w:jc w:val="both"/>
      </w:pPr>
      <w:r>
        <w:rPr/>
        <w:t xml:space="preserve">The premium enters base cost; the owner's shares scale the overrun and delay stresses in </w:t>
      </w:r>
      <w:r>
        <w:rPr>
          <w:rFonts w:ascii="Courier New" w:hAnsi="Courier New"/>
        </w:rPr>
        <w:t>eff_capex</w:t>
      </w:r>
      <w:r>
        <w:rPr/>
        <w:t xml:space="preserve"> and </w:t>
      </w:r>
      <w:r>
        <w:rPr>
          <w:rFonts w:ascii="Courier New" w:hAnsi="Courier New"/>
        </w:rPr>
        <w:t>capex_real</w:t>
      </w:r>
      <w:r>
        <w:rPr/>
        <w:t>. A turnkey contract therefore costs more in the base case and less under an overrun. The snapshot runs "EPC 1/2/3 base" and "EPC 1/2/3 overrun 96%" compare them with debt resized for each structure.</w:t>
      </w:r>
    </w:p>
    <w:p>
      <w:pPr>
        <w:pStyle w:val="Heading2"/>
      </w:pPr>
      <w:r>
        <w:t>6.5 Operating costs (07_OPEX)</w:t>
      </w:r>
    </w:p>
    <w:p>
      <w:pPr>
        <w:jc w:val="both"/>
      </w:pPr>
      <w:r>
        <w:rPr/>
        <w:t>Real inputs are escalated by the US CPI index:</w:t>
      </w:r>
    </w:p>
    <w:p>
      <w:pPr>
        <w:spacing w:after="0"/>
        <w:ind w:left="283"/>
      </w:pPr>
      <w:r>
        <w:rPr>
          <w:rFonts w:ascii="Courier New" w:hAnsi="Courier New"/>
          <w:sz w:val="17"/>
        </w:rPr>
        <w:t>o_fix  = opflag*om_fix*eff_opex*uscpi</w:t>
      </w:r>
    </w:p>
    <w:p>
      <w:pPr>
        <w:spacing w:after="0"/>
        <w:ind w:left="283"/>
      </w:pPr>
      <w:r>
        <w:rPr>
          <w:rFonts w:ascii="Courier New" w:hAnsi="Courier New"/>
          <w:sz w:val="17"/>
        </w:rPr>
        <w:t>o_var  = gen*om_var*eff_opex*uscpi/1000</w:t>
      </w:r>
    </w:p>
    <w:p>
      <w:pPr>
        <w:spacing w:after="0"/>
        <w:ind w:left="283"/>
      </w:pPr>
      <w:r>
        <w:rPr>
          <w:rFonts w:ascii="Courier New" w:hAnsi="Courier New"/>
          <w:sz w:val="17"/>
        </w:rPr>
        <w:t>o_ins  = opflag*capex_real*ins*uscpi</w:t>
      </w:r>
    </w:p>
    <w:p>
      <w:pPr>
        <w:spacing w:after="0"/>
        <w:ind w:left="283"/>
      </w:pPr>
      <w:r>
        <w:rPr>
          <w:rFonts w:ascii="Courier New" w:hAnsi="Courier New"/>
          <w:sz w:val="17"/>
        </w:rPr>
        <w:t>o_mmr  = opflag*capex_real*mmr*uscpi</w:t>
      </w:r>
    </w:p>
    <w:p>
      <w:pPr>
        <w:spacing w:after="0"/>
        <w:ind w:left="283"/>
      </w:pPr>
      <w:r>
        <w:rPr>
          <w:rFonts w:ascii="Courier New" w:hAnsi="Courier New"/>
          <w:sz w:val="17"/>
        </w:rPr>
        <w:t>o_oth  = opflag*om_other*eff_opex*uscpi</w:t>
      </w:r>
    </w:p>
    <w:p>
      <w:pPr>
        <w:spacing w:after="0"/>
        <w:ind w:left="283"/>
      </w:pPr>
      <w:r>
        <w:rPr>
          <w:rFonts w:ascii="Courier New" w:hAnsi="Courier New"/>
          <w:sz w:val="17"/>
        </w:rPr>
        <w:t>o_txprj= IF(tx_party=2,tx_omc,0)+tx_wheelc</w:t>
      </w:r>
    </w:p>
    <w:p>
      <w:pPr>
        <w:spacing w:after="0"/>
        <w:ind w:left="283"/>
      </w:pPr>
      <w:r>
        <w:rPr>
          <w:rFonts w:ascii="Courier New" w:hAnsi="Courier New"/>
          <w:sz w:val="17"/>
        </w:rPr>
        <w:t>opex   = o_fix+o_var+o_ins+o_mmr+o_oth+o_txprj</w:t>
      </w:r>
    </w:p>
    <w:p>
      <w:pPr>
        <w:spacing w:after="0"/>
        <w:ind w:left="283"/>
      </w:pPr>
      <w:r>
        <w:rPr>
          <w:rFonts w:ascii="Courier New" w:hAnsi="Courier New"/>
          <w:sz w:val="17"/>
        </w:rPr>
        <w:t>o_roy  = delivered*royalty*uscpi/1000        (water royalty, paid to government)</w:t>
      </w:r>
    </w:p>
    <w:p>
      <w:pPr>
        <w:spacing w:after="40"/>
      </w:pPr>
    </w:p>
    <w:p>
      <w:pPr>
        <w:jc w:val="both"/>
      </w:pPr>
      <w:r>
        <w:rPr/>
        <w:t>The major maintenance reserve is carried as an operating cost, not as a separate reserve account.</w:t>
      </w:r>
    </w:p>
    <w:p>
      <w:pPr>
        <w:pStyle w:val="Heading2"/>
      </w:pPr>
      <w:r>
        <w:t>6.6 PPA, tariff and revenue (14_PPA, 15_TARIFF, 16_REVENUE)</w:t>
      </w:r>
    </w:p>
    <w:p>
      <w:pPr>
        <w:jc w:val="both"/>
      </w:pPr>
      <w:r>
        <w:rPr/>
        <w:t>The Kasiri tariff is energy-only: capacity charge 0, energy charge USD 112/MWh (2026), half indexed to US CPI, fully in USD, with deemed energy payable for curtailment the seller did not cause.</w:t>
      </w:r>
    </w:p>
    <w:p>
      <w:pPr>
        <w:spacing w:after="0"/>
        <w:ind w:left="283"/>
      </w:pPr>
      <w:r>
        <w:rPr>
          <w:rFonts w:ascii="Courier New" w:hAnsi="Courier New"/>
          <w:sz w:val="17"/>
        </w:rPr>
        <w:t>fxfac   = (1-lc_share)+lc_share*lccpi/fxidx/uscpi</w:t>
      </w:r>
    </w:p>
    <w:p>
      <w:pPr>
        <w:spacing w:after="0"/>
        <w:ind w:left="283"/>
      </w:pPr>
      <w:r>
        <w:rPr>
          <w:rFonts w:ascii="Courier New" w:hAnsi="Courier New"/>
          <w:sz w:val="17"/>
        </w:rPr>
        <w:t>capc    = cap_chg*((1-cap_idx)+cap_idx*uscpi)*fxfac*eff_tariff</w:t>
      </w:r>
    </w:p>
    <w:p>
      <w:pPr>
        <w:spacing w:after="0"/>
        <w:ind w:left="283"/>
      </w:pPr>
      <w:r>
        <w:rPr>
          <w:rFonts w:ascii="Courier New" w:hAnsi="Courier New"/>
          <w:sz w:val="17"/>
        </w:rPr>
        <w:t>enc     = en_chg*((1-en_idx)+en_idx*uscpi)*fxfac*eff_tariff</w:t>
      </w:r>
    </w:p>
    <w:p>
      <w:pPr>
        <w:spacing w:after="0"/>
        <w:ind w:left="283"/>
      </w:pPr>
      <w:r>
        <w:rPr>
          <w:rFonts w:ascii="Courier New" w:hAnsi="Courier New"/>
          <w:sz w:val="17"/>
        </w:rPr>
        <w:t>deemed  = deemed flag*(curt_tx+curt_dem)</w:t>
      </w:r>
    </w:p>
    <w:p>
      <w:pPr>
        <w:spacing w:after="0"/>
        <w:ind w:left="283"/>
      </w:pPr>
      <w:r>
        <w:rPr>
          <w:rFonts w:ascii="Courier New" w:hAnsi="Courier New"/>
          <w:sz w:val="17"/>
        </w:rPr>
        <w:t>topshort= MAX(0,top*contracted-delivered-deemed)</w:t>
      </w:r>
    </w:p>
    <w:p>
      <w:pPr>
        <w:spacing w:after="0"/>
        <w:ind w:left="283"/>
      </w:pPr>
      <w:r>
        <w:rPr>
          <w:rFonts w:ascii="Courier New" w:hAnsi="Courier New"/>
          <w:sz w:val="17"/>
        </w:rPr>
        <w:t>epaid   = delivered+deemed+topshort</w:t>
      </w:r>
    </w:p>
    <w:p>
      <w:pPr>
        <w:spacing w:after="0"/>
        <w:ind w:left="283"/>
      </w:pPr>
      <w:r>
        <w:rPr>
          <w:rFonts w:ascii="Courier New" w:hAnsi="Courier New"/>
          <w:sz w:val="17"/>
        </w:rPr>
        <w:t>rev_cap = opflag*capc*inst_mw*12/1000*avail_ratio*rampf</w:t>
      </w:r>
    </w:p>
    <w:p>
      <w:pPr>
        <w:spacing w:after="0"/>
        <w:ind w:left="283"/>
      </w:pPr>
      <w:r>
        <w:rPr>
          <w:rFonts w:ascii="Courier New" w:hAnsi="Courier New"/>
          <w:sz w:val="17"/>
        </w:rPr>
        <w:t>rev_en  = enc*delivered/1000</w:t>
      </w:r>
    </w:p>
    <w:p>
      <w:pPr>
        <w:spacing w:after="0"/>
        <w:ind w:left="283"/>
      </w:pPr>
      <w:r>
        <w:rPr>
          <w:rFonts w:ascii="Courier New" w:hAnsi="Courier New"/>
          <w:sz w:val="17"/>
        </w:rPr>
        <w:t>rev_deem= enc*(deemed+topshort)/1000</w:t>
      </w:r>
    </w:p>
    <w:p>
      <w:pPr>
        <w:spacing w:after="0"/>
        <w:ind w:left="283"/>
      </w:pPr>
      <w:r>
        <w:rPr>
          <w:rFonts w:ascii="Courier New" w:hAnsi="Courier New"/>
          <w:sz w:val="17"/>
        </w:rPr>
        <w:t>rev_bill= rev_cap+rev_en+rev_deem</w:t>
      </w:r>
    </w:p>
    <w:p>
      <w:pPr>
        <w:spacing w:after="40"/>
      </w:pPr>
    </w:p>
    <w:p>
      <w:pPr>
        <w:jc w:val="both"/>
      </w:pPr>
      <w:r>
        <w:rPr/>
        <w:t>The utility shortfall is routed through three doors in order:</w:t>
      </w:r>
    </w:p>
    <w:p>
      <w:pPr>
        <w:spacing w:after="0"/>
        <w:ind w:left="283"/>
      </w:pPr>
      <w:r>
        <w:rPr>
          <w:rFonts w:ascii="Courier New" w:hAnsi="Courier New"/>
          <w:sz w:val="17"/>
        </w:rPr>
        <w:t>cov_backstop = IF(backstop=1,u_gap*bs_share,0)</w:t>
      </w:r>
    </w:p>
    <w:p>
      <w:pPr>
        <w:spacing w:after="0"/>
        <w:ind w:left="283"/>
      </w:pPr>
      <w:r>
        <w:rPr>
          <w:rFonts w:ascii="Courier New" w:hAnsi="Courier New"/>
          <w:sz w:val="17"/>
        </w:rPr>
        <w:t>ppag_lim     = str_ppag*ppag_months/12*rev_util</w:t>
      </w:r>
    </w:p>
    <w:p>
      <w:pPr>
        <w:spacing w:after="0"/>
        <w:ind w:left="283"/>
      </w:pPr>
      <w:r>
        <w:rPr>
          <w:rFonts w:ascii="Courier New" w:hAnsi="Courier New"/>
          <w:sz w:val="17"/>
        </w:rPr>
        <w:t>ppag_reimb   = opflag*MIN(previous ppag_out,MAX(0,u_maxppa-u_ppa))</w:t>
      </w:r>
    </w:p>
    <w:p>
      <w:pPr>
        <w:spacing w:after="0"/>
        <w:ind w:left="283"/>
      </w:pPr>
      <w:r>
        <w:rPr>
          <w:rFonts w:ascii="Courier New" w:hAnsi="Courier New"/>
          <w:sz w:val="17"/>
        </w:rPr>
        <w:t>cov_guar     = MIN(u_gap-cov_backstop,MAX(0,ppag_lim-previous ppag_out+ppag_reimb))</w:t>
      </w:r>
    </w:p>
    <w:p>
      <w:pPr>
        <w:spacing w:after="0"/>
        <w:ind w:left="283"/>
      </w:pPr>
      <w:r>
        <w:rPr>
          <w:rFonts w:ascii="Courier New" w:hAnsi="Courier New"/>
          <w:sz w:val="17"/>
        </w:rPr>
        <w:t>ppag_out     = previous ppag_out+cov_guar-ppag_reimb</w:t>
      </w:r>
    </w:p>
    <w:p>
      <w:pPr>
        <w:spacing w:after="0"/>
        <w:ind w:left="283"/>
      </w:pPr>
      <w:r>
        <w:rPr>
          <w:rFonts w:ascii="Courier New" w:hAnsi="Courier New"/>
          <w:sz w:val="17"/>
        </w:rPr>
        <w:t>unpaid       = u_gap-cov_backstop-cov_guar</w:t>
      </w:r>
    </w:p>
    <w:p>
      <w:pPr>
        <w:spacing w:after="0"/>
        <w:ind w:left="283"/>
      </w:pPr>
      <w:r>
        <w:rPr>
          <w:rFonts w:ascii="Courier New" w:hAnsi="Courier New"/>
          <w:sz w:val="17"/>
        </w:rPr>
        <w:t>rev_cash     = rev_bill-unpaid</w:t>
      </w:r>
    </w:p>
    <w:p>
      <w:pPr>
        <w:spacing w:after="40"/>
      </w:pPr>
    </w:p>
    <w:p>
      <w:pPr>
        <w:jc w:val="both"/>
      </w:pPr>
      <w:r>
        <w:rPr/>
        <w:t xml:space="preserve">The guarantee is capped at </w:t>
      </w:r>
      <w:r>
        <w:rPr>
          <w:rFonts w:ascii="Courier New" w:hAnsi="Courier New"/>
        </w:rPr>
        <w:t>ppag_months</w:t>
      </w:r>
      <w:r>
        <w:rPr/>
        <w:t xml:space="preserve"> of utility billing (12 by default) and is reimbursed by the utility from spare payment capacity; anything beyond becomes arrears to the project.</w:t>
      </w:r>
    </w:p>
    <w:p>
      <w:pPr>
        <w:jc w:val="both"/>
      </w:pPr>
      <w:r>
        <w:rPr/>
        <w:t>Lender-case revenue uses the lender generation case:</w:t>
      </w:r>
    </w:p>
    <w:p>
      <w:pPr>
        <w:spacing w:after="0"/>
        <w:ind w:left="283"/>
      </w:pPr>
      <w:r>
        <w:rPr>
          <w:rFonts w:ascii="Courier New" w:hAnsi="Courier New"/>
          <w:sz w:val="17"/>
        </w:rPr>
        <w:t>rev_len = rev_cap+enc*IF(deemed=1,gen_len,MIN(gen_len*evac_ratio,d_absorb))/1000</w:t>
      </w:r>
    </w:p>
    <w:p>
      <w:pPr>
        <w:spacing w:after="40"/>
      </w:pPr>
    </w:p>
    <w:p>
      <w:pPr>
        <w:jc w:val="both"/>
      </w:pPr>
      <w:r>
        <w:rPr/>
        <w:t>Revenue quality measures: fixed share of billed revenue (</w:t>
      </w:r>
      <w:r>
        <w:rPr>
          <w:rFonts w:ascii="Courier New" w:hAnsi="Courier New"/>
        </w:rPr>
        <w:t>rev_fixed</w:t>
      </w:r>
      <w:r>
        <w:rPr/>
        <w:t xml:space="preserve">, 0% for Kasiri), revenue at risk between P50 and P90 in operating year 2, utility share of revenue, and lifetime support needed to sustain PPA payments. On </w:t>
      </w:r>
      <w:r>
        <w:rPr>
          <w:i/>
        </w:rPr>
        <w:t>15_TARIFF</w:t>
      </w:r>
      <w:r>
        <w:rPr/>
        <w:t>, affordability headroom is collected utility revenue per MWh sent out less the blended PPA tariff.</w:t>
      </w:r>
    </w:p>
    <w:p>
      <w:pPr>
        <w:pStyle w:val="Heading2"/>
      </w:pPr>
      <w:r>
        <w:t>6.7 Development module (01A_DEVELOPMENT)</w:t>
      </w:r>
    </w:p>
    <w:p>
      <w:pPr>
        <w:jc w:val="both"/>
      </w:pPr>
      <w:r>
        <w:rPr>
          <w:b/>
        </w:rPr>
        <w:t>Stages.</w:t>
      </w:r>
      <w:r>
        <w:rPr/>
        <w:t xml:space="preserve"> Six stages with duration, real budget and probability of success to the next stage: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997"/>
            <w:shd w:val="clear" w:color="auto" w:fill="0B3020"/>
          </w:tcPr>
          <w:p>
            <w:pPr>
              <w:spacing w:after="0"/>
            </w:pPr>
            <w:r>
              <w:rPr>
                <w:b/>
                <w:color w:val="FFFFFF"/>
                <w:sz w:val="16"/>
              </w:rPr>
              <w:t>Stage</w:t>
            </w:r>
          </w:p>
        </w:tc>
        <w:tc>
          <w:tcPr>
            <w:tcW w:type="dxa" w:w="643"/>
            <w:shd w:val="clear" w:color="auto" w:fill="0B3020"/>
          </w:tcPr>
          <w:p>
            <w:pPr>
              <w:spacing w:after="0"/>
            </w:pPr>
            <w:r>
              <w:rPr>
                <w:b/>
                <w:color w:val="FFFFFF"/>
                <w:sz w:val="16"/>
              </w:rPr>
              <w:t>Months</w:t>
            </w:r>
          </w:p>
        </w:tc>
        <w:tc>
          <w:tcPr>
            <w:tcW w:type="dxa" w:w="1928"/>
            <w:shd w:val="clear" w:color="auto" w:fill="0B3020"/>
          </w:tcPr>
          <w:p>
            <w:pPr>
              <w:spacing w:after="0"/>
            </w:pPr>
            <w:r>
              <w:rPr>
                <w:b/>
                <w:color w:val="FFFFFF"/>
                <w:sz w:val="16"/>
              </w:rPr>
              <w:t>Budget (USDm real)</w:t>
            </w:r>
          </w:p>
        </w:tc>
        <w:tc>
          <w:tcPr>
            <w:tcW w:type="dxa" w:w="1071"/>
            <w:shd w:val="clear" w:color="auto" w:fill="0B3020"/>
          </w:tcPr>
          <w:p>
            <w:pPr>
              <w:spacing w:after="0"/>
            </w:pPr>
            <w:r>
              <w:rPr>
                <w:b/>
                <w:color w:val="FFFFFF"/>
                <w:sz w:val="16"/>
              </w:rPr>
              <w:t>P(success)</w:t>
            </w:r>
          </w:p>
        </w:tc>
      </w:tr>
      <w:tr>
        <w:tc>
          <w:tcPr>
            <w:tcW w:type="dxa" w:w="5997"/>
          </w:tcPr>
          <w:p>
            <w:pPr>
              <w:spacing w:after="0"/>
            </w:pPr>
            <w:r>
              <w:rPr>
                <w:color w:val="1D1D1D"/>
                <w:sz w:val="16"/>
              </w:rPr>
              <w:t>1 Site identification and reconnaissance</w:t>
            </w:r>
          </w:p>
        </w:tc>
        <w:tc>
          <w:tcPr>
            <w:tcW w:type="dxa" w:w="643"/>
          </w:tcPr>
          <w:p>
            <w:pPr>
              <w:spacing w:after="0"/>
            </w:pPr>
            <w:r>
              <w:rPr>
                <w:color w:val="1D1D1D"/>
                <w:sz w:val="16"/>
              </w:rPr>
              <w:t>6</w:t>
            </w:r>
          </w:p>
        </w:tc>
        <w:tc>
          <w:tcPr>
            <w:tcW w:type="dxa" w:w="1928"/>
          </w:tcPr>
          <w:p>
            <w:pPr>
              <w:spacing w:after="0"/>
            </w:pPr>
            <w:r>
              <w:rPr>
                <w:color w:val="1D1D1D"/>
                <w:sz w:val="16"/>
              </w:rPr>
              <w:t>0.10</w:t>
            </w:r>
          </w:p>
        </w:tc>
        <w:tc>
          <w:tcPr>
            <w:tcW w:type="dxa" w:w="1071"/>
          </w:tcPr>
          <w:p>
            <w:pPr>
              <w:spacing w:after="0"/>
            </w:pPr>
            <w:r>
              <w:rPr>
                <w:color w:val="1D1D1D"/>
                <w:sz w:val="16"/>
              </w:rPr>
              <w:t>60%</w:t>
            </w:r>
          </w:p>
        </w:tc>
      </w:tr>
      <w:tr>
        <w:tc>
          <w:tcPr>
            <w:tcW w:type="dxa" w:w="5997"/>
            <w:shd w:val="clear" w:color="auto" w:fill="FAF8F2"/>
          </w:tcPr>
          <w:p>
            <w:pPr>
              <w:spacing w:after="0"/>
            </w:pPr>
            <w:r>
              <w:rPr>
                <w:color w:val="1D1D1D"/>
                <w:sz w:val="16"/>
              </w:rPr>
              <w:t>2 Pre-feasibility and start of flow gauging</w:t>
            </w:r>
          </w:p>
        </w:tc>
        <w:tc>
          <w:tcPr>
            <w:tcW w:type="dxa" w:w="643"/>
            <w:shd w:val="clear" w:color="auto" w:fill="FAF8F2"/>
          </w:tcPr>
          <w:p>
            <w:pPr>
              <w:spacing w:after="0"/>
            </w:pPr>
            <w:r>
              <w:rPr>
                <w:color w:val="1D1D1D"/>
                <w:sz w:val="16"/>
              </w:rPr>
              <w:t>12</w:t>
            </w:r>
          </w:p>
        </w:tc>
        <w:tc>
          <w:tcPr>
            <w:tcW w:type="dxa" w:w="1928"/>
            <w:shd w:val="clear" w:color="auto" w:fill="FAF8F2"/>
          </w:tcPr>
          <w:p>
            <w:pPr>
              <w:spacing w:after="0"/>
            </w:pPr>
            <w:r>
              <w:rPr>
                <w:color w:val="1D1D1D"/>
                <w:sz w:val="16"/>
              </w:rPr>
              <w:t>0.60</w:t>
            </w:r>
          </w:p>
        </w:tc>
        <w:tc>
          <w:tcPr>
            <w:tcW w:type="dxa" w:w="1071"/>
            <w:shd w:val="clear" w:color="auto" w:fill="FAF8F2"/>
          </w:tcPr>
          <w:p>
            <w:pPr>
              <w:spacing w:after="0"/>
            </w:pPr>
            <w:r>
              <w:rPr>
                <w:color w:val="1D1D1D"/>
                <w:sz w:val="16"/>
              </w:rPr>
              <w:t>60%</w:t>
            </w:r>
          </w:p>
        </w:tc>
      </w:tr>
      <w:tr>
        <w:tc>
          <w:tcPr>
            <w:tcW w:type="dxa" w:w="5997"/>
          </w:tcPr>
          <w:p>
            <w:pPr>
              <w:spacing w:after="0"/>
            </w:pPr>
            <w:r>
              <w:rPr>
                <w:color w:val="1D1D1D"/>
                <w:sz w:val="16"/>
              </w:rPr>
              <w:t>3 Feasibility study, ESIA, geotechnical and grid studies</w:t>
            </w:r>
          </w:p>
        </w:tc>
        <w:tc>
          <w:tcPr>
            <w:tcW w:type="dxa" w:w="643"/>
          </w:tcPr>
          <w:p>
            <w:pPr>
              <w:spacing w:after="0"/>
            </w:pPr>
            <w:r>
              <w:rPr>
                <w:color w:val="1D1D1D"/>
                <w:sz w:val="16"/>
              </w:rPr>
              <w:t>18</w:t>
            </w:r>
          </w:p>
        </w:tc>
        <w:tc>
          <w:tcPr>
            <w:tcW w:type="dxa" w:w="1928"/>
          </w:tcPr>
          <w:p>
            <w:pPr>
              <w:spacing w:after="0"/>
            </w:pPr>
            <w:r>
              <w:rPr>
                <w:color w:val="1D1D1D"/>
                <w:sz w:val="16"/>
              </w:rPr>
              <w:t>4.50</w:t>
            </w:r>
          </w:p>
        </w:tc>
        <w:tc>
          <w:tcPr>
            <w:tcW w:type="dxa" w:w="1071"/>
          </w:tcPr>
          <w:p>
            <w:pPr>
              <w:spacing w:after="0"/>
            </w:pPr>
            <w:r>
              <w:rPr>
                <w:color w:val="1D1D1D"/>
                <w:sz w:val="16"/>
              </w:rPr>
              <w:t>70%</w:t>
            </w:r>
          </w:p>
        </w:tc>
      </w:tr>
      <w:tr>
        <w:tc>
          <w:tcPr>
            <w:tcW w:type="dxa" w:w="5997"/>
            <w:shd w:val="clear" w:color="auto" w:fill="FAF8F2"/>
          </w:tcPr>
          <w:p>
            <w:pPr>
              <w:spacing w:after="0"/>
            </w:pPr>
            <w:r>
              <w:rPr>
                <w:color w:val="1D1D1D"/>
                <w:sz w:val="16"/>
              </w:rPr>
              <w:t>4 Licences, water rights, land and permits</w:t>
            </w:r>
          </w:p>
        </w:tc>
        <w:tc>
          <w:tcPr>
            <w:tcW w:type="dxa" w:w="643"/>
            <w:shd w:val="clear" w:color="auto" w:fill="FAF8F2"/>
          </w:tcPr>
          <w:p>
            <w:pPr>
              <w:spacing w:after="0"/>
            </w:pPr>
            <w:r>
              <w:rPr>
                <w:color w:val="1D1D1D"/>
                <w:sz w:val="16"/>
              </w:rPr>
              <w:t>12</w:t>
            </w:r>
          </w:p>
        </w:tc>
        <w:tc>
          <w:tcPr>
            <w:tcW w:type="dxa" w:w="1928"/>
            <w:shd w:val="clear" w:color="auto" w:fill="FAF8F2"/>
          </w:tcPr>
          <w:p>
            <w:pPr>
              <w:spacing w:after="0"/>
            </w:pPr>
            <w:r>
              <w:rPr>
                <w:color w:val="1D1D1D"/>
                <w:sz w:val="16"/>
              </w:rPr>
              <w:t>0.80</w:t>
            </w:r>
          </w:p>
        </w:tc>
        <w:tc>
          <w:tcPr>
            <w:tcW w:type="dxa" w:w="1071"/>
            <w:shd w:val="clear" w:color="auto" w:fill="FAF8F2"/>
          </w:tcPr>
          <w:p>
            <w:pPr>
              <w:spacing w:after="0"/>
            </w:pPr>
            <w:r>
              <w:rPr>
                <w:color w:val="1D1D1D"/>
                <w:sz w:val="16"/>
              </w:rPr>
              <w:t>85%</w:t>
            </w:r>
          </w:p>
        </w:tc>
      </w:tr>
      <w:tr>
        <w:tc>
          <w:tcPr>
            <w:tcW w:type="dxa" w:w="5997"/>
          </w:tcPr>
          <w:p>
            <w:pPr>
              <w:spacing w:after="0"/>
            </w:pPr>
            <w:r>
              <w:rPr>
                <w:color w:val="1D1D1D"/>
                <w:sz w:val="16"/>
              </w:rPr>
              <w:t>5 PPA, implementation agreement and tariff approval</w:t>
            </w:r>
          </w:p>
        </w:tc>
        <w:tc>
          <w:tcPr>
            <w:tcW w:type="dxa" w:w="643"/>
          </w:tcPr>
          <w:p>
            <w:pPr>
              <w:spacing w:after="0"/>
            </w:pPr>
            <w:r>
              <w:rPr>
                <w:color w:val="1D1D1D"/>
                <w:sz w:val="16"/>
              </w:rPr>
              <w:t>12</w:t>
            </w:r>
          </w:p>
        </w:tc>
        <w:tc>
          <w:tcPr>
            <w:tcW w:type="dxa" w:w="1928"/>
          </w:tcPr>
          <w:p>
            <w:pPr>
              <w:spacing w:after="0"/>
            </w:pPr>
            <w:r>
              <w:rPr>
                <w:color w:val="1D1D1D"/>
                <w:sz w:val="16"/>
              </w:rPr>
              <w:t>0.80</w:t>
            </w:r>
          </w:p>
        </w:tc>
        <w:tc>
          <w:tcPr>
            <w:tcW w:type="dxa" w:w="1071"/>
          </w:tcPr>
          <w:p>
            <w:pPr>
              <w:spacing w:after="0"/>
            </w:pPr>
            <w:r>
              <w:rPr>
                <w:color w:val="1D1D1D"/>
                <w:sz w:val="16"/>
              </w:rPr>
              <w:t>80%</w:t>
            </w:r>
          </w:p>
        </w:tc>
      </w:tr>
      <w:tr>
        <w:tc>
          <w:tcPr>
            <w:tcW w:type="dxa" w:w="5997"/>
            <w:shd w:val="clear" w:color="auto" w:fill="FAF8F2"/>
          </w:tcPr>
          <w:p>
            <w:pPr>
              <w:spacing w:after="0"/>
            </w:pPr>
            <w:r>
              <w:rPr>
                <w:color w:val="1D1D1D"/>
                <w:sz w:val="16"/>
              </w:rPr>
              <w:t>6 Financing: advisers, legal, insurance, close</w:t>
            </w:r>
          </w:p>
        </w:tc>
        <w:tc>
          <w:tcPr>
            <w:tcW w:type="dxa" w:w="643"/>
            <w:shd w:val="clear" w:color="auto" w:fill="FAF8F2"/>
          </w:tcPr>
          <w:p>
            <w:pPr>
              <w:spacing w:after="0"/>
            </w:pPr>
            <w:r>
              <w:rPr>
                <w:color w:val="1D1D1D"/>
                <w:sz w:val="16"/>
              </w:rPr>
              <w:t>12</w:t>
            </w:r>
          </w:p>
        </w:tc>
        <w:tc>
          <w:tcPr>
            <w:tcW w:type="dxa" w:w="1928"/>
            <w:shd w:val="clear" w:color="auto" w:fill="FAF8F2"/>
          </w:tcPr>
          <w:p>
            <w:pPr>
              <w:spacing w:after="0"/>
            </w:pPr>
            <w:r>
              <w:rPr>
                <w:color w:val="1D1D1D"/>
                <w:sz w:val="16"/>
              </w:rPr>
              <w:t>2.20</w:t>
            </w:r>
          </w:p>
        </w:tc>
        <w:tc>
          <w:tcPr>
            <w:tcW w:type="dxa" w:w="1071"/>
            <w:shd w:val="clear" w:color="auto" w:fill="FAF8F2"/>
          </w:tcPr>
          <w:p>
            <w:pPr>
              <w:spacing w:after="0"/>
            </w:pPr>
            <w:r>
              <w:rPr>
                <w:color w:val="1D1D1D"/>
                <w:sz w:val="16"/>
              </w:rPr>
              <w:t>85%</w:t>
            </w:r>
          </w:p>
        </w:tc>
      </w:tr>
      <w:tr>
        <w:tc>
          <w:tcPr>
            <w:tcW w:type="dxa" w:w="5997"/>
          </w:tcPr>
          <w:p>
            <w:pPr>
              <w:spacing w:after="0"/>
            </w:pPr>
            <w:r>
              <w:rPr>
                <w:color w:val="1D1D1D"/>
                <w:sz w:val="16"/>
              </w:rPr>
              <w:t>Total</w:t>
            </w:r>
          </w:p>
        </w:tc>
        <w:tc>
          <w:tcPr>
            <w:tcW w:type="dxa" w:w="643"/>
          </w:tcPr>
          <w:p>
            <w:pPr>
              <w:spacing w:after="0"/>
            </w:pPr>
            <w:r>
              <w:rPr>
                <w:color w:val="1D1D1D"/>
                <w:sz w:val="16"/>
              </w:rPr>
              <w:t>72</w:t>
            </w:r>
          </w:p>
        </w:tc>
        <w:tc>
          <w:tcPr>
            <w:tcW w:type="dxa" w:w="1928"/>
          </w:tcPr>
          <w:p>
            <w:pPr>
              <w:spacing w:after="0"/>
            </w:pPr>
            <w:r>
              <w:rPr>
                <w:color w:val="1D1D1D"/>
                <w:sz w:val="16"/>
              </w:rPr>
              <w:t>9.00</w:t>
            </w:r>
          </w:p>
        </w:tc>
        <w:tc>
          <w:tcPr>
            <w:tcW w:type="dxa" w:w="1071"/>
          </w:tcPr>
          <w:p>
            <w:pPr>
              <w:spacing w:after="0"/>
            </w:pPr>
            <w:r>
              <w:rPr>
                <w:color w:val="1D1D1D"/>
                <w:sz w:val="16"/>
              </w:rPr>
              <w:t>14.6%</w:t>
            </w:r>
          </w:p>
        </w:tc>
      </w:tr>
    </w:tbl>
    <w:p>
      <w:pPr>
        <w:spacing w:after="40"/>
      </w:pPr>
    </w:p>
    <w:p>
      <w:pPr>
        <w:spacing w:after="0"/>
        <w:ind w:left="283"/>
      </w:pPr>
      <w:r>
        <w:rPr>
          <w:rFonts w:ascii="Courier New" w:hAnsi="Courier New"/>
          <w:sz w:val="17"/>
        </w:rPr>
        <w:t>dev_total = sum of budgets</w:t>
      </w:r>
    </w:p>
    <w:p>
      <w:pPr>
        <w:spacing w:after="0"/>
        <w:ind w:left="283"/>
      </w:pPr>
      <w:r>
        <w:rPr>
          <w:rFonts w:ascii="Courier New" w:hAnsi="Courier New"/>
          <w:sz w:val="17"/>
        </w:rPr>
        <w:t>dev_years = sum of months/12</w:t>
      </w:r>
    </w:p>
    <w:p>
      <w:pPr>
        <w:spacing w:after="0"/>
        <w:ind w:left="283"/>
      </w:pPr>
      <w:r>
        <w:rPr>
          <w:rFonts w:ascii="Courier New" w:hAnsi="Courier New"/>
          <w:sz w:val="17"/>
        </w:rPr>
        <w:t>dev_pfc   = PRODUCT(p1:p6)</w:t>
      </w:r>
    </w:p>
    <w:p>
      <w:pPr>
        <w:spacing w:after="0"/>
        <w:ind w:left="283"/>
      </w:pPr>
      <w:r>
        <w:rPr>
          <w:rFonts w:ascii="Courier New" w:hAnsi="Courier New"/>
          <w:sz w:val="17"/>
        </w:rPr>
        <w:t>dev_pct   = dev_total/capex_real</w:t>
      </w:r>
    </w:p>
    <w:p>
      <w:pPr>
        <w:spacing w:after="40"/>
      </w:pPr>
    </w:p>
    <w:p>
      <w:pPr>
        <w:jc w:val="both"/>
      </w:pPr>
      <w:r>
        <w:rPr>
          <w:b/>
        </w:rPr>
        <w:t>Spend profile.</w:t>
      </w:r>
      <w:r>
        <w:rPr/>
        <w:t xml:space="preserve"> Stages run back to back and end at financial close. Each stage's budget is spread evenly over its months and allocated to the ten development-year columns before close (2017 to 2026), then escalated by </w:t>
      </w:r>
      <w:r>
        <w:rPr>
          <w:rFonts w:ascii="Courier New" w:hAnsi="Courier New"/>
        </w:rPr>
        <w:t>(1+us_cpi)^(year-base_year)</w:t>
      </w:r>
      <w:r>
        <w:rPr/>
        <w:t>. For Kasiri, spend runs from 2021 to 2026 and totals USD 8.6m nominal.</w:t>
      </w:r>
    </w:p>
    <w:p>
      <w:pPr>
        <w:jc w:val="both"/>
      </w:pPr>
      <w:r>
        <w:rPr>
          <w:b/>
        </w:rPr>
        <w:t>P(alive).</w:t>
      </w:r>
      <w:r>
        <w:rPr/>
        <w:t xml:space="preserve"> For each development year, the probability that the project is still alive when the money is spent is the spend-weighted average over stages of the probability of reaching that stage, </w:t>
      </w:r>
      <w:r>
        <w:rPr>
          <w:rFonts w:ascii="Courier New" w:hAnsi="Courier New"/>
        </w:rPr>
        <w:t>PRODUCT(p1:pk)/pk</w:t>
      </w:r>
      <w:r>
        <w:rPr/>
        <w:t>.</w:t>
      </w:r>
    </w:p>
    <w:p>
      <w:pPr>
        <w:jc w:val="both"/>
      </w:pPr>
      <w:r>
        <w:rPr>
          <w:b/>
        </w:rPr>
        <w:t>Risk-weighted NPV.</w:t>
      </w:r>
      <w:r>
        <w:rPr/>
        <w:t xml:space="preserve"> With r = </w:t>
      </w:r>
      <w:r>
        <w:rPr>
          <w:rFonts w:ascii="Courier New" w:hAnsi="Courier New"/>
        </w:rPr>
        <w:t>dev_rate</w:t>
      </w:r>
      <w:r>
        <w:rPr/>
        <w:t xml:space="preserve"> (25%) and all PVs taken at the start of development:</w:t>
      </w:r>
    </w:p>
    <w:p>
      <w:pPr>
        <w:spacing w:after="0"/>
        <w:ind w:left="283"/>
      </w:pPr>
      <w:r>
        <w:rPr>
          <w:rFonts w:ascii="Courier New" w:hAnsi="Courier New"/>
          <w:sz w:val="17"/>
        </w:rPr>
        <w:t>dev_reimb        = total nominal development spend</w:t>
      </w:r>
    </w:p>
    <w:p>
      <w:pPr>
        <w:spacing w:after="0"/>
        <w:ind w:left="283"/>
      </w:pPr>
      <w:r>
        <w:rPr>
          <w:rFonts w:ascii="Courier New" w:hAnsi="Courier New"/>
          <w:sz w:val="17"/>
        </w:rPr>
        <w:t>dev_prem         = dev_prem_pct*capex_real</w:t>
      </w:r>
    </w:p>
    <w:p>
      <w:pPr>
        <w:spacing w:after="0"/>
        <w:ind w:left="283"/>
      </w:pPr>
      <w:r>
        <w:rPr>
          <w:rFonts w:ascii="Courier New" w:hAnsi="Courier New"/>
          <w:sz w:val="17"/>
        </w:rPr>
        <w:t>dev_eq_npv_fc    = dev_stake*NPV(r_fc,eq_priv_cf)</w:t>
      </w:r>
    </w:p>
    <w:p>
      <w:pPr>
        <w:spacing w:after="0"/>
        <w:ind w:left="283"/>
      </w:pPr>
      <w:r>
        <w:rPr>
          <w:rFonts w:ascii="Courier New" w:hAnsi="Courier New"/>
          <w:sz w:val="17"/>
        </w:rPr>
        <w:t>dev_success_value= dev_reimb+dev_prem+dev_eq_npv_fc</w:t>
      </w:r>
    </w:p>
    <w:p>
      <w:pPr>
        <w:spacing w:after="0"/>
        <w:ind w:left="283"/>
      </w:pPr>
      <w:r>
        <w:rPr>
          <w:rFonts w:ascii="Courier New" w:hAnsi="Courier New"/>
          <w:sz w:val="17"/>
        </w:rPr>
        <w:t>dev_pv_cost_unw  = NPV(r,spend)*(1+r)^(10-dev_months/12)</w:t>
      </w:r>
    </w:p>
    <w:p>
      <w:pPr>
        <w:spacing w:after="0"/>
        <w:ind w:left="283"/>
      </w:pPr>
      <w:r>
        <w:rPr>
          <w:rFonts w:ascii="Courier New" w:hAnsi="Courier New"/>
          <w:sz w:val="17"/>
        </w:rPr>
        <w:t>dev_pv_cost_rw   = SUMPRODUCT(spend,P(alive),1/(1+r)^column)*(1+r)^(10-dev_months/12)</w:t>
      </w:r>
    </w:p>
    <w:p>
      <w:pPr>
        <w:spacing w:after="0"/>
        <w:ind w:left="283"/>
      </w:pPr>
      <w:r>
        <w:rPr>
          <w:rFonts w:ascii="Courier New" w:hAnsi="Courier New"/>
          <w:sz w:val="17"/>
        </w:rPr>
        <w:t>dev_pv_success   = dev_success_value/(1+r)^(dev_months/12)</w:t>
      </w:r>
    </w:p>
    <w:p>
      <w:pPr>
        <w:spacing w:after="0"/>
        <w:ind w:left="283"/>
      </w:pPr>
      <w:r>
        <w:rPr>
          <w:rFonts w:ascii="Courier New" w:hAnsi="Courier New"/>
          <w:sz w:val="17"/>
        </w:rPr>
        <w:t>dev_npv_success  = dev_pv_success-dev_pv_cost_unw</w:t>
      </w:r>
    </w:p>
    <w:p>
      <w:pPr>
        <w:spacing w:after="0"/>
        <w:ind w:left="283"/>
      </w:pPr>
      <w:r>
        <w:rPr>
          <w:rFonts w:ascii="Courier New" w:hAnsi="Courier New"/>
          <w:sz w:val="17"/>
        </w:rPr>
        <w:t>dev_enpv         = dev_pfc*dev_pv_success-dev_pv_cost_rw</w:t>
      </w:r>
    </w:p>
    <w:p>
      <w:pPr>
        <w:spacing w:after="40"/>
      </w:pPr>
    </w:p>
    <w:p>
      <w:pPr>
        <w:jc w:val="both"/>
      </w:pPr>
      <w:r>
        <w:rPr/>
        <w:t>Kasiri: value at close on the success path USD 11.27m; success-path NPV USD -1.00m; risk-weighted NPV USD -0.95m.</w:t>
      </w:r>
    </w:p>
    <w:p>
      <w:pPr>
        <w:jc w:val="both"/>
      </w:pPr>
      <w:r>
        <w:rPr>
          <w:b/>
        </w:rPr>
        <w:t>Break-even premium and probability.</w:t>
      </w:r>
    </w:p>
    <w:p>
      <w:pPr>
        <w:spacing w:after="0"/>
        <w:ind w:left="283"/>
      </w:pPr>
      <w:r>
        <w:rPr>
          <w:rFonts w:ascii="Courier New" w:hAnsi="Courier New"/>
          <w:sz w:val="17"/>
        </w:rPr>
        <w:t>dev_be_prem = MAX(0,dev_prem-dev_enpv*(1+r)^(dev_months/12)/dev_pfc)</w:t>
      </w:r>
    </w:p>
    <w:p>
      <w:pPr>
        <w:spacing w:after="0"/>
        <w:ind w:left="283"/>
      </w:pPr>
      <w:r>
        <w:rPr>
          <w:rFonts w:ascii="Courier New" w:hAnsi="Courier New"/>
          <w:sz w:val="17"/>
        </w:rPr>
        <w:t>dev_be_p    = IF(dev_npv_success&lt;=0,"n/a: negative on the success path",dev_pv_cost_rw/dev_pv_success)</w:t>
      </w:r>
    </w:p>
    <w:p>
      <w:pPr>
        <w:spacing w:after="40"/>
      </w:pPr>
    </w:p>
    <w:p>
      <w:pPr>
        <w:jc w:val="both"/>
      </w:pPr>
      <w:r>
        <w:rPr/>
        <w:t>Kasiri needs a premium of USD 29.7m (18.9% of plant cost) for a zero risk-weighted NPV, and has no break-even probability because the success path itself loses value at 25%.</w:t>
      </w:r>
    </w:p>
    <w:p>
      <w:pPr>
        <w:jc w:val="both"/>
      </w:pPr>
      <w:r>
        <w:rPr>
          <w:b/>
        </w:rPr>
        <w:t>Value by stage (section D2).</w:t>
      </w:r>
      <w:r>
        <w:rPr/>
        <w:t xml:space="preserve"> For the stage k about to start, with real budgets c and durations d, and start month s:</w:t>
      </w:r>
    </w:p>
    <w:p>
      <w:pPr>
        <w:spacing w:after="0"/>
        <w:ind w:left="283"/>
      </w:pPr>
      <w:r>
        <w:rPr>
          <w:rFonts w:ascii="Courier New" w:hAnsi="Courier New"/>
          <w:sz w:val="17"/>
        </w:rPr>
        <w:t>B (P close from here) = PRODUCT(pk:p6)</w:t>
      </w:r>
    </w:p>
    <w:p>
      <w:pPr>
        <w:spacing w:after="0"/>
        <w:ind w:left="283"/>
      </w:pPr>
      <w:r>
        <w:rPr>
          <w:rFonts w:ascii="Courier New" w:hAnsi="Courier New"/>
          <w:sz w:val="17"/>
        </w:rPr>
        <w:t>C (PV value at close) = B*dev_success_value/(1+r)^((dev_months-s_k)/12)</w:t>
      </w:r>
    </w:p>
    <w:p>
      <w:pPr>
        <w:spacing w:after="0"/>
        <w:ind w:left="283"/>
      </w:pPr>
      <w:r>
        <w:rPr>
          <w:rFonts w:ascii="Courier New" w:hAnsi="Courier New"/>
          <w:sz w:val="17"/>
        </w:rPr>
        <w:t>D (PV remaining spend)= sum over j&gt;=k of c_j*PRODUCT(pk:p(j-1))/(1+r)^((s_j-s_k+0.5*d_j)/12)</w:t>
      </w:r>
    </w:p>
    <w:p>
      <w:pPr>
        <w:spacing w:after="0"/>
        <w:ind w:left="283"/>
      </w:pPr>
      <w:r>
        <w:rPr>
          <w:rFonts w:ascii="Courier New" w:hAnsi="Courier New"/>
          <w:sz w:val="17"/>
        </w:rPr>
        <w:t>E (position value)    = C-D</w:t>
      </w:r>
    </w:p>
    <w:p>
      <w:pPr>
        <w:spacing w:after="40"/>
      </w:pP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715"/>
            <w:shd w:val="clear" w:color="auto" w:fill="0B3020"/>
          </w:tcPr>
          <w:p>
            <w:pPr>
              <w:spacing w:after="0"/>
            </w:pPr>
            <w:r>
              <w:rPr>
                <w:b/>
                <w:color w:val="FFFFFF"/>
                <w:sz w:val="16"/>
              </w:rPr>
              <w:t>Stage about to start</w:t>
            </w:r>
          </w:p>
        </w:tc>
        <w:tc>
          <w:tcPr>
            <w:tcW w:type="dxa" w:w="1086"/>
            <w:shd w:val="clear" w:color="auto" w:fill="0B3020"/>
          </w:tcPr>
          <w:p>
            <w:pPr>
              <w:spacing w:after="0"/>
            </w:pPr>
            <w:r>
              <w:rPr>
                <w:b/>
                <w:color w:val="FFFFFF"/>
                <w:sz w:val="16"/>
              </w:rPr>
              <w:t>P(close)</w:t>
            </w:r>
          </w:p>
        </w:tc>
        <w:tc>
          <w:tcPr>
            <w:tcW w:type="dxa" w:w="1900"/>
            <w:shd w:val="clear" w:color="auto" w:fill="0B3020"/>
          </w:tcPr>
          <w:p>
            <w:pPr>
              <w:spacing w:after="0"/>
            </w:pPr>
            <w:r>
              <w:rPr>
                <w:b/>
                <w:color w:val="FFFFFF"/>
                <w:sz w:val="16"/>
              </w:rPr>
              <w:t>Value at close</w:t>
            </w:r>
          </w:p>
        </w:tc>
        <w:tc>
          <w:tcPr>
            <w:tcW w:type="dxa" w:w="2036"/>
            <w:shd w:val="clear" w:color="auto" w:fill="0B3020"/>
          </w:tcPr>
          <w:p>
            <w:pPr>
              <w:spacing w:after="0"/>
            </w:pPr>
            <w:r>
              <w:rPr>
                <w:b/>
                <w:color w:val="FFFFFF"/>
                <w:sz w:val="16"/>
              </w:rPr>
              <w:t>Remaining spend</w:t>
            </w:r>
          </w:p>
        </w:tc>
        <w:tc>
          <w:tcPr>
            <w:tcW w:type="dxa" w:w="1900"/>
            <w:shd w:val="clear" w:color="auto" w:fill="0B3020"/>
          </w:tcPr>
          <w:p>
            <w:pPr>
              <w:spacing w:after="0"/>
            </w:pPr>
            <w:r>
              <w:rPr>
                <w:b/>
                <w:color w:val="FFFFFF"/>
                <w:sz w:val="16"/>
              </w:rPr>
              <w:t>Position value</w:t>
            </w:r>
          </w:p>
        </w:tc>
      </w:tr>
      <w:tr>
        <w:tc>
          <w:tcPr>
            <w:tcW w:type="dxa" w:w="2715"/>
          </w:tcPr>
          <w:p>
            <w:pPr>
              <w:spacing w:after="0"/>
            </w:pPr>
            <w:r>
              <w:rPr>
                <w:color w:val="1D1D1D"/>
                <w:sz w:val="16"/>
              </w:rPr>
              <w:t>1</w:t>
            </w:r>
          </w:p>
        </w:tc>
        <w:tc>
          <w:tcPr>
            <w:tcW w:type="dxa" w:w="1086"/>
          </w:tcPr>
          <w:p>
            <w:pPr>
              <w:spacing w:after="0"/>
            </w:pPr>
            <w:r>
              <w:rPr>
                <w:color w:val="1D1D1D"/>
                <w:sz w:val="16"/>
              </w:rPr>
              <w:t>14.6%</w:t>
            </w:r>
          </w:p>
        </w:tc>
        <w:tc>
          <w:tcPr>
            <w:tcW w:type="dxa" w:w="1900"/>
          </w:tcPr>
          <w:p>
            <w:pPr>
              <w:spacing w:after="0"/>
            </w:pPr>
            <w:r>
              <w:rPr>
                <w:color w:val="1D1D1D"/>
                <w:sz w:val="16"/>
              </w:rPr>
              <w:t>0.43</w:t>
            </w:r>
          </w:p>
        </w:tc>
        <w:tc>
          <w:tcPr>
            <w:tcW w:type="dxa" w:w="2036"/>
          </w:tcPr>
          <w:p>
            <w:pPr>
              <w:spacing w:after="0"/>
            </w:pPr>
            <w:r>
              <w:rPr>
                <w:color w:val="1D1D1D"/>
                <w:sz w:val="16"/>
              </w:rPr>
              <w:t>1.63</w:t>
            </w:r>
          </w:p>
        </w:tc>
        <w:tc>
          <w:tcPr>
            <w:tcW w:type="dxa" w:w="1900"/>
          </w:tcPr>
          <w:p>
            <w:pPr>
              <w:spacing w:after="0"/>
            </w:pPr>
            <w:r>
              <w:rPr>
                <w:color w:val="1D1D1D"/>
                <w:sz w:val="16"/>
              </w:rPr>
              <w:t>-1.20</w:t>
            </w:r>
          </w:p>
        </w:tc>
      </w:tr>
      <w:tr>
        <w:tc>
          <w:tcPr>
            <w:tcW w:type="dxa" w:w="2715"/>
            <w:shd w:val="clear" w:color="auto" w:fill="FAF8F2"/>
          </w:tcPr>
          <w:p>
            <w:pPr>
              <w:spacing w:after="0"/>
            </w:pPr>
            <w:r>
              <w:rPr>
                <w:color w:val="1D1D1D"/>
                <w:sz w:val="16"/>
              </w:rPr>
              <w:t>2</w:t>
            </w:r>
          </w:p>
        </w:tc>
        <w:tc>
          <w:tcPr>
            <w:tcW w:type="dxa" w:w="1086"/>
            <w:shd w:val="clear" w:color="auto" w:fill="FAF8F2"/>
          </w:tcPr>
          <w:p>
            <w:pPr>
              <w:spacing w:after="0"/>
            </w:pPr>
            <w:r>
              <w:rPr>
                <w:color w:val="1D1D1D"/>
                <w:sz w:val="16"/>
              </w:rPr>
              <w:t>24.3%</w:t>
            </w:r>
          </w:p>
        </w:tc>
        <w:tc>
          <w:tcPr>
            <w:tcW w:type="dxa" w:w="1900"/>
            <w:shd w:val="clear" w:color="auto" w:fill="FAF8F2"/>
          </w:tcPr>
          <w:p>
            <w:pPr>
              <w:spacing w:after="0"/>
            </w:pPr>
            <w:r>
              <w:rPr>
                <w:color w:val="1D1D1D"/>
                <w:sz w:val="16"/>
              </w:rPr>
              <w:t>0.80</w:t>
            </w:r>
          </w:p>
        </w:tc>
        <w:tc>
          <w:tcPr>
            <w:tcW w:type="dxa" w:w="2036"/>
            <w:shd w:val="clear" w:color="auto" w:fill="FAF8F2"/>
          </w:tcPr>
          <w:p>
            <w:pPr>
              <w:spacing w:after="0"/>
            </w:pPr>
            <w:r>
              <w:rPr>
                <w:color w:val="1D1D1D"/>
                <w:sz w:val="16"/>
              </w:rPr>
              <w:t>2.86</w:t>
            </w:r>
          </w:p>
        </w:tc>
        <w:tc>
          <w:tcPr>
            <w:tcW w:type="dxa" w:w="1900"/>
            <w:shd w:val="clear" w:color="auto" w:fill="FAF8F2"/>
          </w:tcPr>
          <w:p>
            <w:pPr>
              <w:spacing w:after="0"/>
            </w:pPr>
            <w:r>
              <w:rPr>
                <w:color w:val="1D1D1D"/>
                <w:sz w:val="16"/>
              </w:rPr>
              <w:t>-2.06</w:t>
            </w:r>
          </w:p>
        </w:tc>
      </w:tr>
      <w:tr>
        <w:tc>
          <w:tcPr>
            <w:tcW w:type="dxa" w:w="2715"/>
          </w:tcPr>
          <w:p>
            <w:pPr>
              <w:spacing w:after="0"/>
            </w:pPr>
            <w:r>
              <w:rPr>
                <w:color w:val="1D1D1D"/>
                <w:sz w:val="16"/>
              </w:rPr>
              <w:t>3</w:t>
            </w:r>
          </w:p>
        </w:tc>
        <w:tc>
          <w:tcPr>
            <w:tcW w:type="dxa" w:w="1086"/>
          </w:tcPr>
          <w:p>
            <w:pPr>
              <w:spacing w:after="0"/>
            </w:pPr>
            <w:r>
              <w:rPr>
                <w:color w:val="1D1D1D"/>
                <w:sz w:val="16"/>
              </w:rPr>
              <w:t>40.5%</w:t>
            </w:r>
          </w:p>
        </w:tc>
        <w:tc>
          <w:tcPr>
            <w:tcW w:type="dxa" w:w="1900"/>
          </w:tcPr>
          <w:p>
            <w:pPr>
              <w:spacing w:after="0"/>
            </w:pPr>
            <w:r>
              <w:rPr>
                <w:color w:val="1D1D1D"/>
                <w:sz w:val="16"/>
              </w:rPr>
              <w:t>1.67</w:t>
            </w:r>
          </w:p>
        </w:tc>
        <w:tc>
          <w:tcPr>
            <w:tcW w:type="dxa" w:w="2036"/>
          </w:tcPr>
          <w:p>
            <w:pPr>
              <w:spacing w:after="0"/>
            </w:pPr>
            <w:r>
              <w:rPr>
                <w:color w:val="1D1D1D"/>
                <w:sz w:val="16"/>
              </w:rPr>
              <w:t>4.84</w:t>
            </w:r>
          </w:p>
        </w:tc>
        <w:tc>
          <w:tcPr>
            <w:tcW w:type="dxa" w:w="1900"/>
          </w:tcPr>
          <w:p>
            <w:pPr>
              <w:spacing w:after="0"/>
            </w:pPr>
            <w:r>
              <w:rPr>
                <w:color w:val="1D1D1D"/>
                <w:sz w:val="16"/>
              </w:rPr>
              <w:t>-3.17</w:t>
            </w:r>
          </w:p>
        </w:tc>
      </w:tr>
      <w:tr>
        <w:tc>
          <w:tcPr>
            <w:tcW w:type="dxa" w:w="2715"/>
            <w:shd w:val="clear" w:color="auto" w:fill="FAF8F2"/>
          </w:tcPr>
          <w:p>
            <w:pPr>
              <w:spacing w:after="0"/>
            </w:pPr>
            <w:r>
              <w:rPr>
                <w:color w:val="1D1D1D"/>
                <w:sz w:val="16"/>
              </w:rPr>
              <w:t>4</w:t>
            </w:r>
          </w:p>
        </w:tc>
        <w:tc>
          <w:tcPr>
            <w:tcW w:type="dxa" w:w="1086"/>
            <w:shd w:val="clear" w:color="auto" w:fill="FAF8F2"/>
          </w:tcPr>
          <w:p>
            <w:pPr>
              <w:spacing w:after="0"/>
            </w:pPr>
            <w:r>
              <w:rPr>
                <w:color w:val="1D1D1D"/>
                <w:sz w:val="16"/>
              </w:rPr>
              <w:t>57.8%</w:t>
            </w:r>
          </w:p>
        </w:tc>
        <w:tc>
          <w:tcPr>
            <w:tcW w:type="dxa" w:w="1900"/>
            <w:shd w:val="clear" w:color="auto" w:fill="FAF8F2"/>
          </w:tcPr>
          <w:p>
            <w:pPr>
              <w:spacing w:after="0"/>
            </w:pPr>
            <w:r>
              <w:rPr>
                <w:color w:val="1D1D1D"/>
                <w:sz w:val="16"/>
              </w:rPr>
              <w:t>3.34</w:t>
            </w:r>
          </w:p>
        </w:tc>
        <w:tc>
          <w:tcPr>
            <w:tcW w:type="dxa" w:w="2036"/>
            <w:shd w:val="clear" w:color="auto" w:fill="FAF8F2"/>
          </w:tcPr>
          <w:p>
            <w:pPr>
              <w:spacing w:after="0"/>
            </w:pPr>
            <w:r>
              <w:rPr>
                <w:color w:val="1D1D1D"/>
                <w:sz w:val="16"/>
              </w:rPr>
              <w:t>2.06</w:t>
            </w:r>
          </w:p>
        </w:tc>
        <w:tc>
          <w:tcPr>
            <w:tcW w:type="dxa" w:w="1900"/>
            <w:shd w:val="clear" w:color="auto" w:fill="FAF8F2"/>
          </w:tcPr>
          <w:p>
            <w:pPr>
              <w:spacing w:after="0"/>
            </w:pPr>
            <w:r>
              <w:rPr>
                <w:color w:val="1D1D1D"/>
                <w:sz w:val="16"/>
              </w:rPr>
              <w:t>1.28</w:t>
            </w:r>
          </w:p>
        </w:tc>
      </w:tr>
      <w:tr>
        <w:tc>
          <w:tcPr>
            <w:tcW w:type="dxa" w:w="2715"/>
          </w:tcPr>
          <w:p>
            <w:pPr>
              <w:spacing w:after="0"/>
            </w:pPr>
            <w:r>
              <w:rPr>
                <w:color w:val="1D1D1D"/>
                <w:sz w:val="16"/>
              </w:rPr>
              <w:t>5</w:t>
            </w:r>
          </w:p>
        </w:tc>
        <w:tc>
          <w:tcPr>
            <w:tcW w:type="dxa" w:w="1086"/>
          </w:tcPr>
          <w:p>
            <w:pPr>
              <w:spacing w:after="0"/>
            </w:pPr>
            <w:r>
              <w:rPr>
                <w:color w:val="1D1D1D"/>
                <w:sz w:val="16"/>
              </w:rPr>
              <w:t>68.0%</w:t>
            </w:r>
          </w:p>
        </w:tc>
        <w:tc>
          <w:tcPr>
            <w:tcW w:type="dxa" w:w="1900"/>
          </w:tcPr>
          <w:p>
            <w:pPr>
              <w:spacing w:after="0"/>
            </w:pPr>
            <w:r>
              <w:rPr>
                <w:color w:val="1D1D1D"/>
                <w:sz w:val="16"/>
              </w:rPr>
              <w:t>4.91</w:t>
            </w:r>
          </w:p>
        </w:tc>
        <w:tc>
          <w:tcPr>
            <w:tcW w:type="dxa" w:w="2036"/>
          </w:tcPr>
          <w:p>
            <w:pPr>
              <w:spacing w:after="0"/>
            </w:pPr>
            <w:r>
              <w:rPr>
                <w:color w:val="1D1D1D"/>
                <w:sz w:val="16"/>
              </w:rPr>
              <w:t>1.98</w:t>
            </w:r>
          </w:p>
        </w:tc>
        <w:tc>
          <w:tcPr>
            <w:tcW w:type="dxa" w:w="1900"/>
          </w:tcPr>
          <w:p>
            <w:pPr>
              <w:spacing w:after="0"/>
            </w:pPr>
            <w:r>
              <w:rPr>
                <w:color w:val="1D1D1D"/>
                <w:sz w:val="16"/>
              </w:rPr>
              <w:t>2.93</w:t>
            </w:r>
          </w:p>
        </w:tc>
      </w:tr>
      <w:tr>
        <w:tc>
          <w:tcPr>
            <w:tcW w:type="dxa" w:w="2715"/>
            <w:shd w:val="clear" w:color="auto" w:fill="FAF8F2"/>
          </w:tcPr>
          <w:p>
            <w:pPr>
              <w:spacing w:after="0"/>
            </w:pPr>
            <w:r>
              <w:rPr>
                <w:color w:val="1D1D1D"/>
                <w:sz w:val="16"/>
              </w:rPr>
              <w:t>6</w:t>
            </w:r>
          </w:p>
        </w:tc>
        <w:tc>
          <w:tcPr>
            <w:tcW w:type="dxa" w:w="1086"/>
            <w:shd w:val="clear" w:color="auto" w:fill="FAF8F2"/>
          </w:tcPr>
          <w:p>
            <w:pPr>
              <w:spacing w:after="0"/>
            </w:pPr>
            <w:r>
              <w:rPr>
                <w:color w:val="1D1D1D"/>
                <w:sz w:val="16"/>
              </w:rPr>
              <w:t>85.0%</w:t>
            </w:r>
          </w:p>
        </w:tc>
        <w:tc>
          <w:tcPr>
            <w:tcW w:type="dxa" w:w="1900"/>
            <w:shd w:val="clear" w:color="auto" w:fill="FAF8F2"/>
          </w:tcPr>
          <w:p>
            <w:pPr>
              <w:spacing w:after="0"/>
            </w:pPr>
            <w:r>
              <w:rPr>
                <w:color w:val="1D1D1D"/>
                <w:sz w:val="16"/>
              </w:rPr>
              <w:t>7.67</w:t>
            </w:r>
          </w:p>
        </w:tc>
        <w:tc>
          <w:tcPr>
            <w:tcW w:type="dxa" w:w="2036"/>
            <w:shd w:val="clear" w:color="auto" w:fill="FAF8F2"/>
          </w:tcPr>
          <w:p>
            <w:pPr>
              <w:spacing w:after="0"/>
            </w:pPr>
            <w:r>
              <w:rPr>
                <w:color w:val="1D1D1D"/>
                <w:sz w:val="16"/>
              </w:rPr>
              <w:t>1.97</w:t>
            </w:r>
          </w:p>
        </w:tc>
        <w:tc>
          <w:tcPr>
            <w:tcW w:type="dxa" w:w="1900"/>
            <w:shd w:val="clear" w:color="auto" w:fill="FAF8F2"/>
          </w:tcPr>
          <w:p>
            <w:pPr>
              <w:spacing w:after="0"/>
            </w:pPr>
            <w:r>
              <w:rPr>
                <w:color w:val="1D1D1D"/>
                <w:sz w:val="16"/>
              </w:rPr>
              <w:t>5.70</w:t>
            </w:r>
          </w:p>
        </w:tc>
      </w:tr>
    </w:tbl>
    <w:p>
      <w:pPr>
        <w:spacing w:after="40"/>
      </w:pPr>
    </w:p>
    <w:p>
      <w:pPr>
        <w:jc w:val="both"/>
      </w:pPr>
      <w:r>
        <w:rPr/>
        <w:t>The NPV in section D (nominal spend, year by year) and the value at stage 1 in D2 (real budgets at mid-stage) answer the same question by different routes; Book 7 uses the first for the decision to start and the second for pricing entry.</w:t>
      </w:r>
    </w:p>
    <w:p>
      <w:pPr>
        <w:jc w:val="both"/>
      </w:pPr>
      <w:r>
        <w:rPr>
          <w:b/>
        </w:rPr>
        <w:t>Step-ups (section E), private equity at 100%.</w:t>
      </w:r>
    </w:p>
    <w:p>
      <w:pPr>
        <w:spacing w:after="0"/>
        <w:ind w:left="283"/>
      </w:pPr>
      <w:r>
        <w:rPr>
          <w:rFonts w:ascii="Courier New" w:hAnsi="Courier New"/>
          <w:sz w:val="17"/>
        </w:rPr>
        <w:t>val_fc       = NPV(r_fc,eq_priv_cf)+NPV(r_fc,eq_priv_in)</w:t>
      </w:r>
    </w:p>
    <w:p>
      <w:pPr>
        <w:spacing w:after="0"/>
        <w:ind w:left="283"/>
      </w:pPr>
      <w:r>
        <w:rPr>
          <w:rFonts w:ascii="Courier New" w:hAnsi="Courier New"/>
          <w:sz w:val="17"/>
        </w:rPr>
        <w:t>val_step_fc  = NPV(r_fc,eq_priv_cf)</w:t>
      </w:r>
    </w:p>
    <w:p>
      <w:pPr>
        <w:spacing w:after="0"/>
        <w:ind w:left="283"/>
      </w:pPr>
      <w:r>
        <w:rPr>
          <w:rFonts w:ascii="Courier New" w:hAnsi="Courier New"/>
          <w:sz w:val="17"/>
        </w:rPr>
        <w:t>val_cod      = SUMPRODUCT(opflag,eq_priv_cf,1/(1+r_cod)^(t-cons_eff))/(1+r_fc)^cons_eff</w:t>
      </w:r>
    </w:p>
    <w:p>
      <w:pPr>
        <w:spacing w:after="0"/>
        <w:ind w:left="283"/>
      </w:pPr>
      <w:r>
        <w:rPr>
          <w:rFonts w:ascii="Courier New" w:hAnsi="Courier New"/>
          <w:sz w:val="17"/>
        </w:rPr>
        <w:t>val_step_cod = val_cod-SUMPRODUCT(opflag,eq_priv_cf,1/(1+r_fc)^t)</w:t>
      </w:r>
    </w:p>
    <w:p>
      <w:pPr>
        <w:spacing w:after="40"/>
      </w:pPr>
    </w:p>
    <w:p>
      <w:pPr>
        <w:jc w:val="both"/>
      </w:pPr>
      <w:r>
        <w:rPr/>
        <w:t>Kasiri: value created at close USD -5.1m (the equity IRR is below the 15% close-stage rate); de-risking step-up from close to COD USD 18.3m.</w:t>
      </w:r>
    </w:p>
    <w:p>
      <w:pPr>
        <w:jc w:val="both"/>
      </w:pPr>
      <w:r>
        <w:rPr>
          <w:b/>
        </w:rPr>
        <w:t>Sell-down (section F).</w:t>
      </w:r>
    </w:p>
    <w:p>
      <w:pPr>
        <w:spacing w:after="0"/>
        <w:ind w:left="283"/>
      </w:pPr>
      <w:r>
        <w:rPr>
          <w:rFonts w:ascii="Courier New" w:hAnsi="Courier New"/>
          <w:sz w:val="17"/>
        </w:rPr>
        <w:t>v_cod_nom     = SUMPRODUCT(opflag,eq_priv_cf,1/(1+r_cod)^(t-cons_eff))</w:t>
      </w:r>
    </w:p>
    <w:p>
      <w:pPr>
        <w:spacing w:after="0"/>
        <w:ind w:left="283"/>
      </w:pPr>
      <w:r>
        <w:rPr>
          <w:rFonts w:ascii="Courier New" w:hAnsi="Courier New"/>
          <w:sz w:val="17"/>
        </w:rPr>
        <w:t>sell_proceeds = sell_pct*dev_stake*v_cod_nom</w:t>
      </w:r>
    </w:p>
    <w:p>
      <w:pPr>
        <w:spacing w:after="40"/>
      </w:pPr>
    </w:p>
    <w:p>
      <w:pPr>
        <w:jc w:val="both"/>
      </w:pPr>
      <w:r>
        <w:rPr/>
        <w:t xml:space="preserve">The developer's cash flow runs over 50 columns (ten development years and the 40 model years): minus development spend; at t = 1 the reimbursement plus the premium; in every model year </w:t>
      </w:r>
      <w:r>
        <w:rPr>
          <w:rFonts w:ascii="Courier New" w:hAnsi="Courier New"/>
        </w:rPr>
        <w:t>dev_stake</w:t>
      </w:r>
      <w:r>
        <w:rPr/>
        <w:t xml:space="preserve"> times the private equity cash flow, reduced by </w:t>
      </w:r>
      <w:r>
        <w:rPr>
          <w:rFonts w:ascii="Courier New" w:hAnsi="Courier New"/>
        </w:rPr>
        <w:t>(1-sell_pct)</w:t>
      </w:r>
      <w:r>
        <w:rPr/>
        <w:t xml:space="preserve"> in operating years; and the sale proceeds in the last construction year. Kasiri: sale proceeds USD 19.5m, cash multiple 4.97x, peak cumulative cash at risk USD 10.2m.</w:t>
      </w:r>
    </w:p>
    <w:p>
      <w:pPr>
        <w:jc w:val="both"/>
      </w:pPr>
      <w:r>
        <w:rPr>
          <w:b/>
        </w:rPr>
        <w:t>Developer IRR with three starting values.</w:t>
      </w:r>
    </w:p>
    <w:p>
      <w:pPr>
        <w:spacing w:after="0"/>
        <w:ind w:left="283"/>
      </w:pPr>
      <w:r>
        <w:rPr>
          <w:rFonts w:ascii="Courier New" w:hAnsi="Courier New"/>
          <w:sz w:val="17"/>
        </w:rPr>
        <w:t>dev_irr = IF(ISNUMBER(IRR(cf,0.15)),IF(ABS(IRR(cf,0.15))&lt;1,IRR(cf,0.15),-1),</w:t>
      </w:r>
    </w:p>
    <w:p>
      <w:pPr>
        <w:spacing w:after="0"/>
        <w:ind w:left="283"/>
      </w:pPr>
      <w:r>
        <w:rPr>
          <w:rFonts w:ascii="Courier New" w:hAnsi="Courier New"/>
          <w:sz w:val="17"/>
        </w:rPr>
        <w:t xml:space="preserve">          IF(ISNUMBER(IRR(cf,0.05)),IF(ABS(IRR(cf,0.05))&lt;1,IRR(cf,0.05),-1),</w:t>
      </w:r>
    </w:p>
    <w:p>
      <w:pPr>
        <w:spacing w:after="0"/>
        <w:ind w:left="283"/>
      </w:pPr>
      <w:r>
        <w:rPr>
          <w:rFonts w:ascii="Courier New" w:hAnsi="Courier New"/>
          <w:sz w:val="17"/>
        </w:rPr>
        <w:t xml:space="preserve">          IF(ISNUMBER(IRR(cf,-0.05)),IF(ABS(IRR(cf,-0.05))&lt;1,IRR(cf,-0.05),-1),-1)))</w:t>
      </w:r>
    </w:p>
    <w:p>
      <w:pPr>
        <w:spacing w:after="40"/>
      </w:pPr>
    </w:p>
    <w:p>
      <w:pPr>
        <w:jc w:val="both"/>
      </w:pPr>
      <w:r>
        <w:rPr/>
        <w:t>The developer cash flow changes sign several times, so the starting value matters. The formula tries 15%, then 5%, then -5%, moving to the next only when the previous one returns an error; a result of absolute value 1 or more is treated as spurious and reported as -1 (-100%). Kasiri: 16.0%. Promotes and carried interest are not modelled.</w:t>
      </w:r>
    </w:p>
    <w:p>
      <w:pPr>
        <w:pStyle w:val="Heading2"/>
      </w:pPr>
      <w:r>
        <w:t>6.8 Financing structures (17A_STRUCTURES)</w:t>
      </w:r>
    </w:p>
    <w:p>
      <w:pPr>
        <w:jc w:val="both"/>
      </w:pPr>
      <w:r>
        <w:rPr/>
        <w:t xml:space="preserve">Column C reads the selected structure from columns E to I with </w:t>
      </w:r>
      <w:r>
        <w:rPr>
          <w:rFonts w:ascii="Courier New" w:hAnsi="Courier New"/>
        </w:rPr>
        <w:t>INDEX(E:I,structure)</w:t>
      </w:r>
      <w:r>
        <w:rPr/>
        <w: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3373"/>
            <w:shd w:val="clear" w:color="auto" w:fill="0B3020"/>
          </w:tcPr>
          <w:p>
            <w:pPr>
              <w:spacing w:after="0"/>
            </w:pPr>
            <w:r>
              <w:rPr>
                <w:b/>
                <w:color w:val="FFFFFF"/>
                <w:sz w:val="16"/>
              </w:rPr>
              <w:t>Parameter</w:t>
            </w:r>
          </w:p>
        </w:tc>
        <w:tc>
          <w:tcPr>
            <w:tcW w:type="dxa" w:w="1253"/>
            <w:shd w:val="clear" w:color="auto" w:fill="0B3020"/>
          </w:tcPr>
          <w:p>
            <w:pPr>
              <w:spacing w:after="0"/>
            </w:pPr>
            <w:r>
              <w:rPr>
                <w:b/>
                <w:color w:val="FFFFFF"/>
                <w:sz w:val="16"/>
              </w:rPr>
              <w:t>1 Public</w:t>
            </w:r>
          </w:p>
        </w:tc>
        <w:tc>
          <w:tcPr>
            <w:tcW w:type="dxa" w:w="1253"/>
            <w:shd w:val="clear" w:color="auto" w:fill="0B3020"/>
          </w:tcPr>
          <w:p>
            <w:pPr>
              <w:spacing w:after="0"/>
            </w:pPr>
            <w:r>
              <w:rPr>
                <w:b/>
                <w:color w:val="FFFFFF"/>
                <w:sz w:val="16"/>
              </w:rPr>
              <w:t>2 IPP</w:t>
            </w:r>
          </w:p>
        </w:tc>
        <w:tc>
          <w:tcPr>
            <w:tcW w:type="dxa" w:w="1253"/>
            <w:shd w:val="clear" w:color="auto" w:fill="0B3020"/>
          </w:tcPr>
          <w:p>
            <w:pPr>
              <w:spacing w:after="0"/>
            </w:pPr>
            <w:r>
              <w:rPr>
                <w:b/>
                <w:color w:val="FFFFFF"/>
                <w:sz w:val="16"/>
              </w:rPr>
              <w:t>3 PPP</w:t>
            </w:r>
          </w:p>
        </w:tc>
        <w:tc>
          <w:tcPr>
            <w:tcW w:type="dxa" w:w="1253"/>
            <w:shd w:val="clear" w:color="auto" w:fill="0B3020"/>
          </w:tcPr>
          <w:p>
            <w:pPr>
              <w:spacing w:after="0"/>
            </w:pPr>
            <w:r>
              <w:rPr>
                <w:b/>
                <w:color w:val="FFFFFF"/>
                <w:sz w:val="16"/>
              </w:rPr>
              <w:t>4 Hybrid</w:t>
            </w:r>
          </w:p>
        </w:tc>
        <w:tc>
          <w:tcPr>
            <w:tcW w:type="dxa" w:w="1253"/>
            <w:shd w:val="clear" w:color="auto" w:fill="0B3020"/>
          </w:tcPr>
          <w:p>
            <w:pPr>
              <w:spacing w:after="0"/>
            </w:pPr>
            <w:r>
              <w:rPr>
                <w:b/>
                <w:color w:val="FFFFFF"/>
                <w:sz w:val="16"/>
              </w:rPr>
              <w:t>5 Blended</w:t>
            </w:r>
          </w:p>
        </w:tc>
      </w:tr>
      <w:tr>
        <w:tc>
          <w:tcPr>
            <w:tcW w:type="dxa" w:w="3373"/>
          </w:tcPr>
          <w:p>
            <w:pPr>
              <w:spacing w:after="0"/>
            </w:pPr>
            <w:r>
              <w:rPr>
                <w:color w:val="1D1D1D"/>
                <w:sz w:val="16"/>
              </w:rPr>
              <w:t>Government equity</w:t>
            </w:r>
          </w:p>
        </w:tc>
        <w:tc>
          <w:tcPr>
            <w:tcW w:type="dxa" w:w="1253"/>
          </w:tcPr>
          <w:p>
            <w:pPr>
              <w:spacing w:after="0"/>
            </w:pPr>
            <w:r>
              <w:rPr>
                <w:color w:val="1D1D1D"/>
                <w:sz w:val="16"/>
              </w:rPr>
              <w:t>15%</w:t>
            </w:r>
          </w:p>
        </w:tc>
        <w:tc>
          <w:tcPr>
            <w:tcW w:type="dxa" w:w="1253"/>
          </w:tcPr>
          <w:p>
            <w:pPr>
              <w:spacing w:after="0"/>
            </w:pPr>
            <w:r>
              <w:rPr>
                <w:color w:val="1D1D1D"/>
                <w:sz w:val="16"/>
              </w:rPr>
              <w:t>0%</w:t>
            </w:r>
          </w:p>
        </w:tc>
        <w:tc>
          <w:tcPr>
            <w:tcW w:type="dxa" w:w="1253"/>
          </w:tcPr>
          <w:p>
            <w:pPr>
              <w:spacing w:after="0"/>
            </w:pPr>
            <w:r>
              <w:rPr>
                <w:color w:val="1D1D1D"/>
                <w:sz w:val="16"/>
              </w:rPr>
              <w:t>10%</w:t>
            </w:r>
          </w:p>
        </w:tc>
        <w:tc>
          <w:tcPr>
            <w:tcW w:type="dxa" w:w="1253"/>
          </w:tcPr>
          <w:p>
            <w:pPr>
              <w:spacing w:after="0"/>
            </w:pPr>
            <w:r>
              <w:rPr>
                <w:color w:val="1D1D1D"/>
                <w:sz w:val="16"/>
              </w:rPr>
              <w:t>0%</w:t>
            </w:r>
          </w:p>
        </w:tc>
        <w:tc>
          <w:tcPr>
            <w:tcW w:type="dxa" w:w="1253"/>
          </w:tcPr>
          <w:p>
            <w:pPr>
              <w:spacing w:after="0"/>
            </w:pPr>
            <w:r>
              <w:rPr>
                <w:color w:val="1D1D1D"/>
                <w:sz w:val="16"/>
              </w:rPr>
              <w:t>5%</w:t>
            </w:r>
          </w:p>
        </w:tc>
      </w:tr>
      <w:tr>
        <w:tc>
          <w:tcPr>
            <w:tcW w:type="dxa" w:w="3373"/>
            <w:shd w:val="clear" w:color="auto" w:fill="FAF8F2"/>
          </w:tcPr>
          <w:p>
            <w:pPr>
              <w:spacing w:after="0"/>
            </w:pPr>
            <w:r>
              <w:rPr>
                <w:color w:val="1D1D1D"/>
                <w:sz w:val="16"/>
              </w:rPr>
              <w:t>Grants, VGF, public capital</w:t>
            </w:r>
          </w:p>
        </w:tc>
        <w:tc>
          <w:tcPr>
            <w:tcW w:type="dxa" w:w="1253"/>
            <w:shd w:val="clear" w:color="auto" w:fill="FAF8F2"/>
          </w:tcPr>
          <w:p>
            <w:pPr>
              <w:spacing w:after="0"/>
            </w:pPr>
            <w:r>
              <w:rPr>
                <w:color w:val="1D1D1D"/>
                <w:sz w:val="16"/>
              </w:rPr>
              <w:t>0%</w:t>
            </w:r>
          </w:p>
        </w:tc>
        <w:tc>
          <w:tcPr>
            <w:tcW w:type="dxa" w:w="1253"/>
            <w:shd w:val="clear" w:color="auto" w:fill="FAF8F2"/>
          </w:tcPr>
          <w:p>
            <w:pPr>
              <w:spacing w:after="0"/>
            </w:pPr>
            <w:r>
              <w:rPr>
                <w:color w:val="1D1D1D"/>
                <w:sz w:val="16"/>
              </w:rPr>
              <w:t>0%</w:t>
            </w:r>
          </w:p>
        </w:tc>
        <w:tc>
          <w:tcPr>
            <w:tcW w:type="dxa" w:w="1253"/>
            <w:shd w:val="clear" w:color="auto" w:fill="FAF8F2"/>
          </w:tcPr>
          <w:p>
            <w:pPr>
              <w:spacing w:after="0"/>
            </w:pPr>
            <w:r>
              <w:rPr>
                <w:color w:val="1D1D1D"/>
                <w:sz w:val="16"/>
              </w:rPr>
              <w:t>5%</w:t>
            </w:r>
          </w:p>
        </w:tc>
        <w:tc>
          <w:tcPr>
            <w:tcW w:type="dxa" w:w="1253"/>
            <w:shd w:val="clear" w:color="auto" w:fill="FAF8F2"/>
          </w:tcPr>
          <w:p>
            <w:pPr>
              <w:spacing w:after="0"/>
            </w:pPr>
            <w:r>
              <w:rPr>
                <w:color w:val="1D1D1D"/>
                <w:sz w:val="16"/>
              </w:rPr>
              <w:t>35%</w:t>
            </w:r>
          </w:p>
        </w:tc>
        <w:tc>
          <w:tcPr>
            <w:tcW w:type="dxa" w:w="1253"/>
            <w:shd w:val="clear" w:color="auto" w:fill="FAF8F2"/>
          </w:tcPr>
          <w:p>
            <w:pPr>
              <w:spacing w:after="0"/>
            </w:pPr>
            <w:r>
              <w:rPr>
                <w:color w:val="1D1D1D"/>
                <w:sz w:val="16"/>
              </w:rPr>
              <w:t>8%</w:t>
            </w:r>
          </w:p>
        </w:tc>
      </w:tr>
      <w:tr>
        <w:tc>
          <w:tcPr>
            <w:tcW w:type="dxa" w:w="3373"/>
          </w:tcPr>
          <w:p>
            <w:pPr>
              <w:spacing w:after="0"/>
            </w:pPr>
            <w:r>
              <w:rPr>
                <w:color w:val="1D1D1D"/>
                <w:sz w:val="16"/>
              </w:rPr>
              <w:t>Concessional debt</w:t>
            </w:r>
          </w:p>
        </w:tc>
        <w:tc>
          <w:tcPr>
            <w:tcW w:type="dxa" w:w="1253"/>
          </w:tcPr>
          <w:p>
            <w:pPr>
              <w:spacing w:after="0"/>
            </w:pPr>
            <w:r>
              <w:rPr>
                <w:color w:val="1D1D1D"/>
                <w:sz w:val="16"/>
              </w:rPr>
              <w:t>55%</w:t>
            </w:r>
          </w:p>
        </w:tc>
        <w:tc>
          <w:tcPr>
            <w:tcW w:type="dxa" w:w="1253"/>
          </w:tcPr>
          <w:p>
            <w:pPr>
              <w:spacing w:after="0"/>
            </w:pPr>
            <w:r>
              <w:rPr>
                <w:color w:val="1D1D1D"/>
                <w:sz w:val="16"/>
              </w:rPr>
              <w:t>0%</w:t>
            </w:r>
          </w:p>
        </w:tc>
        <w:tc>
          <w:tcPr>
            <w:tcW w:type="dxa" w:w="1253"/>
          </w:tcPr>
          <w:p>
            <w:pPr>
              <w:spacing w:after="0"/>
            </w:pPr>
            <w:r>
              <w:rPr>
                <w:color w:val="1D1D1D"/>
                <w:sz w:val="16"/>
              </w:rPr>
              <w:t>30%</w:t>
            </w:r>
          </w:p>
        </w:tc>
        <w:tc>
          <w:tcPr>
            <w:tcW w:type="dxa" w:w="1253"/>
          </w:tcPr>
          <w:p>
            <w:pPr>
              <w:spacing w:after="0"/>
            </w:pPr>
            <w:r>
              <w:rPr>
                <w:color w:val="1D1D1D"/>
                <w:sz w:val="16"/>
              </w:rPr>
              <w:t>25%</w:t>
            </w:r>
          </w:p>
        </w:tc>
        <w:tc>
          <w:tcPr>
            <w:tcW w:type="dxa" w:w="1253"/>
          </w:tcPr>
          <w:p>
            <w:pPr>
              <w:spacing w:after="0"/>
            </w:pPr>
            <w:r>
              <w:rPr>
                <w:color w:val="1D1D1D"/>
                <w:sz w:val="16"/>
              </w:rPr>
              <w:t>35%</w:t>
            </w:r>
          </w:p>
        </w:tc>
      </w:tr>
      <w:tr>
        <w:tc>
          <w:tcPr>
            <w:tcW w:type="dxa" w:w="3373"/>
            <w:shd w:val="clear" w:color="auto" w:fill="FAF8F2"/>
          </w:tcPr>
          <w:p>
            <w:pPr>
              <w:spacing w:after="0"/>
            </w:pPr>
            <w:r>
              <w:rPr>
                <w:color w:val="1D1D1D"/>
                <w:sz w:val="16"/>
              </w:rPr>
              <w:t>Gearing cap (total senior debt)</w:t>
            </w:r>
          </w:p>
        </w:tc>
        <w:tc>
          <w:tcPr>
            <w:tcW w:type="dxa" w:w="1253"/>
            <w:shd w:val="clear" w:color="auto" w:fill="FAF8F2"/>
          </w:tcPr>
          <w:p>
            <w:pPr>
              <w:spacing w:after="0"/>
            </w:pPr>
            <w:r>
              <w:rPr>
                <w:color w:val="1D1D1D"/>
                <w:sz w:val="16"/>
              </w:rPr>
              <w:t>85%</w:t>
            </w:r>
          </w:p>
        </w:tc>
        <w:tc>
          <w:tcPr>
            <w:tcW w:type="dxa" w:w="1253"/>
            <w:shd w:val="clear" w:color="auto" w:fill="FAF8F2"/>
          </w:tcPr>
          <w:p>
            <w:pPr>
              <w:spacing w:after="0"/>
            </w:pPr>
            <w:r>
              <w:rPr>
                <w:color w:val="1D1D1D"/>
                <w:sz w:val="16"/>
              </w:rPr>
              <w:t>70%</w:t>
            </w:r>
          </w:p>
        </w:tc>
        <w:tc>
          <w:tcPr>
            <w:tcW w:type="dxa" w:w="1253"/>
            <w:shd w:val="clear" w:color="auto" w:fill="FAF8F2"/>
          </w:tcPr>
          <w:p>
            <w:pPr>
              <w:spacing w:after="0"/>
            </w:pPr>
            <w:r>
              <w:rPr>
                <w:color w:val="1D1D1D"/>
                <w:sz w:val="16"/>
              </w:rPr>
              <w:t>75%</w:t>
            </w:r>
          </w:p>
        </w:tc>
        <w:tc>
          <w:tcPr>
            <w:tcW w:type="dxa" w:w="1253"/>
            <w:shd w:val="clear" w:color="auto" w:fill="FAF8F2"/>
          </w:tcPr>
          <w:p>
            <w:pPr>
              <w:spacing w:after="0"/>
            </w:pPr>
            <w:r>
              <w:rPr>
                <w:color w:val="1D1D1D"/>
                <w:sz w:val="16"/>
              </w:rPr>
              <w:t>55%</w:t>
            </w:r>
          </w:p>
        </w:tc>
        <w:tc>
          <w:tcPr>
            <w:tcW w:type="dxa" w:w="1253"/>
            <w:shd w:val="clear" w:color="auto" w:fill="FAF8F2"/>
          </w:tcPr>
          <w:p>
            <w:pPr>
              <w:spacing w:after="0"/>
            </w:pPr>
            <w:r>
              <w:rPr>
                <w:color w:val="1D1D1D"/>
                <w:sz w:val="16"/>
              </w:rPr>
              <w:t>72%</w:t>
            </w:r>
          </w:p>
        </w:tc>
      </w:tr>
      <w:tr>
        <w:tc>
          <w:tcPr>
            <w:tcW w:type="dxa" w:w="3373"/>
          </w:tcPr>
          <w:p>
            <w:pPr>
              <w:spacing w:after="0"/>
            </w:pPr>
            <w:r>
              <w:rPr>
                <w:color w:val="1D1D1D"/>
                <w:sz w:val="16"/>
              </w:rPr>
              <w:t>Maximum private equity</w:t>
            </w:r>
          </w:p>
        </w:tc>
        <w:tc>
          <w:tcPr>
            <w:tcW w:type="dxa" w:w="1253"/>
          </w:tcPr>
          <w:p>
            <w:pPr>
              <w:spacing w:after="0"/>
            </w:pPr>
            <w:r>
              <w:rPr>
                <w:color w:val="1D1D1D"/>
                <w:sz w:val="16"/>
              </w:rPr>
              <w:t>0%</w:t>
            </w:r>
          </w:p>
        </w:tc>
        <w:tc>
          <w:tcPr>
            <w:tcW w:type="dxa" w:w="1253"/>
          </w:tcPr>
          <w:p>
            <w:pPr>
              <w:spacing w:after="0"/>
            </w:pPr>
            <w:r>
              <w:rPr>
                <w:color w:val="1D1D1D"/>
                <w:sz w:val="16"/>
              </w:rPr>
              <w:t>35%</w:t>
            </w:r>
          </w:p>
        </w:tc>
        <w:tc>
          <w:tcPr>
            <w:tcW w:type="dxa" w:w="1253"/>
          </w:tcPr>
          <w:p>
            <w:pPr>
              <w:spacing w:after="0"/>
            </w:pPr>
            <w:r>
              <w:rPr>
                <w:color w:val="1D1D1D"/>
                <w:sz w:val="16"/>
              </w:rPr>
              <w:t>20%</w:t>
            </w:r>
          </w:p>
        </w:tc>
        <w:tc>
          <w:tcPr>
            <w:tcW w:type="dxa" w:w="1253"/>
          </w:tcPr>
          <w:p>
            <w:pPr>
              <w:spacing w:after="0"/>
            </w:pPr>
            <w:r>
              <w:rPr>
                <w:color w:val="1D1D1D"/>
                <w:sz w:val="16"/>
              </w:rPr>
              <w:t>25%</w:t>
            </w:r>
          </w:p>
        </w:tc>
        <w:tc>
          <w:tcPr>
            <w:tcW w:type="dxa" w:w="1253"/>
          </w:tcPr>
          <w:p>
            <w:pPr>
              <w:spacing w:after="0"/>
            </w:pPr>
            <w:r>
              <w:rPr>
                <w:color w:val="1D1D1D"/>
                <w:sz w:val="16"/>
              </w:rPr>
              <w:t>25%</w:t>
            </w:r>
          </w:p>
        </w:tc>
      </w:tr>
      <w:tr>
        <w:tc>
          <w:tcPr>
            <w:tcW w:type="dxa" w:w="3373"/>
            <w:shd w:val="clear" w:color="auto" w:fill="FAF8F2"/>
          </w:tcPr>
          <w:p>
            <w:pPr>
              <w:spacing w:after="0"/>
            </w:pPr>
            <w:r>
              <w:rPr>
                <w:color w:val="1D1D1D"/>
                <w:sz w:val="16"/>
              </w:rPr>
              <w:t>Residual equity provider</w:t>
            </w:r>
          </w:p>
        </w:tc>
        <w:tc>
          <w:tcPr>
            <w:tcW w:type="dxa" w:w="1253"/>
            <w:shd w:val="clear" w:color="auto" w:fill="FAF8F2"/>
          </w:tcPr>
          <w:p>
            <w:pPr>
              <w:spacing w:after="0"/>
            </w:pPr>
            <w:r>
              <w:rPr>
                <w:color w:val="1D1D1D"/>
                <w:sz w:val="16"/>
              </w:rPr>
              <w:t>Government</w:t>
            </w:r>
          </w:p>
        </w:tc>
        <w:tc>
          <w:tcPr>
            <w:tcW w:type="dxa" w:w="1253"/>
            <w:shd w:val="clear" w:color="auto" w:fill="FAF8F2"/>
          </w:tcPr>
          <w:p>
            <w:pPr>
              <w:spacing w:after="0"/>
            </w:pPr>
            <w:r>
              <w:rPr>
                <w:color w:val="1D1D1D"/>
                <w:sz w:val="16"/>
              </w:rPr>
              <w:t>Private</w:t>
            </w:r>
          </w:p>
        </w:tc>
        <w:tc>
          <w:tcPr>
            <w:tcW w:type="dxa" w:w="1253"/>
            <w:shd w:val="clear" w:color="auto" w:fill="FAF8F2"/>
          </w:tcPr>
          <w:p>
            <w:pPr>
              <w:spacing w:after="0"/>
            </w:pPr>
            <w:r>
              <w:rPr>
                <w:color w:val="1D1D1D"/>
                <w:sz w:val="16"/>
              </w:rPr>
              <w:t>Private</w:t>
            </w:r>
          </w:p>
        </w:tc>
        <w:tc>
          <w:tcPr>
            <w:tcW w:type="dxa" w:w="1253"/>
            <w:shd w:val="clear" w:color="auto" w:fill="FAF8F2"/>
          </w:tcPr>
          <w:p>
            <w:pPr>
              <w:spacing w:after="0"/>
            </w:pPr>
            <w:r>
              <w:rPr>
                <w:color w:val="1D1D1D"/>
                <w:sz w:val="16"/>
              </w:rPr>
              <w:t>Private</w:t>
            </w:r>
          </w:p>
        </w:tc>
        <w:tc>
          <w:tcPr>
            <w:tcW w:type="dxa" w:w="1253"/>
            <w:shd w:val="clear" w:color="auto" w:fill="FAF8F2"/>
          </w:tcPr>
          <w:p>
            <w:pPr>
              <w:spacing w:after="0"/>
            </w:pPr>
            <w:r>
              <w:rPr>
                <w:color w:val="1D1D1D"/>
                <w:sz w:val="16"/>
              </w:rPr>
              <w:t>Private</w:t>
            </w:r>
          </w:p>
        </w:tc>
      </w:tr>
      <w:tr>
        <w:tc>
          <w:tcPr>
            <w:tcW w:type="dxa" w:w="3373"/>
          </w:tcPr>
          <w:p>
            <w:pPr>
              <w:spacing w:after="0"/>
            </w:pPr>
            <w:r>
              <w:rPr>
                <w:color w:val="1D1D1D"/>
                <w:sz w:val="16"/>
              </w:rPr>
              <w:t>Senior debt guaranteed by sovereign</w:t>
            </w:r>
          </w:p>
        </w:tc>
        <w:tc>
          <w:tcPr>
            <w:tcW w:type="dxa" w:w="1253"/>
          </w:tcPr>
          <w:p>
            <w:pPr>
              <w:spacing w:after="0"/>
            </w:pPr>
            <w:r>
              <w:rPr>
                <w:color w:val="1D1D1D"/>
                <w:sz w:val="16"/>
              </w:rPr>
              <w:t>100%</w:t>
            </w:r>
          </w:p>
        </w:tc>
        <w:tc>
          <w:tcPr>
            <w:tcW w:type="dxa" w:w="1253"/>
          </w:tcPr>
          <w:p>
            <w:pPr>
              <w:spacing w:after="0"/>
            </w:pPr>
            <w:r>
              <w:rPr>
                <w:color w:val="1D1D1D"/>
                <w:sz w:val="16"/>
              </w:rPr>
              <w:t>0%</w:t>
            </w:r>
          </w:p>
        </w:tc>
        <w:tc>
          <w:tcPr>
            <w:tcW w:type="dxa" w:w="1253"/>
          </w:tcPr>
          <w:p>
            <w:pPr>
              <w:spacing w:after="0"/>
            </w:pPr>
            <w:r>
              <w:rPr>
                <w:color w:val="1D1D1D"/>
                <w:sz w:val="16"/>
              </w:rPr>
              <w:t>40%</w:t>
            </w:r>
          </w:p>
        </w:tc>
        <w:tc>
          <w:tcPr>
            <w:tcW w:type="dxa" w:w="1253"/>
          </w:tcPr>
          <w:p>
            <w:pPr>
              <w:spacing w:after="0"/>
            </w:pPr>
            <w:r>
              <w:rPr>
                <w:color w:val="1D1D1D"/>
                <w:sz w:val="16"/>
              </w:rPr>
              <w:t>20%</w:t>
            </w:r>
          </w:p>
        </w:tc>
        <w:tc>
          <w:tcPr>
            <w:tcW w:type="dxa" w:w="1253"/>
          </w:tcPr>
          <w:p>
            <w:pPr>
              <w:spacing w:after="0"/>
            </w:pPr>
            <w:r>
              <w:rPr>
                <w:color w:val="1D1D1D"/>
                <w:sz w:val="16"/>
              </w:rPr>
              <w:t>15%</w:t>
            </w:r>
          </w:p>
        </w:tc>
      </w:tr>
      <w:tr>
        <w:tc>
          <w:tcPr>
            <w:tcW w:type="dxa" w:w="3373"/>
            <w:shd w:val="clear" w:color="auto" w:fill="FAF8F2"/>
          </w:tcPr>
          <w:p>
            <w:pPr>
              <w:spacing w:after="0"/>
            </w:pPr>
            <w:r>
              <w:rPr>
                <w:color w:val="1D1D1D"/>
                <w:sz w:val="16"/>
              </w:rPr>
              <w:t>Senior debt recorded as public debt</w:t>
            </w:r>
          </w:p>
        </w:tc>
        <w:tc>
          <w:tcPr>
            <w:tcW w:type="dxa" w:w="1253"/>
            <w:shd w:val="clear" w:color="auto" w:fill="FAF8F2"/>
          </w:tcPr>
          <w:p>
            <w:pPr>
              <w:spacing w:after="0"/>
            </w:pPr>
            <w:r>
              <w:rPr>
                <w:color w:val="1D1D1D"/>
                <w:sz w:val="16"/>
              </w:rPr>
              <w:t>100%</w:t>
            </w:r>
          </w:p>
        </w:tc>
        <w:tc>
          <w:tcPr>
            <w:tcW w:type="dxa" w:w="1253"/>
            <w:shd w:val="clear" w:color="auto" w:fill="FAF8F2"/>
          </w:tcPr>
          <w:p>
            <w:pPr>
              <w:spacing w:after="0"/>
            </w:pPr>
            <w:r>
              <w:rPr>
                <w:color w:val="1D1D1D"/>
                <w:sz w:val="16"/>
              </w:rPr>
              <w:t>0%</w:t>
            </w:r>
          </w:p>
        </w:tc>
        <w:tc>
          <w:tcPr>
            <w:tcW w:type="dxa" w:w="1253"/>
            <w:shd w:val="clear" w:color="auto" w:fill="FAF8F2"/>
          </w:tcPr>
          <w:p>
            <w:pPr>
              <w:spacing w:after="0"/>
            </w:pPr>
            <w:r>
              <w:rPr>
                <w:color w:val="1D1D1D"/>
                <w:sz w:val="16"/>
              </w:rPr>
              <w:t>0%</w:t>
            </w:r>
          </w:p>
        </w:tc>
        <w:tc>
          <w:tcPr>
            <w:tcW w:type="dxa" w:w="1253"/>
            <w:shd w:val="clear" w:color="auto" w:fill="FAF8F2"/>
          </w:tcPr>
          <w:p>
            <w:pPr>
              <w:spacing w:after="0"/>
            </w:pPr>
            <w:r>
              <w:rPr>
                <w:color w:val="1D1D1D"/>
                <w:sz w:val="16"/>
              </w:rPr>
              <w:t>0%</w:t>
            </w:r>
          </w:p>
        </w:tc>
        <w:tc>
          <w:tcPr>
            <w:tcW w:type="dxa" w:w="1253"/>
            <w:shd w:val="clear" w:color="auto" w:fill="FAF8F2"/>
          </w:tcPr>
          <w:p>
            <w:pPr>
              <w:spacing w:after="0"/>
            </w:pPr>
            <w:r>
              <w:rPr>
                <w:color w:val="1D1D1D"/>
                <w:sz w:val="16"/>
              </w:rPr>
              <w:t>0%</w:t>
            </w:r>
          </w:p>
        </w:tc>
      </w:tr>
      <w:tr>
        <w:tc>
          <w:tcPr>
            <w:tcW w:type="dxa" w:w="3373"/>
          </w:tcPr>
          <w:p>
            <w:pPr>
              <w:spacing w:after="0"/>
            </w:pPr>
            <w:r>
              <w:rPr>
                <w:color w:val="1D1D1D"/>
                <w:sz w:val="16"/>
              </w:rPr>
              <w:t>Sovereign PPA guarantee</w:t>
            </w:r>
          </w:p>
        </w:tc>
        <w:tc>
          <w:tcPr>
            <w:tcW w:type="dxa" w:w="1253"/>
          </w:tcPr>
          <w:p>
            <w:pPr>
              <w:spacing w:after="0"/>
            </w:pPr>
            <w:r>
              <w:rPr>
                <w:color w:val="1D1D1D"/>
                <w:sz w:val="16"/>
              </w:rPr>
              <w:t>No</w:t>
            </w:r>
          </w:p>
        </w:tc>
        <w:tc>
          <w:tcPr>
            <w:tcW w:type="dxa" w:w="1253"/>
          </w:tcPr>
          <w:p>
            <w:pPr>
              <w:spacing w:after="0"/>
            </w:pPr>
            <w:r>
              <w:rPr>
                <w:color w:val="1D1D1D"/>
                <w:sz w:val="16"/>
              </w:rPr>
              <w:t>Yes</w:t>
            </w:r>
          </w:p>
        </w:tc>
        <w:tc>
          <w:tcPr>
            <w:tcW w:type="dxa" w:w="1253"/>
          </w:tcPr>
          <w:p>
            <w:pPr>
              <w:spacing w:after="0"/>
            </w:pPr>
            <w:r>
              <w:rPr>
                <w:color w:val="1D1D1D"/>
                <w:sz w:val="16"/>
              </w:rPr>
              <w:t>Yes</w:t>
            </w:r>
          </w:p>
        </w:tc>
        <w:tc>
          <w:tcPr>
            <w:tcW w:type="dxa" w:w="1253"/>
          </w:tcPr>
          <w:p>
            <w:pPr>
              <w:spacing w:after="0"/>
            </w:pPr>
            <w:r>
              <w:rPr>
                <w:color w:val="1D1D1D"/>
                <w:sz w:val="16"/>
              </w:rPr>
              <w:t>Yes</w:t>
            </w:r>
          </w:p>
        </w:tc>
        <w:tc>
          <w:tcPr>
            <w:tcW w:type="dxa" w:w="1253"/>
          </w:tcPr>
          <w:p>
            <w:pPr>
              <w:spacing w:after="0"/>
            </w:pPr>
            <w:r>
              <w:rPr>
                <w:color w:val="1D1D1D"/>
                <w:sz w:val="16"/>
              </w:rPr>
              <w:t>Yes</w:t>
            </w:r>
          </w:p>
        </w:tc>
      </w:tr>
      <w:tr>
        <w:tc>
          <w:tcPr>
            <w:tcW w:type="dxa" w:w="3373"/>
            <w:shd w:val="clear" w:color="auto" w:fill="FAF8F2"/>
          </w:tcPr>
          <w:p>
            <w:pPr>
              <w:spacing w:after="0"/>
            </w:pPr>
            <w:r>
              <w:rPr>
                <w:color w:val="1D1D1D"/>
                <w:sz w:val="16"/>
              </w:rPr>
              <w:t>Termination payment obligation</w:t>
            </w:r>
          </w:p>
        </w:tc>
        <w:tc>
          <w:tcPr>
            <w:tcW w:type="dxa" w:w="1253"/>
            <w:shd w:val="clear" w:color="auto" w:fill="FAF8F2"/>
          </w:tcPr>
          <w:p>
            <w:pPr>
              <w:spacing w:after="0"/>
            </w:pPr>
            <w:r>
              <w:rPr>
                <w:color w:val="1D1D1D"/>
                <w:sz w:val="16"/>
              </w:rPr>
              <w:t>No</w:t>
            </w:r>
          </w:p>
        </w:tc>
        <w:tc>
          <w:tcPr>
            <w:tcW w:type="dxa" w:w="1253"/>
            <w:shd w:val="clear" w:color="auto" w:fill="FAF8F2"/>
          </w:tcPr>
          <w:p>
            <w:pPr>
              <w:spacing w:after="0"/>
            </w:pPr>
            <w:r>
              <w:rPr>
                <w:color w:val="1D1D1D"/>
                <w:sz w:val="16"/>
              </w:rPr>
              <w:t>Yes</w:t>
            </w:r>
          </w:p>
        </w:tc>
        <w:tc>
          <w:tcPr>
            <w:tcW w:type="dxa" w:w="1253"/>
            <w:shd w:val="clear" w:color="auto" w:fill="FAF8F2"/>
          </w:tcPr>
          <w:p>
            <w:pPr>
              <w:spacing w:after="0"/>
            </w:pPr>
            <w:r>
              <w:rPr>
                <w:color w:val="1D1D1D"/>
                <w:sz w:val="16"/>
              </w:rPr>
              <w:t>Yes</w:t>
            </w:r>
          </w:p>
        </w:tc>
        <w:tc>
          <w:tcPr>
            <w:tcW w:type="dxa" w:w="1253"/>
            <w:shd w:val="clear" w:color="auto" w:fill="FAF8F2"/>
          </w:tcPr>
          <w:p>
            <w:pPr>
              <w:spacing w:after="0"/>
            </w:pPr>
            <w:r>
              <w:rPr>
                <w:color w:val="1D1D1D"/>
                <w:sz w:val="16"/>
              </w:rPr>
              <w:t>Yes</w:t>
            </w:r>
          </w:p>
        </w:tc>
        <w:tc>
          <w:tcPr>
            <w:tcW w:type="dxa" w:w="1253"/>
            <w:shd w:val="clear" w:color="auto" w:fill="FAF8F2"/>
          </w:tcPr>
          <w:p>
            <w:pPr>
              <w:spacing w:after="0"/>
            </w:pPr>
            <w:r>
              <w:rPr>
                <w:color w:val="1D1D1D"/>
                <w:sz w:val="16"/>
              </w:rPr>
              <w:t>Yes</w:t>
            </w:r>
          </w:p>
        </w:tc>
      </w:tr>
      <w:tr>
        <w:tc>
          <w:tcPr>
            <w:tcW w:type="dxa" w:w="3373"/>
          </w:tcPr>
          <w:p>
            <w:pPr>
              <w:spacing w:after="0"/>
            </w:pPr>
            <w:r>
              <w:rPr>
                <w:color w:val="1D1D1D"/>
                <w:sz w:val="16"/>
              </w:rPr>
              <w:t>FX convertibility cover</w:t>
            </w:r>
          </w:p>
        </w:tc>
        <w:tc>
          <w:tcPr>
            <w:tcW w:type="dxa" w:w="1253"/>
          </w:tcPr>
          <w:p>
            <w:pPr>
              <w:spacing w:after="0"/>
            </w:pPr>
            <w:r>
              <w:rPr>
                <w:color w:val="1D1D1D"/>
                <w:sz w:val="16"/>
              </w:rPr>
              <w:t>0%</w:t>
            </w:r>
          </w:p>
        </w:tc>
        <w:tc>
          <w:tcPr>
            <w:tcW w:type="dxa" w:w="1253"/>
          </w:tcPr>
          <w:p>
            <w:pPr>
              <w:spacing w:after="0"/>
            </w:pPr>
            <w:r>
              <w:rPr>
                <w:color w:val="1D1D1D"/>
                <w:sz w:val="16"/>
              </w:rPr>
              <w:t>100%</w:t>
            </w:r>
          </w:p>
        </w:tc>
        <w:tc>
          <w:tcPr>
            <w:tcW w:type="dxa" w:w="1253"/>
          </w:tcPr>
          <w:p>
            <w:pPr>
              <w:spacing w:after="0"/>
            </w:pPr>
            <w:r>
              <w:rPr>
                <w:color w:val="1D1D1D"/>
                <w:sz w:val="16"/>
              </w:rPr>
              <w:t>100%</w:t>
            </w:r>
          </w:p>
        </w:tc>
        <w:tc>
          <w:tcPr>
            <w:tcW w:type="dxa" w:w="1253"/>
          </w:tcPr>
          <w:p>
            <w:pPr>
              <w:spacing w:after="0"/>
            </w:pPr>
            <w:r>
              <w:rPr>
                <w:color w:val="1D1D1D"/>
                <w:sz w:val="16"/>
              </w:rPr>
              <w:t>100%</w:t>
            </w:r>
          </w:p>
        </w:tc>
        <w:tc>
          <w:tcPr>
            <w:tcW w:type="dxa" w:w="1253"/>
          </w:tcPr>
          <w:p>
            <w:pPr>
              <w:spacing w:after="0"/>
            </w:pPr>
            <w:r>
              <w:rPr>
                <w:color w:val="1D1D1D"/>
                <w:sz w:val="16"/>
              </w:rPr>
              <w:t>50%</w:t>
            </w:r>
          </w:p>
        </w:tc>
      </w:tr>
      <w:tr>
        <w:tc>
          <w:tcPr>
            <w:tcW w:type="dxa" w:w="3373"/>
            <w:shd w:val="clear" w:color="auto" w:fill="FAF8F2"/>
          </w:tcPr>
          <w:p>
            <w:pPr>
              <w:spacing w:after="0"/>
            </w:pPr>
            <w:r>
              <w:rPr>
                <w:color w:val="1D1D1D"/>
                <w:sz w:val="16"/>
              </w:rPr>
              <w:t>Concessional rate / grace / term</w:t>
            </w:r>
          </w:p>
        </w:tc>
        <w:tc>
          <w:tcPr>
            <w:tcW w:type="dxa" w:w="1253"/>
            <w:shd w:val="clear" w:color="auto" w:fill="FAF8F2"/>
          </w:tcPr>
          <w:p>
            <w:pPr>
              <w:spacing w:after="0"/>
            </w:pPr>
            <w:r>
              <w:rPr>
                <w:color w:val="1D1D1D"/>
                <w:sz w:val="16"/>
              </w:rPr>
              <w:t>2.0% / 5 / 20</w:t>
            </w:r>
          </w:p>
        </w:tc>
        <w:tc>
          <w:tcPr>
            <w:tcW w:type="dxa" w:w="1253"/>
            <w:shd w:val="clear" w:color="auto" w:fill="FAF8F2"/>
          </w:tcPr>
          <w:p>
            <w:pPr>
              <w:spacing w:after="0"/>
            </w:pPr>
            <w:r>
              <w:rPr>
                <w:color w:val="1D1D1D"/>
                <w:sz w:val="16"/>
              </w:rPr>
              <w:t>3.0% / 5 / 20</w:t>
            </w:r>
          </w:p>
        </w:tc>
        <w:tc>
          <w:tcPr>
            <w:tcW w:type="dxa" w:w="1253"/>
            <w:shd w:val="clear" w:color="auto" w:fill="FAF8F2"/>
          </w:tcPr>
          <w:p>
            <w:pPr>
              <w:spacing w:after="0"/>
            </w:pPr>
            <w:r>
              <w:rPr>
                <w:color w:val="1D1D1D"/>
                <w:sz w:val="16"/>
              </w:rPr>
              <w:t>3.0% / 5 / 20</w:t>
            </w:r>
          </w:p>
        </w:tc>
        <w:tc>
          <w:tcPr>
            <w:tcW w:type="dxa" w:w="1253"/>
            <w:shd w:val="clear" w:color="auto" w:fill="FAF8F2"/>
          </w:tcPr>
          <w:p>
            <w:pPr>
              <w:spacing w:after="0"/>
            </w:pPr>
            <w:r>
              <w:rPr>
                <w:color w:val="1D1D1D"/>
                <w:sz w:val="16"/>
              </w:rPr>
              <w:t>3.0% / 5 / 20</w:t>
            </w:r>
          </w:p>
        </w:tc>
        <w:tc>
          <w:tcPr>
            <w:tcW w:type="dxa" w:w="1253"/>
            <w:shd w:val="clear" w:color="auto" w:fill="FAF8F2"/>
          </w:tcPr>
          <w:p>
            <w:pPr>
              <w:spacing w:after="0"/>
            </w:pPr>
            <w:r>
              <w:rPr>
                <w:color w:val="1D1D1D"/>
                <w:sz w:val="16"/>
              </w:rPr>
              <w:t>2.5% / 5 / 20</w:t>
            </w:r>
          </w:p>
        </w:tc>
      </w:tr>
      <w:tr>
        <w:tc>
          <w:tcPr>
            <w:tcW w:type="dxa" w:w="3373"/>
          </w:tcPr>
          <w:p>
            <w:pPr>
              <w:spacing w:after="0"/>
            </w:pPr>
            <w:r>
              <w:rPr>
                <w:color w:val="1D1D1D"/>
                <w:sz w:val="16"/>
              </w:rPr>
              <w:t>Commercial rate / tenor</w:t>
            </w:r>
          </w:p>
        </w:tc>
        <w:tc>
          <w:tcPr>
            <w:tcW w:type="dxa" w:w="1253"/>
          </w:tcPr>
          <w:p>
            <w:pPr>
              <w:spacing w:after="0"/>
            </w:pPr>
            <w:r>
              <w:rPr>
                <w:color w:val="1D1D1D"/>
                <w:sz w:val="16"/>
              </w:rPr>
              <w:t>7.5% / 15</w:t>
            </w:r>
          </w:p>
        </w:tc>
        <w:tc>
          <w:tcPr>
            <w:tcW w:type="dxa" w:w="1253"/>
          </w:tcPr>
          <w:p>
            <w:pPr>
              <w:spacing w:after="0"/>
            </w:pPr>
            <w:r>
              <w:rPr>
                <w:color w:val="1D1D1D"/>
                <w:sz w:val="16"/>
              </w:rPr>
              <w:t>8.0% / 16</w:t>
            </w:r>
          </w:p>
        </w:tc>
        <w:tc>
          <w:tcPr>
            <w:tcW w:type="dxa" w:w="1253"/>
          </w:tcPr>
          <w:p>
            <w:pPr>
              <w:spacing w:after="0"/>
            </w:pPr>
            <w:r>
              <w:rPr>
                <w:color w:val="1D1D1D"/>
                <w:sz w:val="16"/>
              </w:rPr>
              <w:t>7.5% / 16</w:t>
            </w:r>
          </w:p>
        </w:tc>
        <w:tc>
          <w:tcPr>
            <w:tcW w:type="dxa" w:w="1253"/>
          </w:tcPr>
          <w:p>
            <w:pPr>
              <w:spacing w:after="0"/>
            </w:pPr>
            <w:r>
              <w:rPr>
                <w:color w:val="1D1D1D"/>
                <w:sz w:val="16"/>
              </w:rPr>
              <w:t>7.5% / 16</w:t>
            </w:r>
          </w:p>
        </w:tc>
        <w:tc>
          <w:tcPr>
            <w:tcW w:type="dxa" w:w="1253"/>
          </w:tcPr>
          <w:p>
            <w:pPr>
              <w:spacing w:after="0"/>
            </w:pPr>
            <w:r>
              <w:rPr>
                <w:color w:val="1D1D1D"/>
                <w:sz w:val="16"/>
              </w:rPr>
              <w:t>7.2% / 18</w:t>
            </w:r>
          </w:p>
        </w:tc>
      </w:tr>
      <w:tr>
        <w:tc>
          <w:tcPr>
            <w:tcW w:type="dxa" w:w="3373"/>
            <w:shd w:val="clear" w:color="auto" w:fill="FAF8F2"/>
          </w:tcPr>
          <w:p>
            <w:pPr>
              <w:spacing w:after="0"/>
            </w:pPr>
            <w:r>
              <w:rPr>
                <w:color w:val="1D1D1D"/>
                <w:sz w:val="16"/>
              </w:rPr>
              <w:t>Sizing DSCR</w:t>
            </w:r>
          </w:p>
        </w:tc>
        <w:tc>
          <w:tcPr>
            <w:tcW w:type="dxa" w:w="1253"/>
            <w:shd w:val="clear" w:color="auto" w:fill="FAF8F2"/>
          </w:tcPr>
          <w:p>
            <w:pPr>
              <w:spacing w:after="0"/>
            </w:pPr>
            <w:r>
              <w:rPr>
                <w:color w:val="1D1D1D"/>
                <w:sz w:val="16"/>
              </w:rPr>
              <w:t>1.20</w:t>
            </w:r>
          </w:p>
        </w:tc>
        <w:tc>
          <w:tcPr>
            <w:tcW w:type="dxa" w:w="1253"/>
            <w:shd w:val="clear" w:color="auto" w:fill="FAF8F2"/>
          </w:tcPr>
          <w:p>
            <w:pPr>
              <w:spacing w:after="0"/>
            </w:pPr>
            <w:r>
              <w:rPr>
                <w:color w:val="1D1D1D"/>
                <w:sz w:val="16"/>
              </w:rPr>
              <w:t>1.35</w:t>
            </w:r>
          </w:p>
        </w:tc>
        <w:tc>
          <w:tcPr>
            <w:tcW w:type="dxa" w:w="1253"/>
            <w:shd w:val="clear" w:color="auto" w:fill="FAF8F2"/>
          </w:tcPr>
          <w:p>
            <w:pPr>
              <w:spacing w:after="0"/>
            </w:pPr>
            <w:r>
              <w:rPr>
                <w:color w:val="1D1D1D"/>
                <w:sz w:val="16"/>
              </w:rPr>
              <w:t>1.30</w:t>
            </w:r>
          </w:p>
        </w:tc>
        <w:tc>
          <w:tcPr>
            <w:tcW w:type="dxa" w:w="1253"/>
            <w:shd w:val="clear" w:color="auto" w:fill="FAF8F2"/>
          </w:tcPr>
          <w:p>
            <w:pPr>
              <w:spacing w:after="0"/>
            </w:pPr>
            <w:r>
              <w:rPr>
                <w:color w:val="1D1D1D"/>
                <w:sz w:val="16"/>
              </w:rPr>
              <w:t>1.30</w:t>
            </w:r>
          </w:p>
        </w:tc>
        <w:tc>
          <w:tcPr>
            <w:tcW w:type="dxa" w:w="1253"/>
            <w:shd w:val="clear" w:color="auto" w:fill="FAF8F2"/>
          </w:tcPr>
          <w:p>
            <w:pPr>
              <w:spacing w:after="0"/>
            </w:pPr>
            <w:r>
              <w:rPr>
                <w:color w:val="1D1D1D"/>
                <w:sz w:val="16"/>
              </w:rPr>
              <w:t>1.30</w:t>
            </w:r>
          </w:p>
        </w:tc>
      </w:tr>
      <w:tr>
        <w:tc>
          <w:tcPr>
            <w:tcW w:type="dxa" w:w="3373"/>
          </w:tcPr>
          <w:p>
            <w:pPr>
              <w:spacing w:after="0"/>
            </w:pPr>
            <w:r>
              <w:rPr>
                <w:color w:val="1D1D1D"/>
                <w:sz w:val="16"/>
              </w:rPr>
              <w:t>Private equity target IRR</w:t>
            </w:r>
          </w:p>
        </w:tc>
        <w:tc>
          <w:tcPr>
            <w:tcW w:type="dxa" w:w="1253"/>
          </w:tcPr>
          <w:p>
            <w:pPr>
              <w:spacing w:after="0"/>
            </w:pPr>
            <w:r>
              <w:rPr>
                <w:color w:val="1D1D1D"/>
                <w:sz w:val="16"/>
              </w:rPr>
              <w:t>10%</w:t>
            </w:r>
          </w:p>
        </w:tc>
        <w:tc>
          <w:tcPr>
            <w:tcW w:type="dxa" w:w="1253"/>
          </w:tcPr>
          <w:p>
            <w:pPr>
              <w:spacing w:after="0"/>
            </w:pPr>
            <w:r>
              <w:rPr>
                <w:color w:val="1D1D1D"/>
                <w:sz w:val="16"/>
              </w:rPr>
              <w:t>15%</w:t>
            </w:r>
          </w:p>
        </w:tc>
        <w:tc>
          <w:tcPr>
            <w:tcW w:type="dxa" w:w="1253"/>
          </w:tcPr>
          <w:p>
            <w:pPr>
              <w:spacing w:after="0"/>
            </w:pPr>
            <w:r>
              <w:rPr>
                <w:color w:val="1D1D1D"/>
                <w:sz w:val="16"/>
              </w:rPr>
              <w:t>14%</w:t>
            </w:r>
          </w:p>
        </w:tc>
        <w:tc>
          <w:tcPr>
            <w:tcW w:type="dxa" w:w="1253"/>
          </w:tcPr>
          <w:p>
            <w:pPr>
              <w:spacing w:after="0"/>
            </w:pPr>
            <w:r>
              <w:rPr>
                <w:color w:val="1D1D1D"/>
                <w:sz w:val="16"/>
              </w:rPr>
              <w:t>14%</w:t>
            </w:r>
          </w:p>
        </w:tc>
        <w:tc>
          <w:tcPr>
            <w:tcW w:type="dxa" w:w="1253"/>
          </w:tcPr>
          <w:p>
            <w:pPr>
              <w:spacing w:after="0"/>
            </w:pPr>
            <w:r>
              <w:rPr>
                <w:color w:val="1D1D1D"/>
                <w:sz w:val="16"/>
              </w:rPr>
              <w:t>13%</w:t>
            </w:r>
          </w:p>
        </w:tc>
      </w:tr>
    </w:tbl>
    <w:p>
      <w:pPr>
        <w:spacing w:after="40"/>
      </w:pPr>
    </w:p>
    <w:p>
      <w:pPr>
        <w:jc w:val="both"/>
      </w:pPr>
      <w:r>
        <w:rPr/>
        <w:t>Percentages are of the funding base. Common terms: lock-up DSCR 1.10x, upfront and commitment fees 2% of senior debt, DSRA six months of next-year debt service. A structure check confirms that grants, government equity, maximum debt and maximum private equity can cover 100%.</w:t>
      </w:r>
    </w:p>
    <w:p>
      <w:pPr>
        <w:jc w:val="both"/>
      </w:pPr>
      <w:r>
        <w:rPr/>
        <w:t>The live closed-form comparison is a screen, not a substitute for the full engine:</w:t>
      </w:r>
    </w:p>
    <w:p>
      <w:pPr>
        <w:spacing w:after="0"/>
        <w:ind w:left="283"/>
      </w:pPr>
      <w:r>
        <w:rPr>
          <w:rFonts w:ascii="Courier New" w:hAnsi="Courier New"/>
          <w:sz w:val="17"/>
        </w:rPr>
        <w:t>WACC     = (goveq+govx)*gov_disc+conc*rc+comm*rm+priv*hurdle/(1-tax_rate)</w:t>
      </w:r>
    </w:p>
    <w:p>
      <w:pPr>
        <w:spacing w:after="0"/>
        <w:ind w:left="283"/>
      </w:pPr>
      <w:r>
        <w:rPr>
          <w:rFonts w:ascii="Courier New" w:hAnsi="Courier New"/>
          <w:sz w:val="17"/>
        </w:rPr>
        <w:t>WACC_ex  = WACC/(1-grant)</w:t>
      </w:r>
    </w:p>
    <w:p>
      <w:pPr>
        <w:spacing w:after="0"/>
        <w:ind w:left="283"/>
      </w:pPr>
      <w:r>
        <w:rPr>
          <w:rFonts w:ascii="Courier New" w:hAnsi="Courier New"/>
          <w:sz w:val="17"/>
        </w:rPr>
        <w:t>CRF      = WACC_ex/(1-(1+WACC_ex)^-ops_years)</w:t>
      </w:r>
    </w:p>
    <w:p>
      <w:pPr>
        <w:spacing w:after="0"/>
        <w:ind w:left="283"/>
      </w:pPr>
      <w:r>
        <w:rPr>
          <w:rFonts w:ascii="Courier New" w:hAnsi="Courier New"/>
          <w:sz w:val="17"/>
        </w:rPr>
        <w:t>tariff   = (fund_base*(1+maxdebt*(idc_km+upfront_fee))*(1-grant)*CRF+opex_y2)/p50*1000</w:t>
      </w:r>
    </w:p>
    <w:p>
      <w:pPr>
        <w:spacing w:after="0"/>
        <w:ind w:left="283"/>
      </w:pPr>
      <w:r>
        <w:rPr>
          <w:rFonts w:ascii="Courier New" w:hAnsi="Courier New"/>
          <w:sz w:val="17"/>
        </w:rPr>
        <w:t>exposure = public capital+on-budget debt+MAX(guaranteed debt+PPA guarantee,termination)</w:t>
      </w:r>
    </w:p>
    <w:p>
      <w:pPr>
        <w:spacing w:after="40"/>
      </w:pPr>
    </w:p>
    <w:p>
      <w:pPr>
        <w:jc w:val="both"/>
      </w:pPr>
      <w:r>
        <w:rPr/>
        <w:t>where commercial debt is assumed at the gearing cap less concessional debt. The full-engine snapshot on the same sheet, and the required tariff solved by the runner for structures 2 to 5, are the figures to quote.</w:t>
      </w:r>
    </w:p>
    <w:p>
      <w:pPr>
        <w:pStyle w:val="Heading2"/>
      </w:pPr>
      <w:r>
        <w:t>6.9 Debt sizing (17_PROJECT_FINANCE, 18_DEBT)</w:t>
      </w:r>
    </w:p>
    <w:p>
      <w:pPr>
        <w:jc w:val="both"/>
      </w:pPr>
      <w:r>
        <w:rPr>
          <w:b/>
        </w:rPr>
        <w:t>Funding base and uses.</w:t>
      </w:r>
    </w:p>
    <w:p>
      <w:pPr>
        <w:spacing w:after="0"/>
        <w:ind w:left="283"/>
      </w:pPr>
      <w:r>
        <w:rPr>
          <w:rFonts w:ascii="Courier New" w:hAnsi="Courier New"/>
          <w:sz w:val="17"/>
        </w:rPr>
        <w:t>fund_base = u_capex+u_tx+u_devprem        (plant cost nominal, project transmission in construction, development premium)</w:t>
      </w:r>
    </w:p>
    <w:p>
      <w:pPr>
        <w:spacing w:after="0"/>
        <w:ind w:left="283"/>
      </w:pPr>
      <w:r>
        <w:rPr>
          <w:rFonts w:ascii="Courier New" w:hAnsi="Courier New"/>
          <w:sz w:val="17"/>
        </w:rPr>
        <w:t>uses      = fund_base+u_idc+u_fee+u_dsra</w:t>
      </w:r>
    </w:p>
    <w:p>
      <w:pPr>
        <w:spacing w:after="0"/>
        <w:ind w:left="283"/>
      </w:pPr>
      <w:r>
        <w:rPr>
          <w:rFonts w:ascii="Courier New" w:hAnsi="Courier New"/>
          <w:sz w:val="17"/>
        </w:rPr>
        <w:t>u_fee     = upfront_fee*(debt_c+debt_m)</w:t>
      </w:r>
    </w:p>
    <w:p>
      <w:pPr>
        <w:spacing w:after="40"/>
      </w:pPr>
    </w:p>
    <w:p>
      <w:pPr>
        <w:jc w:val="both"/>
      </w:pPr>
      <w:r>
        <w:rPr/>
        <w:t>Kasiri: 164.8 + 17.8 + 4.7 = funding base 187.3; IDC 17.4; fees 2.9; initial DSRA 7.3; total uses 215.0.</w:t>
      </w:r>
    </w:p>
    <w:p>
      <w:pPr>
        <w:jc w:val="both"/>
      </w:pPr>
      <w:r>
        <w:rPr>
          <w:b/>
        </w:rPr>
        <w:t>Closed-form IDC factors.</w:t>
      </w:r>
      <w:r>
        <w:rPr/>
        <w:t xml:space="preserve"> Debt is drawn pro rata with the plant spending share, and interest accrues on the opening balance plus half the year's draw. The IDC per dollar of each tranche is therefore a constant:</w:t>
      </w:r>
    </w:p>
    <w:p>
      <w:pPr>
        <w:spacing w:after="0"/>
        <w:ind w:left="283"/>
      </w:pPr>
      <w:r>
        <w:rPr>
          <w:rFonts w:ascii="Courier New" w:hAnsi="Courier New"/>
          <w:sz w:val="17"/>
        </w:rPr>
        <w:t>idc_kc = str_rc*SUMPRODUCT(consflag,cumsh-0.5*share)</w:t>
      </w:r>
    </w:p>
    <w:p>
      <w:pPr>
        <w:spacing w:after="0"/>
        <w:ind w:left="283"/>
      </w:pPr>
      <w:r>
        <w:rPr>
          <w:rFonts w:ascii="Courier New" w:hAnsi="Courier New"/>
          <w:sz w:val="17"/>
        </w:rPr>
        <w:t>idc_km = rm_eff*SUMPRODUCT(consflag,cumsh-0.5*share)</w:t>
      </w:r>
    </w:p>
    <w:p>
      <w:pPr>
        <w:spacing w:after="0"/>
        <w:ind w:left="283"/>
      </w:pPr>
      <w:r>
        <w:rPr>
          <w:rFonts w:ascii="Courier New" w:hAnsi="Courier New"/>
          <w:sz w:val="17"/>
        </w:rPr>
        <w:t>rm_eff = str_rm+eff_rate_add*(1-hedge)</w:t>
      </w:r>
    </w:p>
    <w:p>
      <w:pPr>
        <w:spacing w:after="40"/>
      </w:pPr>
    </w:p>
    <w:p>
      <w:pPr>
        <w:jc w:val="both"/>
      </w:pPr>
      <w:r>
        <w:rPr/>
        <w:t xml:space="preserve">For Kasiri the sum is 1.5, so </w:t>
      </w:r>
      <w:r>
        <w:rPr>
          <w:rFonts w:ascii="Courier New" w:hAnsi="Courier New"/>
        </w:rPr>
        <w:t>idc_km</w:t>
      </w:r>
      <w:r>
        <w:rPr/>
        <w:t xml:space="preserve"> = 0.12.</w:t>
      </w:r>
    </w:p>
    <w:p>
      <w:pPr>
        <w:jc w:val="both"/>
      </w:pPr>
      <w:r>
        <w:rPr>
          <w:b/>
        </w:rPr>
        <w:t>Lender-case CFADS and sculpting.</w:t>
      </w:r>
      <w:r>
        <w:rPr/>
        <w:t xml:space="preserve"> The lender case uses unlevered tax and depreciation without IDC and fees, which keeps the sizing free of circularity:</w:t>
      </w:r>
    </w:p>
    <w:p>
      <w:pPr>
        <w:spacing w:after="0"/>
        <w:ind w:left="283"/>
      </w:pPr>
      <w:r>
        <w:rPr>
          <w:rFonts w:ascii="Courier New" w:hAnsi="Courier New"/>
          <w:sz w:val="17"/>
        </w:rPr>
        <w:t>cfads_len = rev_len-opex-o_roy_len-IF(opyr&gt;tax_hol,tax_rate*MAX(0,rev_len-opex-o_roy_len-dep_len),0)</w:t>
      </w:r>
    </w:p>
    <w:p>
      <w:pPr>
        <w:spacing w:after="0"/>
        <w:ind w:left="283"/>
      </w:pPr>
      <w:r>
        <w:rPr>
          <w:rFonts w:ascii="Courier New" w:hAnsi="Courier New"/>
          <w:sz w:val="17"/>
        </w:rPr>
        <w:t>inloan    = IF(AND(opyr&gt;=1,opyr&lt;=str_nm),1,0)</w:t>
      </w:r>
    </w:p>
    <w:p>
      <w:pPr>
        <w:spacing w:after="0"/>
        <w:ind w:left="283"/>
      </w:pPr>
      <w:r>
        <w:rPr>
          <w:rFonts w:ascii="Courier New" w:hAnsi="Courier New"/>
          <w:sz w:val="17"/>
        </w:rPr>
        <w:t>dfm       = IF(opyr&gt;=1,1/(1+rm_eff)^opyr,0)</w:t>
      </w:r>
    </w:p>
    <w:p>
      <w:pPr>
        <w:spacing w:after="0"/>
        <w:ind w:left="283"/>
      </w:pPr>
      <w:r>
        <w:rPr>
          <w:rFonts w:ascii="Courier New" w:hAnsi="Courier New"/>
          <w:sz w:val="17"/>
        </w:rPr>
        <w:t>sculpt    = inloan*MAX(0,cfads_len/str_dscr-c_ds)</w:t>
      </w:r>
    </w:p>
    <w:p>
      <w:pPr>
        <w:spacing w:after="0"/>
        <w:ind w:left="283"/>
      </w:pPr>
      <w:r>
        <w:rPr>
          <w:rFonts w:ascii="Courier New" w:hAnsi="Courier New"/>
          <w:sz w:val="17"/>
        </w:rPr>
        <w:t>comm_cap  = SUMPRODUCT(sculpt,dfm)</w:t>
      </w:r>
    </w:p>
    <w:p>
      <w:pPr>
        <w:spacing w:after="40"/>
      </w:pPr>
    </w:p>
    <w:p>
      <w:pPr>
        <w:jc w:val="both"/>
      </w:pPr>
      <w:r>
        <w:rPr/>
        <w:t>Commercial debt service is sculpted to the target DSCR after concessional debt service, and capacity is its present value at the commercial rate, discounted to COD.</w:t>
      </w:r>
    </w:p>
    <w:p>
      <w:pPr>
        <w:jc w:val="both"/>
      </w:pPr>
      <w:r>
        <w:rPr>
          <w:b/>
        </w:rPr>
        <w:t>Gearing cap.</w:t>
      </w:r>
      <w:r>
        <w:rPr/>
        <w:t xml:space="preserve"> Total senior debt may not exceed the cap times the funding base plus debt-funded IDC and fees. Solving for commercial debt gives a closed form:</w:t>
      </w:r>
    </w:p>
    <w:p>
      <w:pPr>
        <w:spacing w:after="0"/>
        <w:ind w:left="283"/>
      </w:pPr>
      <w:r>
        <w:rPr>
          <w:rFonts w:ascii="Courier New" w:hAnsi="Courier New"/>
          <w:sz w:val="17"/>
        </w:rPr>
        <w:t>gearing amount = MAX(0,(str_maxdebt*(fund_base+debt_c*(idc_kc+upfront_fee))-debt_c)/(1-str_maxdebt*(idc_km+upfront_fee)))</w:t>
      </w:r>
    </w:p>
    <w:p>
      <w:pPr>
        <w:spacing w:after="0"/>
        <w:ind w:left="283"/>
      </w:pPr>
      <w:r>
        <w:rPr>
          <w:rFonts w:ascii="Courier New" w:hAnsi="Courier New"/>
          <w:sz w:val="17"/>
        </w:rPr>
        <w:t>debt_c (sized) = MIN(str_conc,str_maxdebt)*fund_base</w:t>
      </w:r>
    </w:p>
    <w:p>
      <w:pPr>
        <w:spacing w:after="0"/>
        <w:ind w:left="283"/>
      </w:pPr>
      <w:r>
        <w:rPr>
          <w:rFonts w:ascii="Courier New" w:hAnsi="Courier New"/>
          <w:sz w:val="17"/>
        </w:rPr>
        <w:t>debt_m (sized) = MIN(comm_cap,gearing amount)</w:t>
      </w:r>
    </w:p>
    <w:p>
      <w:pPr>
        <w:spacing w:after="40"/>
      </w:pPr>
    </w:p>
    <w:p>
      <w:pPr>
        <w:jc w:val="both"/>
      </w:pPr>
      <w:r>
        <w:rPr/>
        <w:t>Kasiri: gearing amount 0.70 × 187.3 / (1 − 0.70 × 0.14) = 145.4, just below the sculpted capacity of 147.8, so the gearing cap binds. Gearing on total uses is 67.6%.</w:t>
      </w:r>
    </w:p>
    <w:p>
      <w:pPr>
        <w:jc w:val="both"/>
      </w:pPr>
      <w:r>
        <w:rPr>
          <w:b/>
        </w:rPr>
        <w:t>Locked mode (`debt_mode` = 2).</w:t>
      </w:r>
      <w:r>
        <w:rPr/>
        <w:t xml:space="preserve"> Grant, government equity and concessional debt take the locked inputs </w:t>
      </w:r>
      <w:r>
        <w:rPr>
          <w:rFonts w:ascii="Courier New" w:hAnsi="Courier New"/>
        </w:rPr>
        <w:t>lock_grant</w:t>
      </w:r>
      <w:r>
        <w:rPr/>
        <w:t xml:space="preserve">, </w:t>
      </w:r>
      <w:r>
        <w:rPr>
          <w:rFonts w:ascii="Courier New" w:hAnsi="Courier New"/>
        </w:rPr>
        <w:t>lock_goveq</w:t>
      </w:r>
      <w:r>
        <w:rPr/>
        <w:t xml:space="preserve"> and </w:t>
      </w:r>
      <w:r>
        <w:rPr>
          <w:rFonts w:ascii="Courier New" w:hAnsi="Courier New"/>
        </w:rPr>
        <w:t>lock_c</w:t>
      </w:r>
      <w:r>
        <w:rPr/>
        <w:t xml:space="preserve">. Commercial debt is </w:t>
      </w:r>
      <w:r>
        <w:rPr>
          <w:rFonts w:ascii="Courier New" w:hAnsi="Courier New"/>
        </w:rPr>
        <w:t>MIN(lock_m,gearing amount)</w:t>
      </w:r>
      <w:r>
        <w:rPr/>
        <w:t>, and its target debt service follows the locked principal schedule by operating year, scaled if the amount differs:</w:t>
      </w:r>
    </w:p>
    <w:p>
      <w:pPr>
        <w:spacing w:after="0"/>
        <w:ind w:left="283"/>
      </w:pPr>
      <w:r>
        <w:rPr>
          <w:rFonts w:ascii="Courier New" w:hAnsi="Courier New"/>
          <w:sz w:val="17"/>
        </w:rPr>
        <w:t>m_target = IF(inloan=1,IF(debt_mode=1,IF(comm_cap&gt;0,sculpt*debt_m/comm_cap,0),</w:t>
      </w:r>
    </w:p>
    <w:p>
      <w:pPr>
        <w:spacing w:after="0"/>
        <w:ind w:left="283"/>
      </w:pPr>
      <w:r>
        <w:rPr>
          <w:rFonts w:ascii="Courier New" w:hAnsi="Courier New"/>
          <w:sz w:val="17"/>
        </w:rPr>
        <w:t xml:space="preserve">           IF(lock_m&gt;0,INDEX(lock_ds,1,opyr)*debt_m/lock_m,0)+m_int),0)</w:t>
      </w:r>
    </w:p>
    <w:p>
      <w:pPr>
        <w:spacing w:after="0"/>
        <w:ind w:left="283"/>
      </w:pPr>
      <w:r>
        <w:rPr>
          <w:rFonts w:ascii="Courier New" w:hAnsi="Courier New"/>
          <w:sz w:val="17"/>
        </w:rPr>
        <w:t>m_prin   = IF(inloan=1,MAX(0,MIN(m_open,IF(opyr=str_nm,m_open,m_target-m_int))),0)</w:t>
      </w:r>
    </w:p>
    <w:p>
      <w:pPr>
        <w:spacing w:after="40"/>
      </w:pPr>
    </w:p>
    <w:p>
      <w:pPr>
        <w:jc w:val="both"/>
      </w:pPr>
      <w:r>
        <w:rPr/>
        <w:t xml:space="preserve">Interest floats only on the unhedged share through </w:t>
      </w:r>
      <w:r>
        <w:rPr>
          <w:rFonts w:ascii="Courier New" w:hAnsi="Courier New"/>
        </w:rPr>
        <w:t>rm_eff</w:t>
      </w:r>
      <w:r>
        <w:rPr/>
        <w:t>. Equity absorbs any difference in uses.</w:t>
      </w:r>
    </w:p>
    <w:p>
      <w:pPr>
        <w:jc w:val="both"/>
      </w:pPr>
      <w:r>
        <w:rPr>
          <w:b/>
        </w:rPr>
        <w:t>Tranches.</w:t>
      </w:r>
    </w:p>
    <w:p>
      <w:pPr>
        <w:spacing w:after="0"/>
        <w:ind w:left="283"/>
      </w:pPr>
      <w:r>
        <w:rPr>
          <w:rFonts w:ascii="Courier New" w:hAnsi="Courier New"/>
          <w:sz w:val="17"/>
        </w:rPr>
        <w:t>c_draw = debt_c*share       c_int = str_rc*(c_open+0.5*c_draw*consflag)</w:t>
      </w:r>
    </w:p>
    <w:p>
      <w:pPr>
        <w:spacing w:after="0"/>
        <w:ind w:left="283"/>
      </w:pPr>
      <w:r>
        <w:rPr>
          <w:rFonts w:ascii="Courier New" w:hAnsi="Courier New"/>
          <w:sz w:val="17"/>
        </w:rPr>
        <w:t>c_prin = IF(AND(opyr&gt;str_gc,opyr&lt;=str_gc+str_nc),MIN(c_open,debt_c/str_nc),0)</w:t>
      </w:r>
    </w:p>
    <w:p>
      <w:pPr>
        <w:spacing w:after="0"/>
        <w:ind w:left="283"/>
      </w:pPr>
      <w:r>
        <w:rPr>
          <w:rFonts w:ascii="Courier New" w:hAnsi="Courier New"/>
          <w:sz w:val="17"/>
        </w:rPr>
        <w:t>m_draw = debt_m*share       m_int = rm_eff*(m_open+0.5*m_draw*consflag)</w:t>
      </w:r>
    </w:p>
    <w:p>
      <w:pPr>
        <w:spacing w:after="0"/>
        <w:ind w:left="283"/>
      </w:pPr>
      <w:r>
        <w:rPr>
          <w:rFonts w:ascii="Courier New" w:hAnsi="Courier New"/>
          <w:sz w:val="17"/>
        </w:rPr>
        <w:t>ds     = c_ds+m_ds          c_ds, m_ds = opflag*(interest+principal)</w:t>
      </w:r>
    </w:p>
    <w:p>
      <w:pPr>
        <w:spacing w:after="0"/>
        <w:ind w:left="283"/>
      </w:pPr>
      <w:r>
        <w:rPr>
          <w:rFonts w:ascii="Courier New" w:hAnsi="Courier New"/>
          <w:sz w:val="17"/>
        </w:rPr>
        <w:t>idc    = consflag*(c_int+m_int)</w:t>
      </w:r>
    </w:p>
    <w:p>
      <w:pPr>
        <w:spacing w:after="40"/>
      </w:pPr>
    </w:p>
    <w:p>
      <w:pPr>
        <w:jc w:val="both"/>
      </w:pPr>
      <w:r>
        <w:rPr>
          <w:b/>
        </w:rPr>
        <w:t>DSRA.</w:t>
      </w:r>
      <w:r>
        <w:rPr/>
        <w:t xml:space="preserve"> The target is </w:t>
      </w:r>
      <w:r>
        <w:rPr>
          <w:rFonts w:ascii="Courier New" w:hAnsi="Courier New"/>
        </w:rPr>
        <w:t>IF(OR(opflag=1,lastcons=1),dsra_m/12*next-year ds,0)</w:t>
      </w:r>
      <w:r>
        <w:rPr/>
        <w:t>. The initial balance is funded at the end of construction from equity (it sits in uses).</w:t>
      </w:r>
    </w:p>
    <w:p>
      <w:pPr>
        <w:jc w:val="both"/>
      </w:pPr>
      <w:r>
        <w:rPr>
          <w:b/>
        </w:rPr>
        <w:t>Ratios.</w:t>
      </w:r>
    </w:p>
    <w:p>
      <w:pPr>
        <w:spacing w:after="0"/>
        <w:ind w:left="283"/>
      </w:pPr>
      <w:r>
        <w:rPr>
          <w:rFonts w:ascii="Courier New" w:hAnsi="Courier New"/>
          <w:sz w:val="17"/>
        </w:rPr>
        <w:t>kpi_min_dscr = IF(COUNT(dscr)=0,99,MIN(dscr))</w:t>
      </w:r>
    </w:p>
    <w:p>
      <w:pPr>
        <w:spacing w:after="0"/>
        <w:ind w:left="283"/>
      </w:pPr>
      <w:r>
        <w:rPr>
          <w:rFonts w:ascii="Courier New" w:hAnsi="Courier New"/>
          <w:sz w:val="17"/>
        </w:rPr>
        <w:t>kpi_avg_dscr = IF(COUNT(dscr)=0,99,AVERAGE(dscr))</w:t>
      </w:r>
    </w:p>
    <w:p>
      <w:pPr>
        <w:spacing w:after="0"/>
        <w:ind w:left="283"/>
      </w:pPr>
      <w:r>
        <w:rPr>
          <w:rFonts w:ascii="Courier New" w:hAnsi="Courier New"/>
          <w:sz w:val="17"/>
        </w:rPr>
        <w:t>kpi_llcr     = SUMPRODUCT(cfads,dfw,inloan_all)/(debt_c+debt_m)</w:t>
      </w:r>
    </w:p>
    <w:p>
      <w:pPr>
        <w:spacing w:after="0"/>
        <w:ind w:left="283"/>
      </w:pPr>
      <w:r>
        <w:rPr>
          <w:rFonts w:ascii="Courier New" w:hAnsi="Courier New"/>
          <w:sz w:val="17"/>
        </w:rPr>
        <w:t>kpi_plcr     = SUMPRODUCT(cfads,dfm)/(debt_c+debt_m)</w:t>
      </w:r>
    </w:p>
    <w:p>
      <w:pPr>
        <w:spacing w:after="40"/>
      </w:pPr>
    </w:p>
    <w:p>
      <w:pPr>
        <w:jc w:val="both"/>
      </w:pPr>
      <w:r>
        <w:rPr>
          <w:rFonts w:ascii="Courier New" w:hAnsi="Courier New"/>
        </w:rPr>
        <w:t>dfw</w:t>
      </w:r>
      <w:r>
        <w:rPr/>
        <w:t xml:space="preserve"> discounts at the weighted senior rate; </w:t>
      </w:r>
      <w:r>
        <w:rPr>
          <w:rFonts w:ascii="Courier New" w:hAnsi="Courier New"/>
        </w:rPr>
        <w:t>inloan_all</w:t>
      </w:r>
      <w:r>
        <w:rPr/>
        <w:t xml:space="preserve"> covers the longest tranche life. The value 99 means there is no debt service.</w:t>
      </w:r>
    </w:p>
    <w:p>
      <w:pPr>
        <w:pStyle w:val="Heading2"/>
      </w:pPr>
      <w:r>
        <w:t>6.10 Waterfall (20_CASH_FLOW)</w:t>
      </w:r>
    </w:p>
    <w:p>
      <w:pPr>
        <w:jc w:val="both"/>
      </w:pPr>
      <w:r>
        <w:rPr>
          <w:b/>
        </w:rPr>
        <w:t>Construction funding.</w:t>
      </w:r>
      <w:r>
        <w:rPr/>
        <w:t xml:space="preserve"> Uses each year are plant cost, project transmission, IDC, fees and premium at t = 1, and the initial DSRA. Grants and debt are drawn pro rata with the spending share; equity is the balance, split between government and private holders by their shares.</w:t>
      </w:r>
    </w:p>
    <w:p>
      <w:pPr>
        <w:jc w:val="both"/>
      </w:pPr>
      <w:r>
        <w:rPr>
          <w:b/>
        </w:rPr>
        <w:t>Operations.</w:t>
      </w:r>
    </w:p>
    <w:p>
      <w:pPr>
        <w:spacing w:after="0"/>
        <w:ind w:left="283"/>
      </w:pPr>
      <w:r>
        <w:rPr>
          <w:rFonts w:ascii="Courier New" w:hAnsi="Courier New"/>
          <w:sz w:val="17"/>
        </w:rPr>
        <w:t>ebitda     = rev_cash-opex-o_roy</w:t>
      </w:r>
    </w:p>
    <w:p>
      <w:pPr>
        <w:spacing w:after="0"/>
        <w:ind w:left="283"/>
      </w:pPr>
      <w:r>
        <w:rPr>
          <w:rFonts w:ascii="Courier New" w:hAnsi="Courier New"/>
          <w:sz w:val="17"/>
        </w:rPr>
        <w:t>cfads      = opflag*(ebitda-tax-tx_spend_prj)</w:t>
      </w:r>
    </w:p>
    <w:p>
      <w:pPr>
        <w:spacing w:after="0"/>
        <w:ind w:left="283"/>
      </w:pPr>
      <w:r>
        <w:rPr>
          <w:rFonts w:ascii="Courier New" w:hAnsi="Courier New"/>
          <w:sz w:val="17"/>
        </w:rPr>
        <w:t>dscr       = IF(ds&gt;0.001,cfads/ds,"")</w:t>
      </w:r>
    </w:p>
    <w:p>
      <w:pPr>
        <w:spacing w:after="0"/>
        <w:ind w:left="283"/>
      </w:pPr>
      <w:r>
        <w:rPr>
          <w:rFonts w:ascii="Courier New" w:hAnsi="Courier New"/>
          <w:sz w:val="17"/>
        </w:rPr>
        <w:t>avail0     = cfads-ds+cash_bf</w:t>
      </w:r>
    </w:p>
    <w:p>
      <w:pPr>
        <w:spacing w:after="0"/>
        <w:ind w:left="283"/>
      </w:pPr>
      <w:r>
        <w:rPr>
          <w:rFonts w:ascii="Courier New" w:hAnsi="Courier New"/>
          <w:sz w:val="17"/>
        </w:rPr>
        <w:t>dsra_draw  = opflag*MIN(previous dsra_act,MAX(0,-avail0))</w:t>
      </w:r>
    </w:p>
    <w:p>
      <w:pPr>
        <w:spacing w:after="0"/>
        <w:ind w:left="283"/>
      </w:pPr>
      <w:r>
        <w:rPr>
          <w:rFonts w:ascii="Courier New" w:hAnsi="Courier New"/>
          <w:sz w:val="17"/>
        </w:rPr>
        <w:t>dsra_relx  = opflag*MAX(0,previous dsra_act-dsra_draw-dsra_tgt)</w:t>
      </w:r>
    </w:p>
    <w:p>
      <w:pPr>
        <w:spacing w:after="0"/>
        <w:ind w:left="283"/>
      </w:pPr>
      <w:r>
        <w:rPr>
          <w:rFonts w:ascii="Courier New" w:hAnsi="Courier New"/>
          <w:sz w:val="17"/>
        </w:rPr>
        <w:t>dsra_top   = opflag*MIN(MAX(0,dsra_tgt-previous dsra_act+dsra_draw),MAX(0,avail0))</w:t>
      </w:r>
    </w:p>
    <w:p>
      <w:pPr>
        <w:spacing w:after="0"/>
        <w:ind w:left="283"/>
      </w:pPr>
      <w:r>
        <w:rPr>
          <w:rFonts w:ascii="Courier New" w:hAnsi="Courier New"/>
          <w:sz w:val="17"/>
        </w:rPr>
        <w:t>cash_avail = cfads-ds+dsra_draw+dsra_relx-dsra_top</w:t>
      </w:r>
    </w:p>
    <w:p>
      <w:pPr>
        <w:spacing w:after="0"/>
        <w:ind w:left="283"/>
      </w:pPr>
      <w:r>
        <w:rPr>
          <w:rFonts w:ascii="Courier New" w:hAnsi="Courier New"/>
          <w:sz w:val="17"/>
        </w:rPr>
        <w:t>shortfall  = MAX(0,-(cash_avail+cash_bf))</w:t>
      </w:r>
    </w:p>
    <w:p>
      <w:pPr>
        <w:spacing w:after="0"/>
        <w:ind w:left="283"/>
      </w:pPr>
      <w:r>
        <w:rPr>
          <w:rFonts w:ascii="Courier New" w:hAnsi="Courier New"/>
          <w:sz w:val="17"/>
        </w:rPr>
        <w:t>lock_ok    = IF(opflag=1,IF(ds&gt;0.001,IF(dscr&gt;=lockup,1,0),1),0)</w:t>
      </w:r>
    </w:p>
    <w:p>
      <w:pPr>
        <w:spacing w:after="0"/>
        <w:ind w:left="283"/>
      </w:pPr>
      <w:r>
        <w:rPr>
          <w:rFonts w:ascii="Courier New" w:hAnsi="Courier New"/>
          <w:sz w:val="17"/>
        </w:rPr>
        <w:t>pool       = cash_avail+cash_bf+shortfall</w:t>
      </w:r>
    </w:p>
    <w:p>
      <w:pPr>
        <w:spacing w:after="0"/>
        <w:ind w:left="283"/>
      </w:pPr>
      <w:r>
        <w:rPr>
          <w:rFonts w:ascii="Courier New" w:hAnsi="Courier New"/>
          <w:sz w:val="17"/>
        </w:rPr>
        <w:t>grepay     = IF(OR(lock_ok=1,opyr=ops_years),MIN(previous gclaim,MAX(0,pool)),0)</w:t>
      </w:r>
    </w:p>
    <w:p>
      <w:pPr>
        <w:spacing w:after="0"/>
        <w:ind w:left="283"/>
      </w:pPr>
      <w:r>
        <w:rPr>
          <w:rFonts w:ascii="Courier New" w:hAnsi="Courier New"/>
          <w:sz w:val="17"/>
        </w:rPr>
        <w:t>dist       = IF(OR(lock_ok=1,opyr=ops_years),MAX(0,pool-grepay),0)</w:t>
      </w:r>
    </w:p>
    <w:p>
      <w:pPr>
        <w:spacing w:after="0"/>
        <w:ind w:left="283"/>
      </w:pPr>
      <w:r>
        <w:rPr>
          <w:rFonts w:ascii="Courier New" w:hAnsi="Courier New"/>
          <w:sz w:val="17"/>
        </w:rPr>
        <w:t>cash_cf    = pool-grepay-dist</w:t>
      </w:r>
    </w:p>
    <w:p>
      <w:pPr>
        <w:spacing w:after="40"/>
      </w:pPr>
    </w:p>
    <w:p>
      <w:pPr>
        <w:jc w:val="both"/>
      </w:pPr>
      <w:r>
        <w:rPr/>
        <w:t xml:space="preserve">The DSRA is drawn first in a shortfall, releases only its excess over target, and is topped up only from available cash. A remaining shortfall is funded by the sovereign guarantee (share </w:t>
      </w:r>
      <w:r>
        <w:rPr>
          <w:rFonts w:ascii="Courier New" w:hAnsi="Courier New"/>
        </w:rPr>
        <w:t>str_guar</w:t>
      </w:r>
      <w:r>
        <w:rPr/>
        <w:t>) and by sponsors (the rest). The sovereign's claim is repaid from later cash ahead of distributions. Cash is trapped when the DSCR is below the lock-up and released in the final operating year.</w:t>
      </w:r>
    </w:p>
    <w:p>
      <w:pPr>
        <w:pStyle w:val="Heading2"/>
      </w:pPr>
      <w:r>
        <w:t>6.11 Tax (21_TAX)</w:t>
      </w:r>
    </w:p>
    <w:p>
      <w:pPr>
        <w:spacing w:after="0"/>
        <w:ind w:left="283"/>
      </w:pPr>
      <w:r>
        <w:rPr>
          <w:rFonts w:ascii="Courier New" w:hAnsi="Courier New"/>
          <w:sz w:val="17"/>
        </w:rPr>
        <w:t>dep_base = fund_base+u_idc+u_fee-s_grant</w:t>
      </w:r>
    </w:p>
    <w:p>
      <w:pPr>
        <w:spacing w:after="0"/>
        <w:ind w:left="283"/>
      </w:pPr>
      <w:r>
        <w:rPr>
          <w:rFonts w:ascii="Courier New" w:hAnsi="Courier New"/>
          <w:sz w:val="17"/>
        </w:rPr>
        <w:t>dep      = IF(AND(opyr&gt;=1,opyr&lt;=dep_yrs),dep_base/dep_yrs,0)</w:t>
      </w:r>
    </w:p>
    <w:p>
      <w:pPr>
        <w:spacing w:after="0"/>
        <w:ind w:left="283"/>
      </w:pPr>
      <w:r>
        <w:rPr>
          <w:rFonts w:ascii="Courier New" w:hAnsi="Courier New"/>
          <w:sz w:val="17"/>
        </w:rPr>
        <w:t>taxable  = ebitda-dep-interest in operations</w:t>
      </w:r>
    </w:p>
    <w:p>
      <w:pPr>
        <w:spacing w:after="0"/>
        <w:ind w:left="283"/>
      </w:pPr>
      <w:r>
        <w:rPr>
          <w:rFonts w:ascii="Courier New" w:hAnsi="Courier New"/>
          <w:sz w:val="17"/>
        </w:rPr>
        <w:t>loss_use = IF(AND(taxable&gt;0,opyr&gt;tax_hol),MIN(taxable,loss_bf),0)</w:t>
      </w:r>
    </w:p>
    <w:p>
      <w:pPr>
        <w:spacing w:after="0"/>
        <w:ind w:left="283"/>
      </w:pPr>
      <w:r>
        <w:rPr>
          <w:rFonts w:ascii="Courier New" w:hAnsi="Courier New"/>
          <w:sz w:val="17"/>
        </w:rPr>
        <w:t>tax      = IF(opyr&gt;tax_hol,tax_rate*MAX(0,taxable-loss_use),0)</w:t>
      </w:r>
    </w:p>
    <w:p>
      <w:pPr>
        <w:spacing w:after="0"/>
        <w:ind w:left="283"/>
      </w:pPr>
      <w:r>
        <w:rPr>
          <w:rFonts w:ascii="Courier New" w:hAnsi="Courier New"/>
          <w:sz w:val="17"/>
        </w:rPr>
        <w:t>tax_unlev= IF(opyr&gt;tax_hol,tax_rate*MAX(0,ebitda-dep),0)</w:t>
      </w:r>
    </w:p>
    <w:p>
      <w:pPr>
        <w:spacing w:after="40"/>
      </w:pPr>
    </w:p>
    <w:p>
      <w:pPr>
        <w:jc w:val="both"/>
      </w:pPr>
      <w:r>
        <w:rPr/>
        <w:t>Losses are carried forward and not used during the holiday. Tax forgone through the holiday is reported (USD 8.6m nominal for Kasiri).</w:t>
      </w:r>
    </w:p>
    <w:p>
      <w:pPr>
        <w:pStyle w:val="Heading2"/>
      </w:pPr>
      <w:r>
        <w:t>6.12 Returns (17_PROJECT_FINANCE, 19_EQUITY)</w:t>
      </w:r>
    </w:p>
    <w:p>
      <w:pPr>
        <w:spacing w:after="0"/>
        <w:ind w:left="283"/>
      </w:pPr>
      <w:r>
        <w:rPr>
          <w:rFonts w:ascii="Courier New" w:hAnsi="Courier New"/>
          <w:sz w:val="17"/>
        </w:rPr>
        <w:t>ucf      = -capex_nom-tx_spend_prj-premium at t=1+opflag*(ebitda-tax_unlev)</w:t>
      </w:r>
    </w:p>
    <w:p>
      <w:pPr>
        <w:spacing w:after="0"/>
        <w:ind w:left="283"/>
      </w:pPr>
      <w:r>
        <w:rPr>
          <w:rFonts w:ascii="Courier New" w:hAnsi="Courier New"/>
          <w:sz w:val="17"/>
        </w:rPr>
        <w:t>kpi_pirr = IFERROR(IRR(ucf,0.08),"n/a")</w:t>
      </w:r>
    </w:p>
    <w:p>
      <w:pPr>
        <w:spacing w:after="0"/>
        <w:ind w:left="283"/>
      </w:pPr>
      <w:r>
        <w:rPr>
          <w:rFonts w:ascii="Courier New" w:hAnsi="Courier New"/>
          <w:sz w:val="17"/>
        </w:rPr>
        <w:t>kpi_npv  = NPV(disc_rate,ucf)</w:t>
      </w:r>
    </w:p>
    <w:p>
      <w:pPr>
        <w:spacing w:after="0"/>
        <w:ind w:left="283"/>
      </w:pPr>
      <w:r>
        <w:rPr>
          <w:rFonts w:ascii="Courier New" w:hAnsi="Courier New"/>
          <w:sz w:val="17"/>
        </w:rPr>
        <w:t>kpi_eirr = IF(s_priv&gt;0,IFERROR(IRR(eq_priv_cf,0.1),IFERROR(IRR(eq_priv_cf,-0.1),IFERROR(IRR(eq_priv_cf,-0.5),-1))),"n/a")</w:t>
      </w:r>
    </w:p>
    <w:p>
      <w:pPr>
        <w:spacing w:after="0"/>
        <w:ind w:left="283"/>
      </w:pPr>
      <w:r>
        <w:rPr>
          <w:rFonts w:ascii="Courier New" w:hAnsi="Courier New"/>
          <w:sz w:val="17"/>
        </w:rPr>
        <w:t>eq_priv_cf = -eq_priv_in+(dist-sf_eq)*(1-gov_eq_share)</w:t>
      </w:r>
    </w:p>
    <w:p>
      <w:pPr>
        <w:spacing w:after="0"/>
        <w:ind w:left="283"/>
      </w:pPr>
      <w:r>
        <w:rPr>
          <w:rFonts w:ascii="Courier New" w:hAnsi="Courier New"/>
          <w:sz w:val="17"/>
        </w:rPr>
        <w:t>lcoe     = NPV(disc_rate,lc_cost)/NPV(disc_rate,delivered+deemed)*1000</w:t>
      </w:r>
    </w:p>
    <w:p>
      <w:pPr>
        <w:spacing w:after="0"/>
        <w:ind w:left="283"/>
      </w:pPr>
      <w:r>
        <w:rPr>
          <w:rFonts w:ascii="Courier New" w:hAnsi="Courier New"/>
          <w:sz w:val="17"/>
        </w:rPr>
        <w:t>lcoe_sys = NPV(disc_rate,lc_cost_sys)/NPV(disc_rate,delivered*(1-tx_loss))*1000</w:t>
      </w:r>
    </w:p>
    <w:p>
      <w:pPr>
        <w:spacing w:after="40"/>
      </w:pPr>
    </w:p>
    <w:p>
      <w:pPr>
        <w:jc w:val="both"/>
      </w:pPr>
      <w:r>
        <w:rPr>
          <w:rFonts w:ascii="Courier New" w:hAnsi="Courier New"/>
        </w:rPr>
        <w:t>lc_cost</w:t>
      </w:r>
      <w:r>
        <w:rPr/>
        <w:t xml:space="preserve"> is plant and project transmission spending, the premium, OPEX and royalty; </w:t>
      </w:r>
      <w:r>
        <w:rPr>
          <w:rFonts w:ascii="Courier New" w:hAnsi="Courier New"/>
        </w:rPr>
        <w:t>lc_cost_sys</w:t>
      </w:r>
      <w:r>
        <w:rPr/>
        <w:t xml:space="preserve"> adds public transmission spending and O&amp;M. NPV follows the Excel convention (the first flow is discounted one period).</w:t>
      </w:r>
    </w:p>
    <w:p>
      <w:pPr>
        <w:jc w:val="both"/>
      </w:pPr>
      <w:r>
        <w:rPr/>
        <w:t xml:space="preserve">For termination, </w:t>
      </w:r>
      <w:r>
        <w:rPr>
          <w:i/>
        </w:rPr>
        <w:t>19_EQUITY</w:t>
      </w:r>
      <w:r>
        <w:rPr/>
        <w:t xml:space="preserve"> computes the value of remaining private distributions at the target IRR by backward recursion, </w:t>
      </w:r>
      <w:r>
        <w:rPr>
          <w:rFonts w:ascii="Courier New" w:hAnsi="Courier New"/>
        </w:rPr>
        <w:t>e_pvfwd = (next e_out+next e_pvfwd)/(1+str_hurdle)</w:t>
      </w:r>
      <w:r>
        <w:rPr/>
        <w:t xml:space="preserve">, and unrecovered private equity </w:t>
      </w:r>
      <w:r>
        <w:rPr>
          <w:rFonts w:ascii="Courier New" w:hAnsi="Courier New"/>
        </w:rPr>
        <w:t>e_unrec = MAX(0,-cumulative private equity cash flow)</w:t>
      </w:r>
      <w:r>
        <w:rPr/>
        <w:t>.</w:t>
      </w:r>
    </w:p>
    <w:p>
      <w:pPr>
        <w:jc w:val="both"/>
      </w:pPr>
      <w:r>
        <w:rPr/>
        <w:t>The financing gap is the private equity required beyond what is available:</w:t>
      </w:r>
    </w:p>
    <w:p>
      <w:pPr>
        <w:spacing w:after="0"/>
        <w:ind w:left="283"/>
      </w:pPr>
      <w:r>
        <w:rPr>
          <w:rFonts w:ascii="Courier New" w:hAnsi="Courier New"/>
          <w:sz w:val="17"/>
        </w:rPr>
        <w:t>priv_avail = str_privmax*fund_base</w:t>
      </w:r>
    </w:p>
    <w:p>
      <w:pPr>
        <w:spacing w:after="0"/>
        <w:ind w:left="283"/>
      </w:pPr>
      <w:r>
        <w:rPr>
          <w:rFonts w:ascii="Courier New" w:hAnsi="Courier New"/>
          <w:sz w:val="17"/>
        </w:rPr>
        <w:t>fin_gap    = IF(str_resid=1,MAX(0,s_priv-priv_avail),0)</w:t>
      </w:r>
    </w:p>
    <w:p>
      <w:pPr>
        <w:spacing w:after="40"/>
      </w:pPr>
    </w:p>
    <w:p>
      <w:pPr>
        <w:jc w:val="both"/>
      </w:pPr>
      <w:r>
        <w:rPr/>
        <w:t>Kasiri: private equity 69.6 against 65.6 available, gap USD 4.1m (1.9% of uses).</w:t>
      </w:r>
    </w:p>
    <w:p>
      <w:pPr>
        <w:pStyle w:val="Heading2"/>
      </w:pPr>
      <w:r>
        <w:t>6.13 Utility payment capacity and counterfactual (12_UTILITY)</w:t>
      </w:r>
    </w:p>
    <w:p>
      <w:pPr>
        <w:jc w:val="both"/>
      </w:pPr>
      <w:r>
        <w:rPr/>
        <w:t>The utility model tests whether the buyer can pay, rather than assuming it.</w:t>
      </w:r>
    </w:p>
    <w:p>
      <w:pPr>
        <w:jc w:val="both"/>
      </w:pPr>
      <w:r>
        <w:rPr>
          <w:b/>
        </w:rPr>
        <w:t>Energy balance.</w:t>
      </w:r>
      <w:r>
        <w:rPr/>
        <w:t xml:space="preserve"> Utility demand is domestic demand less any mining load the project serves directly. The project supplies its utility share net of transmission losses; other supply is capped at the supply available (</w:t>
      </w:r>
      <w:r>
        <w:rPr>
          <w:rFonts w:ascii="Courier New" w:hAnsi="Courier New"/>
        </w:rPr>
        <w:t>d_sup</w:t>
      </w:r>
      <w:r>
        <w:rPr/>
        <w:t>); demand above the cap is unserved.</w:t>
      </w:r>
    </w:p>
    <w:p>
      <w:pPr>
        <w:jc w:val="both"/>
      </w:pPr>
      <w:r>
        <w:rPr>
          <w:b/>
        </w:rPr>
        <w:t>Cash and capacity.</w:t>
      </w:r>
    </w:p>
    <w:p>
      <w:pPr>
        <w:spacing w:after="0"/>
        <w:ind w:left="283"/>
      </w:pPr>
      <w:r>
        <w:rPr>
          <w:rFonts w:ascii="Courier New" w:hAnsi="Courier New"/>
          <w:sz w:val="17"/>
        </w:rPr>
        <w:t>u_tar     = previous tariff*(1+lc_cpi*IF(AND(opyr&gt;=1,opyr&lt;=eff_freeze),0,ut_pt))</w:t>
      </w:r>
    </w:p>
    <w:p>
      <w:pPr>
        <w:spacing w:after="0"/>
        <w:ind w:left="283"/>
      </w:pPr>
      <w:r>
        <w:rPr>
          <w:rFonts w:ascii="Courier New" w:hAnsi="Courier New"/>
          <w:sz w:val="17"/>
        </w:rPr>
        <w:t>u_bill    = u_sales*u_tar/fx</w:t>
      </w:r>
    </w:p>
    <w:p>
      <w:pPr>
        <w:spacing w:after="0"/>
        <w:ind w:left="283"/>
      </w:pPr>
      <w:r>
        <w:rPr>
          <w:rFonts w:ascii="Courier New" w:hAnsi="Courier New"/>
          <w:sz w:val="17"/>
        </w:rPr>
        <w:t>u_collr   = MAX(0,MIN(1,ut_coll+IF(year&gt;=cod_year,eff_coll_adj,0)))</w:t>
      </w:r>
    </w:p>
    <w:p>
      <w:pPr>
        <w:spacing w:after="0"/>
        <w:ind w:left="283"/>
      </w:pPr>
      <w:r>
        <w:rPr>
          <w:rFonts w:ascii="Courier New" w:hAnsi="Courier New"/>
          <w:sz w:val="17"/>
        </w:rPr>
        <w:t>u_subs    = ut_sub*IF(year&gt;=cod_year,eff_sub,1)*lccpi/fxidx</w:t>
      </w:r>
    </w:p>
    <w:p>
      <w:pPr>
        <w:spacing w:after="0"/>
        <w:ind w:left="283"/>
      </w:pPr>
      <w:r>
        <w:rPr>
          <w:rFonts w:ascii="Courier New" w:hAnsi="Courier New"/>
          <w:sz w:val="17"/>
        </w:rPr>
        <w:t>u_opex    = -ut_opex*lccpi/fxidx*(0.5+0.5*u_sales/base-year demand)</w:t>
      </w:r>
    </w:p>
    <w:p>
      <w:pPr>
        <w:spacing w:after="0"/>
        <w:ind w:left="283"/>
      </w:pPr>
      <w:r>
        <w:rPr>
          <w:rFonts w:ascii="Courier New" w:hAnsi="Courier New"/>
          <w:sz w:val="17"/>
        </w:rPr>
        <w:t>u_supcost = -u_other*ut_supc*(ut_supusd*uscpi+(1-ut_supusd)*lccpi/fxidx)/1000</w:t>
      </w:r>
    </w:p>
    <w:p>
      <w:pPr>
        <w:spacing w:after="0"/>
        <w:ind w:left="283"/>
      </w:pPr>
      <w:r>
        <w:rPr>
          <w:rFonts w:ascii="Courier New" w:hAnsi="Courier New"/>
          <w:sz w:val="17"/>
        </w:rPr>
        <w:t>u_cash_pre= u_bill*u_collr+u_subs+u_opex+u_supcost-ut_ds</w:t>
      </w:r>
    </w:p>
    <w:p>
      <w:pPr>
        <w:spacing w:after="0"/>
        <w:ind w:left="283"/>
      </w:pPr>
      <w:r>
        <w:rPr>
          <w:rFonts w:ascii="Courier New" w:hAnsi="Courier New"/>
          <w:sz w:val="17"/>
        </w:rPr>
        <w:t>u_maxppa  = MAX(0,u_cash_pre)/ut_cov</w:t>
      </w:r>
    </w:p>
    <w:p>
      <w:pPr>
        <w:spacing w:after="0"/>
        <w:ind w:left="283"/>
      </w:pPr>
      <w:r>
        <w:rPr>
          <w:rFonts w:ascii="Courier New" w:hAnsi="Courier New"/>
          <w:sz w:val="17"/>
        </w:rPr>
        <w:t>u_gap     = opflag*MAX(0,u_ppa-u_maxppa)</w:t>
      </w:r>
    </w:p>
    <w:p>
      <w:pPr>
        <w:spacing w:after="0"/>
        <w:ind w:left="283"/>
      </w:pPr>
      <w:r>
        <w:rPr>
          <w:rFonts w:ascii="Courier New" w:hAnsi="Courier New"/>
          <w:sz w:val="17"/>
        </w:rPr>
        <w:t>u_ratio   = IF(u_ppa&gt;0,u_maxppa/u_ppa,99)</w:t>
      </w:r>
    </w:p>
    <w:p>
      <w:pPr>
        <w:spacing w:after="40"/>
      </w:pPr>
    </w:p>
    <w:p>
      <w:pPr>
        <w:jc w:val="both"/>
      </w:pPr>
      <w:r>
        <w:rPr>
          <w:rFonts w:ascii="Courier New" w:hAnsi="Courier New"/>
        </w:rPr>
        <w:t>ut_ratio10</w:t>
      </w:r>
      <w:r>
        <w:rPr/>
        <w:t xml:space="preserve"> is the worst ratio in operating years 1 to 10 (5.96x for Kasiri). The FX rate is </w:t>
      </w:r>
      <w:r>
        <w:rPr>
          <w:rFonts w:ascii="Courier New" w:hAnsi="Courier New"/>
        </w:rPr>
        <w:t>fx0*(1+fx_dep)^(year-base_year)</w:t>
      </w:r>
      <w:r>
        <w:rPr/>
        <w:t xml:space="preserve">, times </w:t>
      </w:r>
      <w:r>
        <w:rPr>
          <w:rFonts w:ascii="Courier New" w:hAnsi="Courier New"/>
        </w:rPr>
        <w:t>(1+eff_fxshock)</w:t>
      </w:r>
      <w:r>
        <w:rPr/>
        <w:t xml:space="preserve"> from COD.</w:t>
      </w:r>
    </w:p>
    <w:p>
      <w:pPr>
        <w:jc w:val="both"/>
      </w:pPr>
      <w:r>
        <w:rPr>
          <w:b/>
        </w:rPr>
        <w:t>Counterfactual.</w:t>
      </w:r>
      <w:r>
        <w:rPr/>
        <w:t xml:space="preserve"> The model recomputes the utility's cash without the project (</w:t>
      </w:r>
      <w:r>
        <w:rPr>
          <w:rFonts w:ascii="Courier New" w:hAnsi="Courier New"/>
        </w:rPr>
        <w:t>u_cash_np</w:t>
      </w:r>
      <w:r>
        <w:rPr/>
        <w:t>), buying from other supply up to its cap. The incremental cash of the state utility is:</w:t>
      </w:r>
    </w:p>
    <w:p>
      <w:pPr>
        <w:spacing w:after="0"/>
        <w:ind w:left="283"/>
      </w:pPr>
      <w:r>
        <w:rPr>
          <w:rFonts w:ascii="Courier New" w:hAnsi="Courier New"/>
          <w:sz w:val="17"/>
        </w:rPr>
        <w:t>f_soe = u_cash_post-u_cash_np-unpaid</w:t>
      </w:r>
    </w:p>
    <w:p>
      <w:pPr>
        <w:spacing w:after="40"/>
      </w:pPr>
    </w:p>
    <w:p>
      <w:pPr>
        <w:jc w:val="both"/>
      </w:pPr>
      <w:r>
        <w:rPr/>
        <w:t>so new arrears count as a cost to the public sector. This term carries the utility into the consolidated fiscal NPV.</w:t>
      </w:r>
    </w:p>
    <w:p>
      <w:pPr>
        <w:pStyle w:val="Heading2"/>
      </w:pPr>
      <w:r>
        <w:t>6.14 Government support, guarantees and contingent liabilities (22 to 24)</w:t>
      </w:r>
    </w:p>
    <w:p>
      <w:pPr>
        <w:jc w:val="both"/>
      </w:pPr>
      <w:r>
        <w:rPr>
          <w:b/>
        </w:rPr>
        <w:t>Direct support</w:t>
      </w:r>
      <w:r>
        <w:rPr/>
        <w:t xml:space="preserve"> (</w:t>
      </w:r>
      <w:r>
        <w:rPr>
          <w:i/>
        </w:rPr>
        <w:t>22_GOVERNMENT_SUPPORT</w:t>
      </w:r>
      <w:r>
        <w:rPr/>
        <w:t>): government equity, grants, public transmission capital and O&amp;M, and the budget backstop of the PPA shortfall.</w:t>
      </w:r>
    </w:p>
    <w:p>
      <w:pPr>
        <w:jc w:val="both"/>
      </w:pPr>
      <w:r>
        <w:rPr>
          <w:b/>
        </w:rPr>
        <w:t>Exposure by instrument</w:t>
      </w:r>
      <w:r>
        <w:rPr/>
        <w:t xml:space="preserve"> (</w:t>
      </w:r>
      <w:r>
        <w:rPr>
          <w:i/>
        </w:rPr>
        <w:t>23_GUARANTEES</w:t>
      </w:r>
      <w:r>
        <w:rPr/>
        <w:t>):</w:t>
      </w:r>
    </w:p>
    <w:p>
      <w:pPr>
        <w:spacing w:after="0"/>
        <w:ind w:left="283"/>
      </w:pPr>
      <w:r>
        <w:rPr>
          <w:rFonts w:ascii="Courier New" w:hAnsi="Courier New"/>
          <w:sz w:val="17"/>
        </w:rPr>
        <w:t>x_debt  = (1-str_onbud)*str_guar*debt_bal</w:t>
      </w:r>
    </w:p>
    <w:p>
      <w:pPr>
        <w:spacing w:after="0"/>
        <w:ind w:left="283"/>
      </w:pPr>
      <w:r>
        <w:rPr>
          <w:rFonts w:ascii="Courier New" w:hAnsi="Courier New"/>
          <w:sz w:val="17"/>
        </w:rPr>
        <w:t>x_ppa   = str_ppag*ppag_months/12*rev_util</w:t>
      </w:r>
    </w:p>
    <w:p>
      <w:pPr>
        <w:spacing w:after="0"/>
        <w:ind w:left="283"/>
      </w:pPr>
      <w:r>
        <w:rPr>
          <w:rFonts w:ascii="Courier New" w:hAnsi="Courier New"/>
          <w:sz w:val="17"/>
        </w:rPr>
        <w:t>x_term  = str_term*(opflag+consflag&gt;0)*(debt_bal+MAX(e_unrec*(1+term_prem),e_pvfwd))</w:t>
      </w:r>
    </w:p>
    <w:p>
      <w:pPr>
        <w:spacing w:after="0"/>
        <w:ind w:left="283"/>
      </w:pPr>
      <w:r>
        <w:rPr>
          <w:rFonts w:ascii="Courier New" w:hAnsi="Courier New"/>
          <w:sz w:val="17"/>
        </w:rPr>
        <w:t>x_fx    = str_fxg*(ds+e_out)</w:t>
      </w:r>
    </w:p>
    <w:p>
      <w:pPr>
        <w:spacing w:after="0"/>
        <w:ind w:left="283"/>
      </w:pPr>
      <w:r>
        <w:rPr>
          <w:rFonts w:ascii="Courier New" w:hAnsi="Courier New"/>
          <w:sz w:val="17"/>
        </w:rPr>
        <w:t>x_mrg   = opflag*MAX(0,mrg*rev_cap/MAX(0.0001,rampf)-rev_cash)</w:t>
      </w:r>
    </w:p>
    <w:p>
      <w:pPr>
        <w:spacing w:after="0"/>
        <w:ind w:left="283"/>
      </w:pPr>
      <w:r>
        <w:rPr>
          <w:rFonts w:ascii="Courier New" w:hAnsi="Courier New"/>
          <w:sz w:val="17"/>
        </w:rPr>
        <w:t>x_onbud = str_onbud*debt_bal</w:t>
      </w:r>
    </w:p>
    <w:p>
      <w:pPr>
        <w:spacing w:after="40"/>
      </w:pPr>
    </w:p>
    <w:p>
      <w:pPr>
        <w:jc w:val="both"/>
      </w:pPr>
      <w:r>
        <w:rPr>
          <w:b/>
        </w:rPr>
        <w:t>Maximum simultaneous exposure</w:t>
      </w:r>
      <w:r>
        <w:rPr/>
        <w:t xml:space="preserve"> (</w:t>
      </w:r>
      <w:r>
        <w:rPr>
          <w:i/>
        </w:rPr>
        <w:t>24_CONTINGENT_LIABILITIES</w:t>
      </w:r>
      <w:r>
        <w:rPr/>
        <w:t>) avoids adding the termination amount to the guarantees it would replace:</w:t>
      </w:r>
    </w:p>
    <w:p>
      <w:pPr>
        <w:spacing w:after="0"/>
        <w:ind w:left="283"/>
      </w:pPr>
      <w:r>
        <w:rPr>
          <w:rFonts w:ascii="Courier New" w:hAnsi="Courier New"/>
          <w:sz w:val="17"/>
        </w:rPr>
        <w:t>cl_max = MAX(x_term,x_debt+x_ppa+x_fx)</w:t>
      </w:r>
    </w:p>
    <w:p>
      <w:pPr>
        <w:spacing w:after="40"/>
      </w:pPr>
    </w:p>
    <w:p>
      <w:pPr>
        <w:jc w:val="both"/>
      </w:pPr>
      <w:r>
        <w:rPr>
          <w:b/>
        </w:rPr>
        <w:t>Deterministic calls</w:t>
      </w:r>
      <w:r>
        <w:rPr/>
        <w:t xml:space="preserve"> in the active scenario are PPA guarantee calls, debt guarantee calls (shortfall times guaranteed share) and minimum revenue guarantee calls.</w:t>
      </w:r>
    </w:p>
    <w:p>
      <w:pPr>
        <w:jc w:val="both"/>
      </w:pPr>
      <w:r>
        <w:rPr>
          <w:b/>
        </w:rPr>
        <w:t>Expected loss</w:t>
      </w:r>
      <w:r>
        <w:rPr/>
        <w:t xml:space="preserve"> uses user-judgement probabilities and a loss given call:</w:t>
      </w:r>
    </w:p>
    <w:p>
      <w:pPr>
        <w:spacing w:after="0"/>
        <w:ind w:left="283"/>
      </w:pPr>
      <w:r>
        <w:rPr>
          <w:rFonts w:ascii="Courier New" w:hAnsi="Courier New"/>
          <w:sz w:val="17"/>
        </w:rPr>
        <w:t>el = (pr_debt*x_debt+pr_ppa*MAX(0,x_ppa-cov_guar)+pr_term*MAX(0,x_term-x_debt))*lgd</w:t>
      </w:r>
    </w:p>
    <w:p>
      <w:pPr>
        <w:spacing w:after="0"/>
        <w:ind w:left="283"/>
      </w:pPr>
      <w:r>
        <w:rPr>
          <w:rFonts w:ascii="Courier New" w:hAnsi="Courier New"/>
          <w:sz w:val="17"/>
        </w:rPr>
        <w:t>cl_pv_el = SUMPRODUCT(el,gdf)          gdf = 1/(1+gov_disc)^t</w:t>
      </w:r>
    </w:p>
    <w:p>
      <w:pPr>
        <w:spacing w:after="40"/>
      </w:pPr>
    </w:p>
    <w:p>
      <w:pPr>
        <w:jc w:val="both"/>
      </w:pPr>
      <w:r>
        <w:rPr/>
        <w:t>Kasiri: peak exposure USD 225.4m, mostly the termination amount; PV of expected loss USD 20.4m at the default probabilities (2%, 8%, 0.5% a year; LGD 60%).</w:t>
      </w:r>
    </w:p>
    <w:p>
      <w:pPr>
        <w:pStyle w:val="Heading2"/>
      </w:pPr>
      <w:r>
        <w:t>6.15 Fiscal NPV, central and consolidated (25_FISCAL_IMPACT)</w:t>
      </w:r>
    </w:p>
    <w:p>
      <w:pPr>
        <w:spacing w:after="0"/>
        <w:ind w:left="283"/>
      </w:pPr>
      <w:r>
        <w:rPr>
          <w:rFonts w:ascii="Courier New" w:hAnsi="Courier New"/>
          <w:sz w:val="17"/>
        </w:rPr>
        <w:t>f_direct  = -g_direct</w:t>
      </w:r>
    </w:p>
    <w:p>
      <w:pPr>
        <w:spacing w:after="0"/>
        <w:ind w:left="283"/>
      </w:pPr>
      <w:r>
        <w:rPr>
          <w:rFonts w:ascii="Courier New" w:hAnsi="Courier New"/>
          <w:sz w:val="17"/>
        </w:rPr>
        <w:t>f_calls   = -call_tot</w:t>
      </w:r>
    </w:p>
    <w:p>
      <w:pPr>
        <w:spacing w:after="0"/>
        <w:ind w:left="283"/>
      </w:pPr>
      <w:r>
        <w:rPr>
          <w:rFonts w:ascii="Courier New" w:hAnsi="Courier New"/>
          <w:sz w:val="17"/>
        </w:rPr>
        <w:t>f_tax     = tax</w:t>
      </w:r>
    </w:p>
    <w:p>
      <w:pPr>
        <w:spacing w:after="0"/>
        <w:ind w:left="283"/>
      </w:pPr>
      <w:r>
        <w:rPr>
          <w:rFonts w:ascii="Courier New" w:hAnsi="Courier New"/>
          <w:sz w:val="17"/>
        </w:rPr>
        <w:t>f_roy     = o_roy</w:t>
      </w:r>
    </w:p>
    <w:p>
      <w:pPr>
        <w:spacing w:after="0"/>
        <w:ind w:left="283"/>
      </w:pPr>
      <w:r>
        <w:rPr>
          <w:rFonts w:ascii="Courier New" w:hAnsi="Courier New"/>
          <w:sz w:val="17"/>
        </w:rPr>
        <w:t>f_div     = e_g_out-sf_eq*gov_eq_share</w:t>
      </w:r>
    </w:p>
    <w:p>
      <w:pPr>
        <w:spacing w:after="0"/>
        <w:ind w:left="283"/>
      </w:pPr>
      <w:r>
        <w:rPr>
          <w:rFonts w:ascii="Courier New" w:hAnsi="Courier New"/>
          <w:sz w:val="17"/>
        </w:rPr>
        <w:t>f_grep    = grepay+ppag_reimb</w:t>
      </w:r>
    </w:p>
    <w:p>
      <w:pPr>
        <w:spacing w:after="0"/>
        <w:ind w:left="283"/>
      </w:pPr>
      <w:r>
        <w:rPr>
          <w:rFonts w:ascii="Courier New" w:hAnsi="Courier New"/>
          <w:sz w:val="17"/>
        </w:rPr>
        <w:t>f_net     = f_direct+f_calls+f_tax+f_roy+f_div+f_grep</w:t>
      </w:r>
    </w:p>
    <w:p>
      <w:pPr>
        <w:spacing w:after="0"/>
        <w:ind w:left="283"/>
      </w:pPr>
      <w:r>
        <w:rPr>
          <w:rFonts w:ascii="Courier New" w:hAnsi="Courier New"/>
          <w:sz w:val="17"/>
        </w:rPr>
        <w:t>f_net_cons= f_net+f_soe</w:t>
      </w:r>
    </w:p>
    <w:p>
      <w:pPr>
        <w:spacing w:after="0"/>
        <w:ind w:left="283"/>
      </w:pPr>
      <w:r>
        <w:rPr>
          <w:rFonts w:ascii="Courier New" w:hAnsi="Courier New"/>
          <w:sz w:val="17"/>
        </w:rPr>
        <w:t>fis_npv      = SUMPRODUCT(f_net,gdf)</w:t>
      </w:r>
    </w:p>
    <w:p>
      <w:pPr>
        <w:spacing w:after="0"/>
        <w:ind w:left="283"/>
      </w:pPr>
      <w:r>
        <w:rPr>
          <w:rFonts w:ascii="Courier New" w:hAnsi="Courier New"/>
          <w:sz w:val="17"/>
        </w:rPr>
        <w:t>fis_npv_cons = SUMPRODUCT(f_net_cons,gdf)</w:t>
      </w:r>
    </w:p>
    <w:p>
      <w:pPr>
        <w:spacing w:after="0"/>
        <w:ind w:left="283"/>
      </w:pPr>
      <w:r>
        <w:rPr>
          <w:rFonts w:ascii="Courier New" w:hAnsi="Courier New"/>
          <w:sz w:val="17"/>
        </w:rPr>
        <w:t>fis_npv_el   = fis_npv-cl_pv_el</w:t>
      </w:r>
    </w:p>
    <w:p>
      <w:pPr>
        <w:spacing w:after="40"/>
      </w:pPr>
    </w:p>
    <w:p>
      <w:pPr>
        <w:jc w:val="both"/>
      </w:pPr>
      <w:r>
        <w:rPr/>
        <w:t>Kasiri at 8%: central NPV USD +34.8m from taxes and royalties; consolidated NPV USD -27.6m, because the utility pays more for Kasiri's energy than it collects per MWh. The sheet also reports the peak annual cash need, the peak need as a share of government revenue, the deepest cumulative outlay and tax forgone.</w:t>
      </w:r>
    </w:p>
    <w:p>
      <w:pPr>
        <w:pStyle w:val="Heading2"/>
      </w:pPr>
      <w:r>
        <w:t>6.16 Fiscal screen (26_DEBT_SUSTAINABILITY)</w:t>
      </w:r>
    </w:p>
    <w:p>
      <w:pPr>
        <w:jc w:val="both"/>
      </w:pPr>
      <w:r>
        <w:rPr/>
        <w:t>The screen asks whether this one project adds material fiscal pressure. It is not a debt sustainability analysis.</w:t>
      </w:r>
    </w:p>
    <w:p>
      <w:pPr>
        <w:spacing w:after="0"/>
        <w:ind w:left="283"/>
      </w:pPr>
      <w:r>
        <w:rPr>
          <w:rFonts w:ascii="Courier New" w:hAnsi="Courier New"/>
          <w:sz w:val="17"/>
        </w:rPr>
        <w:t>s_onbud = x_onbud/gdp          s_cl   = cl_max/gdp</w:t>
      </w:r>
    </w:p>
    <w:p>
      <w:pPr>
        <w:spacing w:after="0"/>
        <w:ind w:left="283"/>
      </w:pPr>
      <w:r>
        <w:rPr>
          <w:rFonts w:ascii="Courier New" w:hAnsi="Courier New"/>
          <w:sz w:val="17"/>
        </w:rPr>
        <w:t>s_cash  = f_need/gov_rev       s_cumout = MAX(0,-f_cum)/gdp</w:t>
      </w:r>
    </w:p>
    <w:p>
      <w:pPr>
        <w:spacing w:after="0"/>
        <w:ind w:left="283"/>
      </w:pPr>
      <w:r>
        <w:rPr>
          <w:rFonts w:ascii="Courier New" w:hAnsi="Courier New"/>
          <w:sz w:val="17"/>
        </w:rPr>
        <w:t>s_arr   = u_arrears/gdp        s_inc  = s_onbud+s_cumout+s_arr</w:t>
      </w:r>
    </w:p>
    <w:p>
      <w:pPr>
        <w:spacing w:after="0"/>
        <w:ind w:left="283"/>
      </w:pPr>
      <w:r>
        <w:rPr>
          <w:rFonts w:ascii="Courier New" w:hAnsi="Courier New"/>
          <w:sz w:val="17"/>
        </w:rPr>
        <w:t>sc_debt = MAX(s_inc)   sc_cl = MAX(s_cl)   sc_cash = MAX(s_cash)</w:t>
      </w:r>
    </w:p>
    <w:p>
      <w:pPr>
        <w:spacing w:after="0"/>
        <w:ind w:left="283"/>
      </w:pPr>
      <w:r>
        <w:rPr>
          <w:rFonts w:ascii="Courier New" w:hAnsi="Courier New"/>
          <w:sz w:val="17"/>
        </w:rPr>
        <w:t>sc_post = debt_gdp+sc_debt</w:t>
      </w:r>
    </w:p>
    <w:p>
      <w:pPr>
        <w:spacing w:after="0"/>
        <w:ind w:left="283"/>
      </w:pPr>
      <w:r>
        <w:rPr>
          <w:rFonts w:ascii="Courier New" w:hAnsi="Courier New"/>
          <w:sz w:val="17"/>
        </w:rPr>
        <w:t>sc_flags= (sc_debt&gt;th_incr)+(sc_cl&gt;th_cl)+(sc_cash&gt;th_cash)+AND(sc_post&gt;th_debt,debt_gdp&lt;=th_debt)</w:t>
      </w:r>
    </w:p>
    <w:p>
      <w:pPr>
        <w:spacing w:after="40"/>
      </w:pPr>
    </w:p>
    <w:p>
      <w:pPr>
        <w:jc w:val="both"/>
      </w:pPr>
      <w:r>
        <w:rPr/>
        <w:t>Default thresholds: material increment 1% of GDP, material contingent exposure 2% of GDP, material cash need 1% of revenue, debt benchmark 55% of GDP. The result: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0B3020"/>
          </w:tcPr>
          <w:p>
            <w:pPr>
              <w:spacing w:after="0"/>
            </w:pPr>
            <w:r>
              <w:rPr>
                <w:b/>
                <w:color w:val="FFFFFF"/>
                <w:sz w:val="16"/>
              </w:rPr>
              <w:t>Condition</w:t>
            </w:r>
          </w:p>
        </w:tc>
        <w:tc>
          <w:tcPr>
            <w:tcW w:type="dxa" w:w="4819"/>
            <w:shd w:val="clear" w:color="auto" w:fill="0B3020"/>
          </w:tcPr>
          <w:p>
            <w:pPr>
              <w:spacing w:after="0"/>
            </w:pPr>
            <w:r>
              <w:rPr>
                <w:b/>
                <w:color w:val="FFFFFF"/>
                <w:sz w:val="16"/>
              </w:rPr>
              <w:t>Result</w:t>
            </w:r>
          </w:p>
        </w:tc>
      </w:tr>
      <w:tr>
        <w:tc>
          <w:tcPr>
            <w:tcW w:type="dxa" w:w="4819"/>
          </w:tcPr>
          <w:p>
            <w:pPr>
              <w:spacing w:after="0"/>
            </w:pPr>
            <w:r>
              <w:rPr>
                <w:color w:val="1D1D1D"/>
                <w:sz w:val="16"/>
              </w:rPr>
              <w:t>No flag and DSA rating 1 or 2</w:t>
            </w:r>
          </w:p>
        </w:tc>
        <w:tc>
          <w:tcPr>
            <w:tcW w:type="dxa" w:w="4819"/>
          </w:tcPr>
          <w:p>
            <w:pPr>
              <w:spacing w:after="0"/>
            </w:pPr>
            <w:r>
              <w:rPr>
                <w:color w:val="1D1D1D"/>
                <w:sz w:val="16"/>
              </w:rPr>
              <w:t>LOW additional fiscal pressure</w:t>
            </w:r>
          </w:p>
        </w:tc>
      </w:tr>
      <w:tr>
        <w:tc>
          <w:tcPr>
            <w:tcW w:type="dxa" w:w="4819"/>
            <w:shd w:val="clear" w:color="auto" w:fill="FAF8F2"/>
          </w:tcPr>
          <w:p>
            <w:pPr>
              <w:spacing w:after="0"/>
            </w:pPr>
            <w:r>
              <w:rPr>
                <w:color w:val="1D1D1D"/>
                <w:sz w:val="16"/>
              </w:rPr>
              <w:t>Three or more flags, or at least one flag with a DSA rating of 3 or 4 or public debt already above the benchmark</w:t>
            </w:r>
          </w:p>
        </w:tc>
        <w:tc>
          <w:tcPr>
            <w:tcW w:type="dxa" w:w="4819"/>
            <w:shd w:val="clear" w:color="auto" w:fill="FAF8F2"/>
          </w:tcPr>
          <w:p>
            <w:pPr>
              <w:spacing w:after="0"/>
            </w:pPr>
            <w:r>
              <w:rPr>
                <w:color w:val="1D1D1D"/>
                <w:sz w:val="16"/>
              </w:rPr>
              <w:t>HIGH additional fiscal pressure, with an instruction to escalate to the finance ministry and DSA team</w:t>
            </w:r>
          </w:p>
        </w:tc>
      </w:tr>
      <w:tr>
        <w:tc>
          <w:tcPr>
            <w:tcW w:type="dxa" w:w="4819"/>
          </w:tcPr>
          <w:p>
            <w:pPr>
              <w:spacing w:after="0"/>
            </w:pPr>
            <w:r>
              <w:rPr>
                <w:color w:val="1D1D1D"/>
                <w:sz w:val="16"/>
              </w:rPr>
              <w:t>Otherwise</w:t>
            </w:r>
          </w:p>
        </w:tc>
        <w:tc>
          <w:tcPr>
            <w:tcW w:type="dxa" w:w="4819"/>
          </w:tcPr>
          <w:p>
            <w:pPr>
              <w:spacing w:after="0"/>
            </w:pPr>
            <w:r>
              <w:rPr>
                <w:color w:val="1D1D1D"/>
                <w:sz w:val="16"/>
              </w:rPr>
              <w:t>MODERATE additional fiscal pressure</w:t>
            </w:r>
          </w:p>
        </w:tc>
      </w:tr>
    </w:tbl>
    <w:p>
      <w:pPr>
        <w:spacing w:after="40"/>
      </w:pPr>
    </w:p>
    <w:p>
      <w:pPr>
        <w:jc w:val="both"/>
      </w:pPr>
      <w:r>
        <w:rPr/>
        <w:t>Kasiri: no flag, DSA rating 2, result LOW.</w:t>
      </w:r>
    </w:p>
    <w:p>
      <w:pPr>
        <w:pStyle w:val="Heading2"/>
      </w:pPr>
      <w:r>
        <w:t>6.17 The 9-gate development screen (30_BANKABILITY)</w:t>
      </w:r>
    </w:p>
    <w:p>
      <w:pPr>
        <w:jc w:val="both"/>
      </w:pPr>
      <w:r>
        <w:rPr/>
        <w:t>Each test maps a metric to a score using three explicit, editable thresholds. Direction H means higher is better:</w:t>
      </w:r>
    </w:p>
    <w:p>
      <w:pPr>
        <w:spacing w:after="0"/>
        <w:ind w:left="283"/>
      </w:pPr>
      <w:r>
        <w:rPr>
          <w:rFonts w:ascii="Courier New" w:hAnsi="Courier New"/>
          <w:sz w:val="17"/>
        </w:rPr>
        <w:t>H: score = IF(metric&gt;=READY,3,IF(metric&gt;=COND,2,IF(metric&gt;=DEV,1,0)))</w:t>
      </w:r>
    </w:p>
    <w:p>
      <w:pPr>
        <w:spacing w:after="0"/>
        <w:ind w:left="283"/>
      </w:pPr>
      <w:r>
        <w:rPr>
          <w:rFonts w:ascii="Courier New" w:hAnsi="Courier New"/>
          <w:sz w:val="17"/>
        </w:rPr>
        <w:t>L: score = IF(metric&lt;=READY,3,IF(metric&lt;=COND,2,IF(metric&lt;=DEV,1,0)))</w:t>
      </w:r>
    </w:p>
    <w:p>
      <w:pPr>
        <w:spacing w:after="40"/>
      </w:pPr>
    </w:p>
    <w:p>
      <w:pPr>
        <w:jc w:val="both"/>
      </w:pPr>
      <w:r>
        <w:rPr/>
        <w:t>Scores map to READY (3), CONDITIONAL (2), DEVELOPMENT GAP (1) and CRITICAL GAP (0). A gate's score is the minimum of its tests: no averaging and no weights.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415"/>
            <w:shd w:val="clear" w:color="auto" w:fill="0B3020"/>
          </w:tcPr>
          <w:p>
            <w:pPr>
              <w:spacing w:after="0"/>
            </w:pPr>
            <w:r>
              <w:rPr>
                <w:b/>
                <w:color w:val="FFFFFF"/>
                <w:sz w:val="16"/>
              </w:rPr>
              <w:t>Gate</w:t>
            </w:r>
          </w:p>
        </w:tc>
        <w:tc>
          <w:tcPr>
            <w:tcW w:type="dxa" w:w="4333"/>
            <w:shd w:val="clear" w:color="auto" w:fill="0B3020"/>
          </w:tcPr>
          <w:p>
            <w:pPr>
              <w:spacing w:after="0"/>
            </w:pPr>
            <w:r>
              <w:rPr>
                <w:b/>
                <w:color w:val="FFFFFF"/>
                <w:sz w:val="16"/>
              </w:rPr>
              <w:t>Test</w:t>
            </w:r>
          </w:p>
        </w:tc>
        <w:tc>
          <w:tcPr>
            <w:tcW w:type="dxa" w:w="531"/>
            <w:shd w:val="clear" w:color="auto" w:fill="0B3020"/>
          </w:tcPr>
          <w:p>
            <w:pPr>
              <w:spacing w:after="0"/>
            </w:pPr>
            <w:r>
              <w:rPr>
                <w:b/>
                <w:color w:val="FFFFFF"/>
                <w:sz w:val="16"/>
              </w:rPr>
              <w:t>Dir.</w:t>
            </w:r>
          </w:p>
        </w:tc>
        <w:tc>
          <w:tcPr>
            <w:tcW w:type="dxa" w:w="884"/>
            <w:shd w:val="clear" w:color="auto" w:fill="0B3020"/>
          </w:tcPr>
          <w:p>
            <w:pPr>
              <w:spacing w:after="0"/>
            </w:pPr>
            <w:r>
              <w:rPr>
                <w:b/>
                <w:color w:val="FFFFFF"/>
                <w:sz w:val="16"/>
              </w:rPr>
              <w:t>READY</w:t>
            </w:r>
          </w:p>
        </w:tc>
        <w:tc>
          <w:tcPr>
            <w:tcW w:type="dxa" w:w="973"/>
            <w:shd w:val="clear" w:color="auto" w:fill="0B3020"/>
          </w:tcPr>
          <w:p>
            <w:pPr>
              <w:spacing w:after="0"/>
            </w:pPr>
            <w:r>
              <w:rPr>
                <w:b/>
                <w:color w:val="FFFFFF"/>
                <w:sz w:val="16"/>
              </w:rPr>
              <w:t>COND.</w:t>
            </w:r>
          </w:p>
        </w:tc>
        <w:tc>
          <w:tcPr>
            <w:tcW w:type="dxa" w:w="973"/>
            <w:shd w:val="clear" w:color="auto" w:fill="0B3020"/>
          </w:tcPr>
          <w:p>
            <w:pPr>
              <w:spacing w:after="0"/>
            </w:pPr>
            <w:r>
              <w:rPr>
                <w:b/>
                <w:color w:val="FFFFFF"/>
                <w:sz w:val="16"/>
              </w:rPr>
              <w:t>DEV. GAP</w:t>
            </w:r>
          </w:p>
        </w:tc>
        <w:tc>
          <w:tcPr>
            <w:tcW w:type="dxa" w:w="531"/>
            <w:shd w:val="clear" w:color="auto" w:fill="0B3020"/>
          </w:tcPr>
          <w:p>
            <w:pPr>
              <w:spacing w:after="0"/>
            </w:pPr>
            <w:r>
              <w:rPr>
                <w:b/>
                <w:color w:val="FFFFFF"/>
                <w:sz w:val="16"/>
              </w:rPr>
              <w:t>Kasiri</w:t>
            </w:r>
          </w:p>
        </w:tc>
      </w:tr>
      <w:tr>
        <w:tc>
          <w:tcPr>
            <w:tcW w:type="dxa" w:w="1415"/>
          </w:tcPr>
          <w:p>
            <w:pPr>
              <w:spacing w:after="0"/>
            </w:pPr>
            <w:r>
              <w:rPr>
                <w:color w:val="1D1D1D"/>
                <w:sz w:val="16"/>
              </w:rPr>
              <w:t>1 Resource</w:t>
            </w:r>
          </w:p>
        </w:tc>
        <w:tc>
          <w:tcPr>
            <w:tcW w:type="dxa" w:w="4333"/>
          </w:tcPr>
          <w:p>
            <w:pPr>
              <w:spacing w:after="0"/>
            </w:pPr>
            <w:r>
              <w:rPr>
                <w:color w:val="1D1D1D"/>
                <w:sz w:val="16"/>
              </w:rPr>
              <w:t>Reliable flow record (years)</w:t>
            </w:r>
          </w:p>
        </w:tc>
        <w:tc>
          <w:tcPr>
            <w:tcW w:type="dxa" w:w="531"/>
          </w:tcPr>
          <w:p>
            <w:pPr>
              <w:spacing w:after="0"/>
            </w:pPr>
            <w:r>
              <w:rPr>
                <w:color w:val="1D1D1D"/>
                <w:sz w:val="16"/>
              </w:rPr>
              <w:t>H</w:t>
            </w:r>
          </w:p>
        </w:tc>
        <w:tc>
          <w:tcPr>
            <w:tcW w:type="dxa" w:w="884"/>
          </w:tcPr>
          <w:p>
            <w:pPr>
              <w:spacing w:after="0"/>
            </w:pPr>
            <w:r>
              <w:rPr>
                <w:color w:val="1D1D1D"/>
                <w:sz w:val="16"/>
              </w:rPr>
              <w:t>25</w:t>
            </w:r>
          </w:p>
        </w:tc>
        <w:tc>
          <w:tcPr>
            <w:tcW w:type="dxa" w:w="973"/>
          </w:tcPr>
          <w:p>
            <w:pPr>
              <w:spacing w:after="0"/>
            </w:pPr>
            <w:r>
              <w:rPr>
                <w:color w:val="1D1D1D"/>
                <w:sz w:val="16"/>
              </w:rPr>
              <w:t>15</w:t>
            </w:r>
          </w:p>
        </w:tc>
        <w:tc>
          <w:tcPr>
            <w:tcW w:type="dxa" w:w="973"/>
          </w:tcPr>
          <w:p>
            <w:pPr>
              <w:spacing w:after="0"/>
            </w:pPr>
            <w:r>
              <w:rPr>
                <w:color w:val="1D1D1D"/>
                <w:sz w:val="16"/>
              </w:rPr>
              <w:t>8</w:t>
            </w:r>
          </w:p>
        </w:tc>
        <w:tc>
          <w:tcPr>
            <w:tcW w:type="dxa" w:w="531"/>
          </w:tcPr>
          <w:p>
            <w:pPr>
              <w:spacing w:after="0"/>
            </w:pPr>
            <w:r>
              <w:rPr>
                <w:color w:val="1D1D1D"/>
                <w:sz w:val="16"/>
              </w:rPr>
              <w:t>12</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P90/P50 energy ratio</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0.85</w:t>
            </w:r>
          </w:p>
        </w:tc>
        <w:tc>
          <w:tcPr>
            <w:tcW w:type="dxa" w:w="973"/>
            <w:shd w:val="clear" w:color="auto" w:fill="FAF8F2"/>
          </w:tcPr>
          <w:p>
            <w:pPr>
              <w:spacing w:after="0"/>
            </w:pPr>
            <w:r>
              <w:rPr>
                <w:color w:val="1D1D1D"/>
                <w:sz w:val="16"/>
              </w:rPr>
              <w:t>0.78</w:t>
            </w:r>
          </w:p>
        </w:tc>
        <w:tc>
          <w:tcPr>
            <w:tcW w:type="dxa" w:w="973"/>
            <w:shd w:val="clear" w:color="auto" w:fill="FAF8F2"/>
          </w:tcPr>
          <w:p>
            <w:pPr>
              <w:spacing w:after="0"/>
            </w:pPr>
            <w:r>
              <w:rPr>
                <w:color w:val="1D1D1D"/>
                <w:sz w:val="16"/>
              </w:rPr>
              <w:t>0.70</w:t>
            </w:r>
          </w:p>
        </w:tc>
        <w:tc>
          <w:tcPr>
            <w:tcW w:type="dxa" w:w="531"/>
            <w:shd w:val="clear" w:color="auto" w:fill="FAF8F2"/>
          </w:tcPr>
          <w:p>
            <w:pPr>
              <w:spacing w:after="0"/>
            </w:pPr>
            <w:r>
              <w:rPr>
                <w:color w:val="1D1D1D"/>
                <w:sz w:val="16"/>
              </w:rPr>
              <w:t>0.81</w:t>
            </w:r>
          </w:p>
        </w:tc>
      </w:tr>
      <w:tr>
        <w:tc>
          <w:tcPr>
            <w:tcW w:type="dxa" w:w="1415"/>
          </w:tcPr>
          <w:p>
            <w:pPr>
              <w:spacing w:after="0"/>
            </w:pPr>
          </w:p>
        </w:tc>
        <w:tc>
          <w:tcPr>
            <w:tcW w:type="dxa" w:w="4333"/>
          </w:tcPr>
          <w:p>
            <w:pPr>
              <w:spacing w:after="0"/>
            </w:pPr>
            <w:r>
              <w:rPr>
                <w:color w:val="1D1D1D"/>
                <w:sz w:val="16"/>
              </w:rPr>
              <w:t>Hydrology study maturity (1 to 3)</w:t>
            </w:r>
          </w:p>
        </w:tc>
        <w:tc>
          <w:tcPr>
            <w:tcW w:type="dxa" w:w="531"/>
          </w:tcPr>
          <w:p>
            <w:pPr>
              <w:spacing w:after="0"/>
            </w:pPr>
            <w:r>
              <w:rPr>
                <w:color w:val="1D1D1D"/>
                <w:sz w:val="16"/>
              </w:rPr>
              <w:t>H</w:t>
            </w:r>
          </w:p>
        </w:tc>
        <w:tc>
          <w:tcPr>
            <w:tcW w:type="dxa" w:w="884"/>
          </w:tcPr>
          <w:p>
            <w:pPr>
              <w:spacing w:after="0"/>
            </w:pPr>
            <w:r>
              <w:rPr>
                <w:color w:val="1D1D1D"/>
                <w:sz w:val="16"/>
              </w:rPr>
              <w:t>3</w:t>
            </w:r>
          </w:p>
        </w:tc>
        <w:tc>
          <w:tcPr>
            <w:tcW w:type="dxa" w:w="973"/>
          </w:tcPr>
          <w:p>
            <w:pPr>
              <w:spacing w:after="0"/>
            </w:pPr>
            <w:r>
              <w:rPr>
                <w:color w:val="1D1D1D"/>
                <w:sz w:val="16"/>
              </w:rPr>
              <w:t>2</w:t>
            </w:r>
          </w:p>
        </w:tc>
        <w:tc>
          <w:tcPr>
            <w:tcW w:type="dxa" w:w="973"/>
          </w:tcPr>
          <w:p>
            <w:pPr>
              <w:spacing w:after="0"/>
            </w:pPr>
            <w:r>
              <w:rPr>
                <w:color w:val="1D1D1D"/>
                <w:sz w:val="16"/>
              </w:rPr>
              <w:t>1</w:t>
            </w:r>
          </w:p>
        </w:tc>
        <w:tc>
          <w:tcPr>
            <w:tcW w:type="dxa" w:w="531"/>
          </w:tcPr>
          <w:p>
            <w:pPr>
              <w:spacing w:after="0"/>
            </w:pPr>
            <w:r>
              <w:rPr>
                <w:color w:val="1D1D1D"/>
                <w:sz w:val="16"/>
              </w:rPr>
              <w:t>2</w:t>
            </w:r>
          </w:p>
        </w:tc>
      </w:tr>
      <w:tr>
        <w:tc>
          <w:tcPr>
            <w:tcW w:type="dxa" w:w="1415"/>
            <w:shd w:val="clear" w:color="auto" w:fill="FAF8F2"/>
          </w:tcPr>
          <w:p>
            <w:pPr>
              <w:spacing w:after="0"/>
            </w:pPr>
            <w:r>
              <w:rPr>
                <w:color w:val="1D1D1D"/>
                <w:sz w:val="16"/>
              </w:rPr>
              <w:t>2 Demand</w:t>
            </w:r>
          </w:p>
        </w:tc>
        <w:tc>
          <w:tcPr>
            <w:tcW w:type="dxa" w:w="4333"/>
            <w:shd w:val="clear" w:color="auto" w:fill="FAF8F2"/>
          </w:tcPr>
          <w:p>
            <w:pPr>
              <w:spacing w:after="0"/>
            </w:pPr>
            <w:r>
              <w:rPr>
                <w:color w:val="1D1D1D"/>
                <w:sz w:val="16"/>
              </w:rPr>
              <w:t>Bankable/contracted demand, worst of years 1 to 5</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1.0</w:t>
            </w:r>
          </w:p>
        </w:tc>
        <w:tc>
          <w:tcPr>
            <w:tcW w:type="dxa" w:w="973"/>
            <w:shd w:val="clear" w:color="auto" w:fill="FAF8F2"/>
          </w:tcPr>
          <w:p>
            <w:pPr>
              <w:spacing w:after="0"/>
            </w:pPr>
            <w:r>
              <w:rPr>
                <w:color w:val="1D1D1D"/>
                <w:sz w:val="16"/>
              </w:rPr>
              <w:t>0.9</w:t>
            </w:r>
          </w:p>
        </w:tc>
        <w:tc>
          <w:tcPr>
            <w:tcW w:type="dxa" w:w="973"/>
            <w:shd w:val="clear" w:color="auto" w:fill="FAF8F2"/>
          </w:tcPr>
          <w:p>
            <w:pPr>
              <w:spacing w:after="0"/>
            </w:pPr>
            <w:r>
              <w:rPr>
                <w:color w:val="1D1D1D"/>
                <w:sz w:val="16"/>
              </w:rPr>
              <w:t>0.7</w:t>
            </w:r>
          </w:p>
        </w:tc>
        <w:tc>
          <w:tcPr>
            <w:tcW w:type="dxa" w:w="531"/>
            <w:shd w:val="clear" w:color="auto" w:fill="FAF8F2"/>
          </w:tcPr>
          <w:p>
            <w:pPr>
              <w:spacing w:after="0"/>
            </w:pPr>
            <w:r>
              <w:rPr>
                <w:color w:val="1D1D1D"/>
                <w:sz w:val="16"/>
              </w:rPr>
              <w:t>1.0</w:t>
            </w:r>
          </w:p>
        </w:tc>
      </w:tr>
      <w:tr>
        <w:tc>
          <w:tcPr>
            <w:tcW w:type="dxa" w:w="1415"/>
          </w:tcPr>
          <w:p>
            <w:pPr>
              <w:spacing w:after="0"/>
            </w:pPr>
          </w:p>
        </w:tc>
        <w:tc>
          <w:tcPr>
            <w:tcW w:type="dxa" w:w="4333"/>
          </w:tcPr>
          <w:p>
            <w:pPr>
              <w:spacing w:after="0"/>
            </w:pPr>
            <w:r>
              <w:rPr>
                <w:color w:val="1D1D1D"/>
                <w:sz w:val="16"/>
              </w:rPr>
              <w:t>Share of system peak at COD</w:t>
            </w:r>
          </w:p>
        </w:tc>
        <w:tc>
          <w:tcPr>
            <w:tcW w:type="dxa" w:w="531"/>
          </w:tcPr>
          <w:p>
            <w:pPr>
              <w:spacing w:after="0"/>
            </w:pPr>
            <w:r>
              <w:rPr>
                <w:color w:val="1D1D1D"/>
                <w:sz w:val="16"/>
              </w:rPr>
              <w:t>L</w:t>
            </w:r>
          </w:p>
        </w:tc>
        <w:tc>
          <w:tcPr>
            <w:tcW w:type="dxa" w:w="884"/>
          </w:tcPr>
          <w:p>
            <w:pPr>
              <w:spacing w:after="0"/>
            </w:pPr>
            <w:r>
              <w:rPr>
                <w:color w:val="1D1D1D"/>
                <w:sz w:val="16"/>
              </w:rPr>
              <w:t>15%</w:t>
            </w:r>
          </w:p>
        </w:tc>
        <w:tc>
          <w:tcPr>
            <w:tcW w:type="dxa" w:w="973"/>
          </w:tcPr>
          <w:p>
            <w:pPr>
              <w:spacing w:after="0"/>
            </w:pPr>
            <w:r>
              <w:rPr>
                <w:color w:val="1D1D1D"/>
                <w:sz w:val="16"/>
              </w:rPr>
              <w:t>25%</w:t>
            </w:r>
          </w:p>
        </w:tc>
        <w:tc>
          <w:tcPr>
            <w:tcW w:type="dxa" w:w="973"/>
          </w:tcPr>
          <w:p>
            <w:pPr>
              <w:spacing w:after="0"/>
            </w:pPr>
            <w:r>
              <w:rPr>
                <w:color w:val="1D1D1D"/>
                <w:sz w:val="16"/>
              </w:rPr>
              <w:t>35%</w:t>
            </w:r>
          </w:p>
        </w:tc>
        <w:tc>
          <w:tcPr>
            <w:tcW w:type="dxa" w:w="531"/>
          </w:tcPr>
          <w:p>
            <w:pPr>
              <w:spacing w:after="0"/>
            </w:pPr>
            <w:r>
              <w:rPr>
                <w:color w:val="1D1D1D"/>
                <w:sz w:val="16"/>
              </w:rPr>
              <w:t>3.3%</w:t>
            </w:r>
          </w:p>
        </w:tc>
      </w:tr>
      <w:tr>
        <w:tc>
          <w:tcPr>
            <w:tcW w:type="dxa" w:w="1415"/>
            <w:shd w:val="clear" w:color="auto" w:fill="FAF8F2"/>
          </w:tcPr>
          <w:p>
            <w:pPr>
              <w:spacing w:after="0"/>
            </w:pPr>
            <w:r>
              <w:rPr>
                <w:color w:val="1D1D1D"/>
                <w:sz w:val="16"/>
              </w:rPr>
              <w:t>3 Configuration</w:t>
            </w:r>
          </w:p>
        </w:tc>
        <w:tc>
          <w:tcPr>
            <w:tcW w:type="dxa" w:w="4333"/>
            <w:shd w:val="clear" w:color="auto" w:fill="FAF8F2"/>
          </w:tcPr>
          <w:p>
            <w:pPr>
              <w:spacing w:after="0"/>
            </w:pPr>
            <w:r>
              <w:rPr>
                <w:color w:val="1D1D1D"/>
                <w:sz w:val="16"/>
              </w:rPr>
              <w:t>Unit cost / benchmark</w:t>
            </w:r>
          </w:p>
        </w:tc>
        <w:tc>
          <w:tcPr>
            <w:tcW w:type="dxa" w:w="531"/>
            <w:shd w:val="clear" w:color="auto" w:fill="FAF8F2"/>
          </w:tcPr>
          <w:p>
            <w:pPr>
              <w:spacing w:after="0"/>
            </w:pPr>
            <w:r>
              <w:rPr>
                <w:color w:val="1D1D1D"/>
                <w:sz w:val="16"/>
              </w:rPr>
              <w:t>L</w:t>
            </w:r>
          </w:p>
        </w:tc>
        <w:tc>
          <w:tcPr>
            <w:tcW w:type="dxa" w:w="884"/>
            <w:shd w:val="clear" w:color="auto" w:fill="FAF8F2"/>
          </w:tcPr>
          <w:p>
            <w:pPr>
              <w:spacing w:after="0"/>
            </w:pPr>
            <w:r>
              <w:rPr>
                <w:color w:val="1D1D1D"/>
                <w:sz w:val="16"/>
              </w:rPr>
              <w:t>1.00</w:t>
            </w:r>
          </w:p>
        </w:tc>
        <w:tc>
          <w:tcPr>
            <w:tcW w:type="dxa" w:w="973"/>
            <w:shd w:val="clear" w:color="auto" w:fill="FAF8F2"/>
          </w:tcPr>
          <w:p>
            <w:pPr>
              <w:spacing w:after="0"/>
            </w:pPr>
            <w:r>
              <w:rPr>
                <w:color w:val="1D1D1D"/>
                <w:sz w:val="16"/>
              </w:rPr>
              <w:t>1.25</w:t>
            </w:r>
          </w:p>
        </w:tc>
        <w:tc>
          <w:tcPr>
            <w:tcW w:type="dxa" w:w="973"/>
            <w:shd w:val="clear" w:color="auto" w:fill="FAF8F2"/>
          </w:tcPr>
          <w:p>
            <w:pPr>
              <w:spacing w:after="0"/>
            </w:pPr>
            <w:r>
              <w:rPr>
                <w:color w:val="1D1D1D"/>
                <w:sz w:val="16"/>
              </w:rPr>
              <w:t>1.50</w:t>
            </w:r>
          </w:p>
        </w:tc>
        <w:tc>
          <w:tcPr>
            <w:tcW w:type="dxa" w:w="531"/>
            <w:shd w:val="clear" w:color="auto" w:fill="FAF8F2"/>
          </w:tcPr>
          <w:p>
            <w:pPr>
              <w:spacing w:after="0"/>
            </w:pPr>
            <w:r>
              <w:rPr>
                <w:color w:val="1D1D1D"/>
                <w:sz w:val="16"/>
              </w:rPr>
              <w:t>1.04</w:t>
            </w:r>
          </w:p>
        </w:tc>
      </w:tr>
      <w:tr>
        <w:tc>
          <w:tcPr>
            <w:tcW w:type="dxa" w:w="1415"/>
          </w:tcPr>
          <w:p>
            <w:pPr>
              <w:spacing w:after="0"/>
            </w:pPr>
          </w:p>
        </w:tc>
        <w:tc>
          <w:tcPr>
            <w:tcW w:type="dxa" w:w="4333"/>
          </w:tcPr>
          <w:p>
            <w:pPr>
              <w:spacing w:after="0"/>
            </w:pPr>
            <w:r>
              <w:rPr>
                <w:color w:val="1D1D1D"/>
                <w:sz w:val="16"/>
              </w:rPr>
              <w:t>Capacity factor (P50)</w:t>
            </w:r>
          </w:p>
        </w:tc>
        <w:tc>
          <w:tcPr>
            <w:tcW w:type="dxa" w:w="531"/>
          </w:tcPr>
          <w:p>
            <w:pPr>
              <w:spacing w:after="0"/>
            </w:pPr>
            <w:r>
              <w:rPr>
                <w:color w:val="1D1D1D"/>
                <w:sz w:val="16"/>
              </w:rPr>
              <w:t>H</w:t>
            </w:r>
          </w:p>
        </w:tc>
        <w:tc>
          <w:tcPr>
            <w:tcW w:type="dxa" w:w="884"/>
          </w:tcPr>
          <w:p>
            <w:pPr>
              <w:spacing w:after="0"/>
            </w:pPr>
            <w:r>
              <w:rPr>
                <w:color w:val="1D1D1D"/>
                <w:sz w:val="16"/>
              </w:rPr>
              <w:t>45%</w:t>
            </w:r>
          </w:p>
        </w:tc>
        <w:tc>
          <w:tcPr>
            <w:tcW w:type="dxa" w:w="973"/>
          </w:tcPr>
          <w:p>
            <w:pPr>
              <w:spacing w:after="0"/>
            </w:pPr>
            <w:r>
              <w:rPr>
                <w:color w:val="1D1D1D"/>
                <w:sz w:val="16"/>
              </w:rPr>
              <w:t>35%</w:t>
            </w:r>
          </w:p>
        </w:tc>
        <w:tc>
          <w:tcPr>
            <w:tcW w:type="dxa" w:w="973"/>
          </w:tcPr>
          <w:p>
            <w:pPr>
              <w:spacing w:after="0"/>
            </w:pPr>
            <w:r>
              <w:rPr>
                <w:color w:val="1D1D1D"/>
                <w:sz w:val="16"/>
              </w:rPr>
              <w:t>25%</w:t>
            </w:r>
          </w:p>
        </w:tc>
        <w:tc>
          <w:tcPr>
            <w:tcW w:type="dxa" w:w="531"/>
          </w:tcPr>
          <w:p>
            <w:pPr>
              <w:spacing w:after="0"/>
            </w:pPr>
            <w:r>
              <w:rPr>
                <w:color w:val="1D1D1D"/>
                <w:sz w:val="16"/>
              </w:rPr>
              <w:t>55.6%</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Feasibility maturity (1 to 3)</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3</w:t>
            </w:r>
          </w:p>
        </w:tc>
        <w:tc>
          <w:tcPr>
            <w:tcW w:type="dxa" w:w="973"/>
            <w:shd w:val="clear" w:color="auto" w:fill="FAF8F2"/>
          </w:tcPr>
          <w:p>
            <w:pPr>
              <w:spacing w:after="0"/>
            </w:pPr>
            <w:r>
              <w:rPr>
                <w:color w:val="1D1D1D"/>
                <w:sz w:val="16"/>
              </w:rPr>
              <w:t>2</w:t>
            </w:r>
          </w:p>
        </w:tc>
        <w:tc>
          <w:tcPr>
            <w:tcW w:type="dxa" w:w="973"/>
            <w:shd w:val="clear" w:color="auto" w:fill="FAF8F2"/>
          </w:tcPr>
          <w:p>
            <w:pPr>
              <w:spacing w:after="0"/>
            </w:pPr>
            <w:r>
              <w:rPr>
                <w:color w:val="1D1D1D"/>
                <w:sz w:val="16"/>
              </w:rPr>
              <w:t>1</w:t>
            </w:r>
          </w:p>
        </w:tc>
        <w:tc>
          <w:tcPr>
            <w:tcW w:type="dxa" w:w="531"/>
            <w:shd w:val="clear" w:color="auto" w:fill="FAF8F2"/>
          </w:tcPr>
          <w:p>
            <w:pPr>
              <w:spacing w:after="0"/>
            </w:pPr>
            <w:r>
              <w:rPr>
                <w:color w:val="1D1D1D"/>
                <w:sz w:val="16"/>
              </w:rPr>
              <w:t>2</w:t>
            </w:r>
          </w:p>
        </w:tc>
      </w:tr>
      <w:tr>
        <w:tc>
          <w:tcPr>
            <w:tcW w:type="dxa" w:w="1415"/>
          </w:tcPr>
          <w:p>
            <w:pPr>
              <w:spacing w:after="0"/>
            </w:pPr>
            <w:r>
              <w:rPr>
                <w:color w:val="1D1D1D"/>
                <w:sz w:val="16"/>
              </w:rPr>
              <w:t>4 Transmission</w:t>
            </w:r>
          </w:p>
        </w:tc>
        <w:tc>
          <w:tcPr>
            <w:tcW w:type="dxa" w:w="4333"/>
          </w:tcPr>
          <w:p>
            <w:pPr>
              <w:spacing w:after="0"/>
            </w:pPr>
            <w:r>
              <w:rPr>
                <w:color w:val="1D1D1D"/>
                <w:sz w:val="16"/>
              </w:rPr>
              <w:t>Evacuation at COD / installed</w:t>
            </w:r>
          </w:p>
        </w:tc>
        <w:tc>
          <w:tcPr>
            <w:tcW w:type="dxa" w:w="531"/>
          </w:tcPr>
          <w:p>
            <w:pPr>
              <w:spacing w:after="0"/>
            </w:pPr>
            <w:r>
              <w:rPr>
                <w:color w:val="1D1D1D"/>
                <w:sz w:val="16"/>
              </w:rPr>
              <w:t>H</w:t>
            </w:r>
          </w:p>
        </w:tc>
        <w:tc>
          <w:tcPr>
            <w:tcW w:type="dxa" w:w="884"/>
          </w:tcPr>
          <w:p>
            <w:pPr>
              <w:spacing w:after="0"/>
            </w:pPr>
            <w:r>
              <w:rPr>
                <w:color w:val="1D1D1D"/>
                <w:sz w:val="16"/>
              </w:rPr>
              <w:t>1.0</w:t>
            </w:r>
          </w:p>
        </w:tc>
        <w:tc>
          <w:tcPr>
            <w:tcW w:type="dxa" w:w="973"/>
          </w:tcPr>
          <w:p>
            <w:pPr>
              <w:spacing w:after="0"/>
            </w:pPr>
            <w:r>
              <w:rPr>
                <w:color w:val="1D1D1D"/>
                <w:sz w:val="16"/>
              </w:rPr>
              <w:t>0.8</w:t>
            </w:r>
          </w:p>
        </w:tc>
        <w:tc>
          <w:tcPr>
            <w:tcW w:type="dxa" w:w="973"/>
          </w:tcPr>
          <w:p>
            <w:pPr>
              <w:spacing w:after="0"/>
            </w:pPr>
            <w:r>
              <w:rPr>
                <w:color w:val="1D1D1D"/>
                <w:sz w:val="16"/>
              </w:rPr>
              <w:t>0.5</w:t>
            </w:r>
          </w:p>
        </w:tc>
        <w:tc>
          <w:tcPr>
            <w:tcW w:type="dxa" w:w="531"/>
          </w:tcPr>
          <w:p>
            <w:pPr>
              <w:spacing w:after="0"/>
            </w:pPr>
            <w:r>
              <w:rPr>
                <w:color w:val="1D1D1D"/>
                <w:sz w:val="16"/>
              </w:rPr>
              <w:t>2.0</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Transmission lag (years)</w:t>
            </w:r>
          </w:p>
        </w:tc>
        <w:tc>
          <w:tcPr>
            <w:tcW w:type="dxa" w:w="531"/>
            <w:shd w:val="clear" w:color="auto" w:fill="FAF8F2"/>
          </w:tcPr>
          <w:p>
            <w:pPr>
              <w:spacing w:after="0"/>
            </w:pPr>
            <w:r>
              <w:rPr>
                <w:color w:val="1D1D1D"/>
                <w:sz w:val="16"/>
              </w:rPr>
              <w:t>L</w:t>
            </w:r>
          </w:p>
        </w:tc>
        <w:tc>
          <w:tcPr>
            <w:tcW w:type="dxa" w:w="884"/>
            <w:shd w:val="clear" w:color="auto" w:fill="FAF8F2"/>
          </w:tcPr>
          <w:p>
            <w:pPr>
              <w:spacing w:after="0"/>
            </w:pPr>
            <w:r>
              <w:rPr>
                <w:color w:val="1D1D1D"/>
                <w:sz w:val="16"/>
              </w:rPr>
              <w:t>0</w:t>
            </w:r>
          </w:p>
        </w:tc>
        <w:tc>
          <w:tcPr>
            <w:tcW w:type="dxa" w:w="973"/>
            <w:shd w:val="clear" w:color="auto" w:fill="FAF8F2"/>
          </w:tcPr>
          <w:p>
            <w:pPr>
              <w:spacing w:after="0"/>
            </w:pPr>
            <w:r>
              <w:rPr>
                <w:color w:val="1D1D1D"/>
                <w:sz w:val="16"/>
              </w:rPr>
              <w:t>1</w:t>
            </w:r>
          </w:p>
        </w:tc>
        <w:tc>
          <w:tcPr>
            <w:tcW w:type="dxa" w:w="973"/>
            <w:shd w:val="clear" w:color="auto" w:fill="FAF8F2"/>
          </w:tcPr>
          <w:p>
            <w:pPr>
              <w:spacing w:after="0"/>
            </w:pPr>
            <w:r>
              <w:rPr>
                <w:color w:val="1D1D1D"/>
                <w:sz w:val="16"/>
              </w:rPr>
              <w:t>2</w:t>
            </w:r>
          </w:p>
        </w:tc>
        <w:tc>
          <w:tcPr>
            <w:tcW w:type="dxa" w:w="531"/>
            <w:shd w:val="clear" w:color="auto" w:fill="FAF8F2"/>
          </w:tcPr>
          <w:p>
            <w:pPr>
              <w:spacing w:after="0"/>
            </w:pPr>
            <w:r>
              <w:rPr>
                <w:color w:val="1D1D1D"/>
                <w:sz w:val="16"/>
              </w:rPr>
              <w:t>0</w:t>
            </w:r>
          </w:p>
        </w:tc>
      </w:tr>
      <w:tr>
        <w:tc>
          <w:tcPr>
            <w:tcW w:type="dxa" w:w="1415"/>
          </w:tcPr>
          <w:p>
            <w:pPr>
              <w:spacing w:after="0"/>
            </w:pPr>
          </w:p>
        </w:tc>
        <w:tc>
          <w:tcPr>
            <w:tcW w:type="dxa" w:w="4333"/>
          </w:tcPr>
          <w:p>
            <w:pPr>
              <w:spacing w:after="0"/>
            </w:pPr>
            <w:r>
              <w:rPr>
                <w:color w:val="1D1D1D"/>
                <w:sz w:val="16"/>
              </w:rPr>
              <w:t>Transmission financing secured</w:t>
            </w:r>
          </w:p>
        </w:tc>
        <w:tc>
          <w:tcPr>
            <w:tcW w:type="dxa" w:w="531"/>
          </w:tcPr>
          <w:p>
            <w:pPr>
              <w:spacing w:after="0"/>
            </w:pPr>
            <w:r>
              <w:rPr>
                <w:color w:val="1D1D1D"/>
                <w:sz w:val="16"/>
              </w:rPr>
              <w:t>H</w:t>
            </w:r>
          </w:p>
        </w:tc>
        <w:tc>
          <w:tcPr>
            <w:tcW w:type="dxa" w:w="884"/>
          </w:tcPr>
          <w:p>
            <w:pPr>
              <w:spacing w:after="0"/>
            </w:pPr>
            <w:r>
              <w:rPr>
                <w:color w:val="1D1D1D"/>
                <w:sz w:val="16"/>
              </w:rPr>
              <w:t>1</w:t>
            </w:r>
          </w:p>
        </w:tc>
        <w:tc>
          <w:tcPr>
            <w:tcW w:type="dxa" w:w="973"/>
          </w:tcPr>
          <w:p>
            <w:pPr>
              <w:spacing w:after="0"/>
            </w:pPr>
            <w:r>
              <w:rPr>
                <w:color w:val="1D1D1D"/>
                <w:sz w:val="16"/>
              </w:rPr>
              <w:t>1</w:t>
            </w:r>
          </w:p>
        </w:tc>
        <w:tc>
          <w:tcPr>
            <w:tcW w:type="dxa" w:w="973"/>
          </w:tcPr>
          <w:p>
            <w:pPr>
              <w:spacing w:after="0"/>
            </w:pPr>
            <w:r>
              <w:rPr>
                <w:color w:val="1D1D1D"/>
                <w:sz w:val="16"/>
              </w:rPr>
              <w:t>0</w:t>
            </w:r>
          </w:p>
        </w:tc>
        <w:tc>
          <w:tcPr>
            <w:tcW w:type="dxa" w:w="531"/>
          </w:tcPr>
          <w:p>
            <w:pPr>
              <w:spacing w:after="0"/>
            </w:pPr>
            <w:r>
              <w:rPr>
                <w:color w:val="1D1D1D"/>
                <w:sz w:val="16"/>
              </w:rPr>
              <w:t>1</w:t>
            </w:r>
          </w:p>
        </w:tc>
      </w:tr>
      <w:tr>
        <w:tc>
          <w:tcPr>
            <w:tcW w:type="dxa" w:w="1415"/>
            <w:shd w:val="clear" w:color="auto" w:fill="FAF8F2"/>
          </w:tcPr>
          <w:p>
            <w:pPr>
              <w:spacing w:after="0"/>
            </w:pPr>
            <w:r>
              <w:rPr>
                <w:color w:val="1D1D1D"/>
                <w:sz w:val="16"/>
              </w:rPr>
              <w:t>5 Offtaker</w:t>
            </w:r>
          </w:p>
        </w:tc>
        <w:tc>
          <w:tcPr>
            <w:tcW w:type="dxa" w:w="4333"/>
            <w:shd w:val="clear" w:color="auto" w:fill="FAF8F2"/>
          </w:tcPr>
          <w:p>
            <w:pPr>
              <w:spacing w:after="0"/>
            </w:pPr>
            <w:r>
              <w:rPr>
                <w:color w:val="1D1D1D"/>
                <w:sz w:val="16"/>
              </w:rPr>
              <w:t>Payment capacity / PPA, worst of years 1 to 10</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1.2</w:t>
            </w:r>
          </w:p>
        </w:tc>
        <w:tc>
          <w:tcPr>
            <w:tcW w:type="dxa" w:w="973"/>
            <w:shd w:val="clear" w:color="auto" w:fill="FAF8F2"/>
          </w:tcPr>
          <w:p>
            <w:pPr>
              <w:spacing w:after="0"/>
            </w:pPr>
            <w:r>
              <w:rPr>
                <w:color w:val="1D1D1D"/>
                <w:sz w:val="16"/>
              </w:rPr>
              <w:t>1.0</w:t>
            </w:r>
          </w:p>
        </w:tc>
        <w:tc>
          <w:tcPr>
            <w:tcW w:type="dxa" w:w="973"/>
            <w:shd w:val="clear" w:color="auto" w:fill="FAF8F2"/>
          </w:tcPr>
          <w:p>
            <w:pPr>
              <w:spacing w:after="0"/>
            </w:pPr>
            <w:r>
              <w:rPr>
                <w:color w:val="1D1D1D"/>
                <w:sz w:val="16"/>
              </w:rPr>
              <w:t>0.8</w:t>
            </w:r>
          </w:p>
        </w:tc>
        <w:tc>
          <w:tcPr>
            <w:tcW w:type="dxa" w:w="531"/>
            <w:shd w:val="clear" w:color="auto" w:fill="FAF8F2"/>
          </w:tcPr>
          <w:p>
            <w:pPr>
              <w:spacing w:after="0"/>
            </w:pPr>
            <w:r>
              <w:rPr>
                <w:color w:val="1D1D1D"/>
                <w:sz w:val="16"/>
              </w:rPr>
              <w:t>5.96</w:t>
            </w:r>
          </w:p>
        </w:tc>
      </w:tr>
      <w:tr>
        <w:tc>
          <w:tcPr>
            <w:tcW w:type="dxa" w:w="1415"/>
          </w:tcPr>
          <w:p>
            <w:pPr>
              <w:spacing w:after="0"/>
            </w:pPr>
          </w:p>
        </w:tc>
        <w:tc>
          <w:tcPr>
            <w:tcW w:type="dxa" w:w="4333"/>
          </w:tcPr>
          <w:p>
            <w:pPr>
              <w:spacing w:after="0"/>
            </w:pPr>
            <w:r>
              <w:rPr>
                <w:color w:val="1D1D1D"/>
                <w:sz w:val="16"/>
              </w:rPr>
              <w:t>Collection rate</w:t>
            </w:r>
          </w:p>
        </w:tc>
        <w:tc>
          <w:tcPr>
            <w:tcW w:type="dxa" w:w="531"/>
          </w:tcPr>
          <w:p>
            <w:pPr>
              <w:spacing w:after="0"/>
            </w:pPr>
            <w:r>
              <w:rPr>
                <w:color w:val="1D1D1D"/>
                <w:sz w:val="16"/>
              </w:rPr>
              <w:t>H</w:t>
            </w:r>
          </w:p>
        </w:tc>
        <w:tc>
          <w:tcPr>
            <w:tcW w:type="dxa" w:w="884"/>
          </w:tcPr>
          <w:p>
            <w:pPr>
              <w:spacing w:after="0"/>
            </w:pPr>
            <w:r>
              <w:rPr>
                <w:color w:val="1D1D1D"/>
                <w:sz w:val="16"/>
              </w:rPr>
              <w:t>95%</w:t>
            </w:r>
          </w:p>
        </w:tc>
        <w:tc>
          <w:tcPr>
            <w:tcW w:type="dxa" w:w="973"/>
          </w:tcPr>
          <w:p>
            <w:pPr>
              <w:spacing w:after="0"/>
            </w:pPr>
            <w:r>
              <w:rPr>
                <w:color w:val="1D1D1D"/>
                <w:sz w:val="16"/>
              </w:rPr>
              <w:t>90%</w:t>
            </w:r>
          </w:p>
        </w:tc>
        <w:tc>
          <w:tcPr>
            <w:tcW w:type="dxa" w:w="973"/>
          </w:tcPr>
          <w:p>
            <w:pPr>
              <w:spacing w:after="0"/>
            </w:pPr>
            <w:r>
              <w:rPr>
                <w:color w:val="1D1D1D"/>
                <w:sz w:val="16"/>
              </w:rPr>
              <w:t>80%</w:t>
            </w:r>
          </w:p>
        </w:tc>
        <w:tc>
          <w:tcPr>
            <w:tcW w:type="dxa" w:w="531"/>
          </w:tcPr>
          <w:p>
            <w:pPr>
              <w:spacing w:after="0"/>
            </w:pPr>
            <w:r>
              <w:rPr>
                <w:color w:val="1D1D1D"/>
                <w:sz w:val="16"/>
              </w:rPr>
              <w:t>88%</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Payment security (months)</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6</w:t>
            </w:r>
          </w:p>
        </w:tc>
        <w:tc>
          <w:tcPr>
            <w:tcW w:type="dxa" w:w="973"/>
            <w:shd w:val="clear" w:color="auto" w:fill="FAF8F2"/>
          </w:tcPr>
          <w:p>
            <w:pPr>
              <w:spacing w:after="0"/>
            </w:pPr>
            <w:r>
              <w:rPr>
                <w:color w:val="1D1D1D"/>
                <w:sz w:val="16"/>
              </w:rPr>
              <w:t>3</w:t>
            </w:r>
          </w:p>
        </w:tc>
        <w:tc>
          <w:tcPr>
            <w:tcW w:type="dxa" w:w="973"/>
            <w:shd w:val="clear" w:color="auto" w:fill="FAF8F2"/>
          </w:tcPr>
          <w:p>
            <w:pPr>
              <w:spacing w:after="0"/>
            </w:pPr>
            <w:r>
              <w:rPr>
                <w:color w:val="1D1D1D"/>
                <w:sz w:val="16"/>
              </w:rPr>
              <w:t>1</w:t>
            </w:r>
          </w:p>
        </w:tc>
        <w:tc>
          <w:tcPr>
            <w:tcW w:type="dxa" w:w="531"/>
            <w:shd w:val="clear" w:color="auto" w:fill="FAF8F2"/>
          </w:tcPr>
          <w:p>
            <w:pPr>
              <w:spacing w:after="0"/>
            </w:pPr>
            <w:r>
              <w:rPr>
                <w:color w:val="1D1D1D"/>
                <w:sz w:val="16"/>
              </w:rPr>
              <w:t>3</w:t>
            </w:r>
          </w:p>
        </w:tc>
      </w:tr>
      <w:tr>
        <w:tc>
          <w:tcPr>
            <w:tcW w:type="dxa" w:w="1415"/>
          </w:tcPr>
          <w:p>
            <w:pPr>
              <w:spacing w:after="0"/>
            </w:pPr>
            <w:r>
              <w:rPr>
                <w:color w:val="1D1D1D"/>
                <w:sz w:val="16"/>
              </w:rPr>
              <w:t>6 Regulation/PPA</w:t>
            </w:r>
          </w:p>
        </w:tc>
        <w:tc>
          <w:tcPr>
            <w:tcW w:type="dxa" w:w="4333"/>
          </w:tcPr>
          <w:p>
            <w:pPr>
              <w:spacing w:after="0"/>
            </w:pPr>
            <w:r>
              <w:rPr>
                <w:color w:val="1D1D1D"/>
                <w:sz w:val="16"/>
              </w:rPr>
              <w:t>Items at CRITICAL GAP</w:t>
            </w:r>
          </w:p>
        </w:tc>
        <w:tc>
          <w:tcPr>
            <w:tcW w:type="dxa" w:w="531"/>
          </w:tcPr>
          <w:p>
            <w:pPr>
              <w:spacing w:after="0"/>
            </w:pPr>
            <w:r>
              <w:rPr>
                <w:color w:val="1D1D1D"/>
                <w:sz w:val="16"/>
              </w:rPr>
              <w:t>L</w:t>
            </w:r>
          </w:p>
        </w:tc>
        <w:tc>
          <w:tcPr>
            <w:tcW w:type="dxa" w:w="884"/>
          </w:tcPr>
          <w:p>
            <w:pPr>
              <w:spacing w:after="0"/>
            </w:pPr>
            <w:r>
              <w:rPr>
                <w:color w:val="1D1D1D"/>
                <w:sz w:val="16"/>
              </w:rPr>
              <w:t>0</w:t>
            </w:r>
          </w:p>
        </w:tc>
        <w:tc>
          <w:tcPr>
            <w:tcW w:type="dxa" w:w="973"/>
          </w:tcPr>
          <w:p>
            <w:pPr>
              <w:spacing w:after="0"/>
            </w:pPr>
            <w:r>
              <w:rPr>
                <w:color w:val="1D1D1D"/>
                <w:sz w:val="16"/>
              </w:rPr>
              <w:t>0</w:t>
            </w:r>
          </w:p>
        </w:tc>
        <w:tc>
          <w:tcPr>
            <w:tcW w:type="dxa" w:w="973"/>
          </w:tcPr>
          <w:p>
            <w:pPr>
              <w:spacing w:after="0"/>
            </w:pPr>
            <w:r>
              <w:rPr>
                <w:color w:val="1D1D1D"/>
                <w:sz w:val="16"/>
              </w:rPr>
              <w:t>0</w:t>
            </w:r>
          </w:p>
        </w:tc>
        <w:tc>
          <w:tcPr>
            <w:tcW w:type="dxa" w:w="531"/>
          </w:tcPr>
          <w:p>
            <w:pPr>
              <w:spacing w:after="0"/>
            </w:pPr>
            <w:r>
              <w:rPr>
                <w:color w:val="1D1D1D"/>
                <w:sz w:val="16"/>
              </w:rPr>
              <w:t>0</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Items at GAP</w:t>
            </w:r>
          </w:p>
        </w:tc>
        <w:tc>
          <w:tcPr>
            <w:tcW w:type="dxa" w:w="531"/>
            <w:shd w:val="clear" w:color="auto" w:fill="FAF8F2"/>
          </w:tcPr>
          <w:p>
            <w:pPr>
              <w:spacing w:after="0"/>
            </w:pPr>
            <w:r>
              <w:rPr>
                <w:color w:val="1D1D1D"/>
                <w:sz w:val="16"/>
              </w:rPr>
              <w:t>L</w:t>
            </w:r>
          </w:p>
        </w:tc>
        <w:tc>
          <w:tcPr>
            <w:tcW w:type="dxa" w:w="884"/>
            <w:shd w:val="clear" w:color="auto" w:fill="FAF8F2"/>
          </w:tcPr>
          <w:p>
            <w:pPr>
              <w:spacing w:after="0"/>
            </w:pPr>
            <w:r>
              <w:rPr>
                <w:color w:val="1D1D1D"/>
                <w:sz w:val="16"/>
              </w:rPr>
              <w:t>1</w:t>
            </w:r>
          </w:p>
        </w:tc>
        <w:tc>
          <w:tcPr>
            <w:tcW w:type="dxa" w:w="973"/>
            <w:shd w:val="clear" w:color="auto" w:fill="FAF8F2"/>
          </w:tcPr>
          <w:p>
            <w:pPr>
              <w:spacing w:after="0"/>
            </w:pPr>
            <w:r>
              <w:rPr>
                <w:color w:val="1D1D1D"/>
                <w:sz w:val="16"/>
              </w:rPr>
              <w:t>3</w:t>
            </w:r>
          </w:p>
        </w:tc>
        <w:tc>
          <w:tcPr>
            <w:tcW w:type="dxa" w:w="973"/>
            <w:shd w:val="clear" w:color="auto" w:fill="FAF8F2"/>
          </w:tcPr>
          <w:p>
            <w:pPr>
              <w:spacing w:after="0"/>
            </w:pPr>
            <w:r>
              <w:rPr>
                <w:color w:val="1D1D1D"/>
                <w:sz w:val="16"/>
              </w:rPr>
              <w:t>5</w:t>
            </w:r>
          </w:p>
        </w:tc>
        <w:tc>
          <w:tcPr>
            <w:tcW w:type="dxa" w:w="531"/>
            <w:shd w:val="clear" w:color="auto" w:fill="FAF8F2"/>
          </w:tcPr>
          <w:p>
            <w:pPr>
              <w:spacing w:after="0"/>
            </w:pPr>
            <w:r>
              <w:rPr>
                <w:color w:val="1D1D1D"/>
                <w:sz w:val="16"/>
              </w:rPr>
              <w:t>4</w:t>
            </w:r>
          </w:p>
        </w:tc>
      </w:tr>
      <w:tr>
        <w:tc>
          <w:tcPr>
            <w:tcW w:type="dxa" w:w="1415"/>
          </w:tcPr>
          <w:p>
            <w:pPr>
              <w:spacing w:after="0"/>
            </w:pPr>
          </w:p>
        </w:tc>
        <w:tc>
          <w:tcPr>
            <w:tcW w:type="dxa" w:w="4333"/>
          </w:tcPr>
          <w:p>
            <w:pPr>
              <w:spacing w:after="0"/>
            </w:pPr>
            <w:r>
              <w:rPr>
                <w:color w:val="1D1D1D"/>
                <w:sz w:val="16"/>
              </w:rPr>
              <w:t>Fixed (capacity) share of revenue</w:t>
            </w:r>
          </w:p>
        </w:tc>
        <w:tc>
          <w:tcPr>
            <w:tcW w:type="dxa" w:w="531"/>
          </w:tcPr>
          <w:p>
            <w:pPr>
              <w:spacing w:after="0"/>
            </w:pPr>
            <w:r>
              <w:rPr>
                <w:color w:val="1D1D1D"/>
                <w:sz w:val="16"/>
              </w:rPr>
              <w:t>H</w:t>
            </w:r>
          </w:p>
        </w:tc>
        <w:tc>
          <w:tcPr>
            <w:tcW w:type="dxa" w:w="884"/>
          </w:tcPr>
          <w:p>
            <w:pPr>
              <w:spacing w:after="0"/>
            </w:pPr>
            <w:r>
              <w:rPr>
                <w:color w:val="1D1D1D"/>
                <w:sz w:val="16"/>
              </w:rPr>
              <w:t>60%</w:t>
            </w:r>
          </w:p>
        </w:tc>
        <w:tc>
          <w:tcPr>
            <w:tcW w:type="dxa" w:w="973"/>
          </w:tcPr>
          <w:p>
            <w:pPr>
              <w:spacing w:after="0"/>
            </w:pPr>
            <w:r>
              <w:rPr>
                <w:color w:val="1D1D1D"/>
                <w:sz w:val="16"/>
              </w:rPr>
              <w:t>40%</w:t>
            </w:r>
          </w:p>
        </w:tc>
        <w:tc>
          <w:tcPr>
            <w:tcW w:type="dxa" w:w="973"/>
          </w:tcPr>
          <w:p>
            <w:pPr>
              <w:spacing w:after="0"/>
            </w:pPr>
            <w:r>
              <w:rPr>
                <w:color w:val="1D1D1D"/>
                <w:sz w:val="16"/>
              </w:rPr>
              <w:t>20%</w:t>
            </w:r>
          </w:p>
        </w:tc>
        <w:tc>
          <w:tcPr>
            <w:tcW w:type="dxa" w:w="531"/>
          </w:tcPr>
          <w:p>
            <w:pPr>
              <w:spacing w:after="0"/>
            </w:pPr>
            <w:r>
              <w:rPr>
                <w:color w:val="1D1D1D"/>
                <w:sz w:val="16"/>
              </w:rPr>
              <w:t>0%</w:t>
            </w:r>
          </w:p>
        </w:tc>
      </w:tr>
      <w:tr>
        <w:tc>
          <w:tcPr>
            <w:tcW w:type="dxa" w:w="1415"/>
            <w:shd w:val="clear" w:color="auto" w:fill="FAF8F2"/>
          </w:tcPr>
          <w:p>
            <w:pPr>
              <w:spacing w:after="0"/>
            </w:pPr>
            <w:r>
              <w:rPr>
                <w:color w:val="1D1D1D"/>
                <w:sz w:val="16"/>
              </w:rPr>
              <w:t>7 Financing</w:t>
            </w:r>
          </w:p>
        </w:tc>
        <w:tc>
          <w:tcPr>
            <w:tcW w:type="dxa" w:w="4333"/>
            <w:shd w:val="clear" w:color="auto" w:fill="FAF8F2"/>
          </w:tcPr>
          <w:p>
            <w:pPr>
              <w:spacing w:after="0"/>
            </w:pPr>
            <w:r>
              <w:rPr>
                <w:color w:val="1D1D1D"/>
                <w:sz w:val="16"/>
              </w:rPr>
              <w:t>Minimum DSCR, actual case</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rFonts w:ascii="Courier New" w:hAnsi="Courier New"/>
                <w:color w:val="1D1D1D"/>
                <w:sz w:val="16"/>
              </w:rPr>
              <w:t>str_dscr</w:t>
            </w:r>
          </w:p>
        </w:tc>
        <w:tc>
          <w:tcPr>
            <w:tcW w:type="dxa" w:w="973"/>
            <w:shd w:val="clear" w:color="auto" w:fill="FAF8F2"/>
          </w:tcPr>
          <w:p>
            <w:pPr>
              <w:spacing w:after="0"/>
            </w:pPr>
            <w:r>
              <w:rPr>
                <w:rFonts w:ascii="Courier New" w:hAnsi="Courier New"/>
                <w:color w:val="1D1D1D"/>
                <w:sz w:val="16"/>
              </w:rPr>
              <w:t>lockup</w:t>
            </w:r>
          </w:p>
        </w:tc>
        <w:tc>
          <w:tcPr>
            <w:tcW w:type="dxa" w:w="973"/>
            <w:shd w:val="clear" w:color="auto" w:fill="FAF8F2"/>
          </w:tcPr>
          <w:p>
            <w:pPr>
              <w:spacing w:after="0"/>
            </w:pPr>
            <w:r>
              <w:rPr>
                <w:color w:val="1D1D1D"/>
                <w:sz w:val="16"/>
              </w:rPr>
              <w:t>1.0</w:t>
            </w:r>
          </w:p>
        </w:tc>
        <w:tc>
          <w:tcPr>
            <w:tcW w:type="dxa" w:w="531"/>
            <w:shd w:val="clear" w:color="auto" w:fill="FAF8F2"/>
          </w:tcPr>
          <w:p>
            <w:pPr>
              <w:spacing w:after="0"/>
            </w:pPr>
            <w:r>
              <w:rPr>
                <w:color w:val="1D1D1D"/>
                <w:sz w:val="16"/>
              </w:rPr>
              <w:t>1.53</w:t>
            </w:r>
          </w:p>
        </w:tc>
      </w:tr>
      <w:tr>
        <w:tc>
          <w:tcPr>
            <w:tcW w:type="dxa" w:w="1415"/>
          </w:tcPr>
          <w:p>
            <w:pPr>
              <w:spacing w:after="0"/>
            </w:pPr>
          </w:p>
        </w:tc>
        <w:tc>
          <w:tcPr>
            <w:tcW w:type="dxa" w:w="4333"/>
          </w:tcPr>
          <w:p>
            <w:pPr>
              <w:spacing w:after="0"/>
            </w:pPr>
            <w:r>
              <w:rPr>
                <w:color w:val="1D1D1D"/>
                <w:sz w:val="16"/>
              </w:rPr>
              <w:t>Financing gap / uses</w:t>
            </w:r>
          </w:p>
        </w:tc>
        <w:tc>
          <w:tcPr>
            <w:tcW w:type="dxa" w:w="531"/>
          </w:tcPr>
          <w:p>
            <w:pPr>
              <w:spacing w:after="0"/>
            </w:pPr>
            <w:r>
              <w:rPr>
                <w:color w:val="1D1D1D"/>
                <w:sz w:val="16"/>
              </w:rPr>
              <w:t>L</w:t>
            </w:r>
          </w:p>
        </w:tc>
        <w:tc>
          <w:tcPr>
            <w:tcW w:type="dxa" w:w="884"/>
          </w:tcPr>
          <w:p>
            <w:pPr>
              <w:spacing w:after="0"/>
            </w:pPr>
            <w:r>
              <w:rPr>
                <w:color w:val="1D1D1D"/>
                <w:sz w:val="16"/>
              </w:rPr>
              <w:t>0%</w:t>
            </w:r>
          </w:p>
        </w:tc>
        <w:tc>
          <w:tcPr>
            <w:tcW w:type="dxa" w:w="973"/>
          </w:tcPr>
          <w:p>
            <w:pPr>
              <w:spacing w:after="0"/>
            </w:pPr>
            <w:r>
              <w:rPr>
                <w:color w:val="1D1D1D"/>
                <w:sz w:val="16"/>
              </w:rPr>
              <w:t>5%</w:t>
            </w:r>
          </w:p>
        </w:tc>
        <w:tc>
          <w:tcPr>
            <w:tcW w:type="dxa" w:w="973"/>
          </w:tcPr>
          <w:p>
            <w:pPr>
              <w:spacing w:after="0"/>
            </w:pPr>
            <w:r>
              <w:rPr>
                <w:color w:val="1D1D1D"/>
                <w:sz w:val="16"/>
              </w:rPr>
              <w:t>15%</w:t>
            </w:r>
          </w:p>
        </w:tc>
        <w:tc>
          <w:tcPr>
            <w:tcW w:type="dxa" w:w="531"/>
          </w:tcPr>
          <w:p>
            <w:pPr>
              <w:spacing w:after="0"/>
            </w:pPr>
            <w:r>
              <w:rPr>
                <w:color w:val="1D1D1D"/>
                <w:sz w:val="16"/>
              </w:rPr>
              <w:t>1.9%</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Private equity IRR vs target</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hurdle</w:t>
            </w:r>
          </w:p>
        </w:tc>
        <w:tc>
          <w:tcPr>
            <w:tcW w:type="dxa" w:w="973"/>
            <w:shd w:val="clear" w:color="auto" w:fill="FAF8F2"/>
          </w:tcPr>
          <w:p>
            <w:pPr>
              <w:spacing w:after="0"/>
            </w:pPr>
            <w:r>
              <w:rPr>
                <w:color w:val="1D1D1D"/>
                <w:sz w:val="16"/>
              </w:rPr>
              <w:t>hurdle −2pp</w:t>
            </w:r>
          </w:p>
        </w:tc>
        <w:tc>
          <w:tcPr>
            <w:tcW w:type="dxa" w:w="973"/>
            <w:shd w:val="clear" w:color="auto" w:fill="FAF8F2"/>
          </w:tcPr>
          <w:p>
            <w:pPr>
              <w:spacing w:after="0"/>
            </w:pPr>
            <w:r>
              <w:rPr>
                <w:color w:val="1D1D1D"/>
                <w:sz w:val="16"/>
              </w:rPr>
              <w:t>hurdle −5pp</w:t>
            </w:r>
          </w:p>
        </w:tc>
        <w:tc>
          <w:tcPr>
            <w:tcW w:type="dxa" w:w="531"/>
            <w:shd w:val="clear" w:color="auto" w:fill="FAF8F2"/>
          </w:tcPr>
          <w:p>
            <w:pPr>
              <w:spacing w:after="0"/>
            </w:pPr>
            <w:r>
              <w:rPr>
                <w:color w:val="1D1D1D"/>
                <w:sz w:val="16"/>
              </w:rPr>
              <w:t>13.8%</w:t>
            </w:r>
          </w:p>
        </w:tc>
      </w:tr>
      <w:tr>
        <w:tc>
          <w:tcPr>
            <w:tcW w:type="dxa" w:w="1415"/>
          </w:tcPr>
          <w:p>
            <w:pPr>
              <w:spacing w:after="0"/>
            </w:pPr>
            <w:r>
              <w:rPr>
                <w:color w:val="1D1D1D"/>
                <w:sz w:val="16"/>
              </w:rPr>
              <w:t>8 Public finance</w:t>
            </w:r>
          </w:p>
        </w:tc>
        <w:tc>
          <w:tcPr>
            <w:tcW w:type="dxa" w:w="4333"/>
          </w:tcPr>
          <w:p>
            <w:pPr>
              <w:spacing w:after="0"/>
            </w:pPr>
            <w:r>
              <w:rPr>
                <w:color w:val="1D1D1D"/>
                <w:sz w:val="16"/>
              </w:rPr>
              <w:t>Peak cash need / revenue</w:t>
            </w:r>
          </w:p>
        </w:tc>
        <w:tc>
          <w:tcPr>
            <w:tcW w:type="dxa" w:w="531"/>
          </w:tcPr>
          <w:p>
            <w:pPr>
              <w:spacing w:after="0"/>
            </w:pPr>
            <w:r>
              <w:rPr>
                <w:color w:val="1D1D1D"/>
                <w:sz w:val="16"/>
              </w:rPr>
              <w:t>L</w:t>
            </w:r>
          </w:p>
        </w:tc>
        <w:tc>
          <w:tcPr>
            <w:tcW w:type="dxa" w:w="884"/>
          </w:tcPr>
          <w:p>
            <w:pPr>
              <w:spacing w:after="0"/>
            </w:pPr>
            <w:r>
              <w:rPr>
                <w:color w:val="1D1D1D"/>
                <w:sz w:val="16"/>
              </w:rPr>
              <w:t>0.5%</w:t>
            </w:r>
          </w:p>
        </w:tc>
        <w:tc>
          <w:tcPr>
            <w:tcW w:type="dxa" w:w="973"/>
          </w:tcPr>
          <w:p>
            <w:pPr>
              <w:spacing w:after="0"/>
            </w:pPr>
            <w:r>
              <w:rPr>
                <w:color w:val="1D1D1D"/>
                <w:sz w:val="16"/>
              </w:rPr>
              <w:t>1%</w:t>
            </w:r>
          </w:p>
        </w:tc>
        <w:tc>
          <w:tcPr>
            <w:tcW w:type="dxa" w:w="973"/>
          </w:tcPr>
          <w:p>
            <w:pPr>
              <w:spacing w:after="0"/>
            </w:pPr>
            <w:r>
              <w:rPr>
                <w:color w:val="1D1D1D"/>
                <w:sz w:val="16"/>
              </w:rPr>
              <w:t>2%</w:t>
            </w:r>
          </w:p>
        </w:tc>
        <w:tc>
          <w:tcPr>
            <w:tcW w:type="dxa" w:w="531"/>
          </w:tcPr>
          <w:p>
            <w:pPr>
              <w:spacing w:after="0"/>
            </w:pPr>
            <w:r>
              <w:rPr>
                <w:color w:val="1D1D1D"/>
                <w:sz w:val="16"/>
              </w:rPr>
              <w:t>0%</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Peak contingent exposure / GDP</w:t>
            </w:r>
          </w:p>
        </w:tc>
        <w:tc>
          <w:tcPr>
            <w:tcW w:type="dxa" w:w="531"/>
            <w:shd w:val="clear" w:color="auto" w:fill="FAF8F2"/>
          </w:tcPr>
          <w:p>
            <w:pPr>
              <w:spacing w:after="0"/>
            </w:pPr>
            <w:r>
              <w:rPr>
                <w:color w:val="1D1D1D"/>
                <w:sz w:val="16"/>
              </w:rPr>
              <w:t>L</w:t>
            </w:r>
          </w:p>
        </w:tc>
        <w:tc>
          <w:tcPr>
            <w:tcW w:type="dxa" w:w="884"/>
            <w:shd w:val="clear" w:color="auto" w:fill="FAF8F2"/>
          </w:tcPr>
          <w:p>
            <w:pPr>
              <w:spacing w:after="0"/>
            </w:pPr>
            <w:r>
              <w:rPr>
                <w:color w:val="1D1D1D"/>
                <w:sz w:val="16"/>
              </w:rPr>
              <w:t>1%</w:t>
            </w:r>
          </w:p>
        </w:tc>
        <w:tc>
          <w:tcPr>
            <w:tcW w:type="dxa" w:w="973"/>
            <w:shd w:val="clear" w:color="auto" w:fill="FAF8F2"/>
          </w:tcPr>
          <w:p>
            <w:pPr>
              <w:spacing w:after="0"/>
            </w:pPr>
            <w:r>
              <w:rPr>
                <w:color w:val="1D1D1D"/>
                <w:sz w:val="16"/>
              </w:rPr>
              <w:t>2%</w:t>
            </w:r>
          </w:p>
        </w:tc>
        <w:tc>
          <w:tcPr>
            <w:tcW w:type="dxa" w:w="973"/>
            <w:shd w:val="clear" w:color="auto" w:fill="FAF8F2"/>
          </w:tcPr>
          <w:p>
            <w:pPr>
              <w:spacing w:after="0"/>
            </w:pPr>
            <w:r>
              <w:rPr>
                <w:color w:val="1D1D1D"/>
                <w:sz w:val="16"/>
              </w:rPr>
              <w:t>4%</w:t>
            </w:r>
          </w:p>
        </w:tc>
        <w:tc>
          <w:tcPr>
            <w:tcW w:type="dxa" w:w="531"/>
            <w:shd w:val="clear" w:color="auto" w:fill="FAF8F2"/>
          </w:tcPr>
          <w:p>
            <w:pPr>
              <w:spacing w:after="0"/>
            </w:pPr>
            <w:r>
              <w:rPr>
                <w:color w:val="1D1D1D"/>
                <w:sz w:val="16"/>
              </w:rPr>
              <w:t>0.56%</w:t>
            </w:r>
          </w:p>
        </w:tc>
      </w:tr>
      <w:tr>
        <w:tc>
          <w:tcPr>
            <w:tcW w:type="dxa" w:w="1415"/>
          </w:tcPr>
          <w:p>
            <w:pPr>
              <w:spacing w:after="0"/>
            </w:pPr>
          </w:p>
        </w:tc>
        <w:tc>
          <w:tcPr>
            <w:tcW w:type="dxa" w:w="4333"/>
          </w:tcPr>
          <w:p>
            <w:pPr>
              <w:spacing w:after="0"/>
            </w:pPr>
            <w:r>
              <w:rPr>
                <w:color w:val="1D1D1D"/>
                <w:sz w:val="16"/>
              </w:rPr>
              <w:t>Peak on-budget increment / GDP</w:t>
            </w:r>
          </w:p>
        </w:tc>
        <w:tc>
          <w:tcPr>
            <w:tcW w:type="dxa" w:w="531"/>
          </w:tcPr>
          <w:p>
            <w:pPr>
              <w:spacing w:after="0"/>
            </w:pPr>
            <w:r>
              <w:rPr>
                <w:color w:val="1D1D1D"/>
                <w:sz w:val="16"/>
              </w:rPr>
              <w:t>L</w:t>
            </w:r>
          </w:p>
        </w:tc>
        <w:tc>
          <w:tcPr>
            <w:tcW w:type="dxa" w:w="884"/>
          </w:tcPr>
          <w:p>
            <w:pPr>
              <w:spacing w:after="0"/>
            </w:pPr>
            <w:r>
              <w:rPr>
                <w:color w:val="1D1D1D"/>
                <w:sz w:val="16"/>
              </w:rPr>
              <w:t>0.5%</w:t>
            </w:r>
          </w:p>
        </w:tc>
        <w:tc>
          <w:tcPr>
            <w:tcW w:type="dxa" w:w="973"/>
          </w:tcPr>
          <w:p>
            <w:pPr>
              <w:spacing w:after="0"/>
            </w:pPr>
            <w:r>
              <w:rPr>
                <w:color w:val="1D1D1D"/>
                <w:sz w:val="16"/>
              </w:rPr>
              <w:t>1%</w:t>
            </w:r>
          </w:p>
        </w:tc>
        <w:tc>
          <w:tcPr>
            <w:tcW w:type="dxa" w:w="973"/>
          </w:tcPr>
          <w:p>
            <w:pPr>
              <w:spacing w:after="0"/>
            </w:pPr>
            <w:r>
              <w:rPr>
                <w:color w:val="1D1D1D"/>
                <w:sz w:val="16"/>
              </w:rPr>
              <w:t>2%</w:t>
            </w:r>
          </w:p>
        </w:tc>
        <w:tc>
          <w:tcPr>
            <w:tcW w:type="dxa" w:w="531"/>
          </w:tcPr>
          <w:p>
            <w:pPr>
              <w:spacing w:after="0"/>
            </w:pPr>
            <w:r>
              <w:rPr>
                <w:color w:val="1D1D1D"/>
                <w:sz w:val="16"/>
              </w:rPr>
              <w:t>0%</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Consolidated fiscal NPV / GDP</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0%</w:t>
            </w:r>
          </w:p>
        </w:tc>
        <w:tc>
          <w:tcPr>
            <w:tcW w:type="dxa" w:w="973"/>
            <w:shd w:val="clear" w:color="auto" w:fill="FAF8F2"/>
          </w:tcPr>
          <w:p>
            <w:pPr>
              <w:spacing w:after="0"/>
            </w:pPr>
            <w:r>
              <w:rPr>
                <w:color w:val="1D1D1D"/>
                <w:sz w:val="16"/>
              </w:rPr>
              <w:t>−0.5%</w:t>
            </w:r>
          </w:p>
        </w:tc>
        <w:tc>
          <w:tcPr>
            <w:tcW w:type="dxa" w:w="973"/>
            <w:shd w:val="clear" w:color="auto" w:fill="FAF8F2"/>
          </w:tcPr>
          <w:p>
            <w:pPr>
              <w:spacing w:after="0"/>
            </w:pPr>
            <w:r>
              <w:rPr>
                <w:color w:val="1D1D1D"/>
                <w:sz w:val="16"/>
              </w:rPr>
              <w:t>−2%</w:t>
            </w:r>
          </w:p>
        </w:tc>
        <w:tc>
          <w:tcPr>
            <w:tcW w:type="dxa" w:w="531"/>
            <w:shd w:val="clear" w:color="auto" w:fill="FAF8F2"/>
          </w:tcPr>
          <w:p>
            <w:pPr>
              <w:spacing w:after="0"/>
            </w:pPr>
            <w:r>
              <w:rPr>
                <w:color w:val="1D1D1D"/>
                <w:sz w:val="16"/>
              </w:rPr>
              <w:t>−0.08%</w:t>
            </w:r>
          </w:p>
        </w:tc>
      </w:tr>
      <w:tr>
        <w:tc>
          <w:tcPr>
            <w:tcW w:type="dxa" w:w="1415"/>
          </w:tcPr>
          <w:p>
            <w:pPr>
              <w:spacing w:after="0"/>
            </w:pPr>
          </w:p>
        </w:tc>
        <w:tc>
          <w:tcPr>
            <w:tcW w:type="dxa" w:w="4333"/>
          </w:tcPr>
          <w:p>
            <w:pPr>
              <w:spacing w:after="0"/>
            </w:pPr>
            <w:r>
              <w:rPr>
                <w:color w:val="1D1D1D"/>
                <w:sz w:val="16"/>
              </w:rPr>
              <w:t>DSA risk rating (1 to 4)</w:t>
            </w:r>
          </w:p>
        </w:tc>
        <w:tc>
          <w:tcPr>
            <w:tcW w:type="dxa" w:w="531"/>
          </w:tcPr>
          <w:p>
            <w:pPr>
              <w:spacing w:after="0"/>
            </w:pPr>
            <w:r>
              <w:rPr>
                <w:color w:val="1D1D1D"/>
                <w:sz w:val="16"/>
              </w:rPr>
              <w:t>L</w:t>
            </w:r>
          </w:p>
        </w:tc>
        <w:tc>
          <w:tcPr>
            <w:tcW w:type="dxa" w:w="884"/>
          </w:tcPr>
          <w:p>
            <w:pPr>
              <w:spacing w:after="0"/>
            </w:pPr>
            <w:r>
              <w:rPr>
                <w:color w:val="1D1D1D"/>
                <w:sz w:val="16"/>
              </w:rPr>
              <w:t>1</w:t>
            </w:r>
          </w:p>
        </w:tc>
        <w:tc>
          <w:tcPr>
            <w:tcW w:type="dxa" w:w="973"/>
          </w:tcPr>
          <w:p>
            <w:pPr>
              <w:spacing w:after="0"/>
            </w:pPr>
            <w:r>
              <w:rPr>
                <w:color w:val="1D1D1D"/>
                <w:sz w:val="16"/>
              </w:rPr>
              <w:t>2</w:t>
            </w:r>
          </w:p>
        </w:tc>
        <w:tc>
          <w:tcPr>
            <w:tcW w:type="dxa" w:w="973"/>
          </w:tcPr>
          <w:p>
            <w:pPr>
              <w:spacing w:after="0"/>
            </w:pPr>
            <w:r>
              <w:rPr>
                <w:color w:val="1D1D1D"/>
                <w:sz w:val="16"/>
              </w:rPr>
              <w:t>3</w:t>
            </w:r>
          </w:p>
        </w:tc>
        <w:tc>
          <w:tcPr>
            <w:tcW w:type="dxa" w:w="531"/>
          </w:tcPr>
          <w:p>
            <w:pPr>
              <w:spacing w:after="0"/>
            </w:pPr>
            <w:r>
              <w:rPr>
                <w:color w:val="1D1D1D"/>
                <w:sz w:val="16"/>
              </w:rPr>
              <w:t>2</w:t>
            </w:r>
          </w:p>
        </w:tc>
      </w:tr>
      <w:tr>
        <w:tc>
          <w:tcPr>
            <w:tcW w:type="dxa" w:w="1415"/>
            <w:shd w:val="clear" w:color="auto" w:fill="FAF8F2"/>
          </w:tcPr>
          <w:p>
            <w:pPr>
              <w:spacing w:after="0"/>
            </w:pPr>
            <w:r>
              <w:rPr>
                <w:color w:val="1D1D1D"/>
                <w:sz w:val="16"/>
              </w:rPr>
              <w:t>9 E&amp;S</w:t>
            </w:r>
          </w:p>
        </w:tc>
        <w:tc>
          <w:tcPr>
            <w:tcW w:type="dxa" w:w="4333"/>
            <w:shd w:val="clear" w:color="auto" w:fill="FAF8F2"/>
          </w:tcPr>
          <w:p>
            <w:pPr>
              <w:spacing w:after="0"/>
            </w:pPr>
            <w:r>
              <w:rPr>
                <w:color w:val="1D1D1D"/>
                <w:sz w:val="16"/>
              </w:rPr>
              <w:t>ESIA and lender-standard compliance</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3</w:t>
            </w:r>
          </w:p>
        </w:tc>
        <w:tc>
          <w:tcPr>
            <w:tcW w:type="dxa" w:w="973"/>
            <w:shd w:val="clear" w:color="auto" w:fill="FAF8F2"/>
          </w:tcPr>
          <w:p>
            <w:pPr>
              <w:spacing w:after="0"/>
            </w:pPr>
            <w:r>
              <w:rPr>
                <w:color w:val="1D1D1D"/>
                <w:sz w:val="16"/>
              </w:rPr>
              <w:t>2</w:t>
            </w:r>
          </w:p>
        </w:tc>
        <w:tc>
          <w:tcPr>
            <w:tcW w:type="dxa" w:w="973"/>
            <w:shd w:val="clear" w:color="auto" w:fill="FAF8F2"/>
          </w:tcPr>
          <w:p>
            <w:pPr>
              <w:spacing w:after="0"/>
            </w:pPr>
            <w:r>
              <w:rPr>
                <w:color w:val="1D1D1D"/>
                <w:sz w:val="16"/>
              </w:rPr>
              <w:t>1</w:t>
            </w:r>
          </w:p>
        </w:tc>
        <w:tc>
          <w:tcPr>
            <w:tcW w:type="dxa" w:w="531"/>
            <w:shd w:val="clear" w:color="auto" w:fill="FAF8F2"/>
          </w:tcPr>
          <w:p>
            <w:pPr>
              <w:spacing w:after="0"/>
            </w:pPr>
            <w:r>
              <w:rPr>
                <w:color w:val="1D1D1D"/>
                <w:sz w:val="16"/>
              </w:rPr>
              <w:t>2</w:t>
            </w:r>
          </w:p>
        </w:tc>
      </w:tr>
      <w:tr>
        <w:tc>
          <w:tcPr>
            <w:tcW w:type="dxa" w:w="1415"/>
          </w:tcPr>
          <w:p>
            <w:pPr>
              <w:spacing w:after="0"/>
            </w:pPr>
          </w:p>
        </w:tc>
        <w:tc>
          <w:tcPr>
            <w:tcW w:type="dxa" w:w="4333"/>
          </w:tcPr>
          <w:p>
            <w:pPr>
              <w:spacing w:after="0"/>
            </w:pPr>
            <w:r>
              <w:rPr>
                <w:color w:val="1D1D1D"/>
                <w:sz w:val="16"/>
              </w:rPr>
              <w:t>Resettlement plan status</w:t>
            </w:r>
          </w:p>
        </w:tc>
        <w:tc>
          <w:tcPr>
            <w:tcW w:type="dxa" w:w="531"/>
          </w:tcPr>
          <w:p>
            <w:pPr>
              <w:spacing w:after="0"/>
            </w:pPr>
            <w:r>
              <w:rPr>
                <w:color w:val="1D1D1D"/>
                <w:sz w:val="16"/>
              </w:rPr>
              <w:t>H</w:t>
            </w:r>
          </w:p>
        </w:tc>
        <w:tc>
          <w:tcPr>
            <w:tcW w:type="dxa" w:w="884"/>
          </w:tcPr>
          <w:p>
            <w:pPr>
              <w:spacing w:after="0"/>
            </w:pPr>
            <w:r>
              <w:rPr>
                <w:color w:val="1D1D1D"/>
                <w:sz w:val="16"/>
              </w:rPr>
              <w:t>3</w:t>
            </w:r>
          </w:p>
        </w:tc>
        <w:tc>
          <w:tcPr>
            <w:tcW w:type="dxa" w:w="973"/>
          </w:tcPr>
          <w:p>
            <w:pPr>
              <w:spacing w:after="0"/>
            </w:pPr>
            <w:r>
              <w:rPr>
                <w:color w:val="1D1D1D"/>
                <w:sz w:val="16"/>
              </w:rPr>
              <w:t>2</w:t>
            </w:r>
          </w:p>
        </w:tc>
        <w:tc>
          <w:tcPr>
            <w:tcW w:type="dxa" w:w="973"/>
          </w:tcPr>
          <w:p>
            <w:pPr>
              <w:spacing w:after="0"/>
            </w:pPr>
            <w:r>
              <w:rPr>
                <w:color w:val="1D1D1D"/>
                <w:sz w:val="16"/>
              </w:rPr>
              <w:t>1</w:t>
            </w:r>
          </w:p>
        </w:tc>
        <w:tc>
          <w:tcPr>
            <w:tcW w:type="dxa" w:w="531"/>
          </w:tcPr>
          <w:p>
            <w:pPr>
              <w:spacing w:after="0"/>
            </w:pPr>
            <w:r>
              <w:rPr>
                <w:color w:val="1D1D1D"/>
                <w:sz w:val="16"/>
              </w:rPr>
              <w:t>2</w:t>
            </w:r>
          </w:p>
        </w:tc>
      </w:tr>
      <w:tr>
        <w:tc>
          <w:tcPr>
            <w:tcW w:type="dxa" w:w="1415"/>
            <w:shd w:val="clear" w:color="auto" w:fill="FAF8F2"/>
          </w:tcPr>
          <w:p>
            <w:pPr>
              <w:spacing w:after="0"/>
            </w:pPr>
          </w:p>
        </w:tc>
        <w:tc>
          <w:tcPr>
            <w:tcW w:type="dxa" w:w="4333"/>
            <w:shd w:val="clear" w:color="auto" w:fill="FAF8F2"/>
          </w:tcPr>
          <w:p>
            <w:pPr>
              <w:spacing w:after="0"/>
            </w:pPr>
            <w:r>
              <w:rPr>
                <w:color w:val="1D1D1D"/>
                <w:sz w:val="16"/>
              </w:rPr>
              <w:t>Transboundary issues</w:t>
            </w:r>
          </w:p>
        </w:tc>
        <w:tc>
          <w:tcPr>
            <w:tcW w:type="dxa" w:w="531"/>
            <w:shd w:val="clear" w:color="auto" w:fill="FAF8F2"/>
          </w:tcPr>
          <w:p>
            <w:pPr>
              <w:spacing w:after="0"/>
            </w:pPr>
            <w:r>
              <w:rPr>
                <w:color w:val="1D1D1D"/>
                <w:sz w:val="16"/>
              </w:rPr>
              <w:t>H</w:t>
            </w:r>
          </w:p>
        </w:tc>
        <w:tc>
          <w:tcPr>
            <w:tcW w:type="dxa" w:w="884"/>
            <w:shd w:val="clear" w:color="auto" w:fill="FAF8F2"/>
          </w:tcPr>
          <w:p>
            <w:pPr>
              <w:spacing w:after="0"/>
            </w:pPr>
            <w:r>
              <w:rPr>
                <w:color w:val="1D1D1D"/>
                <w:sz w:val="16"/>
              </w:rPr>
              <w:t>3</w:t>
            </w:r>
          </w:p>
        </w:tc>
        <w:tc>
          <w:tcPr>
            <w:tcW w:type="dxa" w:w="973"/>
            <w:shd w:val="clear" w:color="auto" w:fill="FAF8F2"/>
          </w:tcPr>
          <w:p>
            <w:pPr>
              <w:spacing w:after="0"/>
            </w:pPr>
            <w:r>
              <w:rPr>
                <w:color w:val="1D1D1D"/>
                <w:sz w:val="16"/>
              </w:rPr>
              <w:t>2</w:t>
            </w:r>
          </w:p>
        </w:tc>
        <w:tc>
          <w:tcPr>
            <w:tcW w:type="dxa" w:w="973"/>
            <w:shd w:val="clear" w:color="auto" w:fill="FAF8F2"/>
          </w:tcPr>
          <w:p>
            <w:pPr>
              <w:spacing w:after="0"/>
            </w:pPr>
            <w:r>
              <w:rPr>
                <w:color w:val="1D1D1D"/>
                <w:sz w:val="16"/>
              </w:rPr>
              <w:t>1</w:t>
            </w:r>
          </w:p>
        </w:tc>
        <w:tc>
          <w:tcPr>
            <w:tcW w:type="dxa" w:w="531"/>
            <w:shd w:val="clear" w:color="auto" w:fill="FAF8F2"/>
          </w:tcPr>
          <w:p>
            <w:pPr>
              <w:spacing w:after="0"/>
            </w:pPr>
            <w:r>
              <w:rPr>
                <w:color w:val="1D1D1D"/>
                <w:sz w:val="16"/>
              </w:rPr>
              <w:t>3</w:t>
            </w:r>
          </w:p>
        </w:tc>
      </w:tr>
    </w:tbl>
    <w:p>
      <w:pPr>
        <w:spacing w:after="40"/>
      </w:pPr>
    </w:p>
    <w:p>
      <w:pPr>
        <w:jc w:val="both"/>
      </w:pPr>
      <w:r>
        <w:rPr/>
        <w:t xml:space="preserve">The equity IRR test uses </w:t>
      </w:r>
      <w:r>
        <w:rPr>
          <w:rFonts w:ascii="Courier New" w:hAnsi="Courier New"/>
        </w:rPr>
        <w:t>IF(ISNUMBER(kpi_eirr),kpi_eirr,IF(s_priv&gt;0,-1,str_hurdle))</w:t>
      </w:r>
      <w:r>
        <w:rPr/>
        <w:t>, so a structure without private equity passes it. The overall verdict:</w:t>
      </w:r>
    </w:p>
    <w:tbl>
      <w:tblPr>
        <w:tblStyle w:val="TableGrid"/>
        <w:tblW w:type="auto" w:w="0"/>
        <w:jc w:val="center"/>
        <w:tblLook w:firstColumn="1" w:firstRow="1" w:lastColumn="0" w:lastRow="0" w:noHBand="0" w:noVBand="1" w:val="04A0"/>
      </w:tblPr>
      <w:tblGrid>
        <w:gridCol w:w="4819"/>
        <w:gridCol w:w="4819"/>
      </w:tblGrid>
      <w:tr>
        <w:tc>
          <w:tcPr>
            <w:tcW w:type="dxa" w:w="3777"/>
            <w:shd w:val="clear" w:color="auto" w:fill="0B3020"/>
          </w:tcPr>
          <w:p>
            <w:pPr>
              <w:spacing w:after="0"/>
            </w:pPr>
            <w:r>
              <w:rPr>
                <w:b/>
                <w:color w:val="FFFFFF"/>
                <w:sz w:val="16"/>
              </w:rPr>
              <w:t>Condition</w:t>
            </w:r>
          </w:p>
        </w:tc>
        <w:tc>
          <w:tcPr>
            <w:tcW w:type="dxa" w:w="5861"/>
            <w:shd w:val="clear" w:color="auto" w:fill="0B3020"/>
          </w:tcPr>
          <w:p>
            <w:pPr>
              <w:spacing w:after="0"/>
            </w:pPr>
            <w:r>
              <w:rPr>
                <w:b/>
                <w:color w:val="FFFFFF"/>
                <w:sz w:val="16"/>
              </w:rPr>
              <w:t>Verdict</w:t>
            </w:r>
          </w:p>
        </w:tc>
      </w:tr>
      <w:tr>
        <w:tc>
          <w:tcPr>
            <w:tcW w:type="dxa" w:w="3777"/>
          </w:tcPr>
          <w:p>
            <w:pPr>
              <w:spacing w:after="0"/>
            </w:pPr>
            <w:r>
              <w:rPr>
                <w:color w:val="1D1D1D"/>
                <w:sz w:val="16"/>
              </w:rPr>
              <w:t>Any gate at CRITICAL GAP</w:t>
            </w:r>
          </w:p>
        </w:tc>
        <w:tc>
          <w:tcPr>
            <w:tcW w:type="dxa" w:w="5861"/>
          </w:tcPr>
          <w:p>
            <w:pPr>
              <w:spacing w:after="0"/>
            </w:pPr>
            <w:r>
              <w:rPr>
                <w:color w:val="1D1D1D"/>
                <w:sz w:val="16"/>
              </w:rPr>
              <w:t>NOT BANKABLE (critical gap(s) must be closed)</w:t>
            </w:r>
          </w:p>
        </w:tc>
      </w:tr>
      <w:tr>
        <w:tc>
          <w:tcPr>
            <w:tcW w:type="dxa" w:w="3777"/>
            <w:shd w:val="clear" w:color="auto" w:fill="FAF8F2"/>
          </w:tcPr>
          <w:p>
            <w:pPr>
              <w:spacing w:after="0"/>
            </w:pPr>
            <w:r>
              <w:rPr>
                <w:color w:val="1D1D1D"/>
                <w:sz w:val="16"/>
              </w:rPr>
              <w:t>Otherwise any DEVELOPMENT GAP</w:t>
            </w:r>
          </w:p>
        </w:tc>
        <w:tc>
          <w:tcPr>
            <w:tcW w:type="dxa" w:w="5861"/>
            <w:shd w:val="clear" w:color="auto" w:fill="FAF8F2"/>
          </w:tcPr>
          <w:p>
            <w:pPr>
              <w:spacing w:after="0"/>
            </w:pPr>
            <w:r>
              <w:rPr>
                <w:color w:val="1D1D1D"/>
                <w:sz w:val="16"/>
              </w:rPr>
              <w:t>NOT YET BANKABLE (development gaps remain)</w:t>
            </w:r>
          </w:p>
        </w:tc>
      </w:tr>
      <w:tr>
        <w:tc>
          <w:tcPr>
            <w:tcW w:type="dxa" w:w="3777"/>
          </w:tcPr>
          <w:p>
            <w:pPr>
              <w:spacing w:after="0"/>
            </w:pPr>
            <w:r>
              <w:rPr>
                <w:color w:val="1D1D1D"/>
                <w:sz w:val="16"/>
              </w:rPr>
              <w:t>Otherwise lowest score 2</w:t>
            </w:r>
          </w:p>
        </w:tc>
        <w:tc>
          <w:tcPr>
            <w:tcW w:type="dxa" w:w="5861"/>
          </w:tcPr>
          <w:p>
            <w:pPr>
              <w:spacing w:after="0"/>
            </w:pPr>
            <w:r>
              <w:rPr>
                <w:color w:val="1D1D1D"/>
                <w:sz w:val="16"/>
              </w:rPr>
              <w:t>BANKABLE SUBJECT TO CONDITIONS</w:t>
            </w:r>
          </w:p>
        </w:tc>
      </w:tr>
      <w:tr>
        <w:tc>
          <w:tcPr>
            <w:tcW w:type="dxa" w:w="3777"/>
            <w:shd w:val="clear" w:color="auto" w:fill="FAF8F2"/>
          </w:tcPr>
          <w:p>
            <w:pPr>
              <w:spacing w:after="0"/>
            </w:pPr>
            <w:r>
              <w:rPr>
                <w:color w:val="1D1D1D"/>
                <w:sz w:val="16"/>
              </w:rPr>
              <w:t>All gates READY</w:t>
            </w:r>
          </w:p>
        </w:tc>
        <w:tc>
          <w:tcPr>
            <w:tcW w:type="dxa" w:w="5861"/>
            <w:shd w:val="clear" w:color="auto" w:fill="FAF8F2"/>
          </w:tcPr>
          <w:p>
            <w:pPr>
              <w:spacing w:after="0"/>
            </w:pPr>
            <w:r>
              <w:rPr>
                <w:color w:val="1D1D1D"/>
                <w:sz w:val="16"/>
              </w:rPr>
              <w:t>READY FOR FINANCIAL CLOSE</w:t>
            </w:r>
          </w:p>
        </w:tc>
      </w:tr>
    </w:tbl>
    <w:p>
      <w:pPr>
        <w:spacing w:after="40"/>
      </w:pPr>
    </w:p>
    <w:p>
      <w:pPr>
        <w:jc w:val="both"/>
      </w:pPr>
      <w:r>
        <w:rPr/>
        <w:t>Each gate carries a pre-written action: a gap action when the score is 0 or 1, a conditional action when it is 2. The dashboard ranks gates by a key equal to the score plus the gate number divided by 100, so ties are broken in gate order, and lists the five lowest with their actions.</w:t>
      </w:r>
    </w:p>
    <w:p>
      <w:pPr>
        <w:jc w:val="both"/>
      </w:pPr>
      <w:r>
        <w:rPr/>
        <w:t>Reading note for Kasiri: Gate 6 is at CRITICAL GAP only because the tariff is energy-only, so the fixed share of revenue is 0%, below the 20% development-gap threshold. The threshold is illustrative; an energy-only tariff can be bankable if hydrology risk is otherwise covered, and the user should calibrate this test to the lenders' view.</w:t>
      </w:r>
    </w:p>
    <w:p>
      <w:pPr>
        <w:pStyle w:val="Heading2"/>
      </w:pPr>
      <w:r>
        <w:t>6.18 The 23-gate close readiness and the decision ladder (30A_CLOSE_READINESS)</w:t>
      </w:r>
    </w:p>
    <w:p>
      <w:pPr>
        <w:jc w:val="both"/>
      </w:pPr>
      <w:r>
        <w:rPr/>
        <w:t>Each gate has an area, a critical flag and either an automatic model test or an evidence status entered by the user (MET, PARTIAL, NOT MET or NO EVIDENCE). Automatic tests return MET or NOT MET.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22"/>
            <w:shd w:val="clear" w:color="auto" w:fill="0B3020"/>
          </w:tcPr>
          <w:p>
            <w:pPr>
              <w:spacing w:after="0"/>
            </w:pPr>
            <w:r>
              <w:rPr>
                <w:b/>
                <w:color w:val="FFFFFF"/>
                <w:sz w:val="16"/>
              </w:rPr>
              <w:t>#</w:t>
            </w:r>
          </w:p>
        </w:tc>
        <w:tc>
          <w:tcPr>
            <w:tcW w:type="dxa" w:w="4221"/>
            <w:shd w:val="clear" w:color="auto" w:fill="0B3020"/>
          </w:tcPr>
          <w:p>
            <w:pPr>
              <w:spacing w:after="0"/>
            </w:pPr>
            <w:r>
              <w:rPr>
                <w:b/>
                <w:color w:val="FFFFFF"/>
                <w:sz w:val="16"/>
              </w:rPr>
              <w:t>Gate</w:t>
            </w:r>
          </w:p>
        </w:tc>
        <w:tc>
          <w:tcPr>
            <w:tcW w:type="dxa" w:w="563"/>
            <w:shd w:val="clear" w:color="auto" w:fill="0B3020"/>
          </w:tcPr>
          <w:p>
            <w:pPr>
              <w:spacing w:after="0"/>
            </w:pPr>
            <w:r>
              <w:rPr>
                <w:b/>
                <w:color w:val="FFFFFF"/>
                <w:sz w:val="16"/>
              </w:rPr>
              <w:t>Critical</w:t>
            </w:r>
          </w:p>
        </w:tc>
        <w:tc>
          <w:tcPr>
            <w:tcW w:type="dxa" w:w="3869"/>
            <w:shd w:val="clear" w:color="auto" w:fill="0B3020"/>
          </w:tcPr>
          <w:p>
            <w:pPr>
              <w:spacing w:after="0"/>
            </w:pPr>
            <w:r>
              <w:rPr>
                <w:b/>
                <w:color w:val="FFFFFF"/>
                <w:sz w:val="16"/>
              </w:rPr>
              <w:t>Test or default evidence</w:t>
            </w:r>
          </w:p>
        </w:tc>
        <w:tc>
          <w:tcPr>
            <w:tcW w:type="dxa" w:w="563"/>
            <w:shd w:val="clear" w:color="auto" w:fill="0B3020"/>
          </w:tcPr>
          <w:p>
            <w:pPr>
              <w:spacing w:after="0"/>
            </w:pPr>
            <w:r>
              <w:rPr>
                <w:b/>
                <w:color w:val="FFFFFF"/>
                <w:sz w:val="16"/>
              </w:rPr>
              <w:t>Question</w:t>
            </w:r>
          </w:p>
        </w:tc>
      </w:tr>
      <w:tr>
        <w:tc>
          <w:tcPr>
            <w:tcW w:type="dxa" w:w="422"/>
          </w:tcPr>
          <w:p>
            <w:pPr>
              <w:spacing w:after="0"/>
            </w:pPr>
            <w:r>
              <w:rPr>
                <w:color w:val="1D1D1D"/>
                <w:sz w:val="16"/>
              </w:rPr>
              <w:t>1</w:t>
            </w:r>
          </w:p>
        </w:tc>
        <w:tc>
          <w:tcPr>
            <w:tcW w:type="dxa" w:w="4221"/>
          </w:tcPr>
          <w:p>
            <w:pPr>
              <w:spacing w:after="0"/>
            </w:pPr>
            <w:r>
              <w:rPr>
                <w:color w:val="1D1D1D"/>
                <w:sz w:val="16"/>
              </w:rPr>
              <w:t>Flow record of at least 15 years and independent hydrology review</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AND(rec_years&gt;=15,hyd_study=3)</w:t>
            </w:r>
          </w:p>
        </w:tc>
        <w:tc>
          <w:tcPr>
            <w:tcW w:type="dxa" w:w="563"/>
          </w:tcPr>
          <w:p>
            <w:pPr>
              <w:spacing w:after="0"/>
            </w:pPr>
            <w:r>
              <w:rPr>
                <w:color w:val="1D1D1D"/>
                <w:sz w:val="16"/>
              </w:rPr>
              <w:t>Q1</w:t>
            </w:r>
          </w:p>
        </w:tc>
      </w:tr>
      <w:tr>
        <w:tc>
          <w:tcPr>
            <w:tcW w:type="dxa" w:w="422"/>
            <w:shd w:val="clear" w:color="auto" w:fill="FAF8F2"/>
          </w:tcPr>
          <w:p>
            <w:pPr>
              <w:spacing w:after="0"/>
            </w:pPr>
            <w:r>
              <w:rPr>
                <w:color w:val="1D1D1D"/>
                <w:sz w:val="16"/>
              </w:rPr>
              <w:t>2</w:t>
            </w:r>
          </w:p>
        </w:tc>
        <w:tc>
          <w:tcPr>
            <w:tcW w:type="dxa" w:w="4221"/>
            <w:shd w:val="clear" w:color="auto" w:fill="FAF8F2"/>
          </w:tcPr>
          <w:p>
            <w:pPr>
              <w:spacing w:after="0"/>
            </w:pPr>
            <w:r>
              <w:rPr>
                <w:color w:val="1D1D1D"/>
                <w:sz w:val="16"/>
              </w:rPr>
              <w:t>P90 energy confirmed by the lenders' technical adviser</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Q1</w:t>
            </w:r>
          </w:p>
        </w:tc>
      </w:tr>
      <w:tr>
        <w:tc>
          <w:tcPr>
            <w:tcW w:type="dxa" w:w="422"/>
          </w:tcPr>
          <w:p>
            <w:pPr>
              <w:spacing w:after="0"/>
            </w:pPr>
            <w:r>
              <w:rPr>
                <w:color w:val="1D1D1D"/>
                <w:sz w:val="16"/>
              </w:rPr>
              <w:t>3</w:t>
            </w:r>
          </w:p>
        </w:tc>
        <w:tc>
          <w:tcPr>
            <w:tcW w:type="dxa" w:w="4221"/>
          </w:tcPr>
          <w:p>
            <w:pPr>
              <w:spacing w:after="0"/>
            </w:pPr>
            <w:r>
              <w:rPr>
                <w:color w:val="1D1D1D"/>
                <w:sz w:val="16"/>
              </w:rPr>
              <w:t>Bankable feasibility study signed off by the lenders' technical adviser</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fs_level=3</w:t>
            </w:r>
          </w:p>
        </w:tc>
        <w:tc>
          <w:tcPr>
            <w:tcW w:type="dxa" w:w="563"/>
          </w:tcPr>
          <w:p>
            <w:pPr>
              <w:spacing w:after="0"/>
            </w:pPr>
            <w:r>
              <w:rPr>
                <w:color w:val="1D1D1D"/>
                <w:sz w:val="16"/>
              </w:rPr>
              <w:t>Q1</w:t>
            </w:r>
          </w:p>
        </w:tc>
      </w:tr>
      <w:tr>
        <w:tc>
          <w:tcPr>
            <w:tcW w:type="dxa" w:w="422"/>
            <w:shd w:val="clear" w:color="auto" w:fill="FAF8F2"/>
          </w:tcPr>
          <w:p>
            <w:pPr>
              <w:spacing w:after="0"/>
            </w:pPr>
            <w:r>
              <w:rPr>
                <w:color w:val="1D1D1D"/>
                <w:sz w:val="16"/>
              </w:rPr>
              <w:t>4</w:t>
            </w:r>
          </w:p>
        </w:tc>
        <w:tc>
          <w:tcPr>
            <w:tcW w:type="dxa" w:w="4221"/>
            <w:shd w:val="clear" w:color="auto" w:fill="FAF8F2"/>
          </w:tcPr>
          <w:p>
            <w:pPr>
              <w:spacing w:after="0"/>
            </w:pPr>
            <w:r>
              <w:rPr>
                <w:color w:val="1D1D1D"/>
                <w:sz w:val="16"/>
              </w:rPr>
              <w:t>Geotechnical investigation sufficient for a baseline report</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Q1</w:t>
            </w:r>
          </w:p>
        </w:tc>
      </w:tr>
      <w:tr>
        <w:tc>
          <w:tcPr>
            <w:tcW w:type="dxa" w:w="422"/>
          </w:tcPr>
          <w:p>
            <w:pPr>
              <w:spacing w:after="0"/>
            </w:pPr>
            <w:r>
              <w:rPr>
                <w:color w:val="1D1D1D"/>
                <w:sz w:val="16"/>
              </w:rPr>
              <w:t>5</w:t>
            </w:r>
          </w:p>
        </w:tc>
        <w:tc>
          <w:tcPr>
            <w:tcW w:type="dxa" w:w="4221"/>
          </w:tcPr>
          <w:p>
            <w:pPr>
              <w:spacing w:after="0"/>
            </w:pPr>
            <w:r>
              <w:rPr>
                <w:color w:val="1D1D1D"/>
                <w:sz w:val="16"/>
              </w:rPr>
              <w:t>ESIA approved and compliant with lender standards</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es_level=3</w:t>
            </w:r>
          </w:p>
        </w:tc>
        <w:tc>
          <w:tcPr>
            <w:tcW w:type="dxa" w:w="563"/>
          </w:tcPr>
          <w:p>
            <w:pPr>
              <w:spacing w:after="0"/>
            </w:pPr>
            <w:r>
              <w:rPr>
                <w:color w:val="1D1D1D"/>
                <w:sz w:val="16"/>
              </w:rPr>
              <w:t>Q2</w:t>
            </w:r>
          </w:p>
        </w:tc>
      </w:tr>
      <w:tr>
        <w:tc>
          <w:tcPr>
            <w:tcW w:type="dxa" w:w="422"/>
            <w:shd w:val="clear" w:color="auto" w:fill="FAF8F2"/>
          </w:tcPr>
          <w:p>
            <w:pPr>
              <w:spacing w:after="0"/>
            </w:pPr>
            <w:r>
              <w:rPr>
                <w:color w:val="1D1D1D"/>
                <w:sz w:val="16"/>
              </w:rPr>
              <w:t>6</w:t>
            </w:r>
          </w:p>
        </w:tc>
        <w:tc>
          <w:tcPr>
            <w:tcW w:type="dxa" w:w="4221"/>
            <w:shd w:val="clear" w:color="auto" w:fill="FAF8F2"/>
          </w:tcPr>
          <w:p>
            <w:pPr>
              <w:spacing w:after="0"/>
            </w:pPr>
            <w:r>
              <w:rPr>
                <w:color w:val="1D1D1D"/>
                <w:sz w:val="16"/>
              </w:rPr>
              <w:t>Resettlement action plan approved and funded</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rFonts w:ascii="Courier New" w:hAnsi="Courier New"/>
                <w:color w:val="1D1D1D"/>
                <w:sz w:val="16"/>
              </w:rPr>
              <w:t>rap_level&gt;=2</w:t>
            </w:r>
          </w:p>
        </w:tc>
        <w:tc>
          <w:tcPr>
            <w:tcW w:type="dxa" w:w="563"/>
            <w:shd w:val="clear" w:color="auto" w:fill="FAF8F2"/>
          </w:tcPr>
          <w:p>
            <w:pPr>
              <w:spacing w:after="0"/>
            </w:pPr>
            <w:r>
              <w:rPr>
                <w:color w:val="1D1D1D"/>
                <w:sz w:val="16"/>
              </w:rPr>
              <w:t>Q2</w:t>
            </w:r>
          </w:p>
        </w:tc>
      </w:tr>
      <w:tr>
        <w:tc>
          <w:tcPr>
            <w:tcW w:type="dxa" w:w="422"/>
          </w:tcPr>
          <w:p>
            <w:pPr>
              <w:spacing w:after="0"/>
            </w:pPr>
            <w:r>
              <w:rPr>
                <w:color w:val="1D1D1D"/>
                <w:sz w:val="16"/>
              </w:rPr>
              <w:t>7</w:t>
            </w:r>
          </w:p>
        </w:tc>
        <w:tc>
          <w:tcPr>
            <w:tcW w:type="dxa" w:w="4221"/>
          </w:tcPr>
          <w:p>
            <w:pPr>
              <w:spacing w:after="0"/>
            </w:pPr>
            <w:r>
              <w:rPr>
                <w:color w:val="1D1D1D"/>
                <w:sz w:val="16"/>
              </w:rPr>
              <w:t>Generation licence and water-use permit granted</w:t>
            </w:r>
          </w:p>
        </w:tc>
        <w:tc>
          <w:tcPr>
            <w:tcW w:type="dxa" w:w="563"/>
          </w:tcPr>
          <w:p>
            <w:pPr>
              <w:spacing w:after="0"/>
            </w:pPr>
            <w:r>
              <w:rPr>
                <w:color w:val="1D1D1D"/>
                <w:sz w:val="16"/>
              </w:rPr>
              <w:t>Y</w:t>
            </w:r>
          </w:p>
        </w:tc>
        <w:tc>
          <w:tcPr>
            <w:tcW w:type="dxa" w:w="3869"/>
          </w:tcPr>
          <w:p>
            <w:pPr>
              <w:spacing w:after="0"/>
            </w:pPr>
            <w:r>
              <w:rPr>
                <w:color w:val="1D1D1D"/>
                <w:sz w:val="16"/>
              </w:rPr>
              <w:t>PARTIAL</w:t>
            </w:r>
          </w:p>
        </w:tc>
        <w:tc>
          <w:tcPr>
            <w:tcW w:type="dxa" w:w="563"/>
          </w:tcPr>
          <w:p>
            <w:pPr>
              <w:spacing w:after="0"/>
            </w:pPr>
            <w:r>
              <w:rPr>
                <w:color w:val="1D1D1D"/>
                <w:sz w:val="16"/>
              </w:rPr>
              <w:t>Q2</w:t>
            </w:r>
          </w:p>
        </w:tc>
      </w:tr>
      <w:tr>
        <w:tc>
          <w:tcPr>
            <w:tcW w:type="dxa" w:w="422"/>
            <w:shd w:val="clear" w:color="auto" w:fill="FAF8F2"/>
          </w:tcPr>
          <w:p>
            <w:pPr>
              <w:spacing w:after="0"/>
            </w:pPr>
            <w:r>
              <w:rPr>
                <w:color w:val="1D1D1D"/>
                <w:sz w:val="16"/>
              </w:rPr>
              <w:t>8</w:t>
            </w:r>
          </w:p>
        </w:tc>
        <w:tc>
          <w:tcPr>
            <w:tcW w:type="dxa" w:w="4221"/>
            <w:shd w:val="clear" w:color="auto" w:fill="FAF8F2"/>
          </w:tcPr>
          <w:p>
            <w:pPr>
              <w:spacing w:after="0"/>
            </w:pPr>
            <w:r>
              <w:rPr>
                <w:color w:val="1D1D1D"/>
                <w:sz w:val="16"/>
              </w:rPr>
              <w:t>Land rights secured for all project areas</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color w:val="1D1D1D"/>
                <w:sz w:val="16"/>
              </w:rPr>
              <w:t>NOT MET</w:t>
            </w:r>
          </w:p>
        </w:tc>
        <w:tc>
          <w:tcPr>
            <w:tcW w:type="dxa" w:w="563"/>
            <w:shd w:val="clear" w:color="auto" w:fill="FAF8F2"/>
          </w:tcPr>
          <w:p>
            <w:pPr>
              <w:spacing w:after="0"/>
            </w:pPr>
            <w:r>
              <w:rPr>
                <w:color w:val="1D1D1D"/>
                <w:sz w:val="16"/>
              </w:rPr>
              <w:t>Q2</w:t>
            </w:r>
          </w:p>
        </w:tc>
      </w:tr>
      <w:tr>
        <w:tc>
          <w:tcPr>
            <w:tcW w:type="dxa" w:w="422"/>
          </w:tcPr>
          <w:p>
            <w:pPr>
              <w:spacing w:after="0"/>
            </w:pPr>
            <w:r>
              <w:rPr>
                <w:color w:val="1D1D1D"/>
                <w:sz w:val="16"/>
              </w:rPr>
              <w:t>9</w:t>
            </w:r>
          </w:p>
        </w:tc>
        <w:tc>
          <w:tcPr>
            <w:tcW w:type="dxa" w:w="4221"/>
          </w:tcPr>
          <w:p>
            <w:pPr>
              <w:spacing w:after="0"/>
            </w:pPr>
            <w:r>
              <w:rPr>
                <w:color w:val="1D1D1D"/>
                <w:sz w:val="16"/>
              </w:rPr>
              <w:t>PPA signed and approved by the regulator</w:t>
            </w:r>
          </w:p>
        </w:tc>
        <w:tc>
          <w:tcPr>
            <w:tcW w:type="dxa" w:w="563"/>
          </w:tcPr>
          <w:p>
            <w:pPr>
              <w:spacing w:after="0"/>
            </w:pPr>
            <w:r>
              <w:rPr>
                <w:color w:val="1D1D1D"/>
                <w:sz w:val="16"/>
              </w:rPr>
              <w:t>Y</w:t>
            </w:r>
          </w:p>
        </w:tc>
        <w:tc>
          <w:tcPr>
            <w:tcW w:type="dxa" w:w="3869"/>
          </w:tcPr>
          <w:p>
            <w:pPr>
              <w:spacing w:after="0"/>
            </w:pPr>
            <w:r>
              <w:rPr>
                <w:color w:val="1D1D1D"/>
                <w:sz w:val="16"/>
              </w:rPr>
              <w:t>PARTIAL</w:t>
            </w:r>
          </w:p>
        </w:tc>
        <w:tc>
          <w:tcPr>
            <w:tcW w:type="dxa" w:w="563"/>
          </w:tcPr>
          <w:p>
            <w:pPr>
              <w:spacing w:after="0"/>
            </w:pPr>
            <w:r>
              <w:rPr>
                <w:color w:val="1D1D1D"/>
                <w:sz w:val="16"/>
              </w:rPr>
              <w:t>Q2</w:t>
            </w:r>
          </w:p>
        </w:tc>
      </w:tr>
      <w:tr>
        <w:tc>
          <w:tcPr>
            <w:tcW w:type="dxa" w:w="422"/>
            <w:shd w:val="clear" w:color="auto" w:fill="FAF8F2"/>
          </w:tcPr>
          <w:p>
            <w:pPr>
              <w:spacing w:after="0"/>
            </w:pPr>
            <w:r>
              <w:rPr>
                <w:color w:val="1D1D1D"/>
                <w:sz w:val="16"/>
              </w:rPr>
              <w:t>10</w:t>
            </w:r>
          </w:p>
        </w:tc>
        <w:tc>
          <w:tcPr>
            <w:tcW w:type="dxa" w:w="4221"/>
            <w:shd w:val="clear" w:color="auto" w:fill="FAF8F2"/>
          </w:tcPr>
          <w:p>
            <w:pPr>
              <w:spacing w:after="0"/>
            </w:pPr>
            <w:r>
              <w:rPr>
                <w:color w:val="1D1D1D"/>
                <w:sz w:val="16"/>
              </w:rPr>
              <w:t>Implementation or concession agreement signed</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Q2</w:t>
            </w:r>
          </w:p>
        </w:tc>
      </w:tr>
      <w:tr>
        <w:tc>
          <w:tcPr>
            <w:tcW w:type="dxa" w:w="422"/>
          </w:tcPr>
          <w:p>
            <w:pPr>
              <w:spacing w:after="0"/>
            </w:pPr>
            <w:r>
              <w:rPr>
                <w:color w:val="1D1D1D"/>
                <w:sz w:val="16"/>
              </w:rPr>
              <w:t>11</w:t>
            </w:r>
          </w:p>
        </w:tc>
        <w:tc>
          <w:tcPr>
            <w:tcW w:type="dxa" w:w="4221"/>
          </w:tcPr>
          <w:p>
            <w:pPr>
              <w:spacing w:after="0"/>
            </w:pPr>
            <w:r>
              <w:rPr>
                <w:color w:val="1D1D1D"/>
                <w:sz w:val="16"/>
              </w:rPr>
              <w:t>Grid connection agreement signed and transmission financed</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tx_fin=1</w:t>
            </w:r>
          </w:p>
        </w:tc>
        <w:tc>
          <w:tcPr>
            <w:tcW w:type="dxa" w:w="563"/>
          </w:tcPr>
          <w:p>
            <w:pPr>
              <w:spacing w:after="0"/>
            </w:pPr>
            <w:r>
              <w:rPr>
                <w:color w:val="1D1D1D"/>
                <w:sz w:val="16"/>
              </w:rPr>
              <w:t>Q3</w:t>
            </w:r>
          </w:p>
        </w:tc>
      </w:tr>
      <w:tr>
        <w:tc>
          <w:tcPr>
            <w:tcW w:type="dxa" w:w="422"/>
            <w:shd w:val="clear" w:color="auto" w:fill="FAF8F2"/>
          </w:tcPr>
          <w:p>
            <w:pPr>
              <w:spacing w:after="0"/>
            </w:pPr>
            <w:r>
              <w:rPr>
                <w:color w:val="1D1D1D"/>
                <w:sz w:val="16"/>
              </w:rPr>
              <w:t>12</w:t>
            </w:r>
          </w:p>
        </w:tc>
        <w:tc>
          <w:tcPr>
            <w:tcW w:type="dxa" w:w="4221"/>
            <w:shd w:val="clear" w:color="auto" w:fill="FAF8F2"/>
          </w:tcPr>
          <w:p>
            <w:pPr>
              <w:spacing w:after="0"/>
            </w:pPr>
            <w:r>
              <w:rPr>
                <w:color w:val="1D1D1D"/>
                <w:sz w:val="16"/>
              </w:rPr>
              <w:t>Transmission in service no later than plant COD</w:t>
            </w:r>
          </w:p>
        </w:tc>
        <w:tc>
          <w:tcPr>
            <w:tcW w:type="dxa" w:w="563"/>
            <w:shd w:val="clear" w:color="auto" w:fill="FAF8F2"/>
          </w:tcPr>
          <w:p>
            <w:pPr>
              <w:spacing w:after="0"/>
            </w:pPr>
            <w:r>
              <w:rPr>
                <w:color w:val="1D1D1D"/>
                <w:sz w:val="16"/>
              </w:rPr>
              <w:t>N</w:t>
            </w:r>
          </w:p>
        </w:tc>
        <w:tc>
          <w:tcPr>
            <w:tcW w:type="dxa" w:w="3869"/>
            <w:shd w:val="clear" w:color="auto" w:fill="FAF8F2"/>
          </w:tcPr>
          <w:p>
            <w:pPr>
              <w:spacing w:after="0"/>
            </w:pPr>
            <w:r>
              <w:rPr>
                <w:rFonts w:ascii="Courier New" w:hAnsi="Courier New"/>
                <w:color w:val="1D1D1D"/>
                <w:sz w:val="16"/>
              </w:rPr>
              <w:t>tx_gap_yrs&lt;=0</w:t>
            </w:r>
          </w:p>
        </w:tc>
        <w:tc>
          <w:tcPr>
            <w:tcW w:type="dxa" w:w="563"/>
            <w:shd w:val="clear" w:color="auto" w:fill="FAF8F2"/>
          </w:tcPr>
          <w:p>
            <w:pPr>
              <w:spacing w:after="0"/>
            </w:pPr>
            <w:r>
              <w:rPr>
                <w:color w:val="1D1D1D"/>
                <w:sz w:val="16"/>
              </w:rPr>
              <w:t>Q3</w:t>
            </w:r>
          </w:p>
        </w:tc>
      </w:tr>
      <w:tr>
        <w:tc>
          <w:tcPr>
            <w:tcW w:type="dxa" w:w="422"/>
          </w:tcPr>
          <w:p>
            <w:pPr>
              <w:spacing w:after="0"/>
            </w:pPr>
            <w:r>
              <w:rPr>
                <w:color w:val="1D1D1D"/>
                <w:sz w:val="16"/>
              </w:rPr>
              <w:t>13</w:t>
            </w:r>
          </w:p>
        </w:tc>
        <w:tc>
          <w:tcPr>
            <w:tcW w:type="dxa" w:w="4221"/>
          </w:tcPr>
          <w:p>
            <w:pPr>
              <w:spacing w:after="0"/>
            </w:pPr>
            <w:r>
              <w:rPr>
                <w:color w:val="1D1D1D"/>
                <w:sz w:val="16"/>
              </w:rPr>
              <w:t>EPC contract(s) signed with fixed price, completion date and LDs</w:t>
            </w:r>
          </w:p>
        </w:tc>
        <w:tc>
          <w:tcPr>
            <w:tcW w:type="dxa" w:w="563"/>
          </w:tcPr>
          <w:p>
            <w:pPr>
              <w:spacing w:after="0"/>
            </w:pPr>
            <w:r>
              <w:rPr>
                <w:color w:val="1D1D1D"/>
                <w:sz w:val="16"/>
              </w:rPr>
              <w:t>Y</w:t>
            </w:r>
          </w:p>
        </w:tc>
        <w:tc>
          <w:tcPr>
            <w:tcW w:type="dxa" w:w="3869"/>
          </w:tcPr>
          <w:p>
            <w:pPr>
              <w:spacing w:after="0"/>
            </w:pPr>
            <w:r>
              <w:rPr>
                <w:color w:val="1D1D1D"/>
                <w:sz w:val="16"/>
              </w:rPr>
              <w:t>PARTIAL</w:t>
            </w:r>
          </w:p>
        </w:tc>
        <w:tc>
          <w:tcPr>
            <w:tcW w:type="dxa" w:w="563"/>
          </w:tcPr>
          <w:p>
            <w:pPr>
              <w:spacing w:after="0"/>
            </w:pPr>
            <w:r>
              <w:rPr>
                <w:color w:val="1D1D1D"/>
                <w:sz w:val="16"/>
              </w:rPr>
              <w:t>Q6</w:t>
            </w:r>
          </w:p>
        </w:tc>
      </w:tr>
      <w:tr>
        <w:tc>
          <w:tcPr>
            <w:tcW w:type="dxa" w:w="422"/>
            <w:shd w:val="clear" w:color="auto" w:fill="FAF8F2"/>
          </w:tcPr>
          <w:p>
            <w:pPr>
              <w:spacing w:after="0"/>
            </w:pPr>
            <w:r>
              <w:rPr>
                <w:color w:val="1D1D1D"/>
                <w:sz w:val="16"/>
              </w:rPr>
              <w:t>14</w:t>
            </w:r>
          </w:p>
        </w:tc>
        <w:tc>
          <w:tcPr>
            <w:tcW w:type="dxa" w:w="4221"/>
            <w:shd w:val="clear" w:color="auto" w:fill="FAF8F2"/>
          </w:tcPr>
          <w:p>
            <w:pPr>
              <w:spacing w:after="0"/>
            </w:pPr>
            <w:r>
              <w:rPr>
                <w:color w:val="1D1D1D"/>
                <w:sz w:val="16"/>
              </w:rPr>
              <w:t>O&amp;M arrangements and owner's team in place</w:t>
            </w:r>
          </w:p>
        </w:tc>
        <w:tc>
          <w:tcPr>
            <w:tcW w:type="dxa" w:w="563"/>
            <w:shd w:val="clear" w:color="auto" w:fill="FAF8F2"/>
          </w:tcPr>
          <w:p>
            <w:pPr>
              <w:spacing w:after="0"/>
            </w:pPr>
            <w:r>
              <w:rPr>
                <w:color w:val="1D1D1D"/>
                <w:sz w:val="16"/>
              </w:rPr>
              <w:t>N</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Q6</w:t>
            </w:r>
          </w:p>
        </w:tc>
      </w:tr>
      <w:tr>
        <w:tc>
          <w:tcPr>
            <w:tcW w:type="dxa" w:w="422"/>
          </w:tcPr>
          <w:p>
            <w:pPr>
              <w:spacing w:after="0"/>
            </w:pPr>
            <w:r>
              <w:rPr>
                <w:color w:val="1D1D1D"/>
                <w:sz w:val="16"/>
              </w:rPr>
              <w:t>15</w:t>
            </w:r>
          </w:p>
        </w:tc>
        <w:tc>
          <w:tcPr>
            <w:tcW w:type="dxa" w:w="4221"/>
          </w:tcPr>
          <w:p>
            <w:pPr>
              <w:spacing w:after="0"/>
            </w:pPr>
            <w:r>
              <w:rPr>
                <w:color w:val="1D1D1D"/>
                <w:sz w:val="16"/>
              </w:rPr>
              <w:t>Payment security of at least 6 months in place</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lc_months&gt;=6</w:t>
            </w:r>
          </w:p>
        </w:tc>
        <w:tc>
          <w:tcPr>
            <w:tcW w:type="dxa" w:w="563"/>
          </w:tcPr>
          <w:p>
            <w:pPr>
              <w:spacing w:after="0"/>
            </w:pPr>
            <w:r>
              <w:rPr>
                <w:color w:val="1D1D1D"/>
                <w:sz w:val="16"/>
              </w:rPr>
              <w:t>Q7</w:t>
            </w:r>
          </w:p>
        </w:tc>
      </w:tr>
      <w:tr>
        <w:tc>
          <w:tcPr>
            <w:tcW w:type="dxa" w:w="422"/>
            <w:shd w:val="clear" w:color="auto" w:fill="FAF8F2"/>
          </w:tcPr>
          <w:p>
            <w:pPr>
              <w:spacing w:after="0"/>
            </w:pPr>
            <w:r>
              <w:rPr>
                <w:color w:val="1D1D1D"/>
                <w:sz w:val="16"/>
              </w:rPr>
              <w:t>16</w:t>
            </w:r>
          </w:p>
        </w:tc>
        <w:tc>
          <w:tcPr>
            <w:tcW w:type="dxa" w:w="4221"/>
            <w:shd w:val="clear" w:color="auto" w:fill="FAF8F2"/>
          </w:tcPr>
          <w:p>
            <w:pPr>
              <w:spacing w:after="0"/>
            </w:pPr>
            <w:r>
              <w:rPr>
                <w:color w:val="1D1D1D"/>
                <w:sz w:val="16"/>
              </w:rPr>
              <w:t>Offtaker payment capacity at least 1.2x the PPA bill (worst of first 10 years)</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rFonts w:ascii="Courier New" w:hAnsi="Courier New"/>
                <w:color w:val="1D1D1D"/>
                <w:sz w:val="16"/>
              </w:rPr>
              <w:t>ut_ratio10&gt;=1.2</w:t>
            </w:r>
          </w:p>
        </w:tc>
        <w:tc>
          <w:tcPr>
            <w:tcW w:type="dxa" w:w="563"/>
            <w:shd w:val="clear" w:color="auto" w:fill="FAF8F2"/>
          </w:tcPr>
          <w:p>
            <w:pPr>
              <w:spacing w:after="0"/>
            </w:pPr>
            <w:r>
              <w:rPr>
                <w:color w:val="1D1D1D"/>
                <w:sz w:val="16"/>
              </w:rPr>
              <w:t>Q7</w:t>
            </w:r>
          </w:p>
        </w:tc>
      </w:tr>
      <w:tr>
        <w:tc>
          <w:tcPr>
            <w:tcW w:type="dxa" w:w="422"/>
          </w:tcPr>
          <w:p>
            <w:pPr>
              <w:spacing w:after="0"/>
            </w:pPr>
            <w:r>
              <w:rPr>
                <w:color w:val="1D1D1D"/>
                <w:sz w:val="16"/>
              </w:rPr>
              <w:t>17</w:t>
            </w:r>
          </w:p>
        </w:tc>
        <w:tc>
          <w:tcPr>
            <w:tcW w:type="dxa" w:w="4221"/>
          </w:tcPr>
          <w:p>
            <w:pPr>
              <w:spacing w:after="0"/>
            </w:pPr>
            <w:r>
              <w:rPr>
                <w:color w:val="1D1D1D"/>
                <w:sz w:val="16"/>
              </w:rPr>
              <w:t>Financing plan fully committed (no financing gap)</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fin_gap&lt;=0.5</w:t>
            </w:r>
          </w:p>
        </w:tc>
        <w:tc>
          <w:tcPr>
            <w:tcW w:type="dxa" w:w="563"/>
          </w:tcPr>
          <w:p>
            <w:pPr>
              <w:spacing w:after="0"/>
            </w:pPr>
            <w:r>
              <w:rPr>
                <w:color w:val="1D1D1D"/>
                <w:sz w:val="16"/>
              </w:rPr>
              <w:t>Q5</w:t>
            </w:r>
          </w:p>
        </w:tc>
      </w:tr>
      <w:tr>
        <w:tc>
          <w:tcPr>
            <w:tcW w:type="dxa" w:w="422"/>
            <w:shd w:val="clear" w:color="auto" w:fill="FAF8F2"/>
          </w:tcPr>
          <w:p>
            <w:pPr>
              <w:spacing w:after="0"/>
            </w:pPr>
            <w:r>
              <w:rPr>
                <w:color w:val="1D1D1D"/>
                <w:sz w:val="16"/>
              </w:rPr>
              <w:t>18</w:t>
            </w:r>
          </w:p>
        </w:tc>
        <w:tc>
          <w:tcPr>
            <w:tcW w:type="dxa" w:w="4221"/>
            <w:shd w:val="clear" w:color="auto" w:fill="FAF8F2"/>
          </w:tcPr>
          <w:p>
            <w:pPr>
              <w:spacing w:after="0"/>
            </w:pPr>
            <w:r>
              <w:rPr>
                <w:color w:val="1D1D1D"/>
                <w:sz w:val="16"/>
              </w:rPr>
              <w:t>Minimum DSCR at or above the sizing target in the selected case</w:t>
            </w:r>
          </w:p>
        </w:tc>
        <w:tc>
          <w:tcPr>
            <w:tcW w:type="dxa" w:w="563"/>
            <w:shd w:val="clear" w:color="auto" w:fill="FAF8F2"/>
          </w:tcPr>
          <w:p>
            <w:pPr>
              <w:spacing w:after="0"/>
            </w:pPr>
            <w:r>
              <w:rPr>
                <w:color w:val="1D1D1D"/>
                <w:sz w:val="16"/>
              </w:rPr>
              <w:t>Y</w:t>
            </w:r>
          </w:p>
        </w:tc>
        <w:tc>
          <w:tcPr>
            <w:tcW w:type="dxa" w:w="3869"/>
            <w:shd w:val="clear" w:color="auto" w:fill="FAF8F2"/>
          </w:tcPr>
          <w:p>
            <w:pPr>
              <w:spacing w:after="0"/>
            </w:pPr>
            <w:r>
              <w:rPr>
                <w:rFonts w:ascii="Courier New" w:hAnsi="Courier New"/>
                <w:color w:val="1D1D1D"/>
                <w:sz w:val="16"/>
              </w:rPr>
              <w:t>AND(debt_m+debt_c&gt;0,kpi_min_dscr&gt;=str_dscr)</w:t>
            </w:r>
          </w:p>
        </w:tc>
        <w:tc>
          <w:tcPr>
            <w:tcW w:type="dxa" w:w="563"/>
            <w:shd w:val="clear" w:color="auto" w:fill="FAF8F2"/>
          </w:tcPr>
          <w:p>
            <w:pPr>
              <w:spacing w:after="0"/>
            </w:pPr>
            <w:r>
              <w:rPr>
                <w:color w:val="1D1D1D"/>
                <w:sz w:val="16"/>
              </w:rPr>
              <w:t>Q5</w:t>
            </w:r>
          </w:p>
        </w:tc>
      </w:tr>
      <w:tr>
        <w:tc>
          <w:tcPr>
            <w:tcW w:type="dxa" w:w="422"/>
          </w:tcPr>
          <w:p>
            <w:pPr>
              <w:spacing w:after="0"/>
            </w:pPr>
            <w:r>
              <w:rPr>
                <w:color w:val="1D1D1D"/>
                <w:sz w:val="16"/>
              </w:rPr>
              <w:t>19</w:t>
            </w:r>
          </w:p>
        </w:tc>
        <w:tc>
          <w:tcPr>
            <w:tcW w:type="dxa" w:w="4221"/>
          </w:tcPr>
          <w:p>
            <w:pPr>
              <w:spacing w:after="0"/>
            </w:pPr>
            <w:r>
              <w:rPr>
                <w:color w:val="1D1D1D"/>
                <w:sz w:val="16"/>
              </w:rPr>
              <w:t>Equity commitments signed and equity IRR at or above target</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IF(ISNUMBER(kpi_eirr),kpi_eirr&gt;=str_hurdle,s_priv&lt;=0)</w:t>
            </w:r>
          </w:p>
        </w:tc>
        <w:tc>
          <w:tcPr>
            <w:tcW w:type="dxa" w:w="563"/>
          </w:tcPr>
          <w:p>
            <w:pPr>
              <w:spacing w:after="0"/>
            </w:pPr>
            <w:r>
              <w:rPr>
                <w:color w:val="1D1D1D"/>
                <w:sz w:val="16"/>
              </w:rPr>
              <w:t>Q4</w:t>
            </w:r>
          </w:p>
        </w:tc>
      </w:tr>
      <w:tr>
        <w:tc>
          <w:tcPr>
            <w:tcW w:type="dxa" w:w="422"/>
            <w:shd w:val="clear" w:color="auto" w:fill="FAF8F2"/>
          </w:tcPr>
          <w:p>
            <w:pPr>
              <w:spacing w:after="0"/>
            </w:pPr>
            <w:r>
              <w:rPr>
                <w:color w:val="1D1D1D"/>
                <w:sz w:val="16"/>
              </w:rPr>
              <w:t>20</w:t>
            </w:r>
          </w:p>
        </w:tc>
        <w:tc>
          <w:tcPr>
            <w:tcW w:type="dxa" w:w="4221"/>
            <w:shd w:val="clear" w:color="auto" w:fill="FAF8F2"/>
          </w:tcPr>
          <w:p>
            <w:pPr>
              <w:spacing w:after="0"/>
            </w:pPr>
            <w:r>
              <w:rPr>
                <w:color w:val="1D1D1D"/>
                <w:sz w:val="16"/>
              </w:rPr>
              <w:t>Political risk cover or guarantees signed</w:t>
            </w:r>
          </w:p>
        </w:tc>
        <w:tc>
          <w:tcPr>
            <w:tcW w:type="dxa" w:w="563"/>
            <w:shd w:val="clear" w:color="auto" w:fill="FAF8F2"/>
          </w:tcPr>
          <w:p>
            <w:pPr>
              <w:spacing w:after="0"/>
            </w:pPr>
            <w:r>
              <w:rPr>
                <w:color w:val="1D1D1D"/>
                <w:sz w:val="16"/>
              </w:rPr>
              <w:t>N</w:t>
            </w:r>
          </w:p>
        </w:tc>
        <w:tc>
          <w:tcPr>
            <w:tcW w:type="dxa" w:w="3869"/>
            <w:shd w:val="clear" w:color="auto" w:fill="FAF8F2"/>
          </w:tcPr>
          <w:p>
            <w:pPr>
              <w:spacing w:after="0"/>
            </w:pPr>
            <w:r>
              <w:rPr>
                <w:color w:val="1D1D1D"/>
                <w:sz w:val="16"/>
              </w:rPr>
              <w:t>NO EVIDENCE</w:t>
            </w:r>
          </w:p>
        </w:tc>
        <w:tc>
          <w:tcPr>
            <w:tcW w:type="dxa" w:w="563"/>
            <w:shd w:val="clear" w:color="auto" w:fill="FAF8F2"/>
          </w:tcPr>
          <w:p>
            <w:pPr>
              <w:spacing w:after="0"/>
            </w:pPr>
            <w:r>
              <w:rPr>
                <w:color w:val="1D1D1D"/>
                <w:sz w:val="16"/>
              </w:rPr>
              <w:t>Q5</w:t>
            </w:r>
          </w:p>
        </w:tc>
      </w:tr>
      <w:tr>
        <w:tc>
          <w:tcPr>
            <w:tcW w:type="dxa" w:w="422"/>
          </w:tcPr>
          <w:p>
            <w:pPr>
              <w:spacing w:after="0"/>
            </w:pPr>
            <w:r>
              <w:rPr>
                <w:color w:val="1D1D1D"/>
                <w:sz w:val="16"/>
              </w:rPr>
              <w:t>21</w:t>
            </w:r>
          </w:p>
        </w:tc>
        <w:tc>
          <w:tcPr>
            <w:tcW w:type="dxa" w:w="4221"/>
          </w:tcPr>
          <w:p>
            <w:pPr>
              <w:spacing w:after="0"/>
            </w:pPr>
            <w:r>
              <w:rPr>
                <w:color w:val="1D1D1D"/>
                <w:sz w:val="16"/>
              </w:rPr>
              <w:t>Government support approved by the finance ministry; fiscal screen not HIGH</w:t>
            </w:r>
          </w:p>
        </w:tc>
        <w:tc>
          <w:tcPr>
            <w:tcW w:type="dxa" w:w="563"/>
          </w:tcPr>
          <w:p>
            <w:pPr>
              <w:spacing w:after="0"/>
            </w:pPr>
            <w:r>
              <w:rPr>
                <w:color w:val="1D1D1D"/>
                <w:sz w:val="16"/>
              </w:rPr>
              <w:t>Y</w:t>
            </w:r>
          </w:p>
        </w:tc>
        <w:tc>
          <w:tcPr>
            <w:tcW w:type="dxa" w:w="3869"/>
          </w:tcPr>
          <w:p>
            <w:pPr>
              <w:spacing w:after="0"/>
            </w:pPr>
            <w:r>
              <w:rPr>
                <w:rFonts w:ascii="Courier New" w:hAnsi="Courier New"/>
                <w:color w:val="1D1D1D"/>
                <w:sz w:val="16"/>
              </w:rPr>
              <w:t>LEFT(sc_result,4)&lt;&gt;"HIGH"</w:t>
            </w:r>
          </w:p>
        </w:tc>
        <w:tc>
          <w:tcPr>
            <w:tcW w:type="dxa" w:w="563"/>
          </w:tcPr>
          <w:p>
            <w:pPr>
              <w:spacing w:after="0"/>
            </w:pPr>
            <w:r>
              <w:rPr>
                <w:color w:val="1D1D1D"/>
                <w:sz w:val="16"/>
              </w:rPr>
              <w:t>Q7</w:t>
            </w:r>
          </w:p>
        </w:tc>
      </w:tr>
      <w:tr>
        <w:tc>
          <w:tcPr>
            <w:tcW w:type="dxa" w:w="422"/>
            <w:shd w:val="clear" w:color="auto" w:fill="FAF8F2"/>
          </w:tcPr>
          <w:p>
            <w:pPr>
              <w:spacing w:after="0"/>
            </w:pPr>
            <w:r>
              <w:rPr>
                <w:color w:val="1D1D1D"/>
                <w:sz w:val="16"/>
              </w:rPr>
              <w:t>22</w:t>
            </w:r>
          </w:p>
        </w:tc>
        <w:tc>
          <w:tcPr>
            <w:tcW w:type="dxa" w:w="4221"/>
            <w:shd w:val="clear" w:color="auto" w:fill="FAF8F2"/>
          </w:tcPr>
          <w:p>
            <w:pPr>
              <w:spacing w:after="0"/>
            </w:pPr>
            <w:r>
              <w:rPr>
                <w:color w:val="1D1D1D"/>
                <w:sz w:val="16"/>
              </w:rPr>
              <w:t>Insurance programme placed (construction all risks, DSU)</w:t>
            </w:r>
          </w:p>
        </w:tc>
        <w:tc>
          <w:tcPr>
            <w:tcW w:type="dxa" w:w="563"/>
            <w:shd w:val="clear" w:color="auto" w:fill="FAF8F2"/>
          </w:tcPr>
          <w:p>
            <w:pPr>
              <w:spacing w:after="0"/>
            </w:pPr>
            <w:r>
              <w:rPr>
                <w:color w:val="1D1D1D"/>
                <w:sz w:val="16"/>
              </w:rPr>
              <w:t>N</w:t>
            </w:r>
          </w:p>
        </w:tc>
        <w:tc>
          <w:tcPr>
            <w:tcW w:type="dxa" w:w="3869"/>
            <w:shd w:val="clear" w:color="auto" w:fill="FAF8F2"/>
          </w:tcPr>
          <w:p>
            <w:pPr>
              <w:spacing w:after="0"/>
            </w:pPr>
            <w:r>
              <w:rPr>
                <w:color w:val="1D1D1D"/>
                <w:sz w:val="16"/>
              </w:rPr>
              <w:t>PARTIAL</w:t>
            </w:r>
          </w:p>
        </w:tc>
        <w:tc>
          <w:tcPr>
            <w:tcW w:type="dxa" w:w="563"/>
            <w:shd w:val="clear" w:color="auto" w:fill="FAF8F2"/>
          </w:tcPr>
          <w:p>
            <w:pPr>
              <w:spacing w:after="0"/>
            </w:pPr>
            <w:r>
              <w:rPr>
                <w:color w:val="1D1D1D"/>
                <w:sz w:val="16"/>
              </w:rPr>
              <w:t>Q6</w:t>
            </w:r>
          </w:p>
        </w:tc>
      </w:tr>
      <w:tr>
        <w:tc>
          <w:tcPr>
            <w:tcW w:type="dxa" w:w="422"/>
          </w:tcPr>
          <w:p>
            <w:pPr>
              <w:spacing w:after="0"/>
            </w:pPr>
            <w:r>
              <w:rPr>
                <w:color w:val="1D1D1D"/>
                <w:sz w:val="16"/>
              </w:rPr>
              <w:t>23</w:t>
            </w:r>
          </w:p>
        </w:tc>
        <w:tc>
          <w:tcPr>
            <w:tcW w:type="dxa" w:w="4221"/>
          </w:tcPr>
          <w:p>
            <w:pPr>
              <w:spacing w:after="0"/>
            </w:pPr>
            <w:r>
              <w:rPr>
                <w:color w:val="1D1D1D"/>
                <w:sz w:val="16"/>
              </w:rPr>
              <w:t>Independent model audit completed</w:t>
            </w:r>
          </w:p>
        </w:tc>
        <w:tc>
          <w:tcPr>
            <w:tcW w:type="dxa" w:w="563"/>
          </w:tcPr>
          <w:p>
            <w:pPr>
              <w:spacing w:after="0"/>
            </w:pPr>
            <w:r>
              <w:rPr>
                <w:color w:val="1D1D1D"/>
                <w:sz w:val="16"/>
              </w:rPr>
              <w:t>N</w:t>
            </w:r>
          </w:p>
        </w:tc>
        <w:tc>
          <w:tcPr>
            <w:tcW w:type="dxa" w:w="3869"/>
          </w:tcPr>
          <w:p>
            <w:pPr>
              <w:spacing w:after="0"/>
            </w:pPr>
            <w:r>
              <w:rPr>
                <w:color w:val="1D1D1D"/>
                <w:sz w:val="16"/>
              </w:rPr>
              <w:t>NO EVIDENCE</w:t>
            </w:r>
          </w:p>
        </w:tc>
        <w:tc>
          <w:tcPr>
            <w:tcW w:type="dxa" w:w="563"/>
          </w:tcPr>
          <w:p>
            <w:pPr>
              <w:spacing w:after="0"/>
            </w:pPr>
            <w:r>
              <w:rPr>
                <w:color w:val="1D1D1D"/>
                <w:sz w:val="16"/>
              </w:rPr>
              <w:t>Q5</w:t>
            </w:r>
          </w:p>
        </w:tc>
      </w:tr>
    </w:tbl>
    <w:p>
      <w:pPr>
        <w:spacing w:after="40"/>
      </w:pPr>
    </w:p>
    <w:p>
      <w:pPr>
        <w:jc w:val="both"/>
      </w:pPr>
      <w:r>
        <w:rPr/>
        <w:t>Gate 17 allows a financing gap of up to USD 0.5m. Gate 18 requires debt to exist, so a structure without senior debt does not pass it on the placeholder DSCR of 99. Gate 18 reads the selected case, so it moves with stresses.</w:t>
      </w:r>
    </w:p>
    <w:p>
      <w:pPr>
        <w:jc w:val="both"/>
      </w:pPr>
      <w:r>
        <w:rPr>
          <w:b/>
        </w:rPr>
        <w:t>Decision ladder</w:t>
      </w:r>
      <w:r>
        <w:rPr/>
        <w:t>, evaluated in this order:</w:t>
      </w:r>
    </w:p>
    <w:p>
      <w:pPr>
        <w:spacing w:after="0"/>
        <w:ind w:left="283"/>
      </w:pPr>
      <w:r>
        <w:rPr>
          <w:rFonts w:ascii="Courier New" w:hAnsi="Courier New"/>
          <w:sz w:val="17"/>
        </w:rPr>
        <w:t>IF fc_crit_fail&gt;0     "STOP: a critical gate is not met"</w:t>
      </w:r>
    </w:p>
    <w:p>
      <w:pPr>
        <w:spacing w:after="0"/>
        <w:ind w:left="283"/>
      </w:pPr>
      <w:r>
        <w:rPr>
          <w:rFonts w:ascii="Courier New" w:hAnsi="Courier New"/>
          <w:sz w:val="17"/>
        </w:rPr>
        <w:t>ELSE IF fc_crit_noev&gt;0 "STOP: critical evidence missing"</w:t>
      </w:r>
    </w:p>
    <w:p>
      <w:pPr>
        <w:spacing w:after="0"/>
        <w:ind w:left="283"/>
      </w:pPr>
      <w:r>
        <w:rPr>
          <w:rFonts w:ascii="Courier New" w:hAnsi="Courier New"/>
          <w:sz w:val="17"/>
        </w:rPr>
        <w:t>ELSE IF fc_crit_part&gt;0 "NOT READY: critical gates partly met"</w:t>
      </w:r>
    </w:p>
    <w:p>
      <w:pPr>
        <w:spacing w:after="0"/>
        <w:ind w:left="283"/>
      </w:pPr>
      <w:r>
        <w:rPr>
          <w:rFonts w:ascii="Courier New" w:hAnsi="Courier New"/>
          <w:sz w:val="17"/>
        </w:rPr>
        <w:t>ELSE IF fc_met=fc_n    "GO: evidence complete for a close decision"</w:t>
      </w:r>
    </w:p>
    <w:p>
      <w:pPr>
        <w:spacing w:after="0"/>
        <w:ind w:left="283"/>
      </w:pPr>
      <w:r>
        <w:rPr>
          <w:rFonts w:ascii="Courier New" w:hAnsi="Courier New"/>
          <w:sz w:val="17"/>
        </w:rPr>
        <w:t>ELSE                   "CONDITIONAL GO: all critical gates met"</w:t>
      </w:r>
    </w:p>
    <w:p>
      <w:pPr>
        <w:spacing w:after="40"/>
      </w:pPr>
    </w:p>
    <w:p>
      <w:pPr>
        <w:jc w:val="both"/>
      </w:pPr>
      <w:r>
        <w:rPr/>
        <w:t>A GO says the evidence file is complete for lenders and sponsors to decide; it is not an investment recommendation. Kasiri: 6 of 23 met, 7 critical not met, 6 critical partly met, decision STOP.</w:t>
      </w:r>
    </w:p>
    <w:p>
      <w:pPr>
        <w:jc w:val="both"/>
      </w:pPr>
      <w:r>
        <w:rPr/>
        <w:t>The summary at the foot of the sheet counts, for each question, the gates, those met and the critical gates not met or without evidence. Q8 is the total. For Kasiri: Q1 0 of 4 met (2 critical open), Q2 1 of 6 (2), Q3 2 of 2 (0), Q4 0 of 1 (1), Q5 1 of 4 (1), Q6 0 of 3 (0), Q7 2 of 3 (1), Q8 6 of 23 (7).</w:t>
      </w:r>
    </w:p>
    <w:p>
      <w:r>
        <w:br w:type="page"/>
      </w:r>
    </w:p>
    <w:p>
      <w:pPr>
        <w:pStyle w:val="Heading1"/>
        <w:pBdr>
          <w:bottom w:val="single" w:sz="12" w:space="4" w:color="B07C0F"/>
        </w:pBdr>
      </w:pPr>
      <w:r>
        <w:t>7. Scenarios, stresses, sensitivities and the snapshot runner</w:t>
      </w:r>
    </w:p>
    <w:p>
      <w:pPr>
        <w:pStyle w:val="Heading2"/>
      </w:pPr>
      <w:r>
        <w:t>7.1 Cases (mutually exclusive)</w:t>
      </w:r>
    </w:p>
    <w:p>
      <w:pPr>
        <w:jc w:val="both"/>
      </w:pPr>
      <w:r>
        <w:rPr/>
        <w:t xml:space="preserve">Set with </w:t>
      </w:r>
      <w:r>
        <w:rPr>
          <w:rFonts w:ascii="Courier New" w:hAnsi="Courier New"/>
        </w:rPr>
        <w:t>case</w:t>
      </w:r>
      <w:r>
        <w:rPr/>
        <w:t xml:space="preserve"> on </w:t>
      </w:r>
      <w:r>
        <w:rPr>
          <w:i/>
        </w:rPr>
        <w:t>01_CONTROL_PANEL</w:t>
      </w:r>
      <w:r>
        <w:rPr/>
        <w:t xml:space="preserve">; parameters on </w:t>
      </w:r>
      <w:r>
        <w:rPr>
          <w:i/>
        </w:rPr>
        <w:t>27_SCENARIOS</w:t>
      </w:r>
      <w:r>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257"/>
            <w:shd w:val="clear" w:color="auto" w:fill="0B3020"/>
          </w:tcPr>
          <w:p>
            <w:pPr>
              <w:spacing w:after="0"/>
            </w:pPr>
            <w:r>
              <w:rPr>
                <w:b/>
                <w:color w:val="FFFFFF"/>
                <w:sz w:val="16"/>
              </w:rPr>
              <w:t>Parameter</w:t>
            </w:r>
          </w:p>
        </w:tc>
        <w:tc>
          <w:tcPr>
            <w:tcW w:type="dxa" w:w="1314"/>
            <w:shd w:val="clear" w:color="auto" w:fill="0B3020"/>
          </w:tcPr>
          <w:p>
            <w:pPr>
              <w:spacing w:after="0"/>
            </w:pPr>
            <w:r>
              <w:rPr>
                <w:b/>
                <w:color w:val="FFFFFF"/>
                <w:sz w:val="16"/>
              </w:rPr>
              <w:t>Base</w:t>
            </w:r>
          </w:p>
        </w:tc>
        <w:tc>
          <w:tcPr>
            <w:tcW w:type="dxa" w:w="1533"/>
            <w:shd w:val="clear" w:color="auto" w:fill="0B3020"/>
          </w:tcPr>
          <w:p>
            <w:pPr>
              <w:spacing w:after="0"/>
            </w:pPr>
            <w:r>
              <w:rPr>
                <w:b/>
                <w:color w:val="FFFFFF"/>
                <w:sz w:val="16"/>
              </w:rPr>
              <w:t>Low</w:t>
            </w:r>
          </w:p>
        </w:tc>
        <w:tc>
          <w:tcPr>
            <w:tcW w:type="dxa" w:w="1533"/>
            <w:shd w:val="clear" w:color="auto" w:fill="0B3020"/>
          </w:tcPr>
          <w:p>
            <w:pPr>
              <w:spacing w:after="0"/>
            </w:pPr>
            <w:r>
              <w:rPr>
                <w:b/>
                <w:color w:val="FFFFFF"/>
                <w:sz w:val="16"/>
              </w:rPr>
              <w:t>High</w:t>
            </w:r>
          </w:p>
        </w:tc>
      </w:tr>
      <w:tr>
        <w:tc>
          <w:tcPr>
            <w:tcW w:type="dxa" w:w="5257"/>
          </w:tcPr>
          <w:p>
            <w:pPr>
              <w:spacing w:after="0"/>
            </w:pPr>
            <w:r>
              <w:rPr>
                <w:color w:val="1D1D1D"/>
                <w:sz w:val="16"/>
              </w:rPr>
              <w:t>Flow factor</w:t>
            </w:r>
          </w:p>
        </w:tc>
        <w:tc>
          <w:tcPr>
            <w:tcW w:type="dxa" w:w="1314"/>
          </w:tcPr>
          <w:p>
            <w:pPr>
              <w:spacing w:after="0"/>
            </w:pPr>
            <w:r>
              <w:rPr>
                <w:color w:val="1D1D1D"/>
                <w:sz w:val="16"/>
              </w:rPr>
              <w:t>1.00</w:t>
            </w:r>
          </w:p>
        </w:tc>
        <w:tc>
          <w:tcPr>
            <w:tcW w:type="dxa" w:w="1533"/>
          </w:tcPr>
          <w:p>
            <w:pPr>
              <w:spacing w:after="0"/>
            </w:pPr>
            <w:r>
              <w:rPr>
                <w:color w:val="1D1D1D"/>
                <w:sz w:val="16"/>
              </w:rPr>
              <w:t>0.93</w:t>
            </w:r>
          </w:p>
        </w:tc>
        <w:tc>
          <w:tcPr>
            <w:tcW w:type="dxa" w:w="1533"/>
          </w:tcPr>
          <w:p>
            <w:pPr>
              <w:spacing w:after="0"/>
            </w:pPr>
            <w:r>
              <w:rPr>
                <w:color w:val="1D1D1D"/>
                <w:sz w:val="16"/>
              </w:rPr>
              <w:t>1.04</w:t>
            </w:r>
          </w:p>
        </w:tc>
      </w:tr>
      <w:tr>
        <w:tc>
          <w:tcPr>
            <w:tcW w:type="dxa" w:w="5257"/>
            <w:shd w:val="clear" w:color="auto" w:fill="FAF8F2"/>
          </w:tcPr>
          <w:p>
            <w:pPr>
              <w:spacing w:after="0"/>
            </w:pPr>
            <w:r>
              <w:rPr>
                <w:color w:val="1D1D1D"/>
                <w:sz w:val="16"/>
              </w:rPr>
              <w:t>CAPEX factor</w:t>
            </w:r>
          </w:p>
        </w:tc>
        <w:tc>
          <w:tcPr>
            <w:tcW w:type="dxa" w:w="1314"/>
            <w:shd w:val="clear" w:color="auto" w:fill="FAF8F2"/>
          </w:tcPr>
          <w:p>
            <w:pPr>
              <w:spacing w:after="0"/>
            </w:pPr>
            <w:r>
              <w:rPr>
                <w:color w:val="1D1D1D"/>
                <w:sz w:val="16"/>
              </w:rPr>
              <w:t>1.00</w:t>
            </w:r>
          </w:p>
        </w:tc>
        <w:tc>
          <w:tcPr>
            <w:tcW w:type="dxa" w:w="1533"/>
            <w:shd w:val="clear" w:color="auto" w:fill="FAF8F2"/>
          </w:tcPr>
          <w:p>
            <w:pPr>
              <w:spacing w:after="0"/>
            </w:pPr>
            <w:r>
              <w:rPr>
                <w:color w:val="1D1D1D"/>
                <w:sz w:val="16"/>
              </w:rPr>
              <w:t>1.10</w:t>
            </w:r>
          </w:p>
        </w:tc>
        <w:tc>
          <w:tcPr>
            <w:tcW w:type="dxa" w:w="1533"/>
            <w:shd w:val="clear" w:color="auto" w:fill="FAF8F2"/>
          </w:tcPr>
          <w:p>
            <w:pPr>
              <w:spacing w:after="0"/>
            </w:pPr>
            <w:r>
              <w:rPr>
                <w:color w:val="1D1D1D"/>
                <w:sz w:val="16"/>
              </w:rPr>
              <w:t>0.95</w:t>
            </w:r>
          </w:p>
        </w:tc>
      </w:tr>
      <w:tr>
        <w:tc>
          <w:tcPr>
            <w:tcW w:type="dxa" w:w="5257"/>
          </w:tcPr>
          <w:p>
            <w:pPr>
              <w:spacing w:after="0"/>
            </w:pPr>
            <w:r>
              <w:rPr>
                <w:color w:val="1D1D1D"/>
                <w:sz w:val="16"/>
              </w:rPr>
              <w:t>Demand growth adjustment</w:t>
            </w:r>
          </w:p>
        </w:tc>
        <w:tc>
          <w:tcPr>
            <w:tcW w:type="dxa" w:w="1314"/>
          </w:tcPr>
          <w:p>
            <w:pPr>
              <w:spacing w:after="0"/>
            </w:pPr>
            <w:r>
              <w:rPr>
                <w:color w:val="1D1D1D"/>
                <w:sz w:val="16"/>
              </w:rPr>
              <w:t>0.0 pp</w:t>
            </w:r>
          </w:p>
        </w:tc>
        <w:tc>
          <w:tcPr>
            <w:tcW w:type="dxa" w:w="1533"/>
          </w:tcPr>
          <w:p>
            <w:pPr>
              <w:spacing w:after="0"/>
            </w:pPr>
            <w:r>
              <w:rPr>
                <w:color w:val="1D1D1D"/>
                <w:sz w:val="16"/>
              </w:rPr>
              <w:t>−1.5 pp</w:t>
            </w:r>
          </w:p>
        </w:tc>
        <w:tc>
          <w:tcPr>
            <w:tcW w:type="dxa" w:w="1533"/>
          </w:tcPr>
          <w:p>
            <w:pPr>
              <w:spacing w:after="0"/>
            </w:pPr>
            <w:r>
              <w:rPr>
                <w:color w:val="1D1D1D"/>
                <w:sz w:val="16"/>
              </w:rPr>
              <w:t>+1.0 pp</w:t>
            </w:r>
          </w:p>
        </w:tc>
      </w:tr>
      <w:tr>
        <w:tc>
          <w:tcPr>
            <w:tcW w:type="dxa" w:w="5257"/>
            <w:shd w:val="clear" w:color="auto" w:fill="FAF8F2"/>
          </w:tcPr>
          <w:p>
            <w:pPr>
              <w:spacing w:after="0"/>
            </w:pPr>
            <w:r>
              <w:rPr>
                <w:color w:val="1D1D1D"/>
                <w:sz w:val="16"/>
              </w:rPr>
              <w:t>OPEX factor</w:t>
            </w:r>
          </w:p>
        </w:tc>
        <w:tc>
          <w:tcPr>
            <w:tcW w:type="dxa" w:w="1314"/>
            <w:shd w:val="clear" w:color="auto" w:fill="FAF8F2"/>
          </w:tcPr>
          <w:p>
            <w:pPr>
              <w:spacing w:after="0"/>
            </w:pPr>
            <w:r>
              <w:rPr>
                <w:color w:val="1D1D1D"/>
                <w:sz w:val="16"/>
              </w:rPr>
              <w:t>1.00</w:t>
            </w:r>
          </w:p>
        </w:tc>
        <w:tc>
          <w:tcPr>
            <w:tcW w:type="dxa" w:w="1533"/>
            <w:shd w:val="clear" w:color="auto" w:fill="FAF8F2"/>
          </w:tcPr>
          <w:p>
            <w:pPr>
              <w:spacing w:after="0"/>
            </w:pPr>
            <w:r>
              <w:rPr>
                <w:color w:val="1D1D1D"/>
                <w:sz w:val="16"/>
              </w:rPr>
              <w:t>1.10</w:t>
            </w:r>
          </w:p>
        </w:tc>
        <w:tc>
          <w:tcPr>
            <w:tcW w:type="dxa" w:w="1533"/>
            <w:shd w:val="clear" w:color="auto" w:fill="FAF8F2"/>
          </w:tcPr>
          <w:p>
            <w:pPr>
              <w:spacing w:after="0"/>
            </w:pPr>
            <w:r>
              <w:rPr>
                <w:color w:val="1D1D1D"/>
                <w:sz w:val="16"/>
              </w:rPr>
              <w:t>0.95</w:t>
            </w:r>
          </w:p>
        </w:tc>
      </w:tr>
    </w:tbl>
    <w:p>
      <w:pPr>
        <w:spacing w:after="40"/>
      </w:pPr>
    </w:p>
    <w:p>
      <w:pPr>
        <w:jc w:val="both"/>
      </w:pPr>
      <w:r>
        <w:rPr/>
        <w:t>Demand segments also switch growth rate by case.</w:t>
      </w:r>
    </w:p>
    <w:p>
      <w:pPr>
        <w:pStyle w:val="Heading2"/>
      </w:pPr>
      <w:r>
        <w:t>7.2 Stress toggles (combinable)</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3"/>
            <w:shd w:val="clear" w:color="auto" w:fill="0B3020"/>
          </w:tcPr>
          <w:p>
            <w:pPr>
              <w:spacing w:after="0"/>
            </w:pPr>
            <w:r>
              <w:rPr>
                <w:b/>
                <w:color w:val="FFFFFF"/>
                <w:sz w:val="16"/>
              </w:rPr>
              <w:t>Toggle</w:t>
            </w:r>
          </w:p>
        </w:tc>
        <w:tc>
          <w:tcPr>
            <w:tcW w:type="dxa" w:w="3060"/>
            <w:shd w:val="clear" w:color="auto" w:fill="0B3020"/>
          </w:tcPr>
          <w:p>
            <w:pPr>
              <w:spacing w:after="0"/>
            </w:pPr>
            <w:r>
              <w:rPr>
                <w:b/>
                <w:color w:val="FFFFFF"/>
                <w:sz w:val="16"/>
              </w:rPr>
              <w:t>Default parameter</w:t>
            </w:r>
          </w:p>
        </w:tc>
        <w:tc>
          <w:tcPr>
            <w:tcW w:type="dxa" w:w="3060"/>
            <w:shd w:val="clear" w:color="auto" w:fill="0B3020"/>
          </w:tcPr>
          <w:p>
            <w:pPr>
              <w:spacing w:after="0"/>
            </w:pPr>
            <w:r>
              <w:rPr>
                <w:b/>
                <w:color w:val="FFFFFF"/>
                <w:sz w:val="16"/>
              </w:rPr>
              <w:t>Effect in the engine</w:t>
            </w:r>
          </w:p>
        </w:tc>
        <w:tc>
          <w:tcPr>
            <w:tcW w:type="dxa" w:w="2856"/>
            <w:shd w:val="clear" w:color="auto" w:fill="0B3020"/>
          </w:tcPr>
          <w:p>
            <w:pPr>
              <w:spacing w:after="0"/>
            </w:pPr>
            <w:r>
              <w:rPr>
                <w:b/>
                <w:color w:val="FFFFFF"/>
                <w:sz w:val="16"/>
              </w:rPr>
              <w:t>Basis noted in the model</w:t>
            </w:r>
          </w:p>
        </w:tc>
      </w:tr>
      <w:tr>
        <w:tc>
          <w:tcPr>
            <w:tcW w:type="dxa" w:w="663"/>
          </w:tcPr>
          <w:p>
            <w:pPr>
              <w:spacing w:after="0"/>
            </w:pPr>
            <w:r>
              <w:rPr>
                <w:rFonts w:ascii="Courier New" w:hAnsi="Courier New"/>
                <w:color w:val="1D1D1D"/>
                <w:sz w:val="16"/>
              </w:rPr>
              <w:t>st_drought</w:t>
            </w:r>
          </w:p>
        </w:tc>
        <w:tc>
          <w:tcPr>
            <w:tcW w:type="dxa" w:w="3060"/>
          </w:tcPr>
          <w:p>
            <w:pPr>
              <w:spacing w:after="0"/>
            </w:pPr>
            <w:r>
              <w:rPr>
                <w:color w:val="1D1D1D"/>
                <w:sz w:val="16"/>
              </w:rPr>
              <w:t>Flow × 0.55 for 3 years from operating year 4</w:t>
            </w:r>
          </w:p>
        </w:tc>
        <w:tc>
          <w:tcPr>
            <w:tcW w:type="dxa" w:w="3060"/>
          </w:tcPr>
          <w:p>
            <w:pPr>
              <w:spacing w:after="0"/>
            </w:pPr>
            <w:r>
              <w:rPr>
                <w:rFonts w:ascii="Courier New" w:hAnsi="Courier New"/>
                <w:color w:val="1D1D1D"/>
                <w:sz w:val="16"/>
              </w:rPr>
              <w:t>drought</w:t>
            </w:r>
            <w:r>
              <w:rPr>
                <w:color w:val="1D1D1D"/>
                <w:sz w:val="16"/>
              </w:rPr>
              <w:t xml:space="preserve"> factor on generation (not on lender-case generation)</w:t>
            </w:r>
          </w:p>
        </w:tc>
        <w:tc>
          <w:tcPr>
            <w:tcW w:type="dxa" w:w="2856"/>
          </w:tcPr>
          <w:p>
            <w:pPr>
              <w:spacing w:after="0"/>
            </w:pPr>
            <w:r>
              <w:rPr>
                <w:color w:val="1D1D1D"/>
                <w:sz w:val="16"/>
              </w:rPr>
              <w:t>Kariba 2024 allocation cut of about 47% [CL-04]</w:t>
            </w:r>
          </w:p>
        </w:tc>
      </w:tr>
      <w:tr>
        <w:tc>
          <w:tcPr>
            <w:tcW w:type="dxa" w:w="663"/>
            <w:shd w:val="clear" w:color="auto" w:fill="FAF8F2"/>
          </w:tcPr>
          <w:p>
            <w:pPr>
              <w:spacing w:after="0"/>
            </w:pPr>
            <w:r>
              <w:rPr>
                <w:rFonts w:ascii="Courier New" w:hAnsi="Courier New"/>
                <w:color w:val="1D1D1D"/>
                <w:sz w:val="16"/>
              </w:rPr>
              <w:t>st_capex</w:t>
            </w:r>
          </w:p>
        </w:tc>
        <w:tc>
          <w:tcPr>
            <w:tcW w:type="dxa" w:w="3060"/>
            <w:shd w:val="clear" w:color="auto" w:fill="FAF8F2"/>
          </w:tcPr>
          <w:p>
            <w:pPr>
              <w:spacing w:after="0"/>
            </w:pPr>
            <w:r>
              <w:rPr>
                <w:color w:val="1D1D1D"/>
                <w:sz w:val="16"/>
              </w:rPr>
              <w:t>+27%</w:t>
            </w:r>
          </w:p>
        </w:tc>
        <w:tc>
          <w:tcPr>
            <w:tcW w:type="dxa" w:w="3060"/>
            <w:shd w:val="clear" w:color="auto" w:fill="FAF8F2"/>
          </w:tcPr>
          <w:p>
            <w:pPr>
              <w:spacing w:after="0"/>
            </w:pPr>
            <w:r>
              <w:rPr>
                <w:rFonts w:ascii="Courier New" w:hAnsi="Courier New"/>
                <w:color w:val="1D1D1D"/>
                <w:sz w:val="16"/>
              </w:rPr>
              <w:t>eff_capex</w:t>
            </w:r>
            <w:r>
              <w:rPr>
                <w:color w:val="1D1D1D"/>
                <w:sz w:val="16"/>
              </w:rPr>
              <w:t xml:space="preserve">, scaled by the owner's share </w:t>
            </w:r>
            <w:r>
              <w:rPr>
                <w:rFonts w:ascii="Courier New" w:hAnsi="Courier New"/>
                <w:color w:val="1D1D1D"/>
                <w:sz w:val="16"/>
              </w:rPr>
              <w:t>epc_owner</w:t>
            </w:r>
          </w:p>
        </w:tc>
        <w:tc>
          <w:tcPr>
            <w:tcW w:type="dxa" w:w="2856"/>
            <w:shd w:val="clear" w:color="auto" w:fill="FAF8F2"/>
          </w:tcPr>
          <w:p>
            <w:pPr>
              <w:spacing w:after="0"/>
            </w:pPr>
            <w:r>
              <w:rPr>
                <w:color w:val="1D1D1D"/>
                <w:sz w:val="16"/>
              </w:rPr>
              <w:t>Ansar et al. 2014 median real overrun [HY-08]; mean +96%</w:t>
            </w:r>
          </w:p>
        </w:tc>
      </w:tr>
      <w:tr>
        <w:tc>
          <w:tcPr>
            <w:tcW w:type="dxa" w:w="663"/>
          </w:tcPr>
          <w:p>
            <w:pPr>
              <w:spacing w:after="0"/>
            </w:pPr>
            <w:r>
              <w:rPr>
                <w:rFonts w:ascii="Courier New" w:hAnsi="Courier New"/>
                <w:color w:val="1D1D1D"/>
                <w:sz w:val="16"/>
              </w:rPr>
              <w:t>st_delay</w:t>
            </w:r>
          </w:p>
        </w:tc>
        <w:tc>
          <w:tcPr>
            <w:tcW w:type="dxa" w:w="3060"/>
          </w:tcPr>
          <w:p>
            <w:pPr>
              <w:spacing w:after="0"/>
            </w:pPr>
            <w:r>
              <w:rPr>
                <w:color w:val="1D1D1D"/>
                <w:sz w:val="16"/>
              </w:rPr>
              <w:t>+2 years</w:t>
            </w:r>
          </w:p>
        </w:tc>
        <w:tc>
          <w:tcPr>
            <w:tcW w:type="dxa" w:w="3060"/>
          </w:tcPr>
          <w:p>
            <w:pPr>
              <w:spacing w:after="0"/>
            </w:pPr>
            <w:r>
              <w:rPr>
                <w:color w:val="1D1D1D"/>
                <w:sz w:val="16"/>
              </w:rPr>
              <w:t xml:space="preserve">Longer construction; delay cost 4% a year scaled by </w:t>
            </w:r>
            <w:r>
              <w:rPr>
                <w:rFonts w:ascii="Courier New" w:hAnsi="Courier New"/>
                <w:color w:val="1D1D1D"/>
                <w:sz w:val="16"/>
              </w:rPr>
              <w:t>epc_owner_d</w:t>
            </w:r>
          </w:p>
        </w:tc>
        <w:tc>
          <w:tcPr>
            <w:tcW w:type="dxa" w:w="2856"/>
          </w:tcPr>
          <w:p>
            <w:pPr>
              <w:spacing w:after="0"/>
            </w:pPr>
            <w:r>
              <w:rPr>
                <w:color w:val="1D1D1D"/>
                <w:sz w:val="16"/>
              </w:rPr>
              <w:t>Ansar et al. 2014 mean 2.3 years [HY-08]</w:t>
            </w:r>
          </w:p>
        </w:tc>
      </w:tr>
      <w:tr>
        <w:tc>
          <w:tcPr>
            <w:tcW w:type="dxa" w:w="663"/>
            <w:shd w:val="clear" w:color="auto" w:fill="FAF8F2"/>
          </w:tcPr>
          <w:p>
            <w:pPr>
              <w:spacing w:after="0"/>
            </w:pPr>
            <w:r>
              <w:rPr>
                <w:rFonts w:ascii="Courier New" w:hAnsi="Courier New"/>
                <w:color w:val="1D1D1D"/>
                <w:sz w:val="16"/>
              </w:rPr>
              <w:t>st_demand</w:t>
            </w:r>
          </w:p>
        </w:tc>
        <w:tc>
          <w:tcPr>
            <w:tcW w:type="dxa" w:w="3060"/>
            <w:shd w:val="clear" w:color="auto" w:fill="FAF8F2"/>
          </w:tcPr>
          <w:p>
            <w:pPr>
              <w:spacing w:after="0"/>
            </w:pPr>
            <w:r>
              <w:rPr>
                <w:color w:val="1D1D1D"/>
                <w:sz w:val="16"/>
              </w:rPr>
              <w:t>Demand level × 0.80 from COD</w:t>
            </w:r>
          </w:p>
        </w:tc>
        <w:tc>
          <w:tcPr>
            <w:tcW w:type="dxa" w:w="3060"/>
            <w:shd w:val="clear" w:color="auto" w:fill="FAF8F2"/>
          </w:tcPr>
          <w:p>
            <w:pPr>
              <w:spacing w:after="0"/>
            </w:pPr>
            <w:r>
              <w:rPr>
                <w:rFonts w:ascii="Courier New" w:hAnsi="Courier New"/>
                <w:color w:val="1D1D1D"/>
                <w:sz w:val="16"/>
              </w:rPr>
              <w:t>eff_dem</w:t>
            </w:r>
          </w:p>
        </w:tc>
        <w:tc>
          <w:tcPr>
            <w:tcW w:type="dxa" w:w="2856"/>
            <w:shd w:val="clear" w:color="auto" w:fill="FAF8F2"/>
          </w:tcPr>
          <w:p>
            <w:pPr>
              <w:spacing w:after="0"/>
            </w:pPr>
            <w:r>
              <w:rPr>
                <w:color w:val="1D1D1D"/>
                <w:sz w:val="16"/>
              </w:rPr>
              <w:t>Assumption</w:t>
            </w:r>
          </w:p>
        </w:tc>
      </w:tr>
      <w:tr>
        <w:tc>
          <w:tcPr>
            <w:tcW w:type="dxa" w:w="663"/>
          </w:tcPr>
          <w:p>
            <w:pPr>
              <w:spacing w:after="0"/>
            </w:pPr>
            <w:r>
              <w:rPr>
                <w:rFonts w:ascii="Courier New" w:hAnsi="Courier New"/>
                <w:color w:val="1D1D1D"/>
                <w:sz w:val="16"/>
              </w:rPr>
              <w:t>st_offtaker</w:t>
            </w:r>
          </w:p>
        </w:tc>
        <w:tc>
          <w:tcPr>
            <w:tcW w:type="dxa" w:w="3060"/>
          </w:tcPr>
          <w:p>
            <w:pPr>
              <w:spacing w:after="0"/>
            </w:pPr>
            <w:r>
              <w:rPr>
                <w:color w:val="1D1D1D"/>
                <w:sz w:val="16"/>
              </w:rPr>
              <w:t>Collection −8 pp, transfers −30%, retail tariff frozen 5 years from COD</w:t>
            </w:r>
          </w:p>
        </w:tc>
        <w:tc>
          <w:tcPr>
            <w:tcW w:type="dxa" w:w="3060"/>
          </w:tcPr>
          <w:p>
            <w:pPr>
              <w:spacing w:after="0"/>
            </w:pPr>
            <w:r>
              <w:rPr>
                <w:rFonts w:ascii="Courier New" w:hAnsi="Courier New"/>
                <w:color w:val="1D1D1D"/>
                <w:sz w:val="16"/>
              </w:rPr>
              <w:t>eff_coll_adj</w:t>
            </w:r>
            <w:r>
              <w:rPr>
                <w:color w:val="1D1D1D"/>
                <w:sz w:val="16"/>
              </w:rPr>
              <w:t xml:space="preserve">, </w:t>
            </w:r>
            <w:r>
              <w:rPr>
                <w:rFonts w:ascii="Courier New" w:hAnsi="Courier New"/>
                <w:color w:val="1D1D1D"/>
                <w:sz w:val="16"/>
              </w:rPr>
              <w:t>eff_sub</w:t>
            </w:r>
            <w:r>
              <w:rPr>
                <w:color w:val="1D1D1D"/>
                <w:sz w:val="16"/>
              </w:rPr>
              <w:t xml:space="preserve">, </w:t>
            </w:r>
            <w:r>
              <w:rPr>
                <w:rFonts w:ascii="Courier New" w:hAnsi="Courier New"/>
                <w:color w:val="1D1D1D"/>
                <w:sz w:val="16"/>
              </w:rPr>
              <w:t>eff_freeze</w:t>
            </w:r>
          </w:p>
        </w:tc>
        <w:tc>
          <w:tcPr>
            <w:tcW w:type="dxa" w:w="2856"/>
          </w:tcPr>
          <w:p>
            <w:pPr>
              <w:spacing w:after="0"/>
            </w:pPr>
            <w:r>
              <w:rPr>
                <w:color w:val="1D1D1D"/>
                <w:sz w:val="16"/>
              </w:rPr>
              <w:t>Assumption</w:t>
            </w:r>
          </w:p>
        </w:tc>
      </w:tr>
      <w:tr>
        <w:tc>
          <w:tcPr>
            <w:tcW w:type="dxa" w:w="663"/>
            <w:shd w:val="clear" w:color="auto" w:fill="FAF8F2"/>
          </w:tcPr>
          <w:p>
            <w:pPr>
              <w:spacing w:after="0"/>
            </w:pPr>
            <w:r>
              <w:rPr>
                <w:rFonts w:ascii="Courier New" w:hAnsi="Courier New"/>
                <w:color w:val="1D1D1D"/>
                <w:sz w:val="16"/>
              </w:rPr>
              <w:t>st_fx</w:t>
            </w:r>
          </w:p>
        </w:tc>
        <w:tc>
          <w:tcPr>
            <w:tcW w:type="dxa" w:w="3060"/>
            <w:shd w:val="clear" w:color="auto" w:fill="FAF8F2"/>
          </w:tcPr>
          <w:p>
            <w:pPr>
              <w:spacing w:after="0"/>
            </w:pPr>
            <w:r>
              <w:rPr>
                <w:color w:val="1D1D1D"/>
                <w:sz w:val="16"/>
              </w:rPr>
              <w:t>One-off 50% step devaluation at COD</w:t>
            </w:r>
          </w:p>
        </w:tc>
        <w:tc>
          <w:tcPr>
            <w:tcW w:type="dxa" w:w="3060"/>
            <w:shd w:val="clear" w:color="auto" w:fill="FAF8F2"/>
          </w:tcPr>
          <w:p>
            <w:pPr>
              <w:spacing w:after="0"/>
            </w:pPr>
            <w:r>
              <w:rPr>
                <w:rFonts w:ascii="Courier New" w:hAnsi="Courier New"/>
                <w:color w:val="1D1D1D"/>
                <w:sz w:val="16"/>
              </w:rPr>
              <w:t>eff_fxshock</w:t>
            </w:r>
          </w:p>
        </w:tc>
        <w:tc>
          <w:tcPr>
            <w:tcW w:type="dxa" w:w="2856"/>
            <w:shd w:val="clear" w:color="auto" w:fill="FAF8F2"/>
          </w:tcPr>
          <w:p>
            <w:pPr>
              <w:spacing w:after="0"/>
            </w:pPr>
            <w:r>
              <w:rPr>
                <w:color w:val="1D1D1D"/>
                <w:sz w:val="16"/>
              </w:rPr>
              <w:t>Recent large devaluations</w:t>
            </w:r>
          </w:p>
        </w:tc>
      </w:tr>
      <w:tr>
        <w:tc>
          <w:tcPr>
            <w:tcW w:type="dxa" w:w="663"/>
          </w:tcPr>
          <w:p>
            <w:pPr>
              <w:spacing w:after="0"/>
            </w:pPr>
            <w:r>
              <w:rPr>
                <w:rFonts w:ascii="Courier New" w:hAnsi="Courier New"/>
                <w:color w:val="1D1D1D"/>
                <w:sz w:val="16"/>
              </w:rPr>
              <w:t>st_rate</w:t>
            </w:r>
          </w:p>
        </w:tc>
        <w:tc>
          <w:tcPr>
            <w:tcW w:type="dxa" w:w="3060"/>
          </w:tcPr>
          <w:p>
            <w:pPr>
              <w:spacing w:after="0"/>
            </w:pPr>
            <w:r>
              <w:rPr>
                <w:color w:val="1D1D1D"/>
                <w:sz w:val="16"/>
              </w:rPr>
              <w:t>+300 bp on commercial debt</w:t>
            </w:r>
          </w:p>
        </w:tc>
        <w:tc>
          <w:tcPr>
            <w:tcW w:type="dxa" w:w="3060"/>
          </w:tcPr>
          <w:p>
            <w:pPr>
              <w:spacing w:after="0"/>
            </w:pPr>
            <w:r>
              <w:rPr>
                <w:color w:val="1D1D1D"/>
                <w:sz w:val="16"/>
              </w:rPr>
              <w:t>Applied to the unhedged share only</w:t>
            </w:r>
          </w:p>
        </w:tc>
        <w:tc>
          <w:tcPr>
            <w:tcW w:type="dxa" w:w="2856"/>
          </w:tcPr>
          <w:p>
            <w:pPr>
              <w:spacing w:after="0"/>
            </w:pPr>
            <w:r>
              <w:rPr>
                <w:color w:val="1D1D1D"/>
                <w:sz w:val="16"/>
              </w:rPr>
              <w:t>Concessional debt fixed-rate</w:t>
            </w:r>
          </w:p>
        </w:tc>
      </w:tr>
      <w:tr>
        <w:tc>
          <w:tcPr>
            <w:tcW w:type="dxa" w:w="663"/>
            <w:shd w:val="clear" w:color="auto" w:fill="FAF8F2"/>
          </w:tcPr>
          <w:p>
            <w:pPr>
              <w:spacing w:after="0"/>
            </w:pPr>
            <w:r>
              <w:rPr>
                <w:rFonts w:ascii="Courier New" w:hAnsi="Courier New"/>
                <w:color w:val="1D1D1D"/>
                <w:sz w:val="16"/>
              </w:rPr>
              <w:t>st_trans</w:t>
            </w:r>
          </w:p>
        </w:tc>
        <w:tc>
          <w:tcPr>
            <w:tcW w:type="dxa" w:w="3060"/>
            <w:shd w:val="clear" w:color="auto" w:fill="FAF8F2"/>
          </w:tcPr>
          <w:p>
            <w:pPr>
              <w:spacing w:after="0"/>
            </w:pPr>
            <w:r>
              <w:rPr>
                <w:color w:val="1D1D1D"/>
                <w:sz w:val="16"/>
              </w:rPr>
              <w:t>Line 2 years late</w:t>
            </w:r>
          </w:p>
        </w:tc>
        <w:tc>
          <w:tcPr>
            <w:tcW w:type="dxa" w:w="3060"/>
            <w:shd w:val="clear" w:color="auto" w:fill="FAF8F2"/>
          </w:tcPr>
          <w:p>
            <w:pPr>
              <w:spacing w:after="0"/>
            </w:pPr>
            <w:r>
              <w:rPr>
                <w:rFonts w:ascii="Courier New" w:hAnsi="Courier New"/>
                <w:color w:val="1D1D1D"/>
                <w:sz w:val="16"/>
              </w:rPr>
              <w:t>eff_tdelay</w:t>
            </w:r>
            <w:r>
              <w:rPr>
                <w:color w:val="1D1D1D"/>
                <w:sz w:val="16"/>
              </w:rPr>
              <w:t>; cost penalty</w:t>
            </w:r>
          </w:p>
        </w:tc>
        <w:tc>
          <w:tcPr>
            <w:tcW w:type="dxa" w:w="2856"/>
            <w:shd w:val="clear" w:color="auto" w:fill="FAF8F2"/>
          </w:tcPr>
          <w:p>
            <w:pPr>
              <w:spacing w:after="0"/>
            </w:pPr>
            <w:r>
              <w:rPr>
                <w:color w:val="1D1D1D"/>
                <w:sz w:val="16"/>
              </w:rPr>
              <w:t>Assumption</w:t>
            </w:r>
          </w:p>
        </w:tc>
      </w:tr>
      <w:tr>
        <w:tc>
          <w:tcPr>
            <w:tcW w:type="dxa" w:w="663"/>
          </w:tcPr>
          <w:p>
            <w:pPr>
              <w:spacing w:after="0"/>
            </w:pPr>
            <w:r>
              <w:rPr>
                <w:rFonts w:ascii="Courier New" w:hAnsi="Courier New"/>
                <w:color w:val="1D1D1D"/>
                <w:sz w:val="16"/>
              </w:rPr>
              <w:t>st_climate</w:t>
            </w:r>
          </w:p>
        </w:tc>
        <w:tc>
          <w:tcPr>
            <w:tcW w:type="dxa" w:w="3060"/>
          </w:tcPr>
          <w:p>
            <w:pPr>
              <w:spacing w:after="0"/>
            </w:pPr>
            <w:r>
              <w:rPr>
                <w:color w:val="1D1D1D"/>
                <w:sz w:val="16"/>
              </w:rPr>
              <w:t>−3% mean flow per decade</w:t>
            </w:r>
          </w:p>
        </w:tc>
        <w:tc>
          <w:tcPr>
            <w:tcW w:type="dxa" w:w="3060"/>
          </w:tcPr>
          <w:p>
            <w:pPr>
              <w:spacing w:after="0"/>
            </w:pPr>
            <w:r>
              <w:rPr>
                <w:rFonts w:ascii="Courier New" w:hAnsi="Courier New"/>
                <w:color w:val="1D1D1D"/>
                <w:sz w:val="16"/>
              </w:rPr>
              <w:t>climate</w:t>
            </w:r>
            <w:r>
              <w:rPr>
                <w:color w:val="1D1D1D"/>
                <w:sz w:val="16"/>
              </w:rPr>
              <w:t xml:space="preserve"> factor</w:t>
            </w:r>
          </w:p>
        </w:tc>
        <w:tc>
          <w:tcPr>
            <w:tcW w:type="dxa" w:w="2856"/>
          </w:tcPr>
          <w:p>
            <w:pPr>
              <w:spacing w:after="0"/>
            </w:pPr>
            <w:r>
              <w:rPr>
                <w:color w:val="1D1D1D"/>
                <w:sz w:val="16"/>
              </w:rPr>
              <w:t>Illustrative; needs a basin study</w:t>
            </w:r>
          </w:p>
        </w:tc>
      </w:tr>
    </w:tbl>
    <w:p>
      <w:pPr>
        <w:spacing w:after="40"/>
      </w:pPr>
    </w:p>
    <w:p>
      <w:pPr>
        <w:pStyle w:val="Heading2"/>
      </w:pPr>
      <w:r>
        <w:t>7.3 Sensitivity flexes</w:t>
      </w:r>
    </w:p>
    <w:p>
      <w:pPr>
        <w:jc w:val="both"/>
      </w:pPr>
      <w:r>
        <w:rPr>
          <w:rFonts w:ascii="Courier New" w:hAnsi="Courier New"/>
        </w:rPr>
        <w:t>fx_capex</w:t>
      </w:r>
      <w:r>
        <w:rPr/>
        <w:t xml:space="preserve">, </w:t>
      </w:r>
      <w:r>
        <w:rPr>
          <w:rFonts w:ascii="Courier New" w:hAnsi="Courier New"/>
        </w:rPr>
        <w:t>fx_gen</w:t>
      </w:r>
      <w:r>
        <w:rPr/>
        <w:t xml:space="preserve">, </w:t>
      </w:r>
      <w:r>
        <w:rPr>
          <w:rFonts w:ascii="Courier New" w:hAnsi="Courier New"/>
        </w:rPr>
        <w:t>fx_tariff</w:t>
      </w:r>
      <w:r>
        <w:rPr/>
        <w:t xml:space="preserve">, </w:t>
      </w:r>
      <w:r>
        <w:rPr>
          <w:rFonts w:ascii="Courier New" w:hAnsi="Courier New"/>
        </w:rPr>
        <w:t>fx_opex</w:t>
      </w:r>
      <w:r>
        <w:rPr/>
        <w:t xml:space="preserve"> and </w:t>
      </w:r>
      <w:r>
        <w:rPr>
          <w:rFonts w:ascii="Courier New" w:hAnsi="Courier New"/>
        </w:rPr>
        <w:t>fx_rate</w:t>
      </w:r>
      <w:r>
        <w:rPr/>
        <w:t xml:space="preserve"> on </w:t>
      </w:r>
      <w:r>
        <w:rPr>
          <w:i/>
        </w:rPr>
        <w:t>01_CONTROL_PANEL</w:t>
      </w:r>
      <w:r>
        <w:rPr/>
        <w:t xml:space="preserve"> apply on top of the case and stresses. The effective levers that the engine uses are listed at the foot of </w:t>
      </w:r>
      <w:r>
        <w:rPr>
          <w:i/>
        </w:rPr>
        <w:t>27_SCENARIOS</w:t>
      </w:r>
      <w:r>
        <w:rPr/>
        <w:t>.</w:t>
      </w:r>
    </w:p>
    <w:p>
      <w:pPr>
        <w:pStyle w:val="Heading2"/>
      </w:pPr>
      <w:r>
        <w:t>7.4 Live tornado (28_SENSITIVITY)</w:t>
      </w:r>
    </w:p>
    <w:p>
      <w:pPr>
        <w:jc w:val="both"/>
      </w:pPr>
      <w:r>
        <w:rPr/>
        <w:t>A closed-form screening LCOE on the funding base plus IDC, at the project discount rate over the PPA term:</w:t>
      </w:r>
    </w:p>
    <w:p>
      <w:pPr>
        <w:spacing w:after="0"/>
        <w:ind w:left="283"/>
      </w:pPr>
      <w:r>
        <w:rPr>
          <w:rFonts w:ascii="Courier New" w:hAnsi="Courier New"/>
          <w:sz w:val="17"/>
        </w:rPr>
        <w:t>lc_crf  = disc_rate/(1-(1+disc_rate)^-ops_years)</w:t>
      </w:r>
    </w:p>
    <w:p>
      <w:pPr>
        <w:spacing w:after="0"/>
        <w:ind w:left="283"/>
      </w:pPr>
      <w:r>
        <w:rPr>
          <w:rFonts w:ascii="Courier New" w:hAnsi="Courier New"/>
          <w:sz w:val="17"/>
        </w:rPr>
        <w:t>lc_base = ((fund_base+u_idc)*lc_crf+opex_y2)/p50*1000</w:t>
      </w:r>
    </w:p>
    <w:p>
      <w:pPr>
        <w:spacing w:after="40"/>
      </w:pPr>
    </w:p>
    <w:p>
      <w:pPr>
        <w:jc w:val="both"/>
      </w:pPr>
      <w:r>
        <w:rPr/>
        <w:t>Each driver is flexed both ways: CAPEX ±20%, generation ±10%, discount rate ±2 pp, OPEX ±20%, delivered share (curtailment 0 to 15%). Kasiri screening LCOE is USD 97.8/MWh, with CAPEX the widest swing. The tornado ignores tax, financing and timing; financing results come from the full engine.</w:t>
      </w:r>
    </w:p>
    <w:p>
      <w:pPr>
        <w:pStyle w:val="Heading2"/>
      </w:pPr>
      <w:r>
        <w:t>7.5 The snapshot runner</w:t>
      </w:r>
    </w:p>
    <w:p>
      <w:pPr>
        <w:jc w:val="both"/>
      </w:pPr>
      <w:r>
        <w:rPr>
          <w:rFonts w:ascii="Courier New" w:hAnsi="Courier New"/>
        </w:rPr>
        <w:t>tools/run_snapshots.py</w:t>
      </w:r>
      <w:r>
        <w:rPr/>
        <w:t xml:space="preserve"> reruns the complete workbook for each case, recalculating a temporary copy in LibreOffice headless each time, and writes the results as dated static tables. Live formulas are not changed.</w:t>
      </w:r>
    </w:p>
    <w:p>
      <w:pPr>
        <w:jc w:val="both"/>
      </w:pPr>
      <w:r>
        <w:rPr>
          <w:b/>
        </w:rPr>
        <w:t>What it runs.</w:t>
      </w:r>
    </w:p>
    <w:tbl>
      <w:tblPr>
        <w:tblStyle w:val="TableGrid"/>
        <w:tblW w:type="auto" w:w="0"/>
        <w:jc w:val="center"/>
        <w:tblLook w:firstColumn="1" w:firstRow="1" w:lastColumn="0" w:lastRow="0" w:noHBand="0" w:noVBand="1" w:val="04A0"/>
      </w:tblPr>
      <w:tblGrid>
        <w:gridCol w:w="3213"/>
        <w:gridCol w:w="3213"/>
        <w:gridCol w:w="3213"/>
      </w:tblGrid>
      <w:tr>
        <w:tc>
          <w:tcPr>
            <w:tcW w:type="dxa" w:w="1457"/>
            <w:shd w:val="clear" w:color="auto" w:fill="0B3020"/>
          </w:tcPr>
          <w:p>
            <w:pPr>
              <w:spacing w:after="0"/>
            </w:pPr>
            <w:r>
              <w:rPr>
                <w:b/>
                <w:color w:val="FFFFFF"/>
                <w:sz w:val="16"/>
              </w:rPr>
              <w:t>Group</w:t>
            </w:r>
          </w:p>
        </w:tc>
        <w:tc>
          <w:tcPr>
            <w:tcW w:type="dxa" w:w="6724"/>
            <w:shd w:val="clear" w:color="auto" w:fill="0B3020"/>
          </w:tcPr>
          <w:p>
            <w:pPr>
              <w:spacing w:after="0"/>
            </w:pPr>
            <w:r>
              <w:rPr>
                <w:b/>
                <w:color w:val="FFFFFF"/>
                <w:sz w:val="16"/>
              </w:rPr>
              <w:t>Runs</w:t>
            </w:r>
          </w:p>
        </w:tc>
        <w:tc>
          <w:tcPr>
            <w:tcW w:type="dxa" w:w="1457"/>
            <w:shd w:val="clear" w:color="auto" w:fill="0B3020"/>
          </w:tcPr>
          <w:p>
            <w:pPr>
              <w:spacing w:after="0"/>
            </w:pPr>
            <w:r>
              <w:rPr>
                <w:b/>
                <w:color w:val="FFFFFF"/>
                <w:sz w:val="16"/>
              </w:rPr>
              <w:t>Debt</w:t>
            </w:r>
          </w:p>
        </w:tc>
      </w:tr>
      <w:tr>
        <w:tc>
          <w:tcPr>
            <w:tcW w:type="dxa" w:w="1457"/>
          </w:tcPr>
          <w:p>
            <w:pPr>
              <w:spacing w:after="0"/>
            </w:pPr>
            <w:r>
              <w:rPr>
                <w:color w:val="1D1D1D"/>
                <w:sz w:val="16"/>
              </w:rPr>
              <w:t>Base</w:t>
            </w:r>
          </w:p>
        </w:tc>
        <w:tc>
          <w:tcPr>
            <w:tcW w:type="dxa" w:w="6724"/>
          </w:tcPr>
          <w:p>
            <w:pPr>
              <w:spacing w:after="0"/>
            </w:pPr>
            <w:r>
              <w:rPr>
                <w:color w:val="1D1D1D"/>
                <w:sz w:val="16"/>
              </w:rPr>
              <w:t>Debt sized in the model; debt locked</w:t>
            </w:r>
          </w:p>
        </w:tc>
        <w:tc>
          <w:tcPr>
            <w:tcW w:type="dxa" w:w="1457"/>
          </w:tcPr>
          <w:p>
            <w:pPr>
              <w:spacing w:after="0"/>
            </w:pPr>
            <w:r>
              <w:rPr>
                <w:color w:val="1D1D1D"/>
                <w:sz w:val="16"/>
              </w:rPr>
              <w:t>Sized; locked</w:t>
            </w:r>
          </w:p>
        </w:tc>
      </w:tr>
      <w:tr>
        <w:tc>
          <w:tcPr>
            <w:tcW w:type="dxa" w:w="1457"/>
            <w:shd w:val="clear" w:color="auto" w:fill="FAF8F2"/>
          </w:tcPr>
          <w:p>
            <w:pPr>
              <w:spacing w:after="0"/>
            </w:pPr>
            <w:r>
              <w:rPr>
                <w:color w:val="1D1D1D"/>
                <w:sz w:val="16"/>
              </w:rPr>
              <w:t>Scenarios</w:t>
            </w:r>
          </w:p>
        </w:tc>
        <w:tc>
          <w:tcPr>
            <w:tcW w:type="dxa" w:w="6724"/>
            <w:shd w:val="clear" w:color="auto" w:fill="FAF8F2"/>
          </w:tcPr>
          <w:p>
            <w:pPr>
              <w:spacing w:after="0"/>
            </w:pPr>
            <w:r>
              <w:rPr>
                <w:color w:val="1D1D1D"/>
                <w:sz w:val="16"/>
              </w:rPr>
              <w:t>Low, High, Drought, Overrun 27%, Overrun 96%, Delay, Low demand, Offtaker, Offtaker without backstop, FX step, High rate, Transmission delay, Climate, Combined (overrun, delay, offtaker, FX)</w:t>
            </w:r>
          </w:p>
        </w:tc>
        <w:tc>
          <w:tcPr>
            <w:tcW w:type="dxa" w:w="1457"/>
            <w:shd w:val="clear" w:color="auto" w:fill="FAF8F2"/>
          </w:tcPr>
          <w:p>
            <w:pPr>
              <w:spacing w:after="0"/>
            </w:pPr>
            <w:r>
              <w:rPr>
                <w:color w:val="1D1D1D"/>
                <w:sz w:val="16"/>
              </w:rPr>
              <w:t>Locked</w:t>
            </w:r>
          </w:p>
        </w:tc>
      </w:tr>
      <w:tr>
        <w:tc>
          <w:tcPr>
            <w:tcW w:type="dxa" w:w="1457"/>
          </w:tcPr>
          <w:p>
            <w:pPr>
              <w:spacing w:after="0"/>
            </w:pPr>
            <w:r>
              <w:rPr>
                <w:color w:val="1D1D1D"/>
                <w:sz w:val="16"/>
              </w:rPr>
              <w:t>Structures</w:t>
            </w:r>
          </w:p>
        </w:tc>
        <w:tc>
          <w:tcPr>
            <w:tcW w:type="dxa" w:w="6724"/>
          </w:tcPr>
          <w:p>
            <w:pPr>
              <w:spacing w:after="0"/>
            </w:pPr>
            <w:r>
              <w:rPr>
                <w:color w:val="1D1D1D"/>
                <w:sz w:val="16"/>
              </w:rPr>
              <w:t>Structures 1 to 5</w:t>
            </w:r>
          </w:p>
        </w:tc>
        <w:tc>
          <w:tcPr>
            <w:tcW w:type="dxa" w:w="1457"/>
          </w:tcPr>
          <w:p>
            <w:pPr>
              <w:spacing w:after="0"/>
            </w:pPr>
            <w:r>
              <w:rPr>
                <w:color w:val="1D1D1D"/>
                <w:sz w:val="16"/>
              </w:rPr>
              <w:t>Sized</w:t>
            </w:r>
          </w:p>
        </w:tc>
      </w:tr>
      <w:tr>
        <w:tc>
          <w:tcPr>
            <w:tcW w:type="dxa" w:w="1457"/>
            <w:shd w:val="clear" w:color="auto" w:fill="FAF8F2"/>
          </w:tcPr>
          <w:p>
            <w:pPr>
              <w:spacing w:after="0"/>
            </w:pPr>
            <w:r>
              <w:rPr>
                <w:color w:val="1D1D1D"/>
                <w:sz w:val="16"/>
              </w:rPr>
              <w:t>Sensitivities</w:t>
            </w:r>
          </w:p>
        </w:tc>
        <w:tc>
          <w:tcPr>
            <w:tcW w:type="dxa" w:w="6724"/>
            <w:shd w:val="clear" w:color="auto" w:fill="FAF8F2"/>
          </w:tcPr>
          <w:p>
            <w:pPr>
              <w:spacing w:after="0"/>
            </w:pPr>
            <w:r>
              <w:rPr>
                <w:color w:val="1D1D1D"/>
                <w:sz w:val="16"/>
              </w:rPr>
              <w:t>CAPEX ±20%, generation ±10%, tariff ±10%, OPEX +20%, rate +200 bp, P90 in the cash flows</w:t>
            </w:r>
          </w:p>
        </w:tc>
        <w:tc>
          <w:tcPr>
            <w:tcW w:type="dxa" w:w="1457"/>
            <w:shd w:val="clear" w:color="auto" w:fill="FAF8F2"/>
          </w:tcPr>
          <w:p>
            <w:pPr>
              <w:spacing w:after="0"/>
            </w:pPr>
            <w:r>
              <w:rPr>
                <w:color w:val="1D1D1D"/>
                <w:sz w:val="16"/>
              </w:rPr>
              <w:t>Locked</w:t>
            </w:r>
          </w:p>
        </w:tc>
      </w:tr>
      <w:tr>
        <w:tc>
          <w:tcPr>
            <w:tcW w:type="dxa" w:w="1457"/>
          </w:tcPr>
          <w:p>
            <w:pPr>
              <w:spacing w:after="0"/>
            </w:pPr>
            <w:r>
              <w:rPr>
                <w:color w:val="1D1D1D"/>
                <w:sz w:val="16"/>
              </w:rPr>
              <w:t>Contracting</w:t>
            </w:r>
          </w:p>
        </w:tc>
        <w:tc>
          <w:tcPr>
            <w:tcW w:type="dxa" w:w="6724"/>
          </w:tcPr>
          <w:p>
            <w:pPr>
              <w:spacing w:after="0"/>
            </w:pPr>
            <w:r>
              <w:rPr>
                <w:color w:val="1D1D1D"/>
                <w:sz w:val="16"/>
              </w:rPr>
              <w:t>EPC 1, 2, 3 base and with a 96% overrun</w:t>
            </w:r>
          </w:p>
        </w:tc>
        <w:tc>
          <w:tcPr>
            <w:tcW w:type="dxa" w:w="1457"/>
          </w:tcPr>
          <w:p>
            <w:pPr>
              <w:spacing w:after="0"/>
            </w:pPr>
            <w:r>
              <w:rPr>
                <w:color w:val="1D1D1D"/>
                <w:sz w:val="16"/>
              </w:rPr>
              <w:t>Sized</w:t>
            </w:r>
          </w:p>
        </w:tc>
      </w:tr>
      <w:tr>
        <w:tc>
          <w:tcPr>
            <w:tcW w:type="dxa" w:w="1457"/>
            <w:shd w:val="clear" w:color="auto" w:fill="FAF8F2"/>
          </w:tcPr>
          <w:p>
            <w:pPr>
              <w:spacing w:after="0"/>
            </w:pPr>
            <w:r>
              <w:rPr>
                <w:color w:val="1D1D1D"/>
                <w:sz w:val="16"/>
              </w:rPr>
              <w:t>Developer</w:t>
            </w:r>
          </w:p>
        </w:tc>
        <w:tc>
          <w:tcPr>
            <w:tcW w:type="dxa" w:w="6724"/>
            <w:shd w:val="clear" w:color="auto" w:fill="FAF8F2"/>
          </w:tcPr>
          <w:p>
            <w:pPr>
              <w:spacing w:after="0"/>
            </w:pPr>
            <w:r>
              <w:rPr>
                <w:color w:val="1D1D1D"/>
                <w:sz w:val="16"/>
              </w:rPr>
              <w:t>Discount rate 18%, premium 6%, stage odds +10 pp, grant for half of feasibility, tariff +10%, all four levers</w:t>
            </w:r>
          </w:p>
        </w:tc>
        <w:tc>
          <w:tcPr>
            <w:tcW w:type="dxa" w:w="1457"/>
            <w:shd w:val="clear" w:color="auto" w:fill="FAF8F2"/>
          </w:tcPr>
          <w:p>
            <w:pPr>
              <w:spacing w:after="0"/>
            </w:pPr>
            <w:r>
              <w:rPr>
                <w:color w:val="1D1D1D"/>
                <w:sz w:val="16"/>
              </w:rPr>
              <w:t>Sized</w:t>
            </w:r>
          </w:p>
        </w:tc>
      </w:tr>
      <w:tr>
        <w:tc>
          <w:tcPr>
            <w:tcW w:type="dxa" w:w="1457"/>
          </w:tcPr>
          <w:p>
            <w:pPr>
              <w:spacing w:after="0"/>
            </w:pPr>
            <w:r>
              <w:rPr>
                <w:color w:val="1D1D1D"/>
                <w:sz w:val="16"/>
              </w:rPr>
              <w:t>Lender case</w:t>
            </w:r>
          </w:p>
        </w:tc>
        <w:tc>
          <w:tcPr>
            <w:tcW w:type="dxa" w:w="6724"/>
          </w:tcPr>
          <w:p>
            <w:pPr>
              <w:spacing w:after="0"/>
            </w:pPr>
            <w:r>
              <w:rPr>
                <w:color w:val="1D1D1D"/>
                <w:sz w:val="16"/>
              </w:rPr>
              <w:t>One-year P90</w:t>
            </w:r>
          </w:p>
        </w:tc>
        <w:tc>
          <w:tcPr>
            <w:tcW w:type="dxa" w:w="1457"/>
          </w:tcPr>
          <w:p>
            <w:pPr>
              <w:spacing w:after="0"/>
            </w:pPr>
            <w:r>
              <w:rPr>
                <w:color w:val="1D1D1D"/>
                <w:sz w:val="16"/>
              </w:rPr>
              <w:t>Sized</w:t>
            </w:r>
          </w:p>
        </w:tc>
      </w:tr>
      <w:tr>
        <w:tc>
          <w:tcPr>
            <w:tcW w:type="dxa" w:w="1457"/>
            <w:shd w:val="clear" w:color="auto" w:fill="FAF8F2"/>
          </w:tcPr>
          <w:p>
            <w:pPr>
              <w:spacing w:after="0"/>
            </w:pPr>
            <w:r>
              <w:rPr>
                <w:color w:val="1D1D1D"/>
                <w:sz w:val="16"/>
              </w:rPr>
              <w:t>Solves</w:t>
            </w:r>
          </w:p>
        </w:tc>
        <w:tc>
          <w:tcPr>
            <w:tcW w:type="dxa" w:w="6724"/>
            <w:shd w:val="clear" w:color="auto" w:fill="FAF8F2"/>
          </w:tcPr>
          <w:p>
            <w:pPr>
              <w:spacing w:after="0"/>
            </w:pPr>
            <w:r>
              <w:rPr>
                <w:color w:val="1D1D1D"/>
                <w:sz w:val="16"/>
              </w:rPr>
              <w:t>Tariff flex giving each structure's target equity IRR (structures 2 to 5, nine bisection steps); flow flex at which the locked minimum DSCR reaches 1.0</w:t>
            </w:r>
          </w:p>
        </w:tc>
        <w:tc>
          <w:tcPr>
            <w:tcW w:type="dxa" w:w="1457"/>
            <w:shd w:val="clear" w:color="auto" w:fill="FAF8F2"/>
          </w:tcPr>
          <w:p>
            <w:pPr>
              <w:spacing w:after="0"/>
            </w:pPr>
            <w:r>
              <w:rPr>
                <w:color w:val="1D1D1D"/>
                <w:sz w:val="16"/>
              </w:rPr>
              <w:t>As above</w:t>
            </w:r>
          </w:p>
        </w:tc>
      </w:tr>
    </w:tbl>
    <w:p>
      <w:pPr>
        <w:spacing w:after="40"/>
      </w:pPr>
    </w:p>
    <w:p>
      <w:pPr>
        <w:jc w:val="both"/>
      </w:pPr>
      <w:r>
        <w:rPr/>
        <w:t xml:space="preserve">For the locked runs, the runner first runs the base with debt sized, then writes the base </w:t>
      </w:r>
      <w:r>
        <w:rPr>
          <w:rFonts w:ascii="Courier New" w:hAnsi="Courier New"/>
        </w:rPr>
        <w:t>debt_m</w:t>
      </w:r>
      <w:r>
        <w:rPr/>
        <w:t xml:space="preserve">, </w:t>
      </w:r>
      <w:r>
        <w:rPr>
          <w:rFonts w:ascii="Courier New" w:hAnsi="Courier New"/>
        </w:rPr>
        <w:t>debt_c</w:t>
      </w:r>
      <w:r>
        <w:rPr/>
        <w:t xml:space="preserve">, </w:t>
      </w:r>
      <w:r>
        <w:rPr>
          <w:rFonts w:ascii="Courier New" w:hAnsi="Courier New"/>
        </w:rPr>
        <w:t>s_grant</w:t>
      </w:r>
      <w:r>
        <w:rPr/>
        <w:t xml:space="preserve">, </w:t>
      </w:r>
      <w:r>
        <w:rPr>
          <w:rFonts w:ascii="Courier New" w:hAnsi="Courier New"/>
        </w:rPr>
        <w:t>s_goveq</w:t>
      </w:r>
      <w:r>
        <w:rPr/>
        <w:t xml:space="preserve"> and the commercial principal by operating year into the locked inputs of each copy.</w:t>
      </w:r>
    </w:p>
    <w:p>
      <w:pPr>
        <w:jc w:val="both"/>
      </w:pPr>
      <w:r>
        <w:rPr>
          <w:b/>
        </w:rPr>
        <w:t>What it writes.</w:t>
      </w:r>
      <w:r>
        <w:rPr/>
        <w:t xml:space="preserve"> Static tables in </w:t>
      </w:r>
      <w:r>
        <w:rPr>
          <w:i/>
        </w:rPr>
        <w:t>27_SCENARIOS</w:t>
      </w:r>
      <w:r>
        <w:rPr/>
        <w:t xml:space="preserve"> (scenarios), </w:t>
      </w:r>
      <w:r>
        <w:rPr>
          <w:i/>
        </w:rPr>
        <w:t>17A_STRUCTURES</w:t>
      </w:r>
      <w:r>
        <w:rPr/>
        <w:t xml:space="preserve"> (structures) and </w:t>
      </w:r>
      <w:r>
        <w:rPr>
          <w:i/>
        </w:rPr>
        <w:t>28_SENSITIVITY</w:t>
      </w:r>
      <w:r>
        <w:rPr/>
        <w:t xml:space="preserve"> (sensitivities), each with the run date, and </w:t>
      </w:r>
      <w:r>
        <w:rPr>
          <w:rFonts w:ascii="Courier New" w:hAnsi="Courier New"/>
        </w:rPr>
        <w:t>model/snapshot_results.json</w:t>
      </w:r>
      <w:r>
        <w:rPr/>
        <w:t xml:space="preserve"> with all key results, the gate statuses and selected time series for every run. Results are keyed by short names (for example </w:t>
      </w:r>
      <w:r>
        <w:rPr>
          <w:rFonts w:ascii="Courier New" w:hAnsi="Courier New"/>
        </w:rPr>
        <w:t>base_sized</w:t>
      </w:r>
      <w:r>
        <w:rPr/>
        <w:t xml:space="preserve">, </w:t>
      </w:r>
      <w:r>
        <w:rPr>
          <w:rFonts w:ascii="Courier New" w:hAnsi="Courier New"/>
        </w:rPr>
        <w:t>drought</w:t>
      </w:r>
      <w:r>
        <w:rPr/>
        <w:t xml:space="preserve">, </w:t>
      </w:r>
      <w:r>
        <w:rPr>
          <w:rFonts w:ascii="Courier New" w:hAnsi="Courier New"/>
        </w:rPr>
        <w:t>offtaker_nobs</w:t>
      </w:r>
      <w:r>
        <w:rPr/>
        <w:t xml:space="preserve">, </w:t>
      </w:r>
      <w:r>
        <w:rPr>
          <w:rFonts w:ascii="Courier New" w:hAnsi="Courier New"/>
        </w:rPr>
        <w:t>s3</w:t>
      </w:r>
      <w:r>
        <w:rPr/>
        <w:t xml:space="preserve">, </w:t>
      </w:r>
      <w:r>
        <w:rPr>
          <w:rFonts w:ascii="Courier New" w:hAnsi="Courier New"/>
        </w:rPr>
        <w:t>epc2_ov</w:t>
      </w:r>
      <w:r>
        <w:rPr/>
        <w:t xml:space="preserve">, </w:t>
      </w:r>
      <w:r>
        <w:rPr>
          <w:rFonts w:ascii="Courier New" w:hAnsi="Courier New"/>
        </w:rPr>
        <w:t>dev_all</w:t>
      </w:r>
      <w:r>
        <w:rPr/>
        <w:t xml:space="preserve">, </w:t>
      </w:r>
      <w:r>
        <w:rPr>
          <w:rFonts w:ascii="Courier New" w:hAnsi="Courier New"/>
        </w:rPr>
        <w:t>len1</w:t>
      </w:r>
      <w:r>
        <w:rPr/>
        <w:t xml:space="preserve">); the required tariff flexes are stored as </w:t>
      </w:r>
      <w:r>
        <w:rPr>
          <w:rFonts w:ascii="Courier New" w:hAnsi="Courier New"/>
        </w:rPr>
        <w:t>req_tariff_flex</w:t>
      </w:r>
      <w:r>
        <w:rPr/>
        <w:t xml:space="preserve"> on </w:t>
      </w:r>
      <w:r>
        <w:rPr>
          <w:rFonts w:ascii="Courier New" w:hAnsi="Courier New"/>
        </w:rPr>
        <w:t>s2</w:t>
      </w:r>
      <w:r>
        <w:rPr/>
        <w:t xml:space="preserve"> to </w:t>
      </w:r>
      <w:r>
        <w:rPr>
          <w:rFonts w:ascii="Courier New" w:hAnsi="Courier New"/>
        </w:rPr>
        <w:t>s5</w:t>
      </w:r>
      <w:r>
        <w:rPr/>
        <w:t xml:space="preserve"> and the break-even flow as </w:t>
      </w:r>
      <w:r>
        <w:rPr>
          <w:rFonts w:ascii="Courier New" w:hAnsi="Courier New"/>
        </w:rPr>
        <w:t>be_flow_flex</w:t>
      </w:r>
      <w:r>
        <w:rPr/>
        <w:t xml:space="preserve"> on </w:t>
      </w:r>
      <w:r>
        <w:rPr>
          <w:rFonts w:ascii="Courier New" w:hAnsi="Courier New"/>
        </w:rPr>
        <w:t>base_locked</w:t>
      </w:r>
      <w:r>
        <w:rPr/>
        <w:t>.</w:t>
      </w:r>
    </w:p>
    <w:p>
      <w:pPr>
        <w:jc w:val="both"/>
      </w:pPr>
      <w:r>
        <w:rPr>
          <w:b/>
        </w:rPr>
        <w:t>Selected snapshot results (debt locked unless stated).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84"/>
            <w:shd w:val="clear" w:color="auto" w:fill="0B3020"/>
          </w:tcPr>
          <w:p>
            <w:pPr>
              <w:spacing w:after="0"/>
            </w:pPr>
            <w:r>
              <w:rPr>
                <w:b/>
                <w:color w:val="FFFFFF"/>
                <w:sz w:val="16"/>
              </w:rPr>
              <w:t>Run</w:t>
            </w:r>
          </w:p>
        </w:tc>
        <w:tc>
          <w:tcPr>
            <w:tcW w:type="dxa" w:w="964"/>
            <w:shd w:val="clear" w:color="auto" w:fill="0B3020"/>
          </w:tcPr>
          <w:p>
            <w:pPr>
              <w:spacing w:after="0"/>
            </w:pPr>
            <w:r>
              <w:rPr>
                <w:b/>
                <w:color w:val="FFFFFF"/>
                <w:sz w:val="16"/>
              </w:rPr>
              <w:t>Equity IRR</w:t>
            </w:r>
          </w:p>
        </w:tc>
        <w:tc>
          <w:tcPr>
            <w:tcW w:type="dxa" w:w="771"/>
            <w:shd w:val="clear" w:color="auto" w:fill="0B3020"/>
          </w:tcPr>
          <w:p>
            <w:pPr>
              <w:spacing w:after="0"/>
            </w:pPr>
            <w:r>
              <w:rPr>
                <w:b/>
                <w:color w:val="FFFFFF"/>
                <w:sz w:val="16"/>
              </w:rPr>
              <w:t>Min DSCR</w:t>
            </w:r>
          </w:p>
        </w:tc>
        <w:tc>
          <w:tcPr>
            <w:tcW w:type="dxa" w:w="1928"/>
            <w:shd w:val="clear" w:color="auto" w:fill="0B3020"/>
          </w:tcPr>
          <w:p>
            <w:pPr>
              <w:spacing w:after="0"/>
            </w:pPr>
            <w:r>
              <w:rPr>
                <w:b/>
                <w:color w:val="FFFFFF"/>
                <w:sz w:val="16"/>
              </w:rPr>
              <w:t>Financing gap (USDm)</w:t>
            </w:r>
          </w:p>
        </w:tc>
        <w:tc>
          <w:tcPr>
            <w:tcW w:type="dxa" w:w="2891"/>
            <w:shd w:val="clear" w:color="auto" w:fill="0B3020"/>
          </w:tcPr>
          <w:p>
            <w:pPr>
              <w:spacing w:after="0"/>
            </w:pPr>
            <w:r>
              <w:rPr>
                <w:b/>
                <w:color w:val="FFFFFF"/>
                <w:sz w:val="16"/>
              </w:rPr>
              <w:t>Consolidated fiscal NPV (USDm)</w:t>
            </w:r>
          </w:p>
        </w:tc>
      </w:tr>
      <w:tr>
        <w:tc>
          <w:tcPr>
            <w:tcW w:type="dxa" w:w="3084"/>
          </w:tcPr>
          <w:p>
            <w:pPr>
              <w:spacing w:after="0"/>
            </w:pPr>
            <w:r>
              <w:rPr>
                <w:color w:val="1D1D1D"/>
                <w:sz w:val="16"/>
              </w:rPr>
              <w:t>Base</w:t>
            </w:r>
          </w:p>
        </w:tc>
        <w:tc>
          <w:tcPr>
            <w:tcW w:type="dxa" w:w="964"/>
          </w:tcPr>
          <w:p>
            <w:pPr>
              <w:spacing w:after="0"/>
            </w:pPr>
            <w:r>
              <w:rPr>
                <w:color w:val="1D1D1D"/>
                <w:sz w:val="16"/>
              </w:rPr>
              <w:t>13.8%</w:t>
            </w:r>
          </w:p>
        </w:tc>
        <w:tc>
          <w:tcPr>
            <w:tcW w:type="dxa" w:w="771"/>
          </w:tcPr>
          <w:p>
            <w:pPr>
              <w:spacing w:after="0"/>
            </w:pPr>
            <w:r>
              <w:rPr>
                <w:color w:val="1D1D1D"/>
                <w:sz w:val="16"/>
              </w:rPr>
              <w:t>1.53</w:t>
            </w:r>
          </w:p>
        </w:tc>
        <w:tc>
          <w:tcPr>
            <w:tcW w:type="dxa" w:w="1928"/>
          </w:tcPr>
          <w:p>
            <w:pPr>
              <w:spacing w:after="0"/>
            </w:pPr>
            <w:r>
              <w:rPr>
                <w:color w:val="1D1D1D"/>
                <w:sz w:val="16"/>
              </w:rPr>
              <w:t>4.1</w:t>
            </w:r>
          </w:p>
        </w:tc>
        <w:tc>
          <w:tcPr>
            <w:tcW w:type="dxa" w:w="2891"/>
          </w:tcPr>
          <w:p>
            <w:pPr>
              <w:spacing w:after="0"/>
            </w:pPr>
            <w:r>
              <w:rPr>
                <w:color w:val="1D1D1D"/>
                <w:sz w:val="16"/>
              </w:rPr>
              <w:t>−28</w:t>
            </w:r>
          </w:p>
        </w:tc>
      </w:tr>
      <w:tr>
        <w:tc>
          <w:tcPr>
            <w:tcW w:type="dxa" w:w="3084"/>
            <w:shd w:val="clear" w:color="auto" w:fill="FAF8F2"/>
          </w:tcPr>
          <w:p>
            <w:pPr>
              <w:spacing w:after="0"/>
            </w:pPr>
            <w:r>
              <w:rPr>
                <w:color w:val="1D1D1D"/>
                <w:sz w:val="16"/>
              </w:rPr>
              <w:t>Drought</w:t>
            </w:r>
          </w:p>
        </w:tc>
        <w:tc>
          <w:tcPr>
            <w:tcW w:type="dxa" w:w="964"/>
            <w:shd w:val="clear" w:color="auto" w:fill="FAF8F2"/>
          </w:tcPr>
          <w:p>
            <w:pPr>
              <w:spacing w:after="0"/>
            </w:pPr>
            <w:r>
              <w:rPr>
                <w:color w:val="1D1D1D"/>
                <w:sz w:val="16"/>
              </w:rPr>
              <w:t>11.0%</w:t>
            </w:r>
          </w:p>
        </w:tc>
        <w:tc>
          <w:tcPr>
            <w:tcW w:type="dxa" w:w="771"/>
            <w:shd w:val="clear" w:color="auto" w:fill="FAF8F2"/>
          </w:tcPr>
          <w:p>
            <w:pPr>
              <w:spacing w:after="0"/>
            </w:pPr>
            <w:r>
              <w:rPr>
                <w:color w:val="1D1D1D"/>
                <w:sz w:val="16"/>
              </w:rPr>
              <w:t>0.69</w:t>
            </w:r>
          </w:p>
        </w:tc>
        <w:tc>
          <w:tcPr>
            <w:tcW w:type="dxa" w:w="1928"/>
            <w:shd w:val="clear" w:color="auto" w:fill="FAF8F2"/>
          </w:tcPr>
          <w:p>
            <w:pPr>
              <w:spacing w:after="0"/>
            </w:pPr>
            <w:r>
              <w:rPr>
                <w:color w:val="1D1D1D"/>
                <w:sz w:val="16"/>
              </w:rPr>
              <w:t>4.1</w:t>
            </w:r>
          </w:p>
        </w:tc>
        <w:tc>
          <w:tcPr>
            <w:tcW w:type="dxa" w:w="2891"/>
            <w:shd w:val="clear" w:color="auto" w:fill="FAF8F2"/>
          </w:tcPr>
          <w:p>
            <w:pPr>
              <w:spacing w:after="0"/>
            </w:pPr>
            <w:r>
              <w:rPr>
                <w:color w:val="1D1D1D"/>
                <w:sz w:val="16"/>
              </w:rPr>
              <w:t>−27</w:t>
            </w:r>
          </w:p>
        </w:tc>
      </w:tr>
      <w:tr>
        <w:tc>
          <w:tcPr>
            <w:tcW w:type="dxa" w:w="3084"/>
          </w:tcPr>
          <w:p>
            <w:pPr>
              <w:spacing w:after="0"/>
            </w:pPr>
            <w:r>
              <w:rPr>
                <w:color w:val="1D1D1D"/>
                <w:sz w:val="16"/>
              </w:rPr>
              <w:t>Overrun 96%</w:t>
            </w:r>
          </w:p>
        </w:tc>
        <w:tc>
          <w:tcPr>
            <w:tcW w:type="dxa" w:w="964"/>
          </w:tcPr>
          <w:p>
            <w:pPr>
              <w:spacing w:after="0"/>
            </w:pPr>
            <w:r>
              <w:rPr>
                <w:color w:val="1D1D1D"/>
                <w:sz w:val="16"/>
              </w:rPr>
              <w:t>5.7%</w:t>
            </w:r>
          </w:p>
        </w:tc>
        <w:tc>
          <w:tcPr>
            <w:tcW w:type="dxa" w:w="771"/>
          </w:tcPr>
          <w:p>
            <w:pPr>
              <w:spacing w:after="0"/>
            </w:pPr>
            <w:r>
              <w:rPr>
                <w:color w:val="1D1D1D"/>
                <w:sz w:val="16"/>
              </w:rPr>
              <w:t>1.49</w:t>
            </w:r>
          </w:p>
        </w:tc>
        <w:tc>
          <w:tcPr>
            <w:tcW w:type="dxa" w:w="1928"/>
          </w:tcPr>
          <w:p>
            <w:pPr>
              <w:spacing w:after="0"/>
            </w:pPr>
            <w:r>
              <w:rPr>
                <w:color w:val="1D1D1D"/>
                <w:sz w:val="16"/>
              </w:rPr>
              <w:t>68.3</w:t>
            </w:r>
          </w:p>
        </w:tc>
        <w:tc>
          <w:tcPr>
            <w:tcW w:type="dxa" w:w="2891"/>
          </w:tcPr>
          <w:p>
            <w:pPr>
              <w:spacing w:after="0"/>
            </w:pPr>
            <w:r>
              <w:rPr>
                <w:color w:val="1D1D1D"/>
                <w:sz w:val="16"/>
              </w:rPr>
              <w:t>−37</w:t>
            </w:r>
          </w:p>
        </w:tc>
      </w:tr>
      <w:tr>
        <w:tc>
          <w:tcPr>
            <w:tcW w:type="dxa" w:w="3084"/>
            <w:shd w:val="clear" w:color="auto" w:fill="FAF8F2"/>
          </w:tcPr>
          <w:p>
            <w:pPr>
              <w:spacing w:after="0"/>
            </w:pPr>
            <w:r>
              <w:rPr>
                <w:color w:val="1D1D1D"/>
                <w:sz w:val="16"/>
              </w:rPr>
              <w:t>Offtaker, backstop</w:t>
            </w:r>
          </w:p>
        </w:tc>
        <w:tc>
          <w:tcPr>
            <w:tcW w:type="dxa" w:w="964"/>
            <w:shd w:val="clear" w:color="auto" w:fill="FAF8F2"/>
          </w:tcPr>
          <w:p>
            <w:pPr>
              <w:spacing w:after="0"/>
            </w:pPr>
            <w:r>
              <w:rPr>
                <w:color w:val="1D1D1D"/>
                <w:sz w:val="16"/>
              </w:rPr>
              <w:t>13.8%</w:t>
            </w:r>
          </w:p>
        </w:tc>
        <w:tc>
          <w:tcPr>
            <w:tcW w:type="dxa" w:w="771"/>
            <w:shd w:val="clear" w:color="auto" w:fill="FAF8F2"/>
          </w:tcPr>
          <w:p>
            <w:pPr>
              <w:spacing w:after="0"/>
            </w:pPr>
            <w:r>
              <w:rPr>
                <w:color w:val="1D1D1D"/>
                <w:sz w:val="16"/>
              </w:rPr>
              <w:t>1.53</w:t>
            </w:r>
          </w:p>
        </w:tc>
        <w:tc>
          <w:tcPr>
            <w:tcW w:type="dxa" w:w="1928"/>
            <w:shd w:val="clear" w:color="auto" w:fill="FAF8F2"/>
          </w:tcPr>
          <w:p>
            <w:pPr>
              <w:spacing w:after="0"/>
            </w:pPr>
            <w:r>
              <w:rPr>
                <w:color w:val="1D1D1D"/>
                <w:sz w:val="16"/>
              </w:rPr>
              <w:t>4.1</w:t>
            </w:r>
          </w:p>
        </w:tc>
        <w:tc>
          <w:tcPr>
            <w:tcW w:type="dxa" w:w="2891"/>
            <w:shd w:val="clear" w:color="auto" w:fill="FAF8F2"/>
          </w:tcPr>
          <w:p>
            <w:pPr>
              <w:spacing w:after="0"/>
            </w:pPr>
            <w:r>
              <w:rPr>
                <w:color w:val="1D1D1D"/>
                <w:sz w:val="16"/>
              </w:rPr>
              <w:t>−125</w:t>
            </w:r>
          </w:p>
        </w:tc>
      </w:tr>
      <w:tr>
        <w:tc>
          <w:tcPr>
            <w:tcW w:type="dxa" w:w="3084"/>
          </w:tcPr>
          <w:p>
            <w:pPr>
              <w:spacing w:after="0"/>
            </w:pPr>
            <w:r>
              <w:rPr>
                <w:color w:val="1D1D1D"/>
                <w:sz w:val="16"/>
              </w:rPr>
              <w:t>Offtaker, no backstop</w:t>
            </w:r>
          </w:p>
        </w:tc>
        <w:tc>
          <w:tcPr>
            <w:tcW w:type="dxa" w:w="964"/>
          </w:tcPr>
          <w:p>
            <w:pPr>
              <w:spacing w:after="0"/>
            </w:pPr>
            <w:r>
              <w:rPr>
                <w:color w:val="1D1D1D"/>
                <w:sz w:val="16"/>
              </w:rPr>
              <w:t>−100%</w:t>
            </w:r>
          </w:p>
        </w:tc>
        <w:tc>
          <w:tcPr>
            <w:tcW w:type="dxa" w:w="771"/>
          </w:tcPr>
          <w:p>
            <w:pPr>
              <w:spacing w:after="0"/>
            </w:pPr>
            <w:r>
              <w:rPr>
                <w:color w:val="1D1D1D"/>
                <w:sz w:val="16"/>
              </w:rPr>
              <w:t>−0.53</w:t>
            </w:r>
          </w:p>
        </w:tc>
        <w:tc>
          <w:tcPr>
            <w:tcW w:type="dxa" w:w="1928"/>
          </w:tcPr>
          <w:p>
            <w:pPr>
              <w:spacing w:after="0"/>
            </w:pPr>
            <w:r>
              <w:rPr>
                <w:color w:val="1D1D1D"/>
                <w:sz w:val="16"/>
              </w:rPr>
              <w:t>4.1</w:t>
            </w:r>
          </w:p>
        </w:tc>
        <w:tc>
          <w:tcPr>
            <w:tcW w:type="dxa" w:w="2891"/>
          </w:tcPr>
          <w:p>
            <w:pPr>
              <w:spacing w:after="0"/>
            </w:pPr>
            <w:r>
              <w:rPr>
                <w:color w:val="1D1D1D"/>
                <w:sz w:val="16"/>
              </w:rPr>
              <w:t>−152</w:t>
            </w:r>
          </w:p>
        </w:tc>
      </w:tr>
      <w:tr>
        <w:tc>
          <w:tcPr>
            <w:tcW w:type="dxa" w:w="3084"/>
            <w:shd w:val="clear" w:color="auto" w:fill="FAF8F2"/>
          </w:tcPr>
          <w:p>
            <w:pPr>
              <w:spacing w:after="0"/>
            </w:pPr>
            <w:r>
              <w:rPr>
                <w:color w:val="1D1D1D"/>
                <w:sz w:val="16"/>
              </w:rPr>
              <w:t>FX step</w:t>
            </w:r>
          </w:p>
        </w:tc>
        <w:tc>
          <w:tcPr>
            <w:tcW w:type="dxa" w:w="964"/>
            <w:shd w:val="clear" w:color="auto" w:fill="FAF8F2"/>
          </w:tcPr>
          <w:p>
            <w:pPr>
              <w:spacing w:after="0"/>
            </w:pPr>
            <w:r>
              <w:rPr>
                <w:color w:val="1D1D1D"/>
                <w:sz w:val="16"/>
              </w:rPr>
              <w:t>13.8%</w:t>
            </w:r>
          </w:p>
        </w:tc>
        <w:tc>
          <w:tcPr>
            <w:tcW w:type="dxa" w:w="771"/>
            <w:shd w:val="clear" w:color="auto" w:fill="FAF8F2"/>
          </w:tcPr>
          <w:p>
            <w:pPr>
              <w:spacing w:after="0"/>
            </w:pPr>
            <w:r>
              <w:rPr>
                <w:color w:val="1D1D1D"/>
                <w:sz w:val="16"/>
              </w:rPr>
              <w:t>1.53</w:t>
            </w:r>
          </w:p>
        </w:tc>
        <w:tc>
          <w:tcPr>
            <w:tcW w:type="dxa" w:w="1928"/>
            <w:shd w:val="clear" w:color="auto" w:fill="FAF8F2"/>
          </w:tcPr>
          <w:p>
            <w:pPr>
              <w:spacing w:after="0"/>
            </w:pPr>
            <w:r>
              <w:rPr>
                <w:color w:val="1D1D1D"/>
                <w:sz w:val="16"/>
              </w:rPr>
              <w:t>4.1</w:t>
            </w:r>
          </w:p>
        </w:tc>
        <w:tc>
          <w:tcPr>
            <w:tcW w:type="dxa" w:w="2891"/>
            <w:shd w:val="clear" w:color="auto" w:fill="FAF8F2"/>
          </w:tcPr>
          <w:p>
            <w:pPr>
              <w:spacing w:after="0"/>
            </w:pPr>
            <w:r>
              <w:rPr>
                <w:color w:val="1D1D1D"/>
                <w:sz w:val="16"/>
              </w:rPr>
              <w:t>−111</w:t>
            </w:r>
          </w:p>
        </w:tc>
      </w:tr>
      <w:tr>
        <w:tc>
          <w:tcPr>
            <w:tcW w:type="dxa" w:w="3084"/>
          </w:tcPr>
          <w:p>
            <w:pPr>
              <w:spacing w:after="0"/>
            </w:pPr>
            <w:r>
              <w:rPr>
                <w:color w:val="1D1D1D"/>
                <w:sz w:val="16"/>
              </w:rPr>
              <w:t>Combined</w:t>
            </w:r>
          </w:p>
        </w:tc>
        <w:tc>
          <w:tcPr>
            <w:tcW w:type="dxa" w:w="964"/>
          </w:tcPr>
          <w:p>
            <w:pPr>
              <w:spacing w:after="0"/>
            </w:pPr>
            <w:r>
              <w:rPr>
                <w:color w:val="1D1D1D"/>
                <w:sz w:val="16"/>
              </w:rPr>
              <w:t>7.8%</w:t>
            </w:r>
          </w:p>
        </w:tc>
        <w:tc>
          <w:tcPr>
            <w:tcW w:type="dxa" w:w="771"/>
          </w:tcPr>
          <w:p>
            <w:pPr>
              <w:spacing w:after="0"/>
            </w:pPr>
            <w:r>
              <w:rPr>
                <w:color w:val="1D1D1D"/>
                <w:sz w:val="16"/>
              </w:rPr>
              <w:t>1.54</w:t>
            </w:r>
          </w:p>
        </w:tc>
        <w:tc>
          <w:tcPr>
            <w:tcW w:type="dxa" w:w="1928"/>
          </w:tcPr>
          <w:p>
            <w:pPr>
              <w:spacing w:after="0"/>
            </w:pPr>
            <w:r>
              <w:rPr>
                <w:color w:val="1D1D1D"/>
                <w:sz w:val="16"/>
              </w:rPr>
              <w:t>43.1</w:t>
            </w:r>
          </w:p>
        </w:tc>
        <w:tc>
          <w:tcPr>
            <w:tcW w:type="dxa" w:w="2891"/>
          </w:tcPr>
          <w:p>
            <w:pPr>
              <w:spacing w:after="0"/>
            </w:pPr>
            <w:r>
              <w:rPr>
                <w:color w:val="1D1D1D"/>
                <w:sz w:val="16"/>
              </w:rPr>
              <w:t>−157</w:t>
            </w:r>
          </w:p>
        </w:tc>
      </w:tr>
      <w:tr>
        <w:tc>
          <w:tcPr>
            <w:tcW w:type="dxa" w:w="3084"/>
            <w:shd w:val="clear" w:color="auto" w:fill="FAF8F2"/>
          </w:tcPr>
          <w:p>
            <w:pPr>
              <w:spacing w:after="0"/>
            </w:pPr>
            <w:r>
              <w:rPr>
                <w:color w:val="1D1D1D"/>
                <w:sz w:val="16"/>
              </w:rPr>
              <w:t>One-year P90 lender case (sized)</w:t>
            </w:r>
          </w:p>
        </w:tc>
        <w:tc>
          <w:tcPr>
            <w:tcW w:type="dxa" w:w="964"/>
            <w:shd w:val="clear" w:color="auto" w:fill="FAF8F2"/>
          </w:tcPr>
          <w:p>
            <w:pPr>
              <w:spacing w:after="0"/>
            </w:pPr>
            <w:r>
              <w:rPr>
                <w:color w:val="1D1D1D"/>
                <w:sz w:val="16"/>
              </w:rPr>
              <w:t>13.2%</w:t>
            </w:r>
          </w:p>
        </w:tc>
        <w:tc>
          <w:tcPr>
            <w:tcW w:type="dxa" w:w="771"/>
            <w:shd w:val="clear" w:color="auto" w:fill="FAF8F2"/>
          </w:tcPr>
          <w:p>
            <w:pPr>
              <w:spacing w:after="0"/>
            </w:pPr>
            <w:r>
              <w:rPr>
                <w:color w:val="1D1D1D"/>
                <w:sz w:val="16"/>
              </w:rPr>
              <w:t>1.76</w:t>
            </w:r>
          </w:p>
        </w:tc>
        <w:tc>
          <w:tcPr>
            <w:tcW w:type="dxa" w:w="1928"/>
            <w:shd w:val="clear" w:color="auto" w:fill="FAF8F2"/>
          </w:tcPr>
          <w:p>
            <w:pPr>
              <w:spacing w:after="0"/>
            </w:pPr>
            <w:r>
              <w:rPr>
                <w:color w:val="1D1D1D"/>
                <w:sz w:val="16"/>
              </w:rPr>
              <w:t>18.7</w:t>
            </w:r>
          </w:p>
        </w:tc>
        <w:tc>
          <w:tcPr>
            <w:tcW w:type="dxa" w:w="2891"/>
            <w:shd w:val="clear" w:color="auto" w:fill="FAF8F2"/>
          </w:tcPr>
          <w:p>
            <w:pPr>
              <w:spacing w:after="0"/>
            </w:pPr>
            <w:r>
              <w:rPr>
                <w:color w:val="1D1D1D"/>
                <w:sz w:val="16"/>
              </w:rPr>
              <w:t>−27</w:t>
            </w:r>
          </w:p>
        </w:tc>
      </w:tr>
    </w:tbl>
    <w:p>
      <w:pPr>
        <w:spacing w:after="40"/>
      </w:pPr>
    </w:p>
    <w:p>
      <w:pPr>
        <w:jc w:val="both"/>
      </w:pPr>
      <w:r>
        <w:rPr/>
        <w:t>The break-even flow flex is about −28%. The tariff flex that gives the IPP structure its 15% target is about +3.9% (about USD 116/MWh against 112).</w:t>
      </w:r>
    </w:p>
    <w:p>
      <w:pPr>
        <w:jc w:val="both"/>
      </w:pPr>
      <w:r>
        <w:rPr>
          <w:b/>
        </w:rPr>
        <w:t>How to rerun.</w:t>
      </w:r>
      <w:r>
        <w:rPr/>
        <w:t xml:space="preserve"> From the repository root, with LibreOffice (Calc), Python 3 and openpyxl installed, and a LibreOffice recalculation script (</w:t>
      </w:r>
      <w:r>
        <w:rPr>
          <w:rFonts w:ascii="Courier New" w:hAnsi="Courier New"/>
        </w:rPr>
        <w:t>recalc.py</w:t>
      </w:r>
      <w:r>
        <w:rPr/>
        <w:t>) that takes a file and a timeout and prints a JSON status:</w:t>
      </w:r>
    </w:p>
    <w:p>
      <w:pPr>
        <w:spacing w:after="0"/>
        <w:ind w:left="283"/>
      </w:pPr>
      <w:r>
        <w:rPr>
          <w:rFonts w:ascii="Courier New" w:hAnsi="Courier New"/>
          <w:sz w:val="17"/>
        </w:rPr>
        <w:t>python3 model/build_model.py                                  # optional: rebuild from the generator</w:t>
      </w:r>
    </w:p>
    <w:p>
      <w:pPr>
        <w:spacing w:after="0"/>
        <w:ind w:left="283"/>
      </w:pPr>
      <w:r>
        <w:rPr>
          <w:rFonts w:ascii="Courier New" w:hAnsi="Courier New"/>
          <w:sz w:val="17"/>
        </w:rPr>
        <w:t>RECALC=/path/to/recalc.py python3 tools/run_snapshots.py       # rerun all cases, write tables and JSON</w:t>
      </w:r>
    </w:p>
    <w:p>
      <w:pPr>
        <w:spacing w:after="0"/>
        <w:ind w:left="283"/>
      </w:pPr>
      <w:r>
        <w:rPr>
          <w:rFonts w:ascii="Courier New" w:hAnsi="Courier New"/>
          <w:sz w:val="17"/>
        </w:rPr>
        <w:t>python3 tools/model/check_cycles.py model/Bankable_Hydro_Model.xlsx</w:t>
      </w:r>
    </w:p>
    <w:p>
      <w:pPr>
        <w:spacing w:after="40"/>
      </w:pPr>
    </w:p>
    <w:p>
      <w:pPr>
        <w:jc w:val="both"/>
      </w:pPr>
      <w:r>
        <w:rPr/>
        <w:t xml:space="preserve">The runner stops if any recalculation reports a formula error. At the end it recalculates the workbook itself in LibreOffice and then runs </w:t>
      </w:r>
      <w:r>
        <w:rPr>
          <w:rFonts w:ascii="Courier New" w:hAnsi="Courier New"/>
        </w:rPr>
        <w:t>tools/model/excel_quote_fix.py</w:t>
      </w:r>
      <w:r>
        <w:rPr/>
        <w:t xml:space="preserve"> on it.</w:t>
      </w:r>
    </w:p>
    <w:p>
      <w:pPr>
        <w:pStyle w:val="Heading2"/>
      </w:pPr>
      <w:r>
        <w:t>7.6 The LibreOffice recalculation and the Excel quote fix</w:t>
      </w:r>
    </w:p>
    <w:p>
      <w:pPr>
        <w:jc w:val="both"/>
      </w:pPr>
      <w:r>
        <w:rPr/>
        <w:t xml:space="preserve">LibreOffice, when it saves a recalculated workbook, writes references to sheets whose names begin with a digit without quotation marks (for example </w:t>
      </w:r>
      <w:r>
        <w:rPr>
          <w:rFonts w:ascii="Courier New" w:hAnsi="Courier New"/>
        </w:rPr>
        <w:t>17_PROJECT_FINANCE!$C$31</w:t>
      </w:r>
      <w:r>
        <w:rPr/>
        <w:t xml:space="preserve"> instead of </w:t>
      </w:r>
      <w:r>
        <w:rPr>
          <w:rFonts w:ascii="Courier New" w:hAnsi="Courier New"/>
        </w:rPr>
        <w:t>'17_PROJECT_FINANCE'!$C$31</w:t>
      </w:r>
      <w:r>
        <w:rPr/>
        <w:t xml:space="preserve">). Excel's formula grammar requires the quotes. </w:t>
      </w:r>
      <w:r>
        <w:rPr>
          <w:rFonts w:ascii="Courier New" w:hAnsi="Courier New"/>
        </w:rPr>
        <w:t>tools/model/excel_quote_fix.py</w:t>
      </w:r>
      <w:r>
        <w:rPr/>
        <w:t xml:space="preserve"> rewrites every formula, defined name, data validation and conditional format in the package to restore them, leaving cached values unchanged:</w:t>
      </w:r>
    </w:p>
    <w:p>
      <w:pPr>
        <w:spacing w:after="0"/>
        <w:ind w:left="283"/>
      </w:pPr>
      <w:r>
        <w:rPr>
          <w:rFonts w:ascii="Courier New" w:hAnsi="Courier New"/>
          <w:sz w:val="17"/>
        </w:rPr>
        <w:t>python3 tools/model/excel_quote_fix.py model/Bankable_Hydro_Model.xlsx</w:t>
      </w:r>
    </w:p>
    <w:p>
      <w:pPr>
        <w:spacing w:after="40"/>
      </w:pPr>
    </w:p>
    <w:p>
      <w:pPr>
        <w:jc w:val="both"/>
      </w:pPr>
      <w:r>
        <w:rPr/>
        <w:t xml:space="preserve">Run it after every LibreOffice recalculation that saves the shipped file, including a manual one. The snapshot runner does so automatically when it completes. A workbook written directly by </w:t>
      </w:r>
      <w:r>
        <w:rPr>
          <w:rFonts w:ascii="Courier New" w:hAnsi="Courier New"/>
        </w:rPr>
        <w:t>build_model.py</w:t>
      </w:r>
      <w:r>
        <w:rPr/>
        <w:t xml:space="preserve"> (openpyxl) is already quoted and is set to recalculate fully on load.</w:t>
      </w:r>
    </w:p>
    <w:p>
      <w:r>
        <w:br w:type="page"/>
      </w:r>
    </w:p>
    <w:p>
      <w:pPr>
        <w:pStyle w:val="Heading1"/>
        <w:pBdr>
          <w:bottom w:val="single" w:sz="12" w:space="4" w:color="B07C0F"/>
        </w:pBdr>
      </w:pPr>
      <w:r>
        <w:t>8. The two levels of gates and the framework map</w:t>
      </w:r>
    </w:p>
    <w:p>
      <w:pPr>
        <w:pStyle w:val="Heading2"/>
      </w:pPr>
      <w:r>
        <w:t>8.1 Two levels, two stages</w:t>
      </w:r>
    </w:p>
    <w:tbl>
      <w:tblPr>
        <w:tblStyle w:val="TableGrid"/>
        <w:tblW w:type="auto" w:w="0"/>
        <w:jc w:val="center"/>
        <w:tblLook w:firstColumn="1" w:firstRow="1" w:lastColumn="0" w:lastRow="0" w:noHBand="0" w:noVBand="1" w:val="04A0"/>
      </w:tblPr>
      <w:tblGrid>
        <w:gridCol w:w="3213"/>
        <w:gridCol w:w="3213"/>
        <w:gridCol w:w="3213"/>
      </w:tblGrid>
      <w:tr>
        <w:tc>
          <w:tcPr>
            <w:tcW w:type="dxa" w:w="531"/>
            <w:shd w:val="clear" w:color="auto" w:fill="0B3020"/>
          </w:tcPr>
          <w:p>
            <w:pPr>
              <w:spacing w:after="0"/>
            </w:pPr>
          </w:p>
        </w:tc>
        <w:tc>
          <w:tcPr>
            <w:tcW w:type="dxa" w:w="4553"/>
            <w:shd w:val="clear" w:color="auto" w:fill="0B3020"/>
          </w:tcPr>
          <w:p>
            <w:pPr>
              <w:spacing w:after="0"/>
            </w:pPr>
            <w:r>
              <w:rPr>
                <w:b/>
                <w:color w:val="FFFFFF"/>
                <w:sz w:val="16"/>
              </w:rPr>
              <w:t>9-gate screen</w:t>
            </w:r>
          </w:p>
        </w:tc>
        <w:tc>
          <w:tcPr>
            <w:tcW w:type="dxa" w:w="4553"/>
            <w:shd w:val="clear" w:color="auto" w:fill="0B3020"/>
          </w:tcPr>
          <w:p>
            <w:pPr>
              <w:spacing w:after="0"/>
            </w:pPr>
            <w:r>
              <w:rPr>
                <w:b/>
                <w:color w:val="FFFFFF"/>
                <w:sz w:val="16"/>
              </w:rPr>
              <w:t>23-gate close readiness</w:t>
            </w:r>
          </w:p>
        </w:tc>
      </w:tr>
      <w:tr>
        <w:tc>
          <w:tcPr>
            <w:tcW w:type="dxa" w:w="531"/>
          </w:tcPr>
          <w:p>
            <w:pPr>
              <w:spacing w:after="0"/>
            </w:pPr>
            <w:r>
              <w:rPr>
                <w:color w:val="1D1D1D"/>
                <w:sz w:val="16"/>
              </w:rPr>
              <w:t>Sheet</w:t>
            </w:r>
          </w:p>
        </w:tc>
        <w:tc>
          <w:tcPr>
            <w:tcW w:type="dxa" w:w="4553"/>
          </w:tcPr>
          <w:p>
            <w:pPr>
              <w:spacing w:after="0"/>
            </w:pPr>
            <w:r>
              <w:rPr>
                <w:i/>
                <w:color w:val="1D1D1D"/>
                <w:sz w:val="16"/>
              </w:rPr>
              <w:t>30_BANKABILITY</w:t>
            </w:r>
          </w:p>
        </w:tc>
        <w:tc>
          <w:tcPr>
            <w:tcW w:type="dxa" w:w="4553"/>
          </w:tcPr>
          <w:p>
            <w:pPr>
              <w:spacing w:after="0"/>
            </w:pPr>
            <w:r>
              <w:rPr>
                <w:i/>
                <w:color w:val="1D1D1D"/>
                <w:sz w:val="16"/>
              </w:rPr>
              <w:t>30A_CLOSE_READINESS</w:t>
            </w:r>
          </w:p>
        </w:tc>
      </w:tr>
      <w:tr>
        <w:tc>
          <w:tcPr>
            <w:tcW w:type="dxa" w:w="531"/>
            <w:shd w:val="clear" w:color="auto" w:fill="FAF8F2"/>
          </w:tcPr>
          <w:p>
            <w:pPr>
              <w:spacing w:after="0"/>
            </w:pPr>
            <w:r>
              <w:rPr>
                <w:color w:val="1D1D1D"/>
                <w:sz w:val="16"/>
              </w:rPr>
              <w:t>Stage</w:t>
            </w:r>
          </w:p>
        </w:tc>
        <w:tc>
          <w:tcPr>
            <w:tcW w:type="dxa" w:w="4553"/>
            <w:shd w:val="clear" w:color="auto" w:fill="FAF8F2"/>
          </w:tcPr>
          <w:p>
            <w:pPr>
              <w:spacing w:after="0"/>
            </w:pPr>
            <w:r>
              <w:rPr>
                <w:color w:val="1D1D1D"/>
                <w:sz w:val="16"/>
              </w:rPr>
              <w:t>Development: should we keep spending?</w:t>
            </w:r>
          </w:p>
        </w:tc>
        <w:tc>
          <w:tcPr>
            <w:tcW w:type="dxa" w:w="4553"/>
            <w:shd w:val="clear" w:color="auto" w:fill="FAF8F2"/>
          </w:tcPr>
          <w:p>
            <w:pPr>
              <w:spacing w:after="0"/>
            </w:pPr>
            <w:r>
              <w:rPr>
                <w:color w:val="1D1D1D"/>
                <w:sz w:val="16"/>
              </w:rPr>
              <w:t>Transaction: does the evidence file support financial close?</w:t>
            </w:r>
          </w:p>
        </w:tc>
      </w:tr>
      <w:tr>
        <w:tc>
          <w:tcPr>
            <w:tcW w:type="dxa" w:w="531"/>
          </w:tcPr>
          <w:p>
            <w:pPr>
              <w:spacing w:after="0"/>
            </w:pPr>
            <w:r>
              <w:rPr>
                <w:color w:val="1D1D1D"/>
                <w:sz w:val="16"/>
              </w:rPr>
              <w:t>Basis</w:t>
            </w:r>
          </w:p>
        </w:tc>
        <w:tc>
          <w:tcPr>
            <w:tcW w:type="dxa" w:w="4553"/>
          </w:tcPr>
          <w:p>
            <w:pPr>
              <w:spacing w:after="0"/>
            </w:pPr>
            <w:r>
              <w:rPr>
                <w:color w:val="1D1D1D"/>
                <w:sz w:val="16"/>
              </w:rPr>
              <w:t>Metrics against three thresholds</w:t>
            </w:r>
          </w:p>
        </w:tc>
        <w:tc>
          <w:tcPr>
            <w:tcW w:type="dxa" w:w="4553"/>
          </w:tcPr>
          <w:p>
            <w:pPr>
              <w:spacing w:after="0"/>
            </w:pPr>
            <w:r>
              <w:rPr>
                <w:color w:val="1D1D1D"/>
                <w:sz w:val="16"/>
              </w:rPr>
              <w:t>Automatic tests plus evidence statuses</w:t>
            </w:r>
          </w:p>
        </w:tc>
      </w:tr>
      <w:tr>
        <w:tc>
          <w:tcPr>
            <w:tcW w:type="dxa" w:w="531"/>
            <w:shd w:val="clear" w:color="auto" w:fill="FAF8F2"/>
          </w:tcPr>
          <w:p>
            <w:pPr>
              <w:spacing w:after="0"/>
            </w:pPr>
            <w:r>
              <w:rPr>
                <w:color w:val="1D1D1D"/>
                <w:sz w:val="16"/>
              </w:rPr>
              <w:t>Scoring</w:t>
            </w:r>
          </w:p>
        </w:tc>
        <w:tc>
          <w:tcPr>
            <w:tcW w:type="dxa" w:w="4553"/>
            <w:shd w:val="clear" w:color="auto" w:fill="FAF8F2"/>
          </w:tcPr>
          <w:p>
            <w:pPr>
              <w:spacing w:after="0"/>
            </w:pPr>
            <w:r>
              <w:rPr>
                <w:color w:val="1D1D1D"/>
                <w:sz w:val="16"/>
              </w:rPr>
              <w:t>Weakest test sets the gate; weakest gate sets the verdict</w:t>
            </w:r>
          </w:p>
        </w:tc>
        <w:tc>
          <w:tcPr>
            <w:tcW w:type="dxa" w:w="4553"/>
            <w:shd w:val="clear" w:color="auto" w:fill="FAF8F2"/>
          </w:tcPr>
          <w:p>
            <w:pPr>
              <w:spacing w:after="0"/>
            </w:pPr>
            <w:r>
              <w:rPr>
                <w:color w:val="1D1D1D"/>
                <w:sz w:val="16"/>
              </w:rPr>
              <w:t>Critical flags and the decision ladder</w:t>
            </w:r>
          </w:p>
        </w:tc>
      </w:tr>
      <w:tr>
        <w:tc>
          <w:tcPr>
            <w:tcW w:type="dxa" w:w="531"/>
          </w:tcPr>
          <w:p>
            <w:pPr>
              <w:spacing w:after="0"/>
            </w:pPr>
            <w:r>
              <w:rPr>
                <w:color w:val="1D1D1D"/>
                <w:sz w:val="16"/>
              </w:rPr>
              <w:t>Output</w:t>
            </w:r>
          </w:p>
        </w:tc>
        <w:tc>
          <w:tcPr>
            <w:tcW w:type="dxa" w:w="4553"/>
          </w:tcPr>
          <w:p>
            <w:pPr>
              <w:spacing w:after="0"/>
            </w:pPr>
            <w:r>
              <w:rPr>
                <w:color w:val="1D1D1D"/>
                <w:sz w:val="16"/>
              </w:rPr>
              <w:t>NOT BANKABLE to READY FOR FINANCIAL CLOSE, with ranked actions</w:t>
            </w:r>
          </w:p>
        </w:tc>
        <w:tc>
          <w:tcPr>
            <w:tcW w:type="dxa" w:w="4553"/>
          </w:tcPr>
          <w:p>
            <w:pPr>
              <w:spacing w:after="0"/>
            </w:pPr>
            <w:r>
              <w:rPr>
                <w:color w:val="1D1D1D"/>
                <w:sz w:val="16"/>
              </w:rPr>
              <w:t>STOP, NOT READY, CONDITIONAL GO or GO</w:t>
            </w:r>
          </w:p>
        </w:tc>
      </w:tr>
      <w:tr>
        <w:tc>
          <w:tcPr>
            <w:tcW w:type="dxa" w:w="531"/>
            <w:shd w:val="clear" w:color="auto" w:fill="FAF8F2"/>
          </w:tcPr>
          <w:p>
            <w:pPr>
              <w:spacing w:after="0"/>
            </w:pPr>
            <w:r>
              <w:rPr>
                <w:color w:val="1D1D1D"/>
                <w:sz w:val="16"/>
              </w:rPr>
              <w:t>Kasiri</w:t>
            </w:r>
          </w:p>
        </w:tc>
        <w:tc>
          <w:tcPr>
            <w:tcW w:type="dxa" w:w="4553"/>
            <w:shd w:val="clear" w:color="auto" w:fill="FAF8F2"/>
          </w:tcPr>
          <w:p>
            <w:pPr>
              <w:spacing w:after="0"/>
            </w:pPr>
            <w:r>
              <w:rPr>
                <w:color w:val="1D1D1D"/>
                <w:sz w:val="16"/>
              </w:rPr>
              <w:t>NOT BANKABLE (Gate 6)</w:t>
            </w:r>
          </w:p>
        </w:tc>
        <w:tc>
          <w:tcPr>
            <w:tcW w:type="dxa" w:w="4553"/>
            <w:shd w:val="clear" w:color="auto" w:fill="FAF8F2"/>
          </w:tcPr>
          <w:p>
            <w:pPr>
              <w:spacing w:after="0"/>
            </w:pPr>
            <w:r>
              <w:rPr>
                <w:color w:val="1D1D1D"/>
                <w:sz w:val="16"/>
              </w:rPr>
              <w:t>STOP (7 critical gates not met)</w:t>
            </w:r>
          </w:p>
        </w:tc>
      </w:tr>
    </w:tbl>
    <w:p>
      <w:pPr>
        <w:spacing w:after="40"/>
      </w:pPr>
    </w:p>
    <w:p>
      <w:pPr>
        <w:jc w:val="both"/>
      </w:pPr>
      <w:r>
        <w:rPr/>
        <w:t>The two levels can disagree, and that is informative. The screen can read well while the close test reads STOP, because the close test counts only evidence that exists. The dashboard shows both on row 4 and side by side in its lower blocks.</w:t>
      </w:r>
    </w:p>
    <w:p>
      <w:pPr>
        <w:pStyle w:val="Heading2"/>
      </w:pPr>
      <w:r>
        <w:t>8.2 The framework map (34_FRAMEWORK_MAP)</w:t>
      </w:r>
    </w:p>
    <w:p>
      <w:pPr>
        <w:jc w:val="both"/>
      </w:pPr>
      <w:r>
        <w:rPr/>
        <w:t xml:space="preserve">For each of the 23 gates the map gives the gate, its framework question, the party that must accept it, whether it is critical, the model sheet or sheets that test it (derived from the names in the automatic test, or from the gate's area for evidence gates), the metric or evidence required, the type (automatic or evidence), the live status from </w:t>
      </w:r>
      <w:r>
        <w:rPr>
          <w:i/>
        </w:rPr>
        <w:t>30A_CLOSE_READINESS</w:t>
      </w:r>
      <w:r>
        <w:rPr/>
        <w:t>, and the book chapters for the question:</w:t>
      </w:r>
    </w:p>
    <w:tbl>
      <w:tblPr>
        <w:tblStyle w:val="TableGrid"/>
        <w:tblW w:type="auto" w:w="0"/>
        <w:jc w:val="center"/>
        <w:tblLook w:firstColumn="1" w:firstRow="1" w:lastColumn="0" w:lastRow="0" w:noHBand="0" w:noVBand="1" w:val="04A0"/>
      </w:tblPr>
      <w:tblGrid>
        <w:gridCol w:w="4819"/>
        <w:gridCol w:w="4819"/>
      </w:tblGrid>
      <w:tr>
        <w:tc>
          <w:tcPr>
            <w:tcW w:type="dxa" w:w="2487"/>
            <w:shd w:val="clear" w:color="auto" w:fill="0B3020"/>
          </w:tcPr>
          <w:p>
            <w:pPr>
              <w:spacing w:after="0"/>
            </w:pPr>
            <w:r>
              <w:rPr>
                <w:b/>
                <w:color w:val="FFFFFF"/>
                <w:sz w:val="16"/>
              </w:rPr>
              <w:t>Question</w:t>
            </w:r>
          </w:p>
        </w:tc>
        <w:tc>
          <w:tcPr>
            <w:tcW w:type="dxa" w:w="7151"/>
            <w:shd w:val="clear" w:color="auto" w:fill="0B3020"/>
          </w:tcPr>
          <w:p>
            <w:pPr>
              <w:spacing w:after="0"/>
            </w:pPr>
            <w:r>
              <w:rPr>
                <w:b/>
                <w:color w:val="FFFFFF"/>
                <w:sz w:val="16"/>
              </w:rPr>
              <w:t>Book chapters</w:t>
            </w:r>
          </w:p>
        </w:tc>
      </w:tr>
      <w:tr>
        <w:tc>
          <w:tcPr>
            <w:tcW w:type="dxa" w:w="2487"/>
          </w:tcPr>
          <w:p>
            <w:pPr>
              <w:spacing w:after="0"/>
            </w:pPr>
            <w:r>
              <w:rPr>
                <w:color w:val="1D1D1D"/>
                <w:sz w:val="16"/>
              </w:rPr>
              <w:t>Q1</w:t>
            </w:r>
          </w:p>
        </w:tc>
        <w:tc>
          <w:tcPr>
            <w:tcW w:type="dxa" w:w="7151"/>
          </w:tcPr>
          <w:p>
            <w:pPr>
              <w:spacing w:after="0"/>
            </w:pPr>
            <w:r>
              <w:rPr>
                <w:color w:val="1D1D1D"/>
                <w:sz w:val="16"/>
              </w:rPr>
              <w:t>2, 3, 9, Annexes N to P</w:t>
            </w:r>
          </w:p>
        </w:tc>
      </w:tr>
      <w:tr>
        <w:tc>
          <w:tcPr>
            <w:tcW w:type="dxa" w:w="2487"/>
            <w:shd w:val="clear" w:color="auto" w:fill="FAF8F2"/>
          </w:tcPr>
          <w:p>
            <w:pPr>
              <w:spacing w:after="0"/>
            </w:pPr>
            <w:r>
              <w:rPr>
                <w:color w:val="1D1D1D"/>
                <w:sz w:val="16"/>
              </w:rPr>
              <w:t>Q2</w:t>
            </w:r>
          </w:p>
        </w:tc>
        <w:tc>
          <w:tcPr>
            <w:tcW w:type="dxa" w:w="7151"/>
            <w:shd w:val="clear" w:color="auto" w:fill="FAF8F2"/>
          </w:tcPr>
          <w:p>
            <w:pPr>
              <w:spacing w:after="0"/>
            </w:pPr>
            <w:r>
              <w:rPr>
                <w:color w:val="1D1D1D"/>
                <w:sz w:val="16"/>
              </w:rPr>
              <w:t>5, 7, 8, Annex R</w:t>
            </w:r>
          </w:p>
        </w:tc>
      </w:tr>
      <w:tr>
        <w:tc>
          <w:tcPr>
            <w:tcW w:type="dxa" w:w="2487"/>
          </w:tcPr>
          <w:p>
            <w:pPr>
              <w:spacing w:after="0"/>
            </w:pPr>
            <w:r>
              <w:rPr>
                <w:color w:val="1D1D1D"/>
                <w:sz w:val="16"/>
              </w:rPr>
              <w:t>Q3</w:t>
            </w:r>
          </w:p>
        </w:tc>
        <w:tc>
          <w:tcPr>
            <w:tcW w:type="dxa" w:w="7151"/>
          </w:tcPr>
          <w:p>
            <w:pPr>
              <w:spacing w:after="0"/>
            </w:pPr>
            <w:r>
              <w:rPr>
                <w:color w:val="1D1D1D"/>
                <w:sz w:val="16"/>
              </w:rPr>
              <w:t>3, 4</w:t>
            </w:r>
          </w:p>
        </w:tc>
      </w:tr>
      <w:tr>
        <w:tc>
          <w:tcPr>
            <w:tcW w:type="dxa" w:w="2487"/>
            <w:shd w:val="clear" w:color="auto" w:fill="FAF8F2"/>
          </w:tcPr>
          <w:p>
            <w:pPr>
              <w:spacing w:after="0"/>
            </w:pPr>
            <w:r>
              <w:rPr>
                <w:color w:val="1D1D1D"/>
                <w:sz w:val="16"/>
              </w:rPr>
              <w:t>Q4</w:t>
            </w:r>
          </w:p>
        </w:tc>
        <w:tc>
          <w:tcPr>
            <w:tcW w:type="dxa" w:w="7151"/>
            <w:shd w:val="clear" w:color="auto" w:fill="FAF8F2"/>
          </w:tcPr>
          <w:p>
            <w:pPr>
              <w:spacing w:after="0"/>
            </w:pPr>
            <w:r>
              <w:rPr>
                <w:color w:val="1D1D1D"/>
                <w:sz w:val="16"/>
              </w:rPr>
              <w:t>6, 14</w:t>
            </w:r>
          </w:p>
        </w:tc>
      </w:tr>
      <w:tr>
        <w:tc>
          <w:tcPr>
            <w:tcW w:type="dxa" w:w="2487"/>
          </w:tcPr>
          <w:p>
            <w:pPr>
              <w:spacing w:after="0"/>
            </w:pPr>
            <w:r>
              <w:rPr>
                <w:color w:val="1D1D1D"/>
                <w:sz w:val="16"/>
              </w:rPr>
              <w:t>Q5</w:t>
            </w:r>
          </w:p>
        </w:tc>
        <w:tc>
          <w:tcPr>
            <w:tcW w:type="dxa" w:w="7151"/>
          </w:tcPr>
          <w:p>
            <w:pPr>
              <w:spacing w:after="0"/>
            </w:pPr>
            <w:r>
              <w:rPr>
                <w:color w:val="1D1D1D"/>
                <w:sz w:val="16"/>
              </w:rPr>
              <w:t>12, 13</w:t>
            </w:r>
          </w:p>
        </w:tc>
      </w:tr>
      <w:tr>
        <w:tc>
          <w:tcPr>
            <w:tcW w:type="dxa" w:w="2487"/>
            <w:shd w:val="clear" w:color="auto" w:fill="FAF8F2"/>
          </w:tcPr>
          <w:p>
            <w:pPr>
              <w:spacing w:after="0"/>
            </w:pPr>
            <w:r>
              <w:rPr>
                <w:color w:val="1D1D1D"/>
                <w:sz w:val="16"/>
              </w:rPr>
              <w:t>Q6</w:t>
            </w:r>
          </w:p>
        </w:tc>
        <w:tc>
          <w:tcPr>
            <w:tcW w:type="dxa" w:w="7151"/>
            <w:shd w:val="clear" w:color="auto" w:fill="FAF8F2"/>
          </w:tcPr>
          <w:p>
            <w:pPr>
              <w:spacing w:after="0"/>
            </w:pPr>
            <w:r>
              <w:rPr>
                <w:color w:val="1D1D1D"/>
                <w:sz w:val="16"/>
              </w:rPr>
              <w:t>9, 10, Annexes O and Q</w:t>
            </w:r>
          </w:p>
        </w:tc>
      </w:tr>
      <w:tr>
        <w:tc>
          <w:tcPr>
            <w:tcW w:type="dxa" w:w="2487"/>
          </w:tcPr>
          <w:p>
            <w:pPr>
              <w:spacing w:after="0"/>
            </w:pPr>
            <w:r>
              <w:rPr>
                <w:color w:val="1D1D1D"/>
                <w:sz w:val="16"/>
              </w:rPr>
              <w:t>Q7</w:t>
            </w:r>
          </w:p>
        </w:tc>
        <w:tc>
          <w:tcPr>
            <w:tcW w:type="dxa" w:w="7151"/>
          </w:tcPr>
          <w:p>
            <w:pPr>
              <w:spacing w:after="0"/>
            </w:pPr>
            <w:r>
              <w:rPr>
                <w:color w:val="1D1D1D"/>
                <w:sz w:val="16"/>
              </w:rPr>
              <w:t>15</w:t>
            </w:r>
          </w:p>
        </w:tc>
      </w:tr>
      <w:tr>
        <w:tc>
          <w:tcPr>
            <w:tcW w:type="dxa" w:w="2487"/>
            <w:shd w:val="clear" w:color="auto" w:fill="FAF8F2"/>
          </w:tcPr>
          <w:p>
            <w:pPr>
              <w:spacing w:after="0"/>
            </w:pPr>
            <w:r>
              <w:rPr>
                <w:color w:val="1D1D1D"/>
                <w:sz w:val="16"/>
              </w:rPr>
              <w:t>Q8</w:t>
            </w:r>
          </w:p>
        </w:tc>
        <w:tc>
          <w:tcPr>
            <w:tcW w:type="dxa" w:w="7151"/>
            <w:shd w:val="clear" w:color="auto" w:fill="FAF8F2"/>
          </w:tcPr>
          <w:p>
            <w:pPr>
              <w:spacing w:after="0"/>
            </w:pPr>
            <w:r>
              <w:rPr>
                <w:color w:val="1D1D1D"/>
                <w:sz w:val="16"/>
              </w:rPr>
              <w:t>17, 18</w:t>
            </w:r>
          </w:p>
        </w:tc>
      </w:tr>
    </w:tbl>
    <w:p>
      <w:pPr>
        <w:spacing w:after="40"/>
      </w:pPr>
    </w:p>
    <w:p>
      <w:pPr>
        <w:jc w:val="both"/>
      </w:pPr>
      <w:r>
        <w:rPr/>
        <w:t>The second table on the sheet maps each screen gate to its main question, with live status: Gates 1 and 3 to Q1; Gates 6 and 9 to Q2; Gates 2 and 4 to Q3; Gate 7 to Q5; Gates 5 and 8 to Q7.</w:t>
      </w:r>
    </w:p>
    <w:p>
      <w:pPr>
        <w:jc w:val="both"/>
      </w:pPr>
      <w:r>
        <w:rPr/>
        <w:t>Use the screen while developing to decide whether to keep spending, and the 23 gates at the transaction stage to decide whether the evidence supports close.</w:t>
      </w:r>
    </w:p>
    <w:p>
      <w:r>
        <w:br w:type="page"/>
      </w:r>
    </w:p>
    <w:p>
      <w:pPr>
        <w:pStyle w:val="Heading1"/>
        <w:pBdr>
          <w:bottom w:val="single" w:sz="12" w:space="4" w:color="B07C0F"/>
        </w:pBdr>
      </w:pPr>
      <w:r>
        <w:t>9. Integrity checks and the book check</w:t>
      </w:r>
    </w:p>
    <w:p>
      <w:pPr>
        <w:pStyle w:val="Heading2"/>
      </w:pPr>
      <w:r>
        <w:t>9.1 33_CHECKS</w:t>
      </w:r>
    </w:p>
    <w:tbl>
      <w:tblPr>
        <w:tblStyle w:val="TableGrid"/>
        <w:tblW w:type="auto" w:w="0"/>
        <w:jc w:val="center"/>
        <w:tblLook w:firstColumn="1" w:firstRow="1" w:lastColumn="0" w:lastRow="0" w:noHBand="0" w:noVBand="1" w:val="04A0"/>
      </w:tblPr>
      <w:tblGrid>
        <w:gridCol w:w="3213"/>
        <w:gridCol w:w="3213"/>
        <w:gridCol w:w="3213"/>
      </w:tblGrid>
      <w:tr>
        <w:tc>
          <w:tcPr>
            <w:tcW w:type="dxa" w:w="781"/>
            <w:shd w:val="clear" w:color="auto" w:fill="0B3020"/>
          </w:tcPr>
          <w:p>
            <w:pPr>
              <w:spacing w:after="0"/>
            </w:pPr>
            <w:r>
              <w:rPr>
                <w:b/>
                <w:color w:val="FFFFFF"/>
                <w:sz w:val="16"/>
              </w:rPr>
              <w:t>#</w:t>
            </w:r>
          </w:p>
        </w:tc>
        <w:tc>
          <w:tcPr>
            <w:tcW w:type="dxa" w:w="7814"/>
            <w:shd w:val="clear" w:color="auto" w:fill="0B3020"/>
          </w:tcPr>
          <w:p>
            <w:pPr>
              <w:spacing w:after="0"/>
            </w:pPr>
            <w:r>
              <w:rPr>
                <w:b/>
                <w:color w:val="FFFFFF"/>
                <w:sz w:val="16"/>
              </w:rPr>
              <w:t>Check</w:t>
            </w:r>
          </w:p>
        </w:tc>
        <w:tc>
          <w:tcPr>
            <w:tcW w:type="dxa" w:w="1042"/>
            <w:shd w:val="clear" w:color="auto" w:fill="0B3020"/>
          </w:tcPr>
          <w:p>
            <w:pPr>
              <w:spacing w:after="0"/>
            </w:pPr>
            <w:r>
              <w:rPr>
                <w:b/>
                <w:color w:val="FFFFFF"/>
                <w:sz w:val="16"/>
              </w:rPr>
              <w:t>Fails as</w:t>
            </w:r>
          </w:p>
        </w:tc>
      </w:tr>
      <w:tr>
        <w:tc>
          <w:tcPr>
            <w:tcW w:type="dxa" w:w="781"/>
          </w:tcPr>
          <w:p>
            <w:pPr>
              <w:spacing w:after="0"/>
            </w:pPr>
            <w:r>
              <w:rPr>
                <w:color w:val="1D1D1D"/>
                <w:sz w:val="16"/>
              </w:rPr>
              <w:t>1</w:t>
            </w:r>
          </w:p>
        </w:tc>
        <w:tc>
          <w:tcPr>
            <w:tcW w:type="dxa" w:w="7814"/>
          </w:tcPr>
          <w:p>
            <w:pPr>
              <w:spacing w:after="0"/>
            </w:pPr>
            <w:r>
              <w:rPr>
                <w:color w:val="1D1D1D"/>
                <w:sz w:val="16"/>
              </w:rPr>
              <w:t>Sources = uses (within 0.01)</w:t>
            </w:r>
          </w:p>
        </w:tc>
        <w:tc>
          <w:tcPr>
            <w:tcW w:type="dxa" w:w="1042"/>
          </w:tcPr>
          <w:p>
            <w:pPr>
              <w:spacing w:after="0"/>
            </w:pPr>
            <w:r>
              <w:rPr>
                <w:color w:val="1D1D1D"/>
                <w:sz w:val="16"/>
              </w:rPr>
              <w:t>ERROR</w:t>
            </w:r>
          </w:p>
        </w:tc>
      </w:tr>
      <w:tr>
        <w:tc>
          <w:tcPr>
            <w:tcW w:type="dxa" w:w="781"/>
            <w:shd w:val="clear" w:color="auto" w:fill="FAF8F2"/>
          </w:tcPr>
          <w:p>
            <w:pPr>
              <w:spacing w:after="0"/>
            </w:pPr>
            <w:r>
              <w:rPr>
                <w:color w:val="1D1D1D"/>
                <w:sz w:val="16"/>
              </w:rPr>
              <w:t>2</w:t>
            </w:r>
          </w:p>
        </w:tc>
        <w:tc>
          <w:tcPr>
            <w:tcW w:type="dxa" w:w="7814"/>
            <w:shd w:val="clear" w:color="auto" w:fill="FAF8F2"/>
          </w:tcPr>
          <w:p>
            <w:pPr>
              <w:spacing w:after="0"/>
            </w:pPr>
            <w:r>
              <w:rPr>
                <w:color w:val="1D1D1D"/>
                <w:sz w:val="16"/>
              </w:rPr>
              <w:t>Construction funding balances (uses = grants + debt + equity)</w:t>
            </w:r>
          </w:p>
        </w:tc>
        <w:tc>
          <w:tcPr>
            <w:tcW w:type="dxa" w:w="1042"/>
            <w:shd w:val="clear" w:color="auto" w:fill="FAF8F2"/>
          </w:tcPr>
          <w:p>
            <w:pPr>
              <w:spacing w:after="0"/>
            </w:pPr>
            <w:r>
              <w:rPr>
                <w:color w:val="1D1D1D"/>
                <w:sz w:val="16"/>
              </w:rPr>
              <w:t>ERROR</w:t>
            </w:r>
          </w:p>
        </w:tc>
      </w:tr>
      <w:tr>
        <w:tc>
          <w:tcPr>
            <w:tcW w:type="dxa" w:w="781"/>
          </w:tcPr>
          <w:p>
            <w:pPr>
              <w:spacing w:after="0"/>
            </w:pPr>
            <w:r>
              <w:rPr>
                <w:color w:val="1D1D1D"/>
                <w:sz w:val="16"/>
              </w:rPr>
              <w:t>3</w:t>
            </w:r>
          </w:p>
        </w:tc>
        <w:tc>
          <w:tcPr>
            <w:tcW w:type="dxa" w:w="7814"/>
          </w:tcPr>
          <w:p>
            <w:pPr>
              <w:spacing w:after="0"/>
            </w:pPr>
            <w:r>
              <w:rPr>
                <w:color w:val="1D1D1D"/>
                <w:sz w:val="16"/>
              </w:rPr>
              <w:t>CAPEX phasing sums to 100%</w:t>
            </w:r>
          </w:p>
        </w:tc>
        <w:tc>
          <w:tcPr>
            <w:tcW w:type="dxa" w:w="1042"/>
          </w:tcPr>
          <w:p>
            <w:pPr>
              <w:spacing w:after="0"/>
            </w:pPr>
            <w:r>
              <w:rPr>
                <w:color w:val="1D1D1D"/>
                <w:sz w:val="16"/>
              </w:rPr>
              <w:t>ERROR</w:t>
            </w:r>
          </w:p>
        </w:tc>
      </w:tr>
      <w:tr>
        <w:tc>
          <w:tcPr>
            <w:tcW w:type="dxa" w:w="781"/>
            <w:shd w:val="clear" w:color="auto" w:fill="FAF8F2"/>
          </w:tcPr>
          <w:p>
            <w:pPr>
              <w:spacing w:after="0"/>
            </w:pPr>
            <w:r>
              <w:rPr>
                <w:color w:val="1D1D1D"/>
                <w:sz w:val="16"/>
              </w:rPr>
              <w:t>4</w:t>
            </w:r>
          </w:p>
        </w:tc>
        <w:tc>
          <w:tcPr>
            <w:tcW w:type="dxa" w:w="7814"/>
            <w:shd w:val="clear" w:color="auto" w:fill="FAF8F2"/>
          </w:tcPr>
          <w:p>
            <w:pPr>
              <w:spacing w:after="0"/>
            </w:pPr>
            <w:r>
              <w:rPr>
                <w:color w:val="1D1D1D"/>
                <w:sz w:val="16"/>
              </w:rPr>
              <w:t>Concessional debt fully repaid by the end of the horizon</w:t>
            </w:r>
          </w:p>
        </w:tc>
        <w:tc>
          <w:tcPr>
            <w:tcW w:type="dxa" w:w="1042"/>
            <w:shd w:val="clear" w:color="auto" w:fill="FAF8F2"/>
          </w:tcPr>
          <w:p>
            <w:pPr>
              <w:spacing w:after="0"/>
            </w:pPr>
            <w:r>
              <w:rPr>
                <w:color w:val="1D1D1D"/>
                <w:sz w:val="16"/>
              </w:rPr>
              <w:t>ERROR</w:t>
            </w:r>
          </w:p>
        </w:tc>
      </w:tr>
      <w:tr>
        <w:tc>
          <w:tcPr>
            <w:tcW w:type="dxa" w:w="781"/>
          </w:tcPr>
          <w:p>
            <w:pPr>
              <w:spacing w:after="0"/>
            </w:pPr>
            <w:r>
              <w:rPr>
                <w:color w:val="1D1D1D"/>
                <w:sz w:val="16"/>
              </w:rPr>
              <w:t>5</w:t>
            </w:r>
          </w:p>
        </w:tc>
        <w:tc>
          <w:tcPr>
            <w:tcW w:type="dxa" w:w="7814"/>
          </w:tcPr>
          <w:p>
            <w:pPr>
              <w:spacing w:after="0"/>
            </w:pPr>
            <w:r>
              <w:rPr>
                <w:color w:val="1D1D1D"/>
                <w:sz w:val="16"/>
              </w:rPr>
              <w:t>Commercial debt fully repaid by the end of the horizon</w:t>
            </w:r>
          </w:p>
        </w:tc>
        <w:tc>
          <w:tcPr>
            <w:tcW w:type="dxa" w:w="1042"/>
          </w:tcPr>
          <w:p>
            <w:pPr>
              <w:spacing w:after="0"/>
            </w:pPr>
            <w:r>
              <w:rPr>
                <w:color w:val="1D1D1D"/>
                <w:sz w:val="16"/>
              </w:rPr>
              <w:t>ERROR</w:t>
            </w:r>
          </w:p>
        </w:tc>
      </w:tr>
      <w:tr>
        <w:tc>
          <w:tcPr>
            <w:tcW w:type="dxa" w:w="781"/>
            <w:shd w:val="clear" w:color="auto" w:fill="FAF8F2"/>
          </w:tcPr>
          <w:p>
            <w:pPr>
              <w:spacing w:after="0"/>
            </w:pPr>
            <w:r>
              <w:rPr>
                <w:color w:val="1D1D1D"/>
                <w:sz w:val="16"/>
              </w:rPr>
              <w:t>6</w:t>
            </w:r>
          </w:p>
        </w:tc>
        <w:tc>
          <w:tcPr>
            <w:tcW w:type="dxa" w:w="7814"/>
            <w:shd w:val="clear" w:color="auto" w:fill="FAF8F2"/>
          </w:tcPr>
          <w:p>
            <w:pPr>
              <w:spacing w:after="0"/>
            </w:pPr>
            <w:r>
              <w:rPr>
                <w:color w:val="1D1D1D"/>
                <w:sz w:val="16"/>
              </w:rPr>
              <w:t>Concessional grace plus term within the concession</w:t>
            </w:r>
          </w:p>
        </w:tc>
        <w:tc>
          <w:tcPr>
            <w:tcW w:type="dxa" w:w="1042"/>
            <w:shd w:val="clear" w:color="auto" w:fill="FAF8F2"/>
          </w:tcPr>
          <w:p>
            <w:pPr>
              <w:spacing w:after="0"/>
            </w:pPr>
            <w:r>
              <w:rPr>
                <w:color w:val="1D1D1D"/>
                <w:sz w:val="16"/>
              </w:rPr>
              <w:t>ERROR</w:t>
            </w:r>
          </w:p>
        </w:tc>
      </w:tr>
      <w:tr>
        <w:tc>
          <w:tcPr>
            <w:tcW w:type="dxa" w:w="781"/>
          </w:tcPr>
          <w:p>
            <w:pPr>
              <w:spacing w:after="0"/>
            </w:pPr>
            <w:r>
              <w:rPr>
                <w:color w:val="1D1D1D"/>
                <w:sz w:val="16"/>
              </w:rPr>
              <w:t>7</w:t>
            </w:r>
          </w:p>
        </w:tc>
        <w:tc>
          <w:tcPr>
            <w:tcW w:type="dxa" w:w="7814"/>
          </w:tcPr>
          <w:p>
            <w:pPr>
              <w:spacing w:after="0"/>
            </w:pPr>
            <w:r>
              <w:rPr>
                <w:color w:val="1D1D1D"/>
                <w:sz w:val="16"/>
              </w:rPr>
              <w:t>Commercial tenor within the concession</w:t>
            </w:r>
          </w:p>
        </w:tc>
        <w:tc>
          <w:tcPr>
            <w:tcW w:type="dxa" w:w="1042"/>
          </w:tcPr>
          <w:p>
            <w:pPr>
              <w:spacing w:after="0"/>
            </w:pPr>
            <w:r>
              <w:rPr>
                <w:color w:val="1D1D1D"/>
                <w:sz w:val="16"/>
              </w:rPr>
              <w:t>ERROR</w:t>
            </w:r>
          </w:p>
        </w:tc>
      </w:tr>
      <w:tr>
        <w:tc>
          <w:tcPr>
            <w:tcW w:type="dxa" w:w="781"/>
            <w:shd w:val="clear" w:color="auto" w:fill="FAF8F2"/>
          </w:tcPr>
          <w:p>
            <w:pPr>
              <w:spacing w:after="0"/>
            </w:pPr>
            <w:r>
              <w:rPr>
                <w:color w:val="1D1D1D"/>
                <w:sz w:val="16"/>
              </w:rPr>
              <w:t>8</w:t>
            </w:r>
          </w:p>
        </w:tc>
        <w:tc>
          <w:tcPr>
            <w:tcW w:type="dxa" w:w="7814"/>
            <w:shd w:val="clear" w:color="auto" w:fill="FAF8F2"/>
          </w:tcPr>
          <w:p>
            <w:pPr>
              <w:spacing w:after="0"/>
            </w:pPr>
            <w:r>
              <w:rPr>
                <w:color w:val="1D1D1D"/>
                <w:sz w:val="16"/>
              </w:rPr>
              <w:t>Construction plus concession within 40 periods</w:t>
            </w:r>
          </w:p>
        </w:tc>
        <w:tc>
          <w:tcPr>
            <w:tcW w:type="dxa" w:w="1042"/>
            <w:shd w:val="clear" w:color="auto" w:fill="FAF8F2"/>
          </w:tcPr>
          <w:p>
            <w:pPr>
              <w:spacing w:after="0"/>
            </w:pPr>
            <w:r>
              <w:rPr>
                <w:color w:val="1D1D1D"/>
                <w:sz w:val="16"/>
              </w:rPr>
              <w:t>ERROR</w:t>
            </w:r>
          </w:p>
        </w:tc>
      </w:tr>
      <w:tr>
        <w:tc>
          <w:tcPr>
            <w:tcW w:type="dxa" w:w="781"/>
          </w:tcPr>
          <w:p>
            <w:pPr>
              <w:spacing w:after="0"/>
            </w:pPr>
            <w:r>
              <w:rPr>
                <w:color w:val="1D1D1D"/>
                <w:sz w:val="16"/>
              </w:rPr>
              <w:t>9</w:t>
            </w:r>
          </w:p>
        </w:tc>
        <w:tc>
          <w:tcPr>
            <w:tcW w:type="dxa" w:w="7814"/>
          </w:tcPr>
          <w:p>
            <w:pPr>
              <w:spacing w:after="0"/>
            </w:pPr>
            <w:r>
              <w:rPr>
                <w:color w:val="1D1D1D"/>
                <w:sz w:val="16"/>
              </w:rPr>
              <w:t>Delivered energy not above generation</w:t>
            </w:r>
          </w:p>
        </w:tc>
        <w:tc>
          <w:tcPr>
            <w:tcW w:type="dxa" w:w="1042"/>
          </w:tcPr>
          <w:p>
            <w:pPr>
              <w:spacing w:after="0"/>
            </w:pPr>
            <w:r>
              <w:rPr>
                <w:color w:val="1D1D1D"/>
                <w:sz w:val="16"/>
              </w:rPr>
              <w:t>ERROR</w:t>
            </w:r>
          </w:p>
        </w:tc>
      </w:tr>
      <w:tr>
        <w:tc>
          <w:tcPr>
            <w:tcW w:type="dxa" w:w="781"/>
            <w:shd w:val="clear" w:color="auto" w:fill="FAF8F2"/>
          </w:tcPr>
          <w:p>
            <w:pPr>
              <w:spacing w:after="0"/>
            </w:pPr>
            <w:r>
              <w:rPr>
                <w:color w:val="1D1D1D"/>
                <w:sz w:val="16"/>
              </w:rPr>
              <w:t>10</w:t>
            </w:r>
          </w:p>
        </w:tc>
        <w:tc>
          <w:tcPr>
            <w:tcW w:type="dxa" w:w="7814"/>
            <w:shd w:val="clear" w:color="auto" w:fill="FAF8F2"/>
          </w:tcPr>
          <w:p>
            <w:pPr>
              <w:spacing w:after="0"/>
            </w:pPr>
            <w:r>
              <w:rPr>
                <w:color w:val="1D1D1D"/>
                <w:sz w:val="16"/>
              </w:rPr>
              <w:t>Unpaid amounts not negative</w:t>
            </w:r>
          </w:p>
        </w:tc>
        <w:tc>
          <w:tcPr>
            <w:tcW w:type="dxa" w:w="1042"/>
            <w:shd w:val="clear" w:color="auto" w:fill="FAF8F2"/>
          </w:tcPr>
          <w:p>
            <w:pPr>
              <w:spacing w:after="0"/>
            </w:pPr>
            <w:r>
              <w:rPr>
                <w:color w:val="1D1D1D"/>
                <w:sz w:val="16"/>
              </w:rPr>
              <w:t>ERROR</w:t>
            </w:r>
          </w:p>
        </w:tc>
      </w:tr>
      <w:tr>
        <w:tc>
          <w:tcPr>
            <w:tcW w:type="dxa" w:w="781"/>
          </w:tcPr>
          <w:p>
            <w:pPr>
              <w:spacing w:after="0"/>
            </w:pPr>
            <w:r>
              <w:rPr>
                <w:color w:val="1D1D1D"/>
                <w:sz w:val="16"/>
              </w:rPr>
              <w:t>11</w:t>
            </w:r>
          </w:p>
        </w:tc>
        <w:tc>
          <w:tcPr>
            <w:tcW w:type="dxa" w:w="7814"/>
          </w:tcPr>
          <w:p>
            <w:pPr>
              <w:spacing w:after="0"/>
            </w:pPr>
            <w:r>
              <w:rPr>
                <w:color w:val="1D1D1D"/>
                <w:sz w:val="16"/>
              </w:rPr>
              <w:t>No forced balloon in the final commercial repayment year (forced principal above target by less than USD 0.5m)</w:t>
            </w:r>
          </w:p>
        </w:tc>
        <w:tc>
          <w:tcPr>
            <w:tcW w:type="dxa" w:w="1042"/>
          </w:tcPr>
          <w:p>
            <w:pPr>
              <w:spacing w:after="0"/>
            </w:pPr>
            <w:r>
              <w:rPr>
                <w:color w:val="1D1D1D"/>
                <w:sz w:val="16"/>
              </w:rPr>
              <w:t>WARNING</w:t>
            </w:r>
          </w:p>
        </w:tc>
      </w:tr>
      <w:tr>
        <w:tc>
          <w:tcPr>
            <w:tcW w:type="dxa" w:w="781"/>
            <w:shd w:val="clear" w:color="auto" w:fill="FAF8F2"/>
          </w:tcPr>
          <w:p>
            <w:pPr>
              <w:spacing w:after="0"/>
            </w:pPr>
            <w:r>
              <w:rPr>
                <w:color w:val="1D1D1D"/>
                <w:sz w:val="16"/>
              </w:rPr>
              <w:t>12</w:t>
            </w:r>
          </w:p>
        </w:tc>
        <w:tc>
          <w:tcPr>
            <w:tcW w:type="dxa" w:w="7814"/>
            <w:shd w:val="clear" w:color="auto" w:fill="FAF8F2"/>
          </w:tcPr>
          <w:p>
            <w:pPr>
              <w:spacing w:after="0"/>
            </w:pPr>
            <w:r>
              <w:rPr>
                <w:color w:val="1D1D1D"/>
                <w:sz w:val="16"/>
              </w:rPr>
              <w:t>DSRA balance never negative</w:t>
            </w:r>
          </w:p>
        </w:tc>
        <w:tc>
          <w:tcPr>
            <w:tcW w:type="dxa" w:w="1042"/>
            <w:shd w:val="clear" w:color="auto" w:fill="FAF8F2"/>
          </w:tcPr>
          <w:p>
            <w:pPr>
              <w:spacing w:after="0"/>
            </w:pPr>
            <w:r>
              <w:rPr>
                <w:color w:val="1D1D1D"/>
                <w:sz w:val="16"/>
              </w:rPr>
              <w:t>ERROR</w:t>
            </w:r>
          </w:p>
        </w:tc>
      </w:tr>
      <w:tr>
        <w:tc>
          <w:tcPr>
            <w:tcW w:type="dxa" w:w="781"/>
          </w:tcPr>
          <w:p>
            <w:pPr>
              <w:spacing w:after="0"/>
            </w:pPr>
            <w:r>
              <w:rPr>
                <w:color w:val="1D1D1D"/>
                <w:sz w:val="16"/>
              </w:rPr>
              <w:t>13</w:t>
            </w:r>
          </w:p>
        </w:tc>
        <w:tc>
          <w:tcPr>
            <w:tcW w:type="dxa" w:w="7814"/>
          </w:tcPr>
          <w:p>
            <w:pPr>
              <w:spacing w:after="0"/>
            </w:pPr>
            <w:r>
              <w:rPr>
                <w:color w:val="1D1D1D"/>
                <w:sz w:val="16"/>
              </w:rPr>
              <w:t>Project-funded transmission fully funded (construction plus CFADS)</w:t>
            </w:r>
          </w:p>
        </w:tc>
        <w:tc>
          <w:tcPr>
            <w:tcW w:type="dxa" w:w="1042"/>
          </w:tcPr>
          <w:p>
            <w:pPr>
              <w:spacing w:after="0"/>
            </w:pPr>
            <w:r>
              <w:rPr>
                <w:color w:val="1D1D1D"/>
                <w:sz w:val="16"/>
              </w:rPr>
              <w:t>ERROR</w:t>
            </w:r>
          </w:p>
        </w:tc>
      </w:tr>
      <w:tr>
        <w:tc>
          <w:tcPr>
            <w:tcW w:type="dxa" w:w="781"/>
            <w:shd w:val="clear" w:color="auto" w:fill="FAF8F2"/>
          </w:tcPr>
          <w:p>
            <w:pPr>
              <w:spacing w:after="0"/>
            </w:pPr>
            <w:r>
              <w:rPr>
                <w:color w:val="1D1D1D"/>
                <w:sz w:val="16"/>
              </w:rPr>
              <w:t>14</w:t>
            </w:r>
          </w:p>
        </w:tc>
        <w:tc>
          <w:tcPr>
            <w:tcW w:type="dxa" w:w="7814"/>
            <w:shd w:val="clear" w:color="auto" w:fill="FAF8F2"/>
          </w:tcPr>
          <w:p>
            <w:pPr>
              <w:spacing w:after="0"/>
            </w:pPr>
            <w:r>
              <w:rPr>
                <w:color w:val="1D1D1D"/>
                <w:sz w:val="16"/>
              </w:rPr>
              <w:t xml:space="preserve">Structure check on </w:t>
            </w:r>
            <w:r>
              <w:rPr>
                <w:i/>
                <w:color w:val="1D1D1D"/>
                <w:sz w:val="16"/>
              </w:rPr>
              <w:t>17A_STRUCTURES</w:t>
            </w:r>
          </w:p>
        </w:tc>
        <w:tc>
          <w:tcPr>
            <w:tcW w:type="dxa" w:w="1042"/>
            <w:shd w:val="clear" w:color="auto" w:fill="FAF8F2"/>
          </w:tcPr>
          <w:p>
            <w:pPr>
              <w:spacing w:after="0"/>
            </w:pPr>
            <w:r>
              <w:rPr>
                <w:color w:val="1D1D1D"/>
                <w:sz w:val="16"/>
              </w:rPr>
              <w:t>WARNING</w:t>
            </w:r>
          </w:p>
        </w:tc>
      </w:tr>
    </w:tbl>
    <w:p>
      <w:pPr>
        <w:spacing w:after="40"/>
      </w:pPr>
    </w:p>
    <w:p>
      <w:pPr>
        <w:jc w:val="both"/>
      </w:pPr>
      <w:r>
        <w:rPr>
          <w:rFonts w:ascii="Courier New" w:hAnsi="Courier New"/>
        </w:rPr>
        <w:t>chk_all</w:t>
      </w:r>
      <w:r>
        <w:rPr/>
        <w:t xml:space="preserve"> reads ALL OK or "n issue(s)". The independent test forced each check to fail on a copy and each fired. The checks confirm internal consistency, not the realism of the inputs. Do not use outputs unless ALL OK is shown.</w:t>
      </w:r>
    </w:p>
    <w:p>
      <w:pPr>
        <w:pStyle w:val="Heading2"/>
      </w:pPr>
      <w:r>
        <w:t>9.2 35_BOOK_CHECK</w:t>
      </w:r>
    </w:p>
    <w:p>
      <w:pPr>
        <w:jc w:val="both"/>
      </w:pPr>
      <w:r>
        <w:rPr/>
        <w:t>The sheet compares the live model with the Kasiri figures printed in Book 7: 24 numeric figures with a tolerance each, and two text results.</w:t>
      </w:r>
    </w:p>
    <w:tbl>
      <w:tblPr>
        <w:tblStyle w:val="TableGrid"/>
        <w:tblW w:type="auto" w:w="0"/>
        <w:jc w:val="center"/>
        <w:tblLook w:firstColumn="1" w:firstRow="1" w:lastColumn="0" w:lastRow="0" w:noHBand="0" w:noVBand="1" w:val="04A0"/>
      </w:tblPr>
      <w:tblGrid>
        <w:gridCol w:w="3213"/>
        <w:gridCol w:w="3213"/>
        <w:gridCol w:w="3213"/>
      </w:tblGrid>
      <w:tr>
        <w:tc>
          <w:tcPr>
            <w:tcW w:type="dxa" w:w="5198"/>
            <w:shd w:val="clear" w:color="auto" w:fill="0B3020"/>
          </w:tcPr>
          <w:p>
            <w:pPr>
              <w:spacing w:after="0"/>
            </w:pPr>
            <w:r>
              <w:rPr>
                <w:b/>
                <w:color w:val="FFFFFF"/>
                <w:sz w:val="16"/>
              </w:rPr>
              <w:t>Figure</w:t>
            </w:r>
          </w:p>
        </w:tc>
        <w:tc>
          <w:tcPr>
            <w:tcW w:type="dxa" w:w="3465"/>
            <w:shd w:val="clear" w:color="auto" w:fill="0B3020"/>
          </w:tcPr>
          <w:p>
            <w:pPr>
              <w:spacing w:after="0"/>
            </w:pPr>
            <w:r>
              <w:rPr>
                <w:b/>
                <w:color w:val="FFFFFF"/>
                <w:sz w:val="16"/>
              </w:rPr>
              <w:t>Printed</w:t>
            </w:r>
          </w:p>
        </w:tc>
        <w:tc>
          <w:tcPr>
            <w:tcW w:type="dxa" w:w="975"/>
            <w:shd w:val="clear" w:color="auto" w:fill="0B3020"/>
          </w:tcPr>
          <w:p>
            <w:pPr>
              <w:spacing w:after="0"/>
            </w:pPr>
            <w:r>
              <w:rPr>
                <w:b/>
                <w:color w:val="FFFFFF"/>
                <w:sz w:val="16"/>
              </w:rPr>
              <w:t>Tolerance</w:t>
            </w:r>
          </w:p>
        </w:tc>
      </w:tr>
      <w:tr>
        <w:tc>
          <w:tcPr>
            <w:tcW w:type="dxa" w:w="5198"/>
          </w:tcPr>
          <w:p>
            <w:pPr>
              <w:spacing w:after="0"/>
            </w:pPr>
            <w:r>
              <w:rPr>
                <w:color w:val="1D1D1D"/>
                <w:sz w:val="16"/>
              </w:rPr>
              <w:t>Installed capacity (MW)</w:t>
            </w:r>
          </w:p>
        </w:tc>
        <w:tc>
          <w:tcPr>
            <w:tcW w:type="dxa" w:w="3465"/>
          </w:tcPr>
          <w:p>
            <w:pPr>
              <w:spacing w:after="0"/>
            </w:pPr>
            <w:r>
              <w:rPr>
                <w:color w:val="1D1D1D"/>
                <w:sz w:val="16"/>
              </w:rPr>
              <w:t>60</w:t>
            </w:r>
          </w:p>
        </w:tc>
        <w:tc>
          <w:tcPr>
            <w:tcW w:type="dxa" w:w="975"/>
          </w:tcPr>
          <w:p>
            <w:pPr>
              <w:spacing w:after="0"/>
            </w:pPr>
            <w:r>
              <w:rPr>
                <w:color w:val="1D1D1D"/>
                <w:sz w:val="16"/>
              </w:rPr>
              <w:t>0.5</w:t>
            </w:r>
          </w:p>
        </w:tc>
      </w:tr>
      <w:tr>
        <w:tc>
          <w:tcPr>
            <w:tcW w:type="dxa" w:w="5198"/>
            <w:shd w:val="clear" w:color="auto" w:fill="FAF8F2"/>
          </w:tcPr>
          <w:p>
            <w:pPr>
              <w:spacing w:after="0"/>
            </w:pPr>
            <w:r>
              <w:rPr>
                <w:color w:val="1D1D1D"/>
                <w:sz w:val="16"/>
              </w:rPr>
              <w:t>P50 generation (GWh)</w:t>
            </w:r>
          </w:p>
        </w:tc>
        <w:tc>
          <w:tcPr>
            <w:tcW w:type="dxa" w:w="3465"/>
            <w:shd w:val="clear" w:color="auto" w:fill="FAF8F2"/>
          </w:tcPr>
          <w:p>
            <w:pPr>
              <w:spacing w:after="0"/>
            </w:pPr>
            <w:r>
              <w:rPr>
                <w:color w:val="1D1D1D"/>
                <w:sz w:val="16"/>
              </w:rPr>
              <w:t>292</w:t>
            </w:r>
          </w:p>
        </w:tc>
        <w:tc>
          <w:tcPr>
            <w:tcW w:type="dxa" w:w="975"/>
            <w:shd w:val="clear" w:color="auto" w:fill="FAF8F2"/>
          </w:tcPr>
          <w:p>
            <w:pPr>
              <w:spacing w:after="0"/>
            </w:pPr>
            <w:r>
              <w:rPr>
                <w:color w:val="1D1D1D"/>
                <w:sz w:val="16"/>
              </w:rPr>
              <w:t>0.5</w:t>
            </w:r>
          </w:p>
        </w:tc>
      </w:tr>
      <w:tr>
        <w:tc>
          <w:tcPr>
            <w:tcW w:type="dxa" w:w="5198"/>
          </w:tcPr>
          <w:p>
            <w:pPr>
              <w:spacing w:after="0"/>
            </w:pPr>
            <w:r>
              <w:rPr>
                <w:color w:val="1D1D1D"/>
                <w:sz w:val="16"/>
              </w:rPr>
              <w:t>Capacity factor</w:t>
            </w:r>
          </w:p>
        </w:tc>
        <w:tc>
          <w:tcPr>
            <w:tcW w:type="dxa" w:w="3465"/>
          </w:tcPr>
          <w:p>
            <w:pPr>
              <w:spacing w:after="0"/>
            </w:pPr>
            <w:r>
              <w:rPr>
                <w:color w:val="1D1D1D"/>
                <w:sz w:val="16"/>
              </w:rPr>
              <w:t>55.6%</w:t>
            </w:r>
          </w:p>
        </w:tc>
        <w:tc>
          <w:tcPr>
            <w:tcW w:type="dxa" w:w="975"/>
          </w:tcPr>
          <w:p>
            <w:pPr>
              <w:spacing w:after="0"/>
            </w:pPr>
            <w:r>
              <w:rPr>
                <w:color w:val="1D1D1D"/>
                <w:sz w:val="16"/>
              </w:rPr>
              <w:t>0.05 pp</w:t>
            </w:r>
          </w:p>
        </w:tc>
      </w:tr>
      <w:tr>
        <w:tc>
          <w:tcPr>
            <w:tcW w:type="dxa" w:w="5198"/>
            <w:shd w:val="clear" w:color="auto" w:fill="FAF8F2"/>
          </w:tcPr>
          <w:p>
            <w:pPr>
              <w:spacing w:after="0"/>
            </w:pPr>
            <w:r>
              <w:rPr>
                <w:color w:val="1D1D1D"/>
                <w:sz w:val="16"/>
              </w:rPr>
              <w:t>P90 one-year / ten-year (GWh)</w:t>
            </w:r>
          </w:p>
        </w:tc>
        <w:tc>
          <w:tcPr>
            <w:tcW w:type="dxa" w:w="3465"/>
            <w:shd w:val="clear" w:color="auto" w:fill="FAF8F2"/>
          </w:tcPr>
          <w:p>
            <w:pPr>
              <w:spacing w:after="0"/>
            </w:pPr>
            <w:r>
              <w:rPr>
                <w:color w:val="1D1D1D"/>
                <w:sz w:val="16"/>
              </w:rPr>
              <w:t>236 / 268</w:t>
            </w:r>
          </w:p>
        </w:tc>
        <w:tc>
          <w:tcPr>
            <w:tcW w:type="dxa" w:w="975"/>
            <w:shd w:val="clear" w:color="auto" w:fill="FAF8F2"/>
          </w:tcPr>
          <w:p>
            <w:pPr>
              <w:spacing w:after="0"/>
            </w:pPr>
            <w:r>
              <w:rPr>
                <w:color w:val="1D1D1D"/>
                <w:sz w:val="16"/>
              </w:rPr>
              <w:t>0.5</w:t>
            </w:r>
          </w:p>
        </w:tc>
      </w:tr>
      <w:tr>
        <w:tc>
          <w:tcPr>
            <w:tcW w:type="dxa" w:w="5198"/>
          </w:tcPr>
          <w:p>
            <w:pPr>
              <w:spacing w:after="0"/>
            </w:pPr>
            <w:r>
              <w:rPr>
                <w:color w:val="1D1D1D"/>
                <w:sz w:val="16"/>
              </w:rPr>
              <w:t>Plant cost real 2026 (USDm) / unit cost (USD/kW)</w:t>
            </w:r>
          </w:p>
        </w:tc>
        <w:tc>
          <w:tcPr>
            <w:tcW w:type="dxa" w:w="3465"/>
          </w:tcPr>
          <w:p>
            <w:pPr>
              <w:spacing w:after="0"/>
            </w:pPr>
            <w:r>
              <w:rPr>
                <w:color w:val="1D1D1D"/>
                <w:sz w:val="16"/>
              </w:rPr>
              <w:t>157 / 2,614</w:t>
            </w:r>
          </w:p>
        </w:tc>
        <w:tc>
          <w:tcPr>
            <w:tcW w:type="dxa" w:w="975"/>
          </w:tcPr>
          <w:p>
            <w:pPr>
              <w:spacing w:after="0"/>
            </w:pPr>
            <w:r>
              <w:rPr>
                <w:color w:val="1D1D1D"/>
                <w:sz w:val="16"/>
              </w:rPr>
              <w:t>0.5</w:t>
            </w:r>
          </w:p>
        </w:tc>
      </w:tr>
      <w:tr>
        <w:tc>
          <w:tcPr>
            <w:tcW w:type="dxa" w:w="5198"/>
            <w:shd w:val="clear" w:color="auto" w:fill="FAF8F2"/>
          </w:tcPr>
          <w:p>
            <w:pPr>
              <w:spacing w:after="0"/>
            </w:pPr>
            <w:r>
              <w:rPr>
                <w:color w:val="1D1D1D"/>
                <w:sz w:val="16"/>
              </w:rPr>
              <w:t>Total uses / senior debt (USDm)</w:t>
            </w:r>
          </w:p>
        </w:tc>
        <w:tc>
          <w:tcPr>
            <w:tcW w:type="dxa" w:w="3465"/>
            <w:shd w:val="clear" w:color="auto" w:fill="FAF8F2"/>
          </w:tcPr>
          <w:p>
            <w:pPr>
              <w:spacing w:after="0"/>
            </w:pPr>
            <w:r>
              <w:rPr>
                <w:color w:val="1D1D1D"/>
                <w:sz w:val="16"/>
              </w:rPr>
              <w:t>215 / 145</w:t>
            </w:r>
          </w:p>
        </w:tc>
        <w:tc>
          <w:tcPr>
            <w:tcW w:type="dxa" w:w="975"/>
            <w:shd w:val="clear" w:color="auto" w:fill="FAF8F2"/>
          </w:tcPr>
          <w:p>
            <w:pPr>
              <w:spacing w:after="0"/>
            </w:pPr>
            <w:r>
              <w:rPr>
                <w:color w:val="1D1D1D"/>
                <w:sz w:val="16"/>
              </w:rPr>
              <w:t>0.5</w:t>
            </w:r>
          </w:p>
        </w:tc>
      </w:tr>
      <w:tr>
        <w:tc>
          <w:tcPr>
            <w:tcW w:type="dxa" w:w="5198"/>
          </w:tcPr>
          <w:p>
            <w:pPr>
              <w:spacing w:after="0"/>
            </w:pPr>
            <w:r>
              <w:rPr>
                <w:color w:val="1D1D1D"/>
                <w:sz w:val="16"/>
              </w:rPr>
              <w:t>Gearing on total uses</w:t>
            </w:r>
          </w:p>
        </w:tc>
        <w:tc>
          <w:tcPr>
            <w:tcW w:type="dxa" w:w="3465"/>
          </w:tcPr>
          <w:p>
            <w:pPr>
              <w:spacing w:after="0"/>
            </w:pPr>
            <w:r>
              <w:rPr>
                <w:color w:val="1D1D1D"/>
                <w:sz w:val="16"/>
              </w:rPr>
              <w:t>68%</w:t>
            </w:r>
          </w:p>
        </w:tc>
        <w:tc>
          <w:tcPr>
            <w:tcW w:type="dxa" w:w="975"/>
          </w:tcPr>
          <w:p>
            <w:pPr>
              <w:spacing w:after="0"/>
            </w:pPr>
            <w:r>
              <w:rPr>
                <w:color w:val="1D1D1D"/>
                <w:sz w:val="16"/>
              </w:rPr>
              <w:t>0.5 pp</w:t>
            </w:r>
          </w:p>
        </w:tc>
      </w:tr>
      <w:tr>
        <w:tc>
          <w:tcPr>
            <w:tcW w:type="dxa" w:w="5198"/>
            <w:shd w:val="clear" w:color="auto" w:fill="FAF8F2"/>
          </w:tcPr>
          <w:p>
            <w:pPr>
              <w:spacing w:after="0"/>
            </w:pPr>
            <w:r>
              <w:rPr>
                <w:color w:val="1D1D1D"/>
                <w:sz w:val="16"/>
              </w:rPr>
              <w:t>LCOE (USD/MWh)</w:t>
            </w:r>
          </w:p>
        </w:tc>
        <w:tc>
          <w:tcPr>
            <w:tcW w:type="dxa" w:w="3465"/>
            <w:shd w:val="clear" w:color="auto" w:fill="FAF8F2"/>
          </w:tcPr>
          <w:p>
            <w:pPr>
              <w:spacing w:after="0"/>
            </w:pPr>
            <w:r>
              <w:rPr>
                <w:color w:val="1D1D1D"/>
                <w:sz w:val="16"/>
              </w:rPr>
              <w:t>106</w:t>
            </w:r>
          </w:p>
        </w:tc>
        <w:tc>
          <w:tcPr>
            <w:tcW w:type="dxa" w:w="975"/>
            <w:shd w:val="clear" w:color="auto" w:fill="FAF8F2"/>
          </w:tcPr>
          <w:p>
            <w:pPr>
              <w:spacing w:after="0"/>
            </w:pPr>
            <w:r>
              <w:rPr>
                <w:color w:val="1D1D1D"/>
                <w:sz w:val="16"/>
              </w:rPr>
              <w:t>0.5</w:t>
            </w:r>
          </w:p>
        </w:tc>
      </w:tr>
      <w:tr>
        <w:tc>
          <w:tcPr>
            <w:tcW w:type="dxa" w:w="5198"/>
          </w:tcPr>
          <w:p>
            <w:pPr>
              <w:spacing w:after="0"/>
            </w:pPr>
            <w:r>
              <w:rPr>
                <w:color w:val="1D1D1D"/>
                <w:sz w:val="16"/>
              </w:rPr>
              <w:t>Private equity IRR / developer IRR</w:t>
            </w:r>
          </w:p>
        </w:tc>
        <w:tc>
          <w:tcPr>
            <w:tcW w:type="dxa" w:w="3465"/>
          </w:tcPr>
          <w:p>
            <w:pPr>
              <w:spacing w:after="0"/>
            </w:pPr>
            <w:r>
              <w:rPr>
                <w:color w:val="1D1D1D"/>
                <w:sz w:val="16"/>
              </w:rPr>
              <w:t>13.8% / 16.0%</w:t>
            </w:r>
          </w:p>
        </w:tc>
        <w:tc>
          <w:tcPr>
            <w:tcW w:type="dxa" w:w="975"/>
          </w:tcPr>
          <w:p>
            <w:pPr>
              <w:spacing w:after="0"/>
            </w:pPr>
            <w:r>
              <w:rPr>
                <w:color w:val="1D1D1D"/>
                <w:sz w:val="16"/>
              </w:rPr>
              <w:t>0.05 pp</w:t>
            </w:r>
          </w:p>
        </w:tc>
      </w:tr>
      <w:tr>
        <w:tc>
          <w:tcPr>
            <w:tcW w:type="dxa" w:w="5198"/>
            <w:shd w:val="clear" w:color="auto" w:fill="FAF8F2"/>
          </w:tcPr>
          <w:p>
            <w:pPr>
              <w:spacing w:after="0"/>
            </w:pPr>
            <w:r>
              <w:rPr>
                <w:color w:val="1D1D1D"/>
                <w:sz w:val="16"/>
              </w:rPr>
              <w:t>Minimum DSCR / LLCR</w:t>
            </w:r>
          </w:p>
        </w:tc>
        <w:tc>
          <w:tcPr>
            <w:tcW w:type="dxa" w:w="3465"/>
            <w:shd w:val="clear" w:color="auto" w:fill="FAF8F2"/>
          </w:tcPr>
          <w:p>
            <w:pPr>
              <w:spacing w:after="0"/>
            </w:pPr>
            <w:r>
              <w:rPr>
                <w:color w:val="1D1D1D"/>
                <w:sz w:val="16"/>
              </w:rPr>
              <w:t>1.53 / 1.59</w:t>
            </w:r>
          </w:p>
        </w:tc>
        <w:tc>
          <w:tcPr>
            <w:tcW w:type="dxa" w:w="975"/>
            <w:shd w:val="clear" w:color="auto" w:fill="FAF8F2"/>
          </w:tcPr>
          <w:p>
            <w:pPr>
              <w:spacing w:after="0"/>
            </w:pPr>
            <w:r>
              <w:rPr>
                <w:color w:val="1D1D1D"/>
                <w:sz w:val="16"/>
              </w:rPr>
              <w:t>0.005</w:t>
            </w:r>
          </w:p>
        </w:tc>
      </w:tr>
      <w:tr>
        <w:tc>
          <w:tcPr>
            <w:tcW w:type="dxa" w:w="5198"/>
          </w:tcPr>
          <w:p>
            <w:pPr>
              <w:spacing w:after="0"/>
            </w:pPr>
            <w:r>
              <w:rPr>
                <w:color w:val="1D1D1D"/>
                <w:sz w:val="16"/>
              </w:rPr>
              <w:t>Financing gap (USDm)</w:t>
            </w:r>
          </w:p>
        </w:tc>
        <w:tc>
          <w:tcPr>
            <w:tcW w:type="dxa" w:w="3465"/>
          </w:tcPr>
          <w:p>
            <w:pPr>
              <w:spacing w:after="0"/>
            </w:pPr>
            <w:r>
              <w:rPr>
                <w:color w:val="1D1D1D"/>
                <w:sz w:val="16"/>
              </w:rPr>
              <w:t>4.1</w:t>
            </w:r>
          </w:p>
        </w:tc>
        <w:tc>
          <w:tcPr>
            <w:tcW w:type="dxa" w:w="975"/>
          </w:tcPr>
          <w:p>
            <w:pPr>
              <w:spacing w:after="0"/>
            </w:pPr>
            <w:r>
              <w:rPr>
                <w:color w:val="1D1D1D"/>
                <w:sz w:val="16"/>
              </w:rPr>
              <w:t>0.05</w:t>
            </w:r>
          </w:p>
        </w:tc>
      </w:tr>
      <w:tr>
        <w:tc>
          <w:tcPr>
            <w:tcW w:type="dxa" w:w="5198"/>
            <w:shd w:val="clear" w:color="auto" w:fill="FAF8F2"/>
          </w:tcPr>
          <w:p>
            <w:pPr>
              <w:spacing w:after="0"/>
            </w:pPr>
            <w:r>
              <w:rPr>
                <w:color w:val="1D1D1D"/>
                <w:sz w:val="16"/>
              </w:rPr>
              <w:t>Risk-weighted developer NPV (USDm)</w:t>
            </w:r>
          </w:p>
        </w:tc>
        <w:tc>
          <w:tcPr>
            <w:tcW w:type="dxa" w:w="3465"/>
            <w:shd w:val="clear" w:color="auto" w:fill="FAF8F2"/>
          </w:tcPr>
          <w:p>
            <w:pPr>
              <w:spacing w:after="0"/>
            </w:pPr>
            <w:r>
              <w:rPr>
                <w:color w:val="1D1D1D"/>
                <w:sz w:val="16"/>
              </w:rPr>
              <w:t>−0.95</w:t>
            </w:r>
          </w:p>
        </w:tc>
        <w:tc>
          <w:tcPr>
            <w:tcW w:type="dxa" w:w="975"/>
            <w:shd w:val="clear" w:color="auto" w:fill="FAF8F2"/>
          </w:tcPr>
          <w:p>
            <w:pPr>
              <w:spacing w:after="0"/>
            </w:pPr>
            <w:r>
              <w:rPr>
                <w:color w:val="1D1D1D"/>
                <w:sz w:val="16"/>
              </w:rPr>
              <w:t>0.005</w:t>
            </w:r>
          </w:p>
        </w:tc>
      </w:tr>
      <w:tr>
        <w:tc>
          <w:tcPr>
            <w:tcW w:type="dxa" w:w="5198"/>
          </w:tcPr>
          <w:p>
            <w:pPr>
              <w:spacing w:after="0"/>
            </w:pPr>
            <w:r>
              <w:rPr>
                <w:color w:val="1D1D1D"/>
                <w:sz w:val="16"/>
              </w:rPr>
              <w:t>Probability of close</w:t>
            </w:r>
          </w:p>
        </w:tc>
        <w:tc>
          <w:tcPr>
            <w:tcW w:type="dxa" w:w="3465"/>
          </w:tcPr>
          <w:p>
            <w:pPr>
              <w:spacing w:after="0"/>
            </w:pPr>
            <w:r>
              <w:rPr>
                <w:color w:val="1D1D1D"/>
                <w:sz w:val="16"/>
              </w:rPr>
              <w:t>15%</w:t>
            </w:r>
          </w:p>
        </w:tc>
        <w:tc>
          <w:tcPr>
            <w:tcW w:type="dxa" w:w="975"/>
          </w:tcPr>
          <w:p>
            <w:pPr>
              <w:spacing w:after="0"/>
            </w:pPr>
            <w:r>
              <w:rPr>
                <w:color w:val="1D1D1D"/>
                <w:sz w:val="16"/>
              </w:rPr>
              <w:t>0.5 pp</w:t>
            </w:r>
          </w:p>
        </w:tc>
      </w:tr>
      <w:tr>
        <w:tc>
          <w:tcPr>
            <w:tcW w:type="dxa" w:w="5198"/>
            <w:shd w:val="clear" w:color="auto" w:fill="FAF8F2"/>
          </w:tcPr>
          <w:p>
            <w:pPr>
              <w:spacing w:after="0"/>
            </w:pPr>
            <w:r>
              <w:rPr>
                <w:color w:val="1D1D1D"/>
                <w:sz w:val="16"/>
              </w:rPr>
              <w:t>Value of the position at permitting (USDm)</w:t>
            </w:r>
          </w:p>
        </w:tc>
        <w:tc>
          <w:tcPr>
            <w:tcW w:type="dxa" w:w="3465"/>
            <w:shd w:val="clear" w:color="auto" w:fill="FAF8F2"/>
          </w:tcPr>
          <w:p>
            <w:pPr>
              <w:spacing w:after="0"/>
            </w:pPr>
            <w:r>
              <w:rPr>
                <w:color w:val="1D1D1D"/>
                <w:sz w:val="16"/>
              </w:rPr>
              <w:t>1.28</w:t>
            </w:r>
          </w:p>
        </w:tc>
        <w:tc>
          <w:tcPr>
            <w:tcW w:type="dxa" w:w="975"/>
            <w:shd w:val="clear" w:color="auto" w:fill="FAF8F2"/>
          </w:tcPr>
          <w:p>
            <w:pPr>
              <w:spacing w:after="0"/>
            </w:pPr>
            <w:r>
              <w:rPr>
                <w:color w:val="1D1D1D"/>
                <w:sz w:val="16"/>
              </w:rPr>
              <w:t>0.005</w:t>
            </w:r>
          </w:p>
        </w:tc>
      </w:tr>
      <w:tr>
        <w:tc>
          <w:tcPr>
            <w:tcW w:type="dxa" w:w="5198"/>
          </w:tcPr>
          <w:p>
            <w:pPr>
              <w:spacing w:after="0"/>
            </w:pPr>
            <w:r>
              <w:rPr>
                <w:color w:val="1D1D1D"/>
                <w:sz w:val="16"/>
              </w:rPr>
              <w:t>Fiscal NPV central / consolidated (USDm)</w:t>
            </w:r>
          </w:p>
        </w:tc>
        <w:tc>
          <w:tcPr>
            <w:tcW w:type="dxa" w:w="3465"/>
          </w:tcPr>
          <w:p>
            <w:pPr>
              <w:spacing w:after="0"/>
            </w:pPr>
            <w:r>
              <w:rPr>
                <w:color w:val="1D1D1D"/>
                <w:sz w:val="16"/>
              </w:rPr>
              <w:t>35 / −28</w:t>
            </w:r>
          </w:p>
        </w:tc>
        <w:tc>
          <w:tcPr>
            <w:tcW w:type="dxa" w:w="975"/>
          </w:tcPr>
          <w:p>
            <w:pPr>
              <w:spacing w:after="0"/>
            </w:pPr>
            <w:r>
              <w:rPr>
                <w:color w:val="1D1D1D"/>
                <w:sz w:val="16"/>
              </w:rPr>
              <w:t>0.5</w:t>
            </w:r>
          </w:p>
        </w:tc>
      </w:tr>
      <w:tr>
        <w:tc>
          <w:tcPr>
            <w:tcW w:type="dxa" w:w="5198"/>
            <w:shd w:val="clear" w:color="auto" w:fill="FAF8F2"/>
          </w:tcPr>
          <w:p>
            <w:pPr>
              <w:spacing w:after="0"/>
            </w:pPr>
            <w:r>
              <w:rPr>
                <w:color w:val="1D1D1D"/>
                <w:sz w:val="16"/>
              </w:rPr>
              <w:t>Peak contingent exposure (USDm)</w:t>
            </w:r>
          </w:p>
        </w:tc>
        <w:tc>
          <w:tcPr>
            <w:tcW w:type="dxa" w:w="3465"/>
            <w:shd w:val="clear" w:color="auto" w:fill="FAF8F2"/>
          </w:tcPr>
          <w:p>
            <w:pPr>
              <w:spacing w:after="0"/>
            </w:pPr>
            <w:r>
              <w:rPr>
                <w:color w:val="1D1D1D"/>
                <w:sz w:val="16"/>
              </w:rPr>
              <w:t>225</w:t>
            </w:r>
          </w:p>
        </w:tc>
        <w:tc>
          <w:tcPr>
            <w:tcW w:type="dxa" w:w="975"/>
            <w:shd w:val="clear" w:color="auto" w:fill="FAF8F2"/>
          </w:tcPr>
          <w:p>
            <w:pPr>
              <w:spacing w:after="0"/>
            </w:pPr>
            <w:r>
              <w:rPr>
                <w:color w:val="1D1D1D"/>
                <w:sz w:val="16"/>
              </w:rPr>
              <w:t>0.5</w:t>
            </w:r>
          </w:p>
        </w:tc>
      </w:tr>
      <w:tr>
        <w:tc>
          <w:tcPr>
            <w:tcW w:type="dxa" w:w="5198"/>
          </w:tcPr>
          <w:p>
            <w:pPr>
              <w:spacing w:after="0"/>
            </w:pPr>
            <w:r>
              <w:rPr>
                <w:color w:val="1D1D1D"/>
                <w:sz w:val="16"/>
              </w:rPr>
              <w:t>Buyer payment capacity, worst early year</w:t>
            </w:r>
          </w:p>
        </w:tc>
        <w:tc>
          <w:tcPr>
            <w:tcW w:type="dxa" w:w="3465"/>
          </w:tcPr>
          <w:p>
            <w:pPr>
              <w:spacing w:after="0"/>
            </w:pPr>
            <w:r>
              <w:rPr>
                <w:color w:val="1D1D1D"/>
                <w:sz w:val="16"/>
              </w:rPr>
              <w:t>6.0x</w:t>
            </w:r>
          </w:p>
        </w:tc>
        <w:tc>
          <w:tcPr>
            <w:tcW w:type="dxa" w:w="975"/>
          </w:tcPr>
          <w:p>
            <w:pPr>
              <w:spacing w:after="0"/>
            </w:pPr>
            <w:r>
              <w:rPr>
                <w:color w:val="1D1D1D"/>
                <w:sz w:val="16"/>
              </w:rPr>
              <w:t>0.05</w:t>
            </w:r>
          </w:p>
        </w:tc>
      </w:tr>
      <w:tr>
        <w:tc>
          <w:tcPr>
            <w:tcW w:type="dxa" w:w="5198"/>
            <w:shd w:val="clear" w:color="auto" w:fill="FAF8F2"/>
          </w:tcPr>
          <w:p>
            <w:pPr>
              <w:spacing w:after="0"/>
            </w:pPr>
            <w:r>
              <w:rPr>
                <w:color w:val="1D1D1D"/>
                <w:sz w:val="16"/>
              </w:rPr>
              <w:t>Gates met (of 23)</w:t>
            </w:r>
          </w:p>
        </w:tc>
        <w:tc>
          <w:tcPr>
            <w:tcW w:type="dxa" w:w="3465"/>
            <w:shd w:val="clear" w:color="auto" w:fill="FAF8F2"/>
          </w:tcPr>
          <w:p>
            <w:pPr>
              <w:spacing w:after="0"/>
            </w:pPr>
            <w:r>
              <w:rPr>
                <w:color w:val="1D1D1D"/>
                <w:sz w:val="16"/>
              </w:rPr>
              <w:t>6</w:t>
            </w:r>
          </w:p>
        </w:tc>
        <w:tc>
          <w:tcPr>
            <w:tcW w:type="dxa" w:w="975"/>
            <w:shd w:val="clear" w:color="auto" w:fill="FAF8F2"/>
          </w:tcPr>
          <w:p>
            <w:pPr>
              <w:spacing w:after="0"/>
            </w:pPr>
            <w:r>
              <w:rPr>
                <w:color w:val="1D1D1D"/>
                <w:sz w:val="16"/>
              </w:rPr>
              <w:t>0</w:t>
            </w:r>
          </w:p>
        </w:tc>
      </w:tr>
      <w:tr>
        <w:tc>
          <w:tcPr>
            <w:tcW w:type="dxa" w:w="5198"/>
          </w:tcPr>
          <w:p>
            <w:pPr>
              <w:spacing w:after="0"/>
            </w:pPr>
            <w:r>
              <w:rPr>
                <w:color w:val="1D1D1D"/>
                <w:sz w:val="16"/>
              </w:rPr>
              <w:t>Financial close decision</w:t>
            </w:r>
          </w:p>
        </w:tc>
        <w:tc>
          <w:tcPr>
            <w:tcW w:type="dxa" w:w="3465"/>
          </w:tcPr>
          <w:p>
            <w:pPr>
              <w:spacing w:after="0"/>
            </w:pPr>
            <w:r>
              <w:rPr>
                <w:color w:val="1D1D1D"/>
                <w:sz w:val="16"/>
              </w:rPr>
              <w:t>STOP: a critical gate is not met</w:t>
            </w:r>
          </w:p>
        </w:tc>
        <w:tc>
          <w:tcPr>
            <w:tcW w:type="dxa" w:w="975"/>
          </w:tcPr>
          <w:p>
            <w:pPr>
              <w:spacing w:after="0"/>
            </w:pPr>
            <w:r>
              <w:rPr>
                <w:color w:val="1D1D1D"/>
                <w:sz w:val="16"/>
              </w:rPr>
              <w:t>exact</w:t>
            </w:r>
          </w:p>
        </w:tc>
      </w:tr>
      <w:tr>
        <w:tc>
          <w:tcPr>
            <w:tcW w:type="dxa" w:w="5198"/>
            <w:shd w:val="clear" w:color="auto" w:fill="FAF8F2"/>
          </w:tcPr>
          <w:p>
            <w:pPr>
              <w:spacing w:after="0"/>
            </w:pPr>
            <w:r>
              <w:rPr>
                <w:color w:val="1D1D1D"/>
                <w:sz w:val="16"/>
              </w:rPr>
              <w:t>Fiscal screen</w:t>
            </w:r>
          </w:p>
        </w:tc>
        <w:tc>
          <w:tcPr>
            <w:tcW w:type="dxa" w:w="3465"/>
            <w:shd w:val="clear" w:color="auto" w:fill="FAF8F2"/>
          </w:tcPr>
          <w:p>
            <w:pPr>
              <w:spacing w:after="0"/>
            </w:pPr>
            <w:r>
              <w:rPr>
                <w:color w:val="1D1D1D"/>
                <w:sz w:val="16"/>
              </w:rPr>
              <w:t>LOW additional fiscal pressure</w:t>
            </w:r>
          </w:p>
        </w:tc>
        <w:tc>
          <w:tcPr>
            <w:tcW w:type="dxa" w:w="975"/>
            <w:shd w:val="clear" w:color="auto" w:fill="FAF8F2"/>
          </w:tcPr>
          <w:p>
            <w:pPr>
              <w:spacing w:after="0"/>
            </w:pPr>
            <w:r>
              <w:rPr>
                <w:color w:val="1D1D1D"/>
                <w:sz w:val="16"/>
              </w:rPr>
              <w:t>exact</w:t>
            </w:r>
          </w:p>
        </w:tc>
      </w:tr>
    </w:tbl>
    <w:p>
      <w:pPr>
        <w:spacing w:after="40"/>
      </w:pPr>
    </w:p>
    <w:p>
      <w:pPr>
        <w:jc w:val="both"/>
      </w:pPr>
      <w:r>
        <w:rPr/>
        <w:t>Each line reads PASS or CHECK, and the sheet reads ALL PASS or "n TO CHECK". The check is valid only with default inputs (base case, IPP structure, debt sized in the model). After changing inputs, CHECK lines are expected.</w:t>
      </w:r>
    </w:p>
    <w:p>
      <w:r>
        <w:br w:type="page"/>
      </w:r>
    </w:p>
    <w:p>
      <w:pPr>
        <w:pStyle w:val="Heading1"/>
        <w:pBdr>
          <w:bottom w:val="single" w:sz="12" w:space="4" w:color="B07C0F"/>
        </w:pBdr>
      </w:pPr>
      <w:r>
        <w:t>10. Audit checklist for reviewers</w:t>
      </w:r>
    </w:p>
    <w:p>
      <w:pPr>
        <w:spacing w:after="60"/>
        <w:ind w:left="397" w:hanging="397"/>
      </w:pPr>
      <w:r>
        <w:rPr/>
        <w:t>1.</w:t>
        <w:tab/>
      </w:r>
      <w:r>
        <w:rPr>
          <w:i/>
        </w:rPr>
        <w:t>33_CHECKS</w:t>
      </w:r>
      <w:r>
        <w:rPr/>
        <w:t xml:space="preserve"> reads ALL OK in the case being reviewed, and </w:t>
      </w:r>
      <w:r>
        <w:rPr>
          <w:i/>
        </w:rPr>
        <w:t>35_BOOK_CHECK</w:t>
      </w:r>
      <w:r>
        <w:rPr/>
        <w:t xml:space="preserve"> reads ALL PASS with default inputs.</w:t>
      </w:r>
    </w:p>
    <w:p>
      <w:pPr>
        <w:spacing w:after="60"/>
        <w:ind w:left="397" w:hanging="397"/>
      </w:pPr>
      <w:r>
        <w:rPr/>
        <w:t>2.</w:t>
        <w:tab/>
        <w:t xml:space="preserve">The workbook opens in Excel without repair. If it was saved by LibreOffice, </w:t>
      </w:r>
      <w:r>
        <w:rPr>
          <w:rFonts w:ascii="Courier New" w:hAnsi="Courier New"/>
        </w:rPr>
        <w:t>excel_quote_fix.py</w:t>
      </w:r>
      <w:r>
        <w:rPr/>
        <w:t xml:space="preserve"> has been run on it.</w:t>
      </w:r>
    </w:p>
    <w:p>
      <w:pPr>
        <w:spacing w:after="60"/>
        <w:ind w:left="397" w:hanging="397"/>
      </w:pPr>
      <w:r>
        <w:rPr/>
        <w:t>3.</w:t>
        <w:tab/>
      </w:r>
      <w:r>
        <w:rPr>
          <w:rFonts w:ascii="Courier New" w:hAnsi="Courier New"/>
        </w:rPr>
        <w:t>check_cycles.py</w:t>
      </w:r>
      <w:r>
        <w:rPr/>
        <w:t xml:space="preserve"> reports no cycle after any change to </w:t>
      </w:r>
      <w:r>
        <w:rPr>
          <w:rFonts w:ascii="Courier New" w:hAnsi="Courier New"/>
        </w:rPr>
        <w:t>build_model.py</w:t>
      </w:r>
      <w:r>
        <w:rPr/>
        <w:t>.</w:t>
      </w:r>
    </w:p>
    <w:p>
      <w:pPr>
        <w:spacing w:after="60"/>
        <w:ind w:left="397" w:hanging="397"/>
      </w:pPr>
      <w:r>
        <w:rPr/>
        <w:t>4.</w:t>
        <w:tab/>
        <w:t>Every blue input has a source or an explicit assumption note; fictional values (Navaria country data, benchmark unit cost, line cost, utility accounts, regulatory statuses, development stages) have been replaced.</w:t>
      </w:r>
    </w:p>
    <w:p>
      <w:pPr>
        <w:spacing w:after="60"/>
        <w:ind w:left="397" w:hanging="397"/>
      </w:pPr>
      <w:r>
        <w:rPr/>
        <w:t>5.</w:t>
        <w:tab/>
        <w:t>The lender case matches the case agreed with the lenders' technical adviser, and a multi-year drought has been tested separately.</w:t>
      </w:r>
    </w:p>
    <w:p>
      <w:pPr>
        <w:spacing w:after="60"/>
        <w:ind w:left="397" w:hanging="397"/>
      </w:pPr>
      <w:r>
        <w:rPr/>
        <w:t>6.</w:t>
        <w:tab/>
        <w:t xml:space="preserve">Stress results were read with the financing locked, and the locked inputs on </w:t>
      </w:r>
      <w:r>
        <w:rPr>
          <w:i/>
        </w:rPr>
        <w:t>18_DEBT</w:t>
      </w:r>
      <w:r>
        <w:rPr/>
        <w:t xml:space="preserve"> (C6 to C9 and row 12) hold the base-case values, not the shipped placeholders.</w:t>
      </w:r>
    </w:p>
    <w:p>
      <w:pPr>
        <w:spacing w:after="60"/>
        <w:ind w:left="397" w:hanging="397"/>
      </w:pPr>
      <w:r>
        <w:rPr/>
        <w:t>7.</w:t>
        <w:tab/>
        <w:t>Which constraint sizes the debt (gearing or cover) is stated, with the gearing cap and the sizing DSCR.</w:t>
      </w:r>
    </w:p>
    <w:p>
      <w:pPr>
        <w:spacing w:after="60"/>
        <w:ind w:left="397" w:hanging="397"/>
      </w:pPr>
      <w:r>
        <w:rPr/>
        <w:t>8.</w:t>
        <w:tab/>
        <w:t>Utility inputs reconcile to audited accounts; the counterfactual is understood; the consolidated fiscal NPV is reported next to the central one.</w:t>
      </w:r>
    </w:p>
    <w:p>
      <w:pPr>
        <w:spacing w:after="60"/>
        <w:ind w:left="397" w:hanging="397"/>
      </w:pPr>
      <w:r>
        <w:rPr/>
        <w:t>9.</w:t>
        <w:tab/>
        <w:t xml:space="preserve">Call probabilities on </w:t>
      </w:r>
      <w:r>
        <w:rPr>
          <w:i/>
        </w:rPr>
        <w:t>24_CONTINGENT_LIABILITIES</w:t>
      </w:r>
      <w:r>
        <w:rPr/>
        <w:t>, stage probabilities, the development premium and discount rates are documented as judgements.</w:t>
      </w:r>
    </w:p>
    <w:p>
      <w:pPr>
        <w:spacing w:after="60"/>
        <w:ind w:left="397" w:hanging="397"/>
      </w:pPr>
      <w:r>
        <w:rPr/>
        <w:t>10.</w:t>
        <w:tab/>
        <w:t xml:space="preserve">Fiscal thresholds on </w:t>
      </w:r>
      <w:r>
        <w:rPr>
          <w:i/>
        </w:rPr>
        <w:t>26_DEBT_SUSTAINABILITY</w:t>
      </w:r>
      <w:r>
        <w:rPr/>
        <w:t xml:space="preserve"> and gate thresholds on </w:t>
      </w:r>
      <w:r>
        <w:rPr>
          <w:i/>
        </w:rPr>
        <w:t>30_BANKABILITY</w:t>
      </w:r>
      <w:r>
        <w:rPr/>
        <w:t xml:space="preserve"> have been reviewed against the client's policy and the lenders' term sheet.</w:t>
      </w:r>
    </w:p>
    <w:p>
      <w:pPr>
        <w:spacing w:after="60"/>
        <w:ind w:left="397" w:hanging="397"/>
      </w:pPr>
      <w:r>
        <w:rPr/>
        <w:t>11.</w:t>
        <w:tab/>
        <w:t xml:space="preserve">Every evidence status on </w:t>
      </w:r>
      <w:r>
        <w:rPr>
          <w:i/>
        </w:rPr>
        <w:t>30A_CLOSE_READINESS</w:t>
      </w:r>
      <w:r>
        <w:rPr/>
        <w:t xml:space="preserve"> entered as MET has a document, signatory and date in column G.</w:t>
      </w:r>
    </w:p>
    <w:p>
      <w:pPr>
        <w:spacing w:after="60"/>
        <w:ind w:left="397" w:hanging="397"/>
      </w:pPr>
      <w:r>
        <w:rPr/>
        <w:t>12.</w:t>
        <w:tab/>
        <w:t>Snapshot tables were regenerated after the last input change; the date stamp is recorded.</w:t>
      </w:r>
    </w:p>
    <w:p>
      <w:pPr>
        <w:spacing w:after="60"/>
        <w:ind w:left="397" w:hanging="397"/>
      </w:pPr>
      <w:r>
        <w:rPr/>
        <w:t>13.</w:t>
        <w:tab/>
        <w:t xml:space="preserve">The developer IRR is not −100% unless the cash flow truly has no rate; if it is, inspect the cash flow on </w:t>
      </w:r>
      <w:r>
        <w:rPr>
          <w:i/>
        </w:rPr>
        <w:t>01A_DEVELOPMENT</w:t>
      </w:r>
      <w:r>
        <w:rPr/>
        <w:t xml:space="preserve"> section F.</w:t>
      </w:r>
    </w:p>
    <w:p>
      <w:pPr>
        <w:spacing w:after="60"/>
        <w:ind w:left="397" w:hanging="397"/>
      </w:pPr>
      <w:r>
        <w:rPr/>
        <w:t>14.</w:t>
        <w:tab/>
        <w:t>The minimum and average DSCR are not the placeholder 99 (no debt service).</w:t>
      </w:r>
    </w:p>
    <w:p>
      <w:r>
        <w:br w:type="page"/>
      </w:r>
    </w:p>
    <w:p>
      <w:pPr>
        <w:pStyle w:val="Heading1"/>
        <w:pBdr>
          <w:bottom w:val="single" w:sz="12" w:space="4" w:color="B07C0F"/>
        </w:pBdr>
      </w:pPr>
      <w:r>
        <w:t>11. Known limitations</w:t>
      </w:r>
    </w:p>
    <w:p>
      <w:pPr>
        <w:pStyle w:val="Heading2"/>
      </w:pPr>
      <w:r>
        <w:t>11.1 What the model does not do (Book 7, Annex K)</w:t>
      </w:r>
    </w:p>
    <w:p>
      <w:pPr>
        <w:spacing w:after="60"/>
        <w:ind w:left="397" w:hanging="397"/>
      </w:pPr>
      <w:r>
        <w:rPr/>
        <w:t>•</w:t>
        <w:tab/>
        <w:t>It is annual: no monthly construction draws, no seasonal dispatch, no peak or off-peak pricing.</w:t>
      </w:r>
    </w:p>
    <w:p>
      <w:pPr>
        <w:spacing w:after="60"/>
        <w:ind w:left="397" w:hanging="397"/>
      </w:pPr>
      <w:r>
        <w:rPr/>
        <w:t>•</w:t>
        <w:tab/>
        <w:t>Debt and equity are drawn pro rata with spending, not equity first, which slightly flatters the equity return.</w:t>
      </w:r>
    </w:p>
    <w:p>
      <w:pPr>
        <w:spacing w:after="60"/>
        <w:ind w:left="397" w:hanging="397"/>
      </w:pPr>
      <w:r>
        <w:rPr/>
        <w:t>•</w:t>
        <w:tab/>
        <w:t>There is no developer promote or carried interest, and no shareholder loans.</w:t>
      </w:r>
    </w:p>
    <w:p>
      <w:pPr>
        <w:spacing w:after="60"/>
        <w:ind w:left="397" w:hanging="397"/>
      </w:pPr>
      <w:r>
        <w:rPr/>
        <w:t>•</w:t>
        <w:tab/>
        <w:t>There is no refinancing; the step-up after commercial operation is valued directly.</w:t>
      </w:r>
    </w:p>
    <w:p>
      <w:pPr>
        <w:spacing w:after="60"/>
        <w:ind w:left="397" w:hanging="397"/>
      </w:pPr>
      <w:r>
        <w:rPr/>
        <w:t>•</w:t>
        <w:tab/>
        <w:t>The currency step is permanent in real terms, with no pass-through to local prices.</w:t>
      </w:r>
    </w:p>
    <w:p>
      <w:pPr>
        <w:spacing w:after="60"/>
        <w:ind w:left="397" w:hanging="397"/>
      </w:pPr>
      <w:r>
        <w:rPr/>
        <w:t>•</w:t>
        <w:tab/>
        <w:t>The utility model has no balance sheet.</w:t>
      </w:r>
    </w:p>
    <w:p>
      <w:pPr>
        <w:spacing w:after="60"/>
        <w:ind w:left="397" w:hanging="397"/>
      </w:pPr>
      <w:r>
        <w:rPr/>
        <w:t>•</w:t>
        <w:tab/>
        <w:t>Stresses are deterministic: no Monte Carlo over hydrology and currency, no joint distribution of drought, currency and utility distress.</w:t>
      </w:r>
    </w:p>
    <w:p>
      <w:pPr>
        <w:spacing w:after="60"/>
        <w:ind w:left="397" w:hanging="397"/>
      </w:pPr>
      <w:r>
        <w:rPr/>
        <w:t>•</w:t>
        <w:tab/>
        <w:t>Stage probabilities, the development premium and the developer's discount rate are user judgements; no public data were found to calibrate them for African hydro.</w:t>
      </w:r>
    </w:p>
    <w:p>
      <w:pPr>
        <w:spacing w:after="60"/>
        <w:ind w:left="397" w:hanging="397"/>
      </w:pPr>
      <w:r>
        <w:rPr/>
        <w:t>•</w:t>
        <w:tab/>
        <w:t>The model has been recalculated in LibreOffice and reproduced by a second engine; a test in Microsoft Excel is outstanding.</w:t>
      </w:r>
    </w:p>
    <w:p>
      <w:pPr>
        <w:pStyle w:val="Heading2"/>
      </w:pPr>
      <w:r>
        <w:t>11.2 Further simplifications</w:t>
      </w:r>
    </w:p>
    <w:p>
      <w:pPr>
        <w:spacing w:after="60"/>
        <w:ind w:left="397" w:hanging="397"/>
      </w:pPr>
      <w:r>
        <w:rPr/>
        <w:t>•</w:t>
        <w:tab/>
        <w:t>P-values use a normal approximation from the CV. Energy is computed from long-term mean monthly flows, which overstates energy when flows exceed the design flow in some years.</w:t>
      </w:r>
    </w:p>
    <w:p>
      <w:pPr>
        <w:spacing w:after="60"/>
        <w:ind w:left="397" w:hanging="397"/>
      </w:pPr>
      <w:r>
        <w:rPr/>
        <w:t>•</w:t>
        <w:tab/>
        <w:t>The ten-year P90 uses the large-sample persistence factor (1+ρ)/(1−ρ)/n; the exact finite-sample factor for n = 10 and ρ = 0.3 gives about 0.3% more energy, so the model is slightly conservative.</w:t>
      </w:r>
    </w:p>
    <w:p>
      <w:pPr>
        <w:spacing w:after="60"/>
        <w:ind w:left="397" w:hanging="397"/>
      </w:pPr>
      <w:r>
        <w:rPr/>
        <w:t>•</w:t>
        <w:tab/>
        <w:t>Curtailment is proportional: delivered energy is generation times MIN(1, evacuation MW / installed MW).</w:t>
      </w:r>
    </w:p>
    <w:p>
      <w:pPr>
        <w:spacing w:after="60"/>
        <w:ind w:left="397" w:hanging="397"/>
      </w:pPr>
      <w:r>
        <w:rPr/>
        <w:t>•</w:t>
        <w:tab/>
        <w:t>The lender case uses unlevered tax and depreciation without IDC and fees.</w:t>
      </w:r>
    </w:p>
    <w:p>
      <w:pPr>
        <w:spacing w:after="60"/>
        <w:ind w:left="397" w:hanging="397"/>
      </w:pPr>
      <w:r>
        <w:rPr/>
        <w:t>•</w:t>
        <w:tab/>
        <w:t>Tax is computed on cash revenue, not on billed revenue.</w:t>
      </w:r>
    </w:p>
    <w:p>
      <w:pPr>
        <w:spacing w:after="60"/>
        <w:ind w:left="397" w:hanging="397"/>
      </w:pPr>
      <w:r>
        <w:rPr/>
        <w:t>•</w:t>
        <w:tab/>
        <w:t>Utility operating cost is half fixed and half volume-related; the cost of other supply is half USD-linked.</w:t>
      </w:r>
    </w:p>
    <w:p>
      <w:pPr>
        <w:spacing w:after="60"/>
        <w:ind w:left="397" w:hanging="397"/>
      </w:pPr>
      <w:r>
        <w:rPr/>
        <w:t>•</w:t>
        <w:tab/>
        <w:t>Guarantee calls are deterministic within a scenario; expected loss is only as good as the probabilities entered.</w:t>
      </w:r>
    </w:p>
    <w:p>
      <w:pPr>
        <w:spacing w:after="60"/>
        <w:ind w:left="397" w:hanging="397"/>
      </w:pPr>
      <w:r>
        <w:rPr/>
        <w:t>•</w:t>
        <w:tab/>
        <w:t>The termination amount is simplified to debt plus the larger of unrecovered equity with a premium and the value of remaining distributions at the target IRR.</w:t>
      </w:r>
    </w:p>
    <w:p>
      <w:pPr>
        <w:spacing w:after="60"/>
        <w:ind w:left="397" w:hanging="397"/>
      </w:pPr>
      <w:r>
        <w:rPr/>
        <w:t>•</w:t>
        <w:tab/>
        <w:t>The fiscal screen is a project-level screen and does not replace IMF and World Bank DSA or PFRAM. Other PPAs and guarantees of the same government are not aggregated.</w:t>
      </w:r>
    </w:p>
    <w:p>
      <w:pPr>
        <w:spacing w:after="60"/>
        <w:ind w:left="397" w:hanging="397"/>
      </w:pPr>
      <w:r>
        <w:rPr/>
        <w:t>•</w:t>
        <w:tab/>
        <w:t>Q3 (economic for the system) is tested only through the grid and transmission gates; a comparison with the utility's least-cost plan sits outside the model (Book 7, Chapter 17).</w:t>
      </w:r>
    </w:p>
    <w:p>
      <w:pPr>
        <w:spacing w:after="60"/>
        <w:ind w:left="397" w:hanging="397"/>
      </w:pPr>
      <w:r>
        <w:rPr/>
        <w:t>•</w:t>
        <w:tab/>
        <w:t>Development costs enter plant cost at their real budget (USD 9.0m), phased and escalated with construction spending, while the developer's cash flow receives the nominal success-path spend (USD 8.6m) at close; the two amounts are not reconciled.</w:t>
      </w:r>
    </w:p>
    <w:p>
      <w:pPr>
        <w:spacing w:after="60"/>
        <w:ind w:left="397" w:hanging="397"/>
      </w:pPr>
      <w:r>
        <w:rPr/>
        <w:t>•</w:t>
        <w:tab/>
        <w:t xml:space="preserve">The utility payment headroom per MWh on </w:t>
      </w:r>
      <w:r>
        <w:rPr>
          <w:i/>
        </w:rPr>
        <w:t>17A_STRUCTURES</w:t>
      </w:r>
      <w:r>
        <w:rPr/>
        <w:t xml:space="preserve"> (about USD 956/MWh for Kasiri) divides the utility's whole sustainable payment capacity by the project's energy; it is large for a small plant and is a capacity measure, not a price.</w:t>
      </w:r>
    </w:p>
    <w:p>
      <w:pPr>
        <w:pStyle w:val="Heading2"/>
      </w:pPr>
      <w:r>
        <w:t>11.3 Open low points from the independent test</w:t>
      </w:r>
    </w:p>
    <w:p>
      <w:pPr>
        <w:jc w:val="both"/>
      </w:pPr>
      <w:r>
        <w:rPr/>
        <w:t>The independent test (</w:t>
      </w:r>
      <w:r>
        <w:rPr>
          <w:rFonts w:ascii="Courier New" w:hAnsi="Courier New"/>
        </w:rPr>
        <w:t>docs/MODEL7_TEST_REPORT.md</w:t>
      </w:r>
      <w:r>
        <w:rPr/>
        <w:t>) found five faults that were corrected (Excel quoting, developer IRR fallbacks, selector validation, the DSCR placeholder on Gate 18, the average DSCR error). Points that remain open:</w:t>
      </w:r>
    </w:p>
    <w:p>
      <w:pPr>
        <w:spacing w:after="60"/>
        <w:ind w:left="397" w:hanging="397"/>
      </w:pPr>
      <w:r>
        <w:rPr/>
        <w:t>1.</w:t>
        <w:tab/>
        <w:t>At zero river flow the model does not degrade gracefully: division errors appear (P90/P50, LCOE, Gate 1 and the dashboard ranking).</w:t>
      </w:r>
    </w:p>
    <w:p>
      <w:pPr>
        <w:spacing w:after="60"/>
        <w:ind w:left="397" w:hanging="397"/>
      </w:pPr>
      <w:r>
        <w:rPr/>
        <w:t>2.</w:t>
        <w:tab/>
        <w:t xml:space="preserve">Design flow is not linked to installed capacity or cost: raising it changes nothing because power is capped at installed MW, and lowering it cuts energy without cutting cost. The "theoretical power at design flow" row on </w:t>
      </w:r>
      <w:r>
        <w:rPr>
          <w:i/>
        </w:rPr>
        <w:t>03_HYDROLOGY</w:t>
      </w:r>
      <w:r>
        <w:rPr/>
        <w:t xml:space="preserve"> is not part of </w:t>
      </w:r>
      <w:r>
        <w:rPr>
          <w:i/>
        </w:rPr>
        <w:t>33_CHECKS</w:t>
      </w:r>
      <w:r>
        <w:rPr/>
        <w:t>.</w:t>
      </w:r>
    </w:p>
    <w:p>
      <w:pPr>
        <w:spacing w:after="60"/>
        <w:ind w:left="397" w:hanging="397"/>
      </w:pPr>
      <w:r>
        <w:rPr/>
        <w:t>3.</w:t>
        <w:tab/>
        <w:t>With a zero tariff and locked debt, sponsors fund the debt-service shortfall indefinitely; the model never triggers default or termination itself.</w:t>
      </w:r>
    </w:p>
    <w:p>
      <w:pPr>
        <w:spacing w:after="60"/>
        <w:ind w:left="397" w:hanging="397"/>
      </w:pPr>
      <w:r>
        <w:rPr/>
        <w:t>4.</w:t>
        <w:tab/>
        <w:t>With no debt service, the minimum and average DSCR show a placeholder of 99. Gate 18 is protected by its debt test, but the DSCR test of screen Gate 7 would score it as READY.</w:t>
      </w:r>
    </w:p>
    <w:p>
      <w:pPr>
        <w:spacing w:after="60"/>
        <w:ind w:left="397" w:hanging="397"/>
      </w:pPr>
      <w:r>
        <w:rPr/>
        <w:t>5.</w:t>
        <w:tab/>
        <w:t>The developer IRR returns −1 if the first starting value converges to a rate of absolute value 1 or more, without trying the other two.</w:t>
      </w:r>
    </w:p>
    <w:p>
      <w:pPr>
        <w:jc w:val="both"/>
      </w:pPr>
      <w:r>
        <w:rPr/>
        <w:t>The fourth open point listed in Annex K, the label of Gate 18, is closed in the workbook: the label now reads "in the selected case".</w:t>
      </w:r>
    </w:p>
    <w:p>
      <w:pPr>
        <w:pStyle w:val="Heading2"/>
      </w:pPr>
      <w:r>
        <w:t>11.4 Open items in this release candidate (4 October 2026)</w:t>
      </w:r>
    </w:p>
    <w:p>
      <w:pPr>
        <w:spacing w:after="60"/>
        <w:ind w:left="397" w:hanging="397"/>
      </w:pPr>
      <w:r>
        <w:rPr/>
        <w:t>1.</w:t>
        <w:tab/>
      </w:r>
      <w:r>
        <w:rPr>
          <w:i/>
        </w:rPr>
        <w:t>35_BOOK_CHECK</w:t>
      </w:r>
      <w:r>
        <w:rPr/>
        <w:t xml:space="preserve"> returns </w:t>
      </w:r>
      <w:r>
        <w:rPr>
          <w:rFonts w:ascii="Courier New" w:hAnsi="Courier New"/>
        </w:rPr>
        <w:t>#VALUE!</w:t>
      </w:r>
      <w:r>
        <w:rPr/>
        <w:t xml:space="preserve"> on the private equity IRR line when that IRR is "n/a" (structure 1, which has no private equity). Because the snapshot runner stops on any recalculation error, a full rerun stops at "Structure 1". The scenario tables on </w:t>
      </w:r>
      <w:r>
        <w:rPr>
          <w:i/>
        </w:rPr>
        <w:t>27_SCENARIOS</w:t>
      </w:r>
      <w:r>
        <w:rPr/>
        <w:t xml:space="preserve">, </w:t>
      </w:r>
      <w:r>
        <w:rPr>
          <w:i/>
        </w:rPr>
        <w:t>17A_STRUCTURES</w:t>
      </w:r>
      <w:r>
        <w:rPr/>
        <w:t xml:space="preserve"> and </w:t>
      </w:r>
      <w:r>
        <w:rPr>
          <w:i/>
        </w:rPr>
        <w:t>28_SENSITIVITY</w:t>
      </w:r>
      <w:r>
        <w:rPr/>
        <w:t xml:space="preserve"> are empty in the current workbook, and </w:t>
      </w:r>
      <w:r>
        <w:rPr>
          <w:rFonts w:ascii="Courier New" w:hAnsi="Courier New"/>
        </w:rPr>
        <w:t>model/snapshot_results.json</w:t>
      </w:r>
      <w:r>
        <w:rPr/>
        <w:t xml:space="preserve"> comes from the previous complete run, made before </w:t>
      </w:r>
      <w:r>
        <w:rPr>
          <w:i/>
        </w:rPr>
        <w:t>34_FRAMEWORK_MAP</w:t>
      </w:r>
      <w:r>
        <w:rPr/>
        <w:t xml:space="preserve"> and </w:t>
      </w:r>
      <w:r>
        <w:rPr>
          <w:i/>
        </w:rPr>
        <w:t>35_BOOK_CHECK</w:t>
      </w:r>
      <w:r>
        <w:rPr/>
        <w:t xml:space="preserve"> were added; its base results match the book check.</w:t>
      </w:r>
    </w:p>
    <w:p>
      <w:pPr>
        <w:spacing w:after="60"/>
        <w:ind w:left="397" w:hanging="397"/>
      </w:pPr>
      <w:r>
        <w:rPr/>
        <w:t>2.</w:t>
        <w:tab/>
        <w:t xml:space="preserve">The shipped workbook was last saved by LibreOffice and its formulas are not quoted; run </w:t>
      </w:r>
      <w:r>
        <w:rPr>
          <w:rFonts w:ascii="Courier New" w:hAnsi="Courier New"/>
        </w:rPr>
        <w:t>excel_quote_fix.py</w:t>
      </w:r>
      <w:r>
        <w:rPr/>
        <w:t xml:space="preserve"> before opening it in Excel.</w:t>
      </w:r>
    </w:p>
    <w:p>
      <w:pPr>
        <w:spacing w:after="60"/>
        <w:ind w:left="397" w:hanging="397"/>
      </w:pPr>
      <w:r>
        <w:rPr/>
        <w:t>3.</w:t>
        <w:tab/>
        <w:t>The snapshot table header written by the runner describes the locked commercial debt as an "annuity profile"; the locked schedule is in fact the base-case sculpted principal.</w:t>
      </w:r>
    </w:p>
    <w:p>
      <w:r>
        <w:br w:type="page"/>
      </w:r>
    </w:p>
    <w:p>
      <w:pPr>
        <w:pStyle w:val="Heading1"/>
        <w:pBdr>
          <w:bottom w:val="single" w:sz="12" w:space="4" w:color="B07C0F"/>
        </w:pBdr>
      </w:pPr>
      <w:r>
        <w:t>12. Rebuilding or extending the model</w:t>
      </w:r>
    </w:p>
    <w:p>
      <w:pPr>
        <w:pStyle w:val="Heading2"/>
      </w:pPr>
      <w:r>
        <w:t>12.1 The generator</w:t>
      </w:r>
    </w:p>
    <w:p>
      <w:pPr>
        <w:jc w:val="both"/>
      </w:pPr>
      <w:r>
        <w:rPr>
          <w:rFonts w:ascii="Courier New" w:hAnsi="Courier New"/>
        </w:rPr>
        <w:t>model/build_model.py</w:t>
      </w:r>
      <w:r>
        <w:rPr/>
        <w:t xml:space="preserve"> is the single source of truth. Run it from the repository root; it writes </w:t>
      </w:r>
      <w:r>
        <w:rPr>
          <w:rFonts w:ascii="Courier New" w:hAnsi="Courier New"/>
        </w:rPr>
        <w:t>model/Bankable_Hydro_Model.xlsx</w:t>
      </w:r>
      <w:r>
        <w:rPr/>
        <w:t xml:space="preserve"> with formulas only (no cached values, full recalculation on load) and </w:t>
      </w:r>
      <w:r>
        <w:rPr>
          <w:rFonts w:ascii="Courier New" w:hAnsi="Courier New"/>
        </w:rPr>
        <w:t>model/model_map.json</w:t>
      </w:r>
      <w:r>
        <w:rPr/>
        <w:t>.</w:t>
      </w:r>
    </w:p>
    <w:p>
      <w:pPr>
        <w:jc w:val="both"/>
      </w:pPr>
      <w:r>
        <w:rPr/>
        <w:t>Every cell is created through one of three helpers:</w:t>
      </w:r>
    </w:p>
    <w:tbl>
      <w:tblPr>
        <w:tblStyle w:val="TableGrid"/>
        <w:tblW w:type="auto" w:w="0"/>
        <w:jc w:val="center"/>
        <w:tblLook w:firstColumn="1" w:firstRow="1" w:lastColumn="0" w:lastRow="0" w:noHBand="0" w:noVBand="1" w:val="04A0"/>
      </w:tblPr>
      <w:tblGrid>
        <w:gridCol w:w="3213"/>
        <w:gridCol w:w="3213"/>
        <w:gridCol w:w="3213"/>
      </w:tblGrid>
      <w:tr>
        <w:tc>
          <w:tcPr>
            <w:tcW w:type="dxa" w:w="4172"/>
            <w:shd w:val="clear" w:color="auto" w:fill="0B3020"/>
          </w:tcPr>
          <w:p>
            <w:pPr>
              <w:spacing w:after="0"/>
            </w:pPr>
            <w:r>
              <w:rPr>
                <w:b/>
                <w:color w:val="FFFFFF"/>
                <w:sz w:val="16"/>
              </w:rPr>
              <w:t>Helper</w:t>
            </w:r>
          </w:p>
        </w:tc>
        <w:tc>
          <w:tcPr>
            <w:tcW w:type="dxa" w:w="4315"/>
            <w:shd w:val="clear" w:color="auto" w:fill="0B3020"/>
          </w:tcPr>
          <w:p>
            <w:pPr>
              <w:spacing w:after="0"/>
            </w:pPr>
            <w:r>
              <w:rPr>
                <w:b/>
                <w:color w:val="FFFFFF"/>
                <w:sz w:val="16"/>
              </w:rPr>
              <w:t>Creates</w:t>
            </w:r>
          </w:p>
        </w:tc>
        <w:tc>
          <w:tcPr>
            <w:tcW w:type="dxa" w:w="1151"/>
            <w:shd w:val="clear" w:color="auto" w:fill="0B3020"/>
          </w:tcPr>
          <w:p>
            <w:pPr>
              <w:spacing w:after="0"/>
            </w:pPr>
            <w:r>
              <w:rPr>
                <w:b/>
                <w:color w:val="FFFFFF"/>
                <w:sz w:val="16"/>
              </w:rPr>
              <w:t>Registers</w:t>
            </w:r>
          </w:p>
        </w:tc>
      </w:tr>
      <w:tr>
        <w:tc>
          <w:tcPr>
            <w:tcW w:type="dxa" w:w="4172"/>
          </w:tcPr>
          <w:p>
            <w:pPr>
              <w:spacing w:after="0"/>
            </w:pPr>
            <w:r>
              <w:rPr>
                <w:rFonts w:ascii="Courier New" w:hAnsi="Courier New"/>
                <w:color w:val="1D1D1D"/>
                <w:sz w:val="16"/>
              </w:rPr>
              <w:t>inp(ws, r, name, label, value, unit, note, fmt, key)</w:t>
            </w:r>
          </w:p>
        </w:tc>
        <w:tc>
          <w:tcPr>
            <w:tcW w:type="dxa" w:w="4315"/>
          </w:tcPr>
          <w:p>
            <w:pPr>
              <w:spacing w:after="0"/>
            </w:pPr>
            <w:r>
              <w:rPr>
                <w:color w:val="1D1D1D"/>
                <w:sz w:val="16"/>
              </w:rPr>
              <w:t xml:space="preserve">A blue input in column C (yellow fill if </w:t>
            </w:r>
            <w:r>
              <w:rPr>
                <w:rFonts w:ascii="Courier New" w:hAnsi="Courier New"/>
                <w:color w:val="1D1D1D"/>
                <w:sz w:val="16"/>
              </w:rPr>
              <w:t>key</w:t>
            </w:r>
            <w:r>
              <w:rPr>
                <w:color w:val="1D1D1D"/>
                <w:sz w:val="16"/>
              </w:rPr>
              <w:t>)</w:t>
            </w:r>
          </w:p>
        </w:tc>
        <w:tc>
          <w:tcPr>
            <w:tcW w:type="dxa" w:w="1151"/>
          </w:tcPr>
          <w:p>
            <w:pPr>
              <w:spacing w:after="0"/>
            </w:pPr>
            <w:r>
              <w:rPr>
                <w:color w:val="1D1D1D"/>
                <w:sz w:val="16"/>
              </w:rPr>
              <w:t>Scalar name</w:t>
            </w:r>
          </w:p>
        </w:tc>
      </w:tr>
      <w:tr>
        <w:tc>
          <w:tcPr>
            <w:tcW w:type="dxa" w:w="4172"/>
            <w:shd w:val="clear" w:color="auto" w:fill="FAF8F2"/>
          </w:tcPr>
          <w:p>
            <w:pPr>
              <w:spacing w:after="0"/>
            </w:pPr>
            <w:r>
              <w:rPr>
                <w:rFonts w:ascii="Courier New" w:hAnsi="Courier New"/>
                <w:color w:val="1D1D1D"/>
                <w:sz w:val="16"/>
              </w:rPr>
              <w:t>calc(ws, r, name, label, template, unit, fmt, note, out)</w:t>
            </w:r>
          </w:p>
        </w:tc>
        <w:tc>
          <w:tcPr>
            <w:tcW w:type="dxa" w:w="4315"/>
            <w:shd w:val="clear" w:color="auto" w:fill="FAF8F2"/>
          </w:tcPr>
          <w:p>
            <w:pPr>
              <w:spacing w:after="0"/>
            </w:pPr>
            <w:r>
              <w:rPr>
                <w:color w:val="1D1D1D"/>
                <w:sz w:val="16"/>
              </w:rPr>
              <w:t xml:space="preserve">A formula in column C (green fill if </w:t>
            </w:r>
            <w:r>
              <w:rPr>
                <w:rFonts w:ascii="Courier New" w:hAnsi="Courier New"/>
                <w:color w:val="1D1D1D"/>
                <w:sz w:val="16"/>
              </w:rPr>
              <w:t>out</w:t>
            </w:r>
            <w:r>
              <w:rPr>
                <w:color w:val="1D1D1D"/>
                <w:sz w:val="16"/>
              </w:rPr>
              <w:t>)</w:t>
            </w:r>
          </w:p>
        </w:tc>
        <w:tc>
          <w:tcPr>
            <w:tcW w:type="dxa" w:w="1151"/>
            <w:shd w:val="clear" w:color="auto" w:fill="FAF8F2"/>
          </w:tcPr>
          <w:p>
            <w:pPr>
              <w:spacing w:after="0"/>
            </w:pPr>
            <w:r>
              <w:rPr>
                <w:color w:val="1D1D1D"/>
                <w:sz w:val="16"/>
              </w:rPr>
              <w:t>Scalar name</w:t>
            </w:r>
          </w:p>
        </w:tc>
      </w:tr>
      <w:tr>
        <w:tc>
          <w:tcPr>
            <w:tcW w:type="dxa" w:w="4172"/>
          </w:tcPr>
          <w:p>
            <w:pPr>
              <w:spacing w:after="0"/>
            </w:pPr>
            <w:r>
              <w:rPr>
                <w:rFonts w:ascii="Courier New" w:hAnsi="Courier New"/>
                <w:color w:val="1D1D1D"/>
                <w:sz w:val="16"/>
              </w:rPr>
              <w:t>ts(ws, r, name, label, unit, template, fmt, total, bold)</w:t>
            </w:r>
          </w:p>
        </w:tc>
        <w:tc>
          <w:tcPr>
            <w:tcW w:type="dxa" w:w="4315"/>
          </w:tcPr>
          <w:p>
            <w:pPr>
              <w:spacing w:after="0"/>
            </w:pPr>
            <w:r>
              <w:rPr>
                <w:color w:val="1D1D1D"/>
                <w:sz w:val="16"/>
              </w:rPr>
              <w:t>A formula in each of columns E to AR, optional total in C (</w:t>
            </w:r>
            <w:r>
              <w:rPr>
                <w:rFonts w:ascii="Courier New" w:hAnsi="Courier New"/>
                <w:color w:val="1D1D1D"/>
                <w:sz w:val="16"/>
              </w:rPr>
              <w:t>sum</w:t>
            </w:r>
            <w:r>
              <w:rPr>
                <w:color w:val="1D1D1D"/>
                <w:sz w:val="16"/>
              </w:rPr>
              <w:t xml:space="preserve">, </w:t>
            </w:r>
            <w:r>
              <w:rPr>
                <w:rFonts w:ascii="Courier New" w:hAnsi="Courier New"/>
                <w:color w:val="1D1D1D"/>
                <w:sz w:val="16"/>
              </w:rPr>
              <w:t>max</w:t>
            </w:r>
            <w:r>
              <w:rPr>
                <w:color w:val="1D1D1D"/>
                <w:sz w:val="16"/>
              </w:rPr>
              <w:t xml:space="preserve">, </w:t>
            </w:r>
            <w:r>
              <w:rPr>
                <w:rFonts w:ascii="Courier New" w:hAnsi="Courier New"/>
                <w:color w:val="1D1D1D"/>
                <w:sz w:val="16"/>
              </w:rPr>
              <w:t>min</w:t>
            </w:r>
            <w:r>
              <w:rPr>
                <w:color w:val="1D1D1D"/>
                <w:sz w:val="16"/>
              </w:rPr>
              <w:t xml:space="preserve"> or a formula)</w:t>
            </w:r>
          </w:p>
        </w:tc>
        <w:tc>
          <w:tcPr>
            <w:tcW w:type="dxa" w:w="1151"/>
          </w:tcPr>
          <w:p>
            <w:pPr>
              <w:spacing w:after="0"/>
            </w:pPr>
            <w:r>
              <w:rPr>
                <w:color w:val="1D1D1D"/>
                <w:sz w:val="16"/>
              </w:rPr>
              <w:t>Time-series name</w:t>
            </w:r>
          </w:p>
        </w:tc>
      </w:tr>
    </w:tbl>
    <w:p>
      <w:pPr>
        <w:spacing w:after="40"/>
      </w:pPr>
    </w:p>
    <w:p>
      <w:pPr>
        <w:jc w:val="both"/>
      </w:pPr>
      <w:r>
        <w:rPr/>
        <w:t>Formulas are written once as templates and resolved after every sheet is built, so sheets can refer to each other regardless of build order:</w:t>
      </w:r>
    </w:p>
    <w:tbl>
      <w:tblPr>
        <w:tblStyle w:val="TableGrid"/>
        <w:tblW w:type="auto" w:w="0"/>
        <w:jc w:val="center"/>
        <w:tblLook w:firstColumn="1" w:firstRow="1" w:lastColumn="0" w:lastRow="0" w:noHBand="0" w:noVBand="1" w:val="04A0"/>
      </w:tblPr>
      <w:tblGrid>
        <w:gridCol w:w="4819"/>
        <w:gridCol w:w="4819"/>
      </w:tblGrid>
      <w:tr>
        <w:tc>
          <w:tcPr>
            <w:tcW w:type="dxa" w:w="3122"/>
            <w:shd w:val="clear" w:color="auto" w:fill="0B3020"/>
          </w:tcPr>
          <w:p>
            <w:pPr>
              <w:spacing w:after="0"/>
            </w:pPr>
            <w:r>
              <w:rPr>
                <w:b/>
                <w:color w:val="FFFFFF"/>
                <w:sz w:val="16"/>
              </w:rPr>
              <w:t>Template</w:t>
            </w:r>
          </w:p>
        </w:tc>
        <w:tc>
          <w:tcPr>
            <w:tcW w:type="dxa" w:w="6516"/>
            <w:shd w:val="clear" w:color="auto" w:fill="0B3020"/>
          </w:tcPr>
          <w:p>
            <w:pPr>
              <w:spacing w:after="0"/>
            </w:pPr>
            <w:r>
              <w:rPr>
                <w:b/>
                <w:color w:val="FFFFFF"/>
                <w:sz w:val="16"/>
              </w:rPr>
              <w:t>Resolves to</w:t>
            </w:r>
          </w:p>
        </w:tc>
      </w:tr>
      <w:tr>
        <w:tc>
          <w:tcPr>
            <w:tcW w:type="dxa" w:w="3122"/>
          </w:tcPr>
          <w:p>
            <w:pPr>
              <w:spacing w:after="0"/>
            </w:pPr>
            <w:r>
              <w:rPr>
                <w:rFonts w:ascii="Courier New" w:hAnsi="Courier New"/>
                <w:color w:val="1D1D1D"/>
                <w:sz w:val="16"/>
              </w:rPr>
              <w:t>{name}</w:t>
            </w:r>
          </w:p>
        </w:tc>
        <w:tc>
          <w:tcPr>
            <w:tcW w:type="dxa" w:w="6516"/>
          </w:tcPr>
          <w:p>
            <w:pPr>
              <w:spacing w:after="0"/>
            </w:pPr>
            <w:r>
              <w:rPr>
                <w:color w:val="1D1D1D"/>
                <w:sz w:val="16"/>
              </w:rPr>
              <w:t>Absolute reference to a scalar cell</w:t>
            </w:r>
          </w:p>
        </w:tc>
      </w:tr>
      <w:tr>
        <w:tc>
          <w:tcPr>
            <w:tcW w:type="dxa" w:w="3122"/>
            <w:shd w:val="clear" w:color="auto" w:fill="FAF8F2"/>
          </w:tcPr>
          <w:p>
            <w:pPr>
              <w:spacing w:after="0"/>
            </w:pPr>
            <w:r>
              <w:rPr>
                <w:rFonts w:ascii="Courier New" w:hAnsi="Courier New"/>
                <w:color w:val="1D1D1D"/>
                <w:sz w:val="16"/>
              </w:rPr>
              <w:t>[name]</w:t>
            </w:r>
          </w:p>
        </w:tc>
        <w:tc>
          <w:tcPr>
            <w:tcW w:type="dxa" w:w="6516"/>
            <w:shd w:val="clear" w:color="auto" w:fill="FAF8F2"/>
          </w:tcPr>
          <w:p>
            <w:pPr>
              <w:spacing w:after="0"/>
            </w:pPr>
            <w:r>
              <w:rPr>
                <w:color w:val="1D1D1D"/>
                <w:sz w:val="16"/>
              </w:rPr>
              <w:t>Same-column cell of a time-series row</w:t>
            </w:r>
          </w:p>
        </w:tc>
      </w:tr>
      <w:tr>
        <w:tc>
          <w:tcPr>
            <w:tcW w:type="dxa" w:w="3122"/>
          </w:tcPr>
          <w:p>
            <w:pPr>
              <w:spacing w:after="0"/>
            </w:pPr>
            <w:r>
              <w:rPr>
                <w:rFonts w:ascii="Courier New" w:hAnsi="Courier New"/>
                <w:color w:val="1D1D1D"/>
                <w:sz w:val="16"/>
              </w:rPr>
              <w:t>[name@p]</w:t>
            </w:r>
            <w:r>
              <w:rPr>
                <w:color w:val="1D1D1D"/>
                <w:sz w:val="16"/>
              </w:rPr>
              <w:t xml:space="preserve"> / </w:t>
            </w:r>
            <w:r>
              <w:rPr>
                <w:rFonts w:ascii="Courier New" w:hAnsi="Courier New"/>
                <w:color w:val="1D1D1D"/>
                <w:sz w:val="16"/>
              </w:rPr>
              <w:t>[name@n]</w:t>
            </w:r>
          </w:p>
        </w:tc>
        <w:tc>
          <w:tcPr>
            <w:tcW w:type="dxa" w:w="6516"/>
          </w:tcPr>
          <w:p>
            <w:pPr>
              <w:spacing w:after="0"/>
            </w:pPr>
            <w:r>
              <w:rPr>
                <w:color w:val="1D1D1D"/>
                <w:sz w:val="16"/>
              </w:rPr>
              <w:t>Previous / next column of a time-series row</w:t>
            </w:r>
          </w:p>
        </w:tc>
      </w:tr>
      <w:tr>
        <w:tc>
          <w:tcPr>
            <w:tcW w:type="dxa" w:w="3122"/>
            <w:shd w:val="clear" w:color="auto" w:fill="FAF8F2"/>
          </w:tcPr>
          <w:p>
            <w:pPr>
              <w:spacing w:after="0"/>
            </w:pPr>
            <w:r>
              <w:rPr>
                <w:rFonts w:ascii="Courier New" w:hAnsi="Courier New"/>
                <w:color w:val="1D1D1D"/>
                <w:sz w:val="16"/>
              </w:rPr>
              <w:t>[RNG:name]</w:t>
            </w:r>
          </w:p>
        </w:tc>
        <w:tc>
          <w:tcPr>
            <w:tcW w:type="dxa" w:w="6516"/>
            <w:shd w:val="clear" w:color="auto" w:fill="FAF8F2"/>
          </w:tcPr>
          <w:p>
            <w:pPr>
              <w:spacing w:after="0"/>
            </w:pPr>
            <w:r>
              <w:rPr>
                <w:color w:val="1D1D1D"/>
                <w:sz w:val="16"/>
              </w:rPr>
              <w:t>Full absolute range E to AR of a time-series row</w:t>
            </w:r>
          </w:p>
        </w:tc>
      </w:tr>
      <w:tr>
        <w:tc>
          <w:tcPr>
            <w:tcW w:type="dxa" w:w="3122"/>
          </w:tcPr>
          <w:p>
            <w:pPr>
              <w:spacing w:after="0"/>
            </w:pPr>
            <w:r>
              <w:rPr>
                <w:rFonts w:ascii="Courier New" w:hAnsi="Courier New"/>
                <w:color w:val="1D1D1D"/>
                <w:sz w:val="16"/>
              </w:rPr>
              <w:t>[C:name]</w:t>
            </w:r>
          </w:p>
        </w:tc>
        <w:tc>
          <w:tcPr>
            <w:tcW w:type="dxa" w:w="6516"/>
          </w:tcPr>
          <w:p>
            <w:pPr>
              <w:spacing w:after="0"/>
            </w:pPr>
            <w:r>
              <w:rPr>
                <w:color w:val="1D1D1D"/>
                <w:sz w:val="16"/>
              </w:rPr>
              <w:t>Column C (total or key) of a time-series row</w:t>
            </w:r>
          </w:p>
        </w:tc>
      </w:tr>
      <w:tr>
        <w:tc>
          <w:tcPr>
            <w:tcW w:type="dxa" w:w="3122"/>
            <w:shd w:val="clear" w:color="auto" w:fill="FAF8F2"/>
          </w:tcPr>
          <w:p>
            <w:pPr>
              <w:spacing w:after="0"/>
            </w:pPr>
            <w:r>
              <w:rPr>
                <w:rFonts w:ascii="Courier New" w:hAnsi="Courier New"/>
                <w:color w:val="1D1D1D"/>
                <w:sz w:val="16"/>
              </w:rPr>
              <w:t>#T#</w:t>
            </w:r>
          </w:p>
        </w:tc>
        <w:tc>
          <w:tcPr>
            <w:tcW w:type="dxa" w:w="6516"/>
            <w:shd w:val="clear" w:color="auto" w:fill="FAF8F2"/>
          </w:tcPr>
          <w:p>
            <w:pPr>
              <w:spacing w:after="0"/>
            </w:pPr>
            <w:r>
              <w:rPr>
                <w:color w:val="1D1D1D"/>
                <w:sz w:val="16"/>
              </w:rPr>
              <w:t>Period index t of the current column</w:t>
            </w:r>
          </w:p>
        </w:tc>
      </w:tr>
    </w:tbl>
    <w:p>
      <w:pPr>
        <w:spacing w:after="40"/>
      </w:pPr>
    </w:p>
    <w:p>
      <w:pPr>
        <w:jc w:val="both"/>
      </w:pPr>
      <w:r>
        <w:rPr/>
        <w:t>Names are unique: the helpers assert on any collision. Formulas that link one cell on another sheet are coloured green automatically.</w:t>
      </w:r>
    </w:p>
    <w:p>
      <w:pPr>
        <w:pStyle w:val="Heading2"/>
      </w:pPr>
      <w:r>
        <w:t>12.2 Adding or changing a line</w:t>
      </w:r>
    </w:p>
    <w:p>
      <w:pPr>
        <w:spacing w:after="60"/>
        <w:ind w:left="397" w:hanging="397"/>
      </w:pPr>
      <w:r>
        <w:rPr/>
        <w:t>1.</w:t>
        <w:tab/>
        <w:t xml:space="preserve">Add an </w:t>
      </w:r>
      <w:r>
        <w:rPr>
          <w:rFonts w:ascii="Courier New" w:hAnsi="Courier New"/>
        </w:rPr>
        <w:t>inp()</w:t>
      </w:r>
      <w:r>
        <w:rPr/>
        <w:t xml:space="preserve">, </w:t>
      </w:r>
      <w:r>
        <w:rPr>
          <w:rFonts w:ascii="Courier New" w:hAnsi="Courier New"/>
        </w:rPr>
        <w:t>calc()</w:t>
      </w:r>
      <w:r>
        <w:rPr/>
        <w:t xml:space="preserve"> or </w:t>
      </w:r>
      <w:r>
        <w:rPr>
          <w:rFonts w:ascii="Courier New" w:hAnsi="Courier New"/>
        </w:rPr>
        <w:t>ts()</w:t>
      </w:r>
      <w:r>
        <w:rPr/>
        <w:t xml:space="preserve"> call on the right sheet, using existing names in the template.</w:t>
      </w:r>
    </w:p>
    <w:p>
      <w:pPr>
        <w:spacing w:after="60"/>
        <w:ind w:left="397" w:hanging="397"/>
      </w:pPr>
      <w:r>
        <w:rPr/>
        <w:t>2.</w:t>
        <w:tab/>
        <w:t xml:space="preserve">If the line feeds a gate, add it to the </w:t>
      </w:r>
      <w:r>
        <w:rPr>
          <w:rFonts w:ascii="Courier New" w:hAnsi="Courier New"/>
        </w:rPr>
        <w:t>GATES</w:t>
      </w:r>
      <w:r>
        <w:rPr/>
        <w:t xml:space="preserve"> list (screen) or </w:t>
      </w:r>
      <w:r>
        <w:rPr>
          <w:rFonts w:ascii="Courier New" w:hAnsi="Courier New"/>
        </w:rPr>
        <w:t>GATES_FC</w:t>
      </w:r>
      <w:r>
        <w:rPr/>
        <w:t xml:space="preserve"> and </w:t>
      </w:r>
      <w:r>
        <w:rPr>
          <w:rFonts w:ascii="Courier New" w:hAnsi="Courier New"/>
        </w:rPr>
        <w:t>GATE_Q</w:t>
      </w:r>
      <w:r>
        <w:rPr/>
        <w:t xml:space="preserve"> (close readiness); the framework map is generated from them.</w:t>
      </w:r>
    </w:p>
    <w:p>
      <w:pPr>
        <w:spacing w:after="60"/>
        <w:ind w:left="397" w:hanging="397"/>
      </w:pPr>
      <w:r>
        <w:rPr/>
        <w:t>3.</w:t>
        <w:tab/>
        <w:t xml:space="preserve">If the line should be tracked by the runner, add its name to </w:t>
      </w:r>
      <w:r>
        <w:rPr>
          <w:rFonts w:ascii="Courier New" w:hAnsi="Courier New"/>
        </w:rPr>
        <w:t>KPIS</w:t>
      </w:r>
      <w:r>
        <w:rPr/>
        <w:t xml:space="preserve">, </w:t>
      </w:r>
      <w:r>
        <w:rPr>
          <w:rFonts w:ascii="Courier New" w:hAnsi="Courier New"/>
        </w:rPr>
        <w:t>EXTRA</w:t>
      </w:r>
      <w:r>
        <w:rPr/>
        <w:t xml:space="preserve"> or </w:t>
      </w:r>
      <w:r>
        <w:rPr>
          <w:rFonts w:ascii="Courier New" w:hAnsi="Courier New"/>
        </w:rPr>
        <w:t>TS_SAVE</w:t>
      </w:r>
      <w:r>
        <w:rPr/>
        <w:t xml:space="preserve"> in </w:t>
      </w:r>
      <w:r>
        <w:rPr>
          <w:rFonts w:ascii="Courier New" w:hAnsi="Courier New"/>
        </w:rPr>
        <w:t>tools/run_snapshots.py</w:t>
      </w:r>
      <w:r>
        <w:rPr/>
        <w:t>.</w:t>
      </w:r>
    </w:p>
    <w:p>
      <w:pPr>
        <w:spacing w:after="60"/>
        <w:ind w:left="397" w:hanging="397"/>
      </w:pPr>
      <w:r>
        <w:rPr/>
        <w:t>4.</w:t>
        <w:tab/>
        <w:t xml:space="preserve">If a printed Kasiri figure changes, update the </w:t>
      </w:r>
      <w:r>
        <w:rPr>
          <w:rFonts w:ascii="Courier New" w:hAnsi="Courier New"/>
        </w:rPr>
        <w:t>BOOK_CHECKS</w:t>
      </w:r>
      <w:r>
        <w:rPr/>
        <w:t xml:space="preserve"> list that builds </w:t>
      </w:r>
      <w:r>
        <w:rPr>
          <w:i/>
        </w:rPr>
        <w:t>35_BOOK_CHECK</w:t>
      </w:r>
      <w:r>
        <w:rPr/>
        <w:t>, and the book.</w:t>
      </w:r>
    </w:p>
    <w:p>
      <w:pPr>
        <w:spacing w:after="60"/>
        <w:ind w:left="397" w:hanging="397"/>
      </w:pPr>
      <w:r>
        <w:rPr/>
        <w:t>5.</w:t>
        <w:tab/>
        <w:t xml:space="preserve">Rebuild, then run </w:t>
      </w:r>
      <w:r>
        <w:rPr>
          <w:rFonts w:ascii="Courier New" w:hAnsi="Courier New"/>
        </w:rPr>
        <w:t>tools/model/check_cycles.py</w:t>
      </w:r>
      <w:r>
        <w:rPr/>
        <w:t xml:space="preserve"> on the new file to confirm there is no circular reference.</w:t>
      </w:r>
    </w:p>
    <w:p>
      <w:pPr>
        <w:spacing w:after="60"/>
        <w:ind w:left="397" w:hanging="397"/>
      </w:pPr>
      <w:r>
        <w:rPr/>
        <w:t>6.</w:t>
        <w:tab/>
        <w:t xml:space="preserve">Recalculate (LibreOffice through the runner, or open and save in Excel), run </w:t>
      </w:r>
      <w:r>
        <w:rPr>
          <w:rFonts w:ascii="Courier New" w:hAnsi="Courier New"/>
        </w:rPr>
        <w:t>excel_quote_fix.py</w:t>
      </w:r>
      <w:r>
        <w:rPr/>
        <w:t xml:space="preserve"> if LibreOffice saved the file, and confirm </w:t>
      </w:r>
      <w:r>
        <w:rPr>
          <w:i/>
        </w:rPr>
        <w:t>33_CHECKS</w:t>
      </w:r>
      <w:r>
        <w:rPr/>
        <w:t xml:space="preserve"> ALL OK and </w:t>
      </w:r>
      <w:r>
        <w:rPr>
          <w:i/>
        </w:rPr>
        <w:t>35_BOOK_CHECK</w:t>
      </w:r>
      <w:r>
        <w:rPr/>
        <w:t xml:space="preserve"> ALL PASS.</w:t>
      </w:r>
    </w:p>
    <w:p>
      <w:pPr>
        <w:spacing w:after="60"/>
        <w:ind w:left="397" w:hanging="397"/>
      </w:pPr>
      <w:r>
        <w:rPr/>
        <w:t>7.</w:t>
        <w:tab/>
        <w:t>Rerun the snapshots and record the date.</w:t>
      </w:r>
    </w:p>
    <w:p>
      <w:pPr>
        <w:pStyle w:val="Heading2"/>
      </w:pPr>
      <w:r>
        <w:t>12.3 Design rules to keep</w:t>
      </w:r>
    </w:p>
    <w:p>
      <w:pPr>
        <w:spacing w:after="60"/>
        <w:ind w:left="397" w:hanging="397"/>
      </w:pPr>
      <w:r>
        <w:rPr/>
        <w:t>•</w:t>
        <w:tab/>
        <w:t>No macros, no data tables, no circular references. Interest during construction and fees stay closed-form; the DSRA stays equity-funded; the lender case keeps unlevered tax.</w:t>
      </w:r>
    </w:p>
    <w:p>
      <w:pPr>
        <w:spacing w:after="60"/>
        <w:ind w:left="397" w:hanging="397"/>
      </w:pPr>
      <w:r>
        <w:rPr/>
        <w:t>•</w:t>
        <w:tab/>
        <w:t>Inputs only in blue cells; no hard-coded numbers inside formulas except physical constants and labelled conventions.</w:t>
      </w:r>
    </w:p>
    <w:p>
      <w:pPr>
        <w:spacing w:after="60"/>
        <w:ind w:left="397" w:hanging="397"/>
      </w:pPr>
      <w:r>
        <w:rPr/>
        <w:t>•</w:t>
        <w:tab/>
        <w:t xml:space="preserve">Every new output that a reader might quote needs a definition on the sheet and, if it is printed in Book 7, a line on </w:t>
      </w:r>
      <w:r>
        <w:rPr>
          <w:i/>
        </w:rPr>
        <w:t>35_BOOK_CHECK</w:t>
      </w:r>
      <w:r>
        <w:rPr/>
        <w:t>.</w:t>
      </w:r>
    </w:p>
    <w:p>
      <w:pPr>
        <w:spacing w:after="60"/>
        <w:ind w:left="397" w:hanging="397"/>
      </w:pPr>
      <w:r>
        <w:rPr/>
        <w:t>•</w:t>
        <w:tab/>
        <w:t>Use only functions available in Excel 2010 and LibreOffice; avoid dynamic arrays, LET, LAMBDA, XLOOKUP and volatile functions.</w:t>
      </w:r>
    </w:p>
    <w:p>
      <w:pPr>
        <w:jc w:val="both"/>
      </w:pPr>
      <w:r>
        <w:rPr>
          <w:i/>
        </w:rPr>
        <w:t>The Kasiri River Hydro case, the Republic of Navaria, Tamarind Hydro and the Navaria Electricity Company are fictional. Nothing in MODEL 7 or this manual is investment, legal, tax or accounting advice.</w:t>
      </w:r>
    </w:p>
    <w:sectPr w:rsidR="00FC693F" w:rsidRPr="0006063C" w:rsidSect="00034616">
      <w:footerReference w:type="default" r:id="rId10"/>
      <w:headerReference w:type="default" r:id="rId11"/>
      <w:pgSz w:w="11906" w:h="16838"/>
      <w:pgMar w:top="1247"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MANUAL 7: User and Methodology Manual   |   Page </w:t>
    </w:r>
    <w:r>
      <w:rPr>
        <w:color w:val="666666"/>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07C0F"/>
      </w:pBdr>
    </w:pPr>
    <w:r>
      <w:rPr>
        <w:b/>
        <w:color w:val="0B3020"/>
        <w:sz w:val="15"/>
      </w:rPr>
      <w:t>AFRICA ENERGY FINANCE   |   MANUAL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1D1D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cs="Arial" w:eastAsia="Arial"/>
      <w:b/>
      <w:bCs/>
      <w:color w:val="0B302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0B302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Arial" w:hAnsi="Arial" w:cs="Arial" w:eastAsia="Arial"/>
      <w:b/>
      <w:bCs/>
      <w:color w:val="B07C0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7: User and Methodology Manual</dc:title>
  <dc:subject>MODEL 7, Hydropower Development and Finance Model. Companion to Book 7, From River to Financial Close</dc:subject>
  <dc:creator>Emmanuel Boujieka Kamga</dc:creator>
  <cp:keywords>hydropower; project development; project finance; Africa</cp:keywords>
  <dc:description/>
  <cp:lastModifiedBy>Emmanuel Boujieka Kamga</cp:lastModifiedBy>
  <cp:revision>1</cp:revision>
  <dcterms:created xsi:type="dcterms:W3CDTF">2013-12-23T23:15:00Z</dcterms:created>
  <dcterms:modified xsi:type="dcterms:W3CDTF">2013-12-23T23:15:00Z</dcterms:modified>
  <cp:category/>
</cp:coreProperties>
</file>