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0.3 (pre-publication review draft)</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0.3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8"/>
            <w:shd w:val="clear" w:color="auto" w:fill="0B3020"/>
          </w:tcPr>
          <w:p>
            <w:pPr>
              <w:spacing w:after="0"/>
            </w:pPr>
            <w:r>
              <w:rPr>
                <w:b/>
                <w:color w:val="FFFFFF"/>
                <w:sz w:val="16"/>
              </w:rPr>
              <w:t>Book</w:t>
            </w:r>
          </w:p>
        </w:tc>
        <w:tc>
          <w:tcPr>
            <w:tcW w:type="dxa" w:w="3287"/>
            <w:shd w:val="clear" w:color="auto" w:fill="0B3020"/>
          </w:tcPr>
          <w:p>
            <w:pPr>
              <w:spacing w:after="0"/>
            </w:pPr>
            <w:r>
              <w:rPr>
                <w:b/>
                <w:color w:val="FFFFFF"/>
                <w:sz w:val="16"/>
              </w:rPr>
              <w:t>Subject</w:t>
            </w:r>
          </w:p>
        </w:tc>
        <w:tc>
          <w:tcPr>
            <w:tcW w:type="dxa" w:w="4483"/>
            <w:shd w:val="clear" w:color="auto" w:fill="0B3020"/>
          </w:tcPr>
          <w:p>
            <w:pPr>
              <w:spacing w:after="0"/>
            </w:pPr>
            <w:r>
              <w:rPr>
                <w:b/>
                <w:color w:val="FFFFFF"/>
                <w:sz w:val="16"/>
              </w:rPr>
              <w:t>Central question</w:t>
            </w:r>
          </w:p>
        </w:tc>
        <w:tc>
          <w:tcPr>
            <w:tcW w:type="dxa" w:w="1420"/>
            <w:shd w:val="clear" w:color="auto" w:fill="0B3020"/>
          </w:tcPr>
          <w:p>
            <w:pPr>
              <w:spacing w:after="0"/>
            </w:pPr>
            <w:r>
              <w:rPr>
                <w:b/>
                <w:color w:val="FFFFFF"/>
                <w:sz w:val="16"/>
              </w:rPr>
              <w:t>Status</w:t>
            </w:r>
          </w:p>
        </w:tc>
      </w:tr>
      <w:tr>
        <w:tc>
          <w:tcPr>
            <w:tcW w:type="dxa" w:w="448"/>
          </w:tcPr>
          <w:p>
            <w:pPr>
              <w:spacing w:after="0"/>
            </w:pPr>
            <w:r>
              <w:rPr>
                <w:color w:val="1D1D1D"/>
                <w:sz w:val="16"/>
              </w:rPr>
              <w:t>Book 1</w:t>
            </w:r>
          </w:p>
        </w:tc>
        <w:tc>
          <w:tcPr>
            <w:tcW w:type="dxa" w:w="3287"/>
          </w:tcPr>
          <w:p>
            <w:pPr>
              <w:spacing w:after="0"/>
            </w:pPr>
            <w:r>
              <w:rPr>
                <w:color w:val="1D1D1D"/>
                <w:sz w:val="16"/>
              </w:rPr>
              <w:t>Mini grids</w:t>
            </w:r>
          </w:p>
        </w:tc>
        <w:tc>
          <w:tcPr>
            <w:tcW w:type="dxa" w:w="4483"/>
          </w:tcPr>
          <w:p>
            <w:pPr>
              <w:spacing w:after="0"/>
            </w:pPr>
            <w:r>
              <w:rPr>
                <w:color w:val="1D1D1D"/>
                <w:sz w:val="16"/>
              </w:rPr>
              <w:t>Can this mini grid become a sustainable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2</w:t>
            </w:r>
          </w:p>
        </w:tc>
        <w:tc>
          <w:tcPr>
            <w:tcW w:type="dxa" w:w="3287"/>
            <w:shd w:val="clear" w:color="auto" w:fill="FAF8F2"/>
          </w:tcPr>
          <w:p>
            <w:pPr>
              <w:spacing w:after="0"/>
            </w:pPr>
            <w:r>
              <w:rPr>
                <w:color w:val="1D1D1D"/>
                <w:sz w:val="16"/>
              </w:rPr>
              <w:t>Solar home systems (PAYGo)</w:t>
            </w:r>
          </w:p>
        </w:tc>
        <w:tc>
          <w:tcPr>
            <w:tcW w:type="dxa" w:w="4483"/>
            <w:shd w:val="clear" w:color="auto" w:fill="FAF8F2"/>
          </w:tcPr>
          <w:p>
            <w:pPr>
              <w:spacing w:after="0"/>
            </w:pPr>
            <w:r>
              <w:rPr>
                <w:color w:val="1D1D1D"/>
                <w:sz w:val="16"/>
              </w:rPr>
              <w:t>Can PAYGo solar become profitable and financeable?</w:t>
            </w:r>
          </w:p>
        </w:tc>
        <w:tc>
          <w:tcPr>
            <w:tcW w:type="dxa" w:w="1420"/>
            <w:shd w:val="clear" w:color="auto" w:fill="FAF8F2"/>
          </w:tcPr>
          <w:p>
            <w:pPr>
              <w:spacing w:after="0"/>
            </w:pPr>
            <w:r>
              <w:rPr>
                <w:color w:val="1D1D1D"/>
                <w:sz w:val="16"/>
              </w:rPr>
              <w:t>First edition</w:t>
            </w:r>
          </w:p>
        </w:tc>
      </w:tr>
      <w:tr>
        <w:tc>
          <w:tcPr>
            <w:tcW w:type="dxa" w:w="448"/>
          </w:tcPr>
          <w:p>
            <w:pPr>
              <w:spacing w:after="0"/>
            </w:pPr>
            <w:r>
              <w:rPr>
                <w:color w:val="1D1D1D"/>
                <w:sz w:val="16"/>
              </w:rPr>
              <w:t>Book 3</w:t>
            </w:r>
          </w:p>
        </w:tc>
        <w:tc>
          <w:tcPr>
            <w:tcW w:type="dxa" w:w="3287"/>
          </w:tcPr>
          <w:p>
            <w:pPr>
              <w:spacing w:after="0"/>
            </w:pPr>
            <w:r>
              <w:rPr>
                <w:color w:val="1D1D1D"/>
                <w:sz w:val="16"/>
              </w:rPr>
              <w:t>Clean cooking</w:t>
            </w:r>
          </w:p>
        </w:tc>
        <w:tc>
          <w:tcPr>
            <w:tcW w:type="dxa" w:w="4483"/>
          </w:tcPr>
          <w:p>
            <w:pPr>
              <w:spacing w:after="0"/>
            </w:pPr>
            <w:r>
              <w:rPr>
                <w:color w:val="1D1D1D"/>
                <w:sz w:val="16"/>
              </w:rPr>
              <w:t>Can clean cooking scale as a commercial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4</w:t>
            </w:r>
          </w:p>
        </w:tc>
        <w:tc>
          <w:tcPr>
            <w:tcW w:type="dxa" w:w="3287"/>
            <w:shd w:val="clear" w:color="auto" w:fill="FAF8F2"/>
          </w:tcPr>
          <w:p>
            <w:pPr>
              <w:spacing w:after="0"/>
            </w:pPr>
            <w:r>
              <w:rPr>
                <w:color w:val="1D1D1D"/>
                <w:sz w:val="16"/>
              </w:rPr>
              <w:t>Commercial and industrial solar with storage</w:t>
            </w:r>
          </w:p>
        </w:tc>
        <w:tc>
          <w:tcPr>
            <w:tcW w:type="dxa" w:w="4483"/>
            <w:shd w:val="clear" w:color="auto" w:fill="FAF8F2"/>
          </w:tcPr>
          <w:p>
            <w:pPr>
              <w:spacing w:after="0"/>
            </w:pPr>
            <w:r>
              <w:rPr>
                <w:color w:val="1D1D1D"/>
                <w:sz w:val="16"/>
              </w:rPr>
              <w:t>Should the customer invest, sign a PPA or use an energy service company?</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5</w:t>
            </w:r>
          </w:p>
        </w:tc>
        <w:tc>
          <w:tcPr>
            <w:tcW w:type="dxa" w:w="3287"/>
          </w:tcPr>
          <w:p>
            <w:pPr>
              <w:spacing w:after="0"/>
            </w:pPr>
            <w:r>
              <w:rPr>
                <w:color w:val="1D1D1D"/>
                <w:sz w:val="16"/>
              </w:rPr>
              <w:t>Energy access fund</w:t>
            </w:r>
          </w:p>
        </w:tc>
        <w:tc>
          <w:tcPr>
            <w:tcW w:type="dxa" w:w="4483"/>
          </w:tcPr>
          <w:p>
            <w:pPr>
              <w:spacing w:after="0"/>
            </w:pPr>
            <w:r>
              <w:rPr>
                <w:color w:val="1D1D1D"/>
                <w:sz w:val="16"/>
              </w:rPr>
              <w:t>Can a fund mobilise capital and generate sustainable returns?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6</w:t>
            </w:r>
          </w:p>
        </w:tc>
        <w:tc>
          <w:tcPr>
            <w:tcW w:type="dxa" w:w="3287"/>
            <w:shd w:val="clear" w:color="auto" w:fill="FAF8F2"/>
          </w:tcPr>
          <w:p>
            <w:pPr>
              <w:spacing w:after="0"/>
            </w:pPr>
            <w:r>
              <w:rPr>
                <w:color w:val="1D1D1D"/>
                <w:sz w:val="16"/>
              </w:rPr>
              <w:t>Power utilities</w:t>
            </w:r>
          </w:p>
        </w:tc>
        <w:tc>
          <w:tcPr>
            <w:tcW w:type="dxa" w:w="4483"/>
            <w:shd w:val="clear" w:color="auto" w:fill="FAF8F2"/>
          </w:tcPr>
          <w:p>
            <w:pPr>
              <w:spacing w:after="0"/>
            </w:pPr>
            <w:r>
              <w:rPr>
                <w:color w:val="1D1D1D"/>
                <w:sz w:val="16"/>
              </w:rPr>
              <w:t>Can the utility become financially sustainable?</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7</w:t>
            </w:r>
          </w:p>
        </w:tc>
        <w:tc>
          <w:tcPr>
            <w:tcW w:type="dxa" w:w="3287"/>
          </w:tcPr>
          <w:p>
            <w:pPr>
              <w:spacing w:after="0"/>
            </w:pPr>
            <w:r>
              <w:rPr>
                <w:color w:val="1D1D1D"/>
                <w:sz w:val="16"/>
              </w:rPr>
              <w:t>Hydropower: this book</w:t>
            </w:r>
          </w:p>
        </w:tc>
        <w:tc>
          <w:tcPr>
            <w:tcW w:type="dxa" w:w="4483"/>
          </w:tcPr>
          <w:p>
            <w:pPr>
              <w:spacing w:after="0"/>
            </w:pPr>
            <w:r>
              <w:rPr>
                <w:color w:val="1D1D1D"/>
                <w:sz w:val="16"/>
              </w:rPr>
              <w:t>Can this hydropower project be developed to financial close and financed on terms the developer, the lenders and the state can each accept?</w:t>
            </w:r>
          </w:p>
        </w:tc>
        <w:tc>
          <w:tcPr>
            <w:tcW w:type="dxa" w:w="1420"/>
          </w:tcPr>
          <w:p>
            <w:pPr>
              <w:spacing w:after="0"/>
            </w:pPr>
            <w:r>
              <w:rPr>
                <w:color w:val="1D1D1D"/>
                <w:sz w:val="16"/>
              </w:rPr>
              <w:t>First edition, v0.3</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59"/>
            <w:shd w:val="clear" w:color="auto" w:fill="0B3020"/>
          </w:tcPr>
          <w:p>
            <w:pPr>
              <w:spacing w:after="0"/>
            </w:pPr>
            <w:r>
              <w:rPr>
                <w:b/>
                <w:color w:val="FFFFFF"/>
                <w:sz w:val="16"/>
              </w:rPr>
              <w:t>Product</w:t>
            </w:r>
          </w:p>
        </w:tc>
        <w:tc>
          <w:tcPr>
            <w:tcW w:type="dxa" w:w="4036"/>
            <w:shd w:val="clear" w:color="auto" w:fill="0B3020"/>
          </w:tcPr>
          <w:p>
            <w:pPr>
              <w:spacing w:after="0"/>
            </w:pPr>
            <w:r>
              <w:rPr>
                <w:b/>
                <w:color w:val="FFFFFF"/>
                <w:sz w:val="16"/>
              </w:rPr>
              <w:t>Name</w:t>
            </w:r>
          </w:p>
        </w:tc>
        <w:tc>
          <w:tcPr>
            <w:tcW w:type="dxa" w:w="4942"/>
            <w:shd w:val="clear" w:color="auto" w:fill="0B3020"/>
          </w:tcPr>
          <w:p>
            <w:pPr>
              <w:spacing w:after="0"/>
            </w:pPr>
            <w:r>
              <w:rPr>
                <w:b/>
                <w:color w:val="FFFFFF"/>
                <w:sz w:val="16"/>
              </w:rPr>
              <w:t>Role</w:t>
            </w:r>
          </w:p>
        </w:tc>
      </w:tr>
      <w:tr>
        <w:tc>
          <w:tcPr>
            <w:tcW w:type="dxa" w:w="659"/>
          </w:tcPr>
          <w:p>
            <w:pPr>
              <w:spacing w:after="0"/>
            </w:pPr>
            <w:r>
              <w:rPr>
                <w:color w:val="1D1D1D"/>
                <w:sz w:val="16"/>
              </w:rPr>
              <w:t>Book</w:t>
            </w:r>
          </w:p>
        </w:tc>
        <w:tc>
          <w:tcPr>
            <w:tcW w:type="dxa" w:w="4036"/>
          </w:tcPr>
          <w:p>
            <w:pPr>
              <w:spacing w:after="0"/>
            </w:pPr>
            <w:r>
              <w:rPr>
                <w:color w:val="1D1D1D"/>
                <w:sz w:val="16"/>
              </w:rPr>
              <w:t>Hydropower Development and Finance (this book)</w:t>
            </w:r>
          </w:p>
        </w:tc>
        <w:tc>
          <w:tcPr>
            <w:tcW w:type="dxa" w:w="4942"/>
          </w:tcPr>
          <w:p>
            <w:pPr>
              <w:spacing w:after="0"/>
            </w:pPr>
            <w:r>
              <w:rPr>
                <w:color w:val="1D1D1D"/>
                <w:sz w:val="16"/>
              </w:rPr>
              <w:t>Explains the method and why it works</w:t>
            </w:r>
          </w:p>
        </w:tc>
      </w:tr>
      <w:tr>
        <w:tc>
          <w:tcPr>
            <w:tcW w:type="dxa" w:w="659"/>
            <w:shd w:val="clear" w:color="auto" w:fill="FAF8F2"/>
          </w:tcPr>
          <w:p>
            <w:pPr>
              <w:spacing w:after="0"/>
            </w:pPr>
            <w:r>
              <w:rPr>
                <w:color w:val="1D1D1D"/>
                <w:sz w:val="16"/>
              </w:rPr>
              <w:t>Model</w:t>
            </w:r>
          </w:p>
        </w:tc>
        <w:tc>
          <w:tcPr>
            <w:tcW w:type="dxa" w:w="4036"/>
            <w:shd w:val="clear" w:color="auto" w:fill="FAF8F2"/>
          </w:tcPr>
          <w:p>
            <w:pPr>
              <w:spacing w:after="0"/>
            </w:pPr>
            <w:r>
              <w:rPr>
                <w:color w:val="1D1D1D"/>
                <w:sz w:val="16"/>
              </w:rPr>
              <w:t>MODEL 7: Hydropower Development and Finance Model</w:t>
            </w:r>
          </w:p>
        </w:tc>
        <w:tc>
          <w:tcPr>
            <w:tcW w:type="dxa" w:w="4942"/>
            <w:shd w:val="clear" w:color="auto" w:fill="FAF8F2"/>
          </w:tcPr>
          <w:p>
            <w:pPr>
              <w:spacing w:after="0"/>
            </w:pPr>
            <w:r>
              <w:rPr>
                <w:color w:val="1D1D1D"/>
                <w:sz w:val="16"/>
              </w:rPr>
              <w:t>Quantifies the method: annual, 40 period, integrated project, utility and public-finance model with a development module and 23 financial close gates</w:t>
            </w:r>
          </w:p>
        </w:tc>
      </w:tr>
      <w:tr>
        <w:tc>
          <w:tcPr>
            <w:tcW w:type="dxa" w:w="659"/>
          </w:tcPr>
          <w:p>
            <w:pPr>
              <w:spacing w:after="0"/>
            </w:pPr>
            <w:r>
              <w:rPr>
                <w:color w:val="1D1D1D"/>
                <w:sz w:val="16"/>
              </w:rPr>
              <w:t>Manual</w:t>
            </w:r>
          </w:p>
        </w:tc>
        <w:tc>
          <w:tcPr>
            <w:tcW w:type="dxa" w:w="4036"/>
          </w:tcPr>
          <w:p>
            <w:pPr>
              <w:spacing w:after="0"/>
            </w:pPr>
            <w:r>
              <w:rPr>
                <w:color w:val="1D1D1D"/>
                <w:sz w:val="16"/>
              </w:rPr>
              <w:t>MANUAL 7: User and Methodology Manual</w:t>
            </w:r>
          </w:p>
        </w:tc>
        <w:tc>
          <w:tcPr>
            <w:tcW w:type="dxa" w:w="4942"/>
          </w:tcPr>
          <w:p>
            <w:pPr>
              <w:spacing w:after="0"/>
            </w:pPr>
            <w:r>
              <w:rPr>
                <w:color w:val="1D1D1D"/>
                <w:sz w:val="16"/>
              </w:rPr>
              <w:t>Teaches the reader to operate the model</w:t>
            </w:r>
          </w:p>
        </w:tc>
      </w:tr>
      <w:tr>
        <w:tc>
          <w:tcPr>
            <w:tcW w:type="dxa" w:w="659"/>
            <w:shd w:val="clear" w:color="auto" w:fill="FAF8F2"/>
          </w:tcPr>
          <w:p>
            <w:pPr>
              <w:spacing w:after="0"/>
            </w:pPr>
            <w:r>
              <w:rPr>
                <w:color w:val="1D1D1D"/>
                <w:sz w:val="16"/>
              </w:rPr>
              <w:t>Case</w:t>
            </w:r>
          </w:p>
        </w:tc>
        <w:tc>
          <w:tcPr>
            <w:tcW w:type="dxa" w:w="4036"/>
            <w:shd w:val="clear" w:color="auto" w:fill="FAF8F2"/>
          </w:tcPr>
          <w:p>
            <w:pPr>
              <w:spacing w:after="0"/>
            </w:pPr>
            <w:r>
              <w:rPr>
                <w:color w:val="1D1D1D"/>
                <w:sz w:val="16"/>
              </w:rPr>
              <w:t>CASE 7: Kasiri River Hydro</w:t>
            </w:r>
          </w:p>
        </w:tc>
        <w:tc>
          <w:tcPr>
            <w:tcW w:type="dxa" w:w="4942"/>
            <w:shd w:val="clear" w:color="auto" w:fill="FAF8F2"/>
          </w:tcPr>
          <w:p>
            <w:pPr>
              <w:spacing w:after="0"/>
            </w:pPr>
            <w:r>
              <w:rPr>
                <w:color w:val="1D1D1D"/>
                <w:sz w:val="16"/>
              </w:rPr>
              <w:t>Demonstrates the method on a fictional 60 MW run-of-river project</w:t>
            </w:r>
          </w:p>
        </w:tc>
      </w:tr>
      <w:tr>
        <w:tc>
          <w:tcPr>
            <w:tcW w:type="dxa" w:w="659"/>
          </w:tcPr>
          <w:p>
            <w:pPr>
              <w:spacing w:after="0"/>
            </w:pPr>
            <w:r>
              <w:rPr>
                <w:color w:val="1D1D1D"/>
                <w:sz w:val="16"/>
              </w:rPr>
              <w:t>Training</w:t>
            </w:r>
          </w:p>
        </w:tc>
        <w:tc>
          <w:tcPr>
            <w:tcW w:type="dxa" w:w="4036"/>
          </w:tcPr>
          <w:p>
            <w:pPr>
              <w:spacing w:after="0"/>
            </w:pPr>
            <w:r>
              <w:rPr>
                <w:color w:val="1D1D1D"/>
                <w:sz w:val="16"/>
              </w:rPr>
              <w:t>Video course</w:t>
            </w:r>
          </w:p>
        </w:tc>
        <w:tc>
          <w:tcPr>
            <w:tcW w:type="dxa" w:w="4942"/>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the reason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is the </w:t>
      </w:r>
      <w:r>
        <w:rPr>
          <w:i/>
        </w:rPr>
        <w:t>Hydro Finance Handbook</w:t>
      </w:r>
      <w:r>
        <w:rPr/>
        <w:t xml:space="preserve"> of 2008, written as a companion to a hydro finance tutorial and covering the financial aspects of hydro development and the steps towards financial close [LIT:S2]. We could see only a search summary of it, and its publisher and authors are not confirmed here. Book 7 goes further in three directions: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Its purpose is to help a reader who knows either hydropower or finance understand the other. This book assumes that understanding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published by Springer in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w:t>
            </w:r>
          </w:p>
        </w:tc>
        <w:tc>
          <w:tcPr>
            <w:tcW w:type="dxa" w:w="2653"/>
            <w:shd w:val="clear" w:color="auto" w:fill="FAF8F2"/>
          </w:tcPr>
          <w:p>
            <w:pPr>
              <w:spacing w:after="0"/>
            </w:pPr>
            <w:r>
              <w:rPr>
                <w:color w:val="1D1D1D"/>
                <w:sz w:val="16"/>
              </w:rPr>
              <w:t>Development-stage valuation; the state's balance sheet</w:t>
            </w:r>
          </w:p>
        </w:tc>
        <w:tc>
          <w:tcPr>
            <w:tcW w:type="dxa" w:w="2653"/>
            <w:shd w:val="clear" w:color="auto" w:fill="FAF8F2"/>
          </w:tcPr>
          <w:p>
            <w:pPr>
              <w:spacing w:after="0"/>
            </w:pPr>
            <w:r>
              <w:rPr>
                <w:color w:val="1D1D1D"/>
                <w:sz w:val="16"/>
              </w:rPr>
              <w:t>Risk-weighted development value;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one of the two fields</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15 and 16. It comes from the author's earlier policy paper on hydro and public liabilities, which is now a companion paper to this book.</w:t>
      </w:r>
    </w:p>
    <w:p>
      <w:pPr>
        <w:pStyle w:val="Heading2"/>
      </w:pPr>
      <w:r>
        <w:t>Conventions</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50"/>
            <w:shd w:val="clear" w:color="auto" w:fill="0B3020"/>
          </w:tcPr>
          <w:p>
            <w:pPr>
              <w:spacing w:after="0"/>
            </w:pPr>
            <w:r>
              <w:rPr>
                <w:b/>
                <w:color w:val="FFFFFF"/>
                <w:sz w:val="16"/>
              </w:rPr>
              <w:t>Number</w:t>
            </w:r>
          </w:p>
        </w:tc>
        <w:tc>
          <w:tcPr>
            <w:tcW w:type="dxa" w:w="1534"/>
            <w:shd w:val="clear" w:color="auto" w:fill="0B3020"/>
          </w:tcPr>
          <w:p>
            <w:pPr>
              <w:spacing w:after="0"/>
            </w:pPr>
            <w:r>
              <w:rPr>
                <w:b/>
                <w:color w:val="FFFFFF"/>
                <w:sz w:val="16"/>
              </w:rPr>
              <w:t>Value</w:t>
            </w:r>
          </w:p>
        </w:tc>
        <w:tc>
          <w:tcPr>
            <w:tcW w:type="dxa" w:w="2877"/>
            <w:shd w:val="clear" w:color="auto" w:fill="0B3020"/>
          </w:tcPr>
          <w:p>
            <w:pPr>
              <w:spacing w:after="0"/>
            </w:pPr>
            <w:r>
              <w:rPr>
                <w:b/>
                <w:color w:val="FFFFFF"/>
                <w:sz w:val="16"/>
              </w:rPr>
              <w:t>Status</w:t>
            </w:r>
          </w:p>
        </w:tc>
        <w:tc>
          <w:tcPr>
            <w:tcW w:type="dxa" w:w="2877"/>
            <w:shd w:val="clear" w:color="auto" w:fill="0B3020"/>
          </w:tcPr>
          <w:p>
            <w:pPr>
              <w:spacing w:after="0"/>
            </w:pPr>
            <w:r>
              <w:rPr>
                <w:b/>
                <w:color w:val="FFFFFF"/>
                <w:sz w:val="16"/>
              </w:rPr>
              <w:t>What it is not</w:t>
            </w:r>
          </w:p>
        </w:tc>
      </w:tr>
      <w:tr>
        <w:tc>
          <w:tcPr>
            <w:tcW w:type="dxa" w:w="2350"/>
          </w:tcPr>
          <w:p>
            <w:pPr>
              <w:spacing w:after="0"/>
            </w:pPr>
            <w:r>
              <w:rPr>
                <w:color w:val="1D1D1D"/>
                <w:sz w:val="16"/>
              </w:rPr>
              <w:t>Kasiri capacity factor</w:t>
            </w:r>
          </w:p>
        </w:tc>
        <w:tc>
          <w:tcPr>
            <w:tcW w:type="dxa" w:w="1534"/>
          </w:tcPr>
          <w:p>
            <w:pPr>
              <w:spacing w:after="0"/>
            </w:pPr>
            <w:r>
              <w:rPr>
                <w:color w:val="1D1D1D"/>
                <w:sz w:val="16"/>
              </w:rPr>
              <w:t>55.6%</w:t>
            </w:r>
          </w:p>
        </w:tc>
        <w:tc>
          <w:tcPr>
            <w:tcW w:type="dxa" w:w="2877"/>
          </w:tcPr>
          <w:p>
            <w:pPr>
              <w:spacing w:after="0"/>
            </w:pPr>
            <w:r>
              <w:rPr>
                <w:color w:val="1D1D1D"/>
                <w:sz w:val="16"/>
              </w:rPr>
              <w:t>Illustrative case output</w:t>
            </w:r>
          </w:p>
        </w:tc>
        <w:tc>
          <w:tcPr>
            <w:tcW w:type="dxa" w:w="2877"/>
          </w:tcPr>
          <w:p>
            <w:pPr>
              <w:spacing w:after="0"/>
            </w:pPr>
            <w:r>
              <w:rPr>
                <w:color w:val="1D1D1D"/>
                <w:sz w:val="16"/>
              </w:rPr>
              <w:t>A benchmark for African hydro; IRENA's figures are cited separately in Chapter 3</w:t>
            </w:r>
          </w:p>
        </w:tc>
      </w:tr>
      <w:tr>
        <w:tc>
          <w:tcPr>
            <w:tcW w:type="dxa" w:w="2350"/>
            <w:shd w:val="clear" w:color="auto" w:fill="FAF8F2"/>
          </w:tcPr>
          <w:p>
            <w:pPr>
              <w:spacing w:after="0"/>
            </w:pPr>
            <w:r>
              <w:rPr>
                <w:color w:val="1D1D1D"/>
                <w:sz w:val="16"/>
              </w:rPr>
              <w:t>Probability of reaching close from reconnaissance</w:t>
            </w:r>
          </w:p>
        </w:tc>
        <w:tc>
          <w:tcPr>
            <w:tcW w:type="dxa" w:w="1534"/>
            <w:shd w:val="clear" w:color="auto" w:fill="FAF8F2"/>
          </w:tcPr>
          <w:p>
            <w:pPr>
              <w:spacing w:after="0"/>
            </w:pPr>
            <w:r>
              <w:rPr>
                <w:color w:val="1D1D1D"/>
                <w:sz w:val="16"/>
              </w:rPr>
              <w:t>15%</w:t>
            </w:r>
          </w:p>
        </w:tc>
        <w:tc>
          <w:tcPr>
            <w:tcW w:type="dxa" w:w="2877"/>
            <w:shd w:val="clear" w:color="auto" w:fill="FAF8F2"/>
          </w:tcPr>
          <w:p>
            <w:pPr>
              <w:spacing w:after="0"/>
            </w:pPr>
            <w:r>
              <w:rPr>
                <w:color w:val="1D1D1D"/>
                <w:sz w:val="16"/>
              </w:rPr>
              <w:t>Model assumption, informed by Chapter 5</w:t>
            </w:r>
          </w:p>
        </w:tc>
        <w:tc>
          <w:tcPr>
            <w:tcW w:type="dxa" w:w="2877"/>
            <w:shd w:val="clear" w:color="auto" w:fill="FAF8F2"/>
          </w:tcPr>
          <w:p>
            <w:pPr>
              <w:spacing w:after="0"/>
            </w:pPr>
            <w:r>
              <w:rPr>
                <w:color w:val="1D1D1D"/>
                <w:sz w:val="16"/>
              </w:rPr>
              <w:t>A measured attrition rate; none is published for African hydro</w:t>
            </w:r>
          </w:p>
        </w:tc>
      </w:tr>
      <w:tr>
        <w:tc>
          <w:tcPr>
            <w:tcW w:type="dxa" w:w="2350"/>
          </w:tcPr>
          <w:p>
            <w:pPr>
              <w:spacing w:after="0"/>
            </w:pPr>
            <w:r>
              <w:rPr>
                <w:color w:val="1D1D1D"/>
                <w:sz w:val="16"/>
              </w:rPr>
              <w:t>Overrun at the reference-class median and mean</w:t>
            </w:r>
          </w:p>
        </w:tc>
        <w:tc>
          <w:tcPr>
            <w:tcW w:type="dxa" w:w="1534"/>
          </w:tcPr>
          <w:p>
            <w:pPr>
              <w:spacing w:after="0"/>
            </w:pPr>
            <w:r>
              <w:rPr>
                <w:color w:val="1D1D1D"/>
                <w:sz w:val="16"/>
              </w:rPr>
              <w:t>27% and 96%</w:t>
            </w:r>
          </w:p>
        </w:tc>
        <w:tc>
          <w:tcPr>
            <w:tcW w:type="dxa" w:w="2877"/>
          </w:tcPr>
          <w:p>
            <w:pPr>
              <w:spacing w:after="0"/>
            </w:pPr>
            <w:r>
              <w:rPr>
                <w:color w:val="1D1D1D"/>
                <w:sz w:val="16"/>
              </w:rPr>
              <w:t>Public evidence [HY-08]</w:t>
            </w:r>
          </w:p>
        </w:tc>
        <w:tc>
          <w:tcPr>
            <w:tcW w:type="dxa" w:w="2877"/>
          </w:tcPr>
          <w:p>
            <w:pPr>
              <w:spacing w:after="0"/>
            </w:pPr>
            <w:r>
              <w:rPr>
                <w:color w:val="1D1D1D"/>
                <w:sz w:val="16"/>
              </w:rPr>
              <w:t>A forecast for any one project</w:t>
            </w:r>
          </w:p>
        </w:tc>
      </w:tr>
      <w:tr>
        <w:tc>
          <w:tcPr>
            <w:tcW w:type="dxa" w:w="2350"/>
            <w:shd w:val="clear" w:color="auto" w:fill="FAF8F2"/>
          </w:tcPr>
          <w:p>
            <w:pPr>
              <w:spacing w:after="0"/>
            </w:pPr>
            <w:r>
              <w:rPr>
                <w:color w:val="1D1D1D"/>
                <w:sz w:val="16"/>
              </w:rPr>
              <w:t>Development premium</w:t>
            </w:r>
          </w:p>
        </w:tc>
        <w:tc>
          <w:tcPr>
            <w:tcW w:type="dxa" w:w="1534"/>
            <w:shd w:val="clear" w:color="auto" w:fill="FAF8F2"/>
          </w:tcPr>
          <w:p>
            <w:pPr>
              <w:spacing w:after="0"/>
            </w:pPr>
            <w:r>
              <w:rPr>
                <w:color w:val="1D1D1D"/>
                <w:sz w:val="16"/>
              </w:rPr>
              <w:t>3% of plant cost</w:t>
            </w:r>
          </w:p>
        </w:tc>
        <w:tc>
          <w:tcPr>
            <w:tcW w:type="dxa" w:w="2877"/>
            <w:shd w:val="clear" w:color="auto" w:fill="FAF8F2"/>
          </w:tcPr>
          <w:p>
            <w:pPr>
              <w:spacing w:after="0"/>
            </w:pPr>
            <w:r>
              <w:rPr>
                <w:color w:val="1D1D1D"/>
                <w:sz w:val="16"/>
              </w:rPr>
              <w:t>Model assumption</w:t>
            </w:r>
          </w:p>
        </w:tc>
        <w:tc>
          <w:tcPr>
            <w:tcW w:type="dxa" w:w="2877"/>
            <w:shd w:val="clear" w:color="auto" w:fill="FAF8F2"/>
          </w:tcPr>
          <w:p>
            <w:pPr>
              <w:spacing w:after="0"/>
            </w:pPr>
            <w:r>
              <w:rPr>
                <w:color w:val="1D1D1D"/>
                <w:sz w:val="16"/>
              </w:rPr>
              <w:t>A market rate; no public data were found [DE:BENCH]</w:t>
            </w:r>
          </w:p>
        </w:tc>
      </w:tr>
      <w:tr>
        <w:tc>
          <w:tcPr>
            <w:tcW w:type="dxa" w:w="2350"/>
          </w:tcPr>
          <w:p>
            <w:pPr>
              <w:spacing w:after="0"/>
            </w:pPr>
            <w:r>
              <w:rPr>
                <w:color w:val="1D1D1D"/>
                <w:sz w:val="16"/>
              </w:rPr>
              <w:t>Developer IRR on the success path</w:t>
            </w:r>
          </w:p>
        </w:tc>
        <w:tc>
          <w:tcPr>
            <w:tcW w:type="dxa" w:w="1534"/>
          </w:tcPr>
          <w:p>
            <w:pPr>
              <w:spacing w:after="0"/>
            </w:pPr>
            <w:r>
              <w:rPr>
                <w:color w:val="1D1D1D"/>
                <w:sz w:val="16"/>
              </w:rPr>
              <w:t>16.0%</w:t>
            </w:r>
          </w:p>
        </w:tc>
        <w:tc>
          <w:tcPr>
            <w:tcW w:type="dxa" w:w="2877"/>
          </w:tcPr>
          <w:p>
            <w:pPr>
              <w:spacing w:after="0"/>
            </w:pPr>
            <w:r>
              <w:rPr>
                <w:color w:val="1D1D1D"/>
                <w:sz w:val="16"/>
              </w:rPr>
              <w:t>Illustrative case output</w:t>
            </w:r>
          </w:p>
        </w:tc>
        <w:tc>
          <w:tcPr>
            <w:tcW w:type="dxa" w:w="2877"/>
          </w:tcPr>
          <w:p>
            <w:pPr>
              <w:spacing w:after="0"/>
            </w:pPr>
            <w:r>
              <w:rPr>
                <w:color w:val="1D1D1D"/>
                <w:sz w:val="16"/>
              </w:rPr>
              <w:t>An expected return</w:t>
            </w:r>
          </w:p>
        </w:tc>
      </w:tr>
      <w:tr>
        <w:tc>
          <w:tcPr>
            <w:tcW w:type="dxa" w:w="2350"/>
            <w:shd w:val="clear" w:color="auto" w:fill="FAF8F2"/>
          </w:tcPr>
          <w:p>
            <w:pPr>
              <w:spacing w:after="0"/>
            </w:pPr>
            <w:r>
              <w:rPr>
                <w:color w:val="1D1D1D"/>
                <w:sz w:val="16"/>
              </w:rPr>
              <w:t>Developer's risk-weighted NPV</w:t>
            </w:r>
          </w:p>
        </w:tc>
        <w:tc>
          <w:tcPr>
            <w:tcW w:type="dxa" w:w="1534"/>
            <w:shd w:val="clear" w:color="auto" w:fill="FAF8F2"/>
          </w:tcPr>
          <w:p>
            <w:pPr>
              <w:spacing w:after="0"/>
            </w:pPr>
            <w:r>
              <w:rPr>
                <w:color w:val="1D1D1D"/>
                <w:sz w:val="16"/>
              </w:rPr>
              <w:t>USD −0.95 million</w:t>
            </w:r>
          </w:p>
        </w:tc>
        <w:tc>
          <w:tcPr>
            <w:tcW w:type="dxa" w:w="2877"/>
            <w:shd w:val="clear" w:color="auto" w:fill="FAF8F2"/>
          </w:tcPr>
          <w:p>
            <w:pPr>
              <w:spacing w:after="0"/>
            </w:pPr>
            <w:r>
              <w:rPr>
                <w:color w:val="1D1D1D"/>
                <w:sz w:val="16"/>
              </w:rPr>
              <w:t>Illustrative case output</w:t>
            </w:r>
          </w:p>
        </w:tc>
        <w:tc>
          <w:tcPr>
            <w:tcW w:type="dxa" w:w="2877"/>
            <w:shd w:val="clear" w:color="auto" w:fill="FAF8F2"/>
          </w:tcPr>
          <w:p>
            <w:pPr>
              <w:spacing w:after="0"/>
            </w:pPr>
            <w:r>
              <w:rPr>
                <w:color w:val="1D1D1D"/>
                <w:sz w:val="16"/>
              </w:rPr>
              <w:t>A valuation of any real position</w:t>
            </w:r>
          </w:p>
        </w:tc>
      </w:tr>
      <w:tr>
        <w:tc>
          <w:tcPr>
            <w:tcW w:type="dxa" w:w="2350"/>
          </w:tcPr>
          <w:p>
            <w:pPr>
              <w:spacing w:after="0"/>
            </w:pPr>
            <w:r>
              <w:rPr>
                <w:color w:val="1D1D1D"/>
                <w:sz w:val="16"/>
              </w:rPr>
              <w:t>Financial close decision</w:t>
            </w:r>
          </w:p>
        </w:tc>
        <w:tc>
          <w:tcPr>
            <w:tcW w:type="dxa" w:w="1534"/>
          </w:tcPr>
          <w:p>
            <w:pPr>
              <w:spacing w:after="0"/>
            </w:pPr>
            <w:r>
              <w:rPr>
                <w:color w:val="1D1D1D"/>
                <w:sz w:val="16"/>
              </w:rPr>
              <w:t>STOP: a critical gate is not met</w:t>
            </w:r>
          </w:p>
        </w:tc>
        <w:tc>
          <w:tcPr>
            <w:tcW w:type="dxa" w:w="2877"/>
          </w:tcPr>
          <w:p>
            <w:pPr>
              <w:spacing w:after="0"/>
            </w:pPr>
            <w:r>
              <w:rPr>
                <w:color w:val="1D1D1D"/>
                <w:sz w:val="16"/>
              </w:rPr>
              <w:t>Illustrative case output, from evidence statuses entered for the case</w:t>
            </w:r>
          </w:p>
        </w:tc>
        <w:tc>
          <w:tcPr>
            <w:tcW w:type="dxa" w:w="2877"/>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0.3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tested in LibreOffice, adversarially reviewed and corrected);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2" name="Picture 2"/>
            <wp:cNvGraphicFramePr>
              <a:graphicFrameLocks noChangeAspect="1"/>
            </wp:cNvGraphicFramePr>
            <a:graphic>
              <a:graphicData uri="http://schemas.openxmlformats.org/drawingml/2006/picture">
                <pic:pic>
                  <pic:nvPicPr>
                    <pic:cNvPr id="0" name="fig0_1_framework.png"/>
                    <pic:cNvPicPr/>
                  </pic:nvPicPr>
                  <pic:blipFill>
                    <a:blip r:embed="rId12"/>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[A2:S30].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that the private share of hydro capacity falls sharply with plant size [HY-06]. Uganda's GET FiT programme supported a portfolio of small private hydro plants, with about EUR 94 million of public money mobilising about EUR 450 million of private investment according to KfW [DE:S35].</w:t>
      </w:r>
    </w:p>
    <w:p>
      <w:pPr>
        <w:jc w:val="both"/>
      </w:pPr>
      <w:r>
        <w:rPr/>
        <w:t>Development finance institutions increasingly co-develop. IFC InfraVentures typically funds a minority share of development costs and an average ticket of about USD 4 million per project [DE:S2]. The African Development Bank's Sustainable Energy Fund for Africa has provided project preparation grants of around USD 1 million to small hydro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stalled since about 2009 [A2:S20].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in 2024 the water allocation for generation was cut by about half,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The companion workbook, MODEL 7, is an annual, 40 period model with 38 sheets and about 11,000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sets a minimum of about 15 years of hydrological data for lenders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reports a weighted average capacity factor of 55 percent for small hydro commissioned in Africa between 2018 and 2024, within a 5th to 95th percentile band of 50 to 66 percent [HY-01].</w:t>
      </w:r>
    </w:p>
    <w:p>
      <w:pPr>
        <w:jc w:val="center"/>
      </w:pPr>
      <w:r>
        <w:drawing>
          <wp:inline xmlns:a="http://schemas.openxmlformats.org/drawingml/2006/main" xmlns:pic="http://schemas.openxmlformats.org/drawingml/2006/picture">
            <wp:extent cx="5400000" cy="2182978"/>
            <wp:docPr id="3" name="Picture 3"/>
            <wp:cNvGraphicFramePr>
              <a:graphicFrameLocks noChangeAspect="1"/>
            </wp:cNvGraphicFramePr>
            <a:graphic>
              <a:graphicData uri="http://schemas.openxmlformats.org/drawingml/2006/picture">
                <pic:pic>
                  <pic:nvPicPr>
                    <pic:cNvPr id="0" name="fig2_1_hydrology.png"/>
                    <pic:cNvPicPr/>
                  </pic:nvPicPr>
                  <pic:blipFill>
                    <a:blip r:embed="rId13"/>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For a bankable estimate, energy should be computed month by month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In 2024 the water allocation for generation at Kariba was cut from 30 to 16 billion cubic metres, according to news reporting [CL-04]. The model's default of 55 percent of normal flow for three years is set close to that event.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supply disruption across interconnected systems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IRENA reports capacity factors for newly commissioned African large hydro of 33, 48 and 81 percent at the 5th percentile, weighted average and 95th percentile, and 50, 55 and 66 percent for small hydro [HY-01]. Kasiri's 55.6% sits at the small-hydro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about USD 4,084 per kW for small hydro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follows the IFC's median of 9.8 percent of total plant cost, within a range of 5.4 to 12.6 percent [DE:S1].</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these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 for this chapter is Annexes N, O and P, which sets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and corruption investigations followed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an assumed term of 25 years. That is well above the standard tariffs quoted above, for two reasons: Kasiri's unit cost is higher than the plants those tariffs were set for, and it is not eligible for a standard tariff. Chapter 12 shows how close the tariff is to the level the project needs, and Chapter 14 shows how the developer's return depends on it. A tariff of 116 USD per MWh in 2026 dollars would bring the private equity return to the 15 percent target.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Programmes of that kind change the developer's cash flow profile more than its long-run returns, because they arrive early, when equity is most expensive.</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put the total time from development to commercial operation for hydro at eight to ten years [DE:S2]. Ngonye Falls in Zambia has been in development for more than a decade without reaching financial close [DE:S3], and Nyagak III in Uganda took about ten years from award to commissioning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also might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midway through permitting and PPA negotiations.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stage with a higher probability of success is worth more than spending that cannot.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4" name="Picture 4"/>
            <wp:cNvGraphicFramePr>
              <a:graphicFrameLocks noChangeAspect="1"/>
            </wp:cNvGraphicFramePr>
            <a:graphic>
              <a:graphicData uri="http://schemas.openxmlformats.org/drawingml/2006/picture">
                <pic:pic>
                  <pic:nvPicPr>
                    <pic:cNvPr id="0" name="fig6_1_position_value.png"/>
                    <pic:cNvPicPr/>
                  </pic:nvPicPr>
                  <pic:blipFill>
                    <a:blip r:embed="rId14"/>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58"/>
            <w:shd w:val="clear" w:color="auto" w:fill="0B3020"/>
          </w:tcPr>
          <w:p>
            <w:pPr>
              <w:spacing w:after="0"/>
            </w:pPr>
            <w:r>
              <w:rPr>
                <w:b/>
                <w:color w:val="FFFFFF"/>
                <w:sz w:val="16"/>
              </w:rPr>
              <w:t>Consent</w:t>
            </w:r>
          </w:p>
        </w:tc>
        <w:tc>
          <w:tcPr>
            <w:tcW w:type="dxa" w:w="2259"/>
            <w:shd w:val="clear" w:color="auto" w:fill="0B3020"/>
          </w:tcPr>
          <w:p>
            <w:pPr>
              <w:spacing w:after="0"/>
            </w:pPr>
            <w:r>
              <w:rPr>
                <w:b/>
                <w:color w:val="FFFFFF"/>
                <w:sz w:val="16"/>
              </w:rPr>
              <w:t>Typical authority</w:t>
            </w:r>
          </w:p>
        </w:tc>
        <w:tc>
          <w:tcPr>
            <w:tcW w:type="dxa" w:w="2460"/>
            <w:shd w:val="clear" w:color="auto" w:fill="0B3020"/>
          </w:tcPr>
          <w:p>
            <w:pPr>
              <w:spacing w:after="0"/>
            </w:pPr>
            <w:r>
              <w:rPr>
                <w:b/>
                <w:color w:val="FFFFFF"/>
                <w:sz w:val="16"/>
              </w:rPr>
              <w:t>Depends on</w:t>
            </w:r>
          </w:p>
        </w:tc>
        <w:tc>
          <w:tcPr>
            <w:tcW w:type="dxa" w:w="2761"/>
            <w:shd w:val="clear" w:color="auto" w:fill="0B3020"/>
          </w:tcPr>
          <w:p>
            <w:pPr>
              <w:spacing w:after="0"/>
            </w:pPr>
            <w:r>
              <w:rPr>
                <w:b/>
                <w:color w:val="FFFFFF"/>
                <w:sz w:val="16"/>
              </w:rPr>
              <w:t>Why lenders care</w:t>
            </w:r>
          </w:p>
        </w:tc>
      </w:tr>
      <w:tr>
        <w:tc>
          <w:tcPr>
            <w:tcW w:type="dxa" w:w="2158"/>
          </w:tcPr>
          <w:p>
            <w:pPr>
              <w:spacing w:after="0"/>
            </w:pPr>
            <w:r>
              <w:rPr>
                <w:color w:val="1D1D1D"/>
                <w:sz w:val="16"/>
              </w:rPr>
              <w:t>Water use permit or water right</w:t>
            </w:r>
          </w:p>
        </w:tc>
        <w:tc>
          <w:tcPr>
            <w:tcW w:type="dxa" w:w="2259"/>
          </w:tcPr>
          <w:p>
            <w:pPr>
              <w:spacing w:after="0"/>
            </w:pPr>
            <w:r>
              <w:rPr>
                <w:color w:val="1D1D1D"/>
                <w:sz w:val="16"/>
              </w:rPr>
              <w:t>Water resources authority</w:t>
            </w:r>
          </w:p>
        </w:tc>
        <w:tc>
          <w:tcPr>
            <w:tcW w:type="dxa" w:w="2460"/>
          </w:tcPr>
          <w:p>
            <w:pPr>
              <w:spacing w:after="0"/>
            </w:pPr>
            <w:r>
              <w:rPr>
                <w:color w:val="1D1D1D"/>
                <w:sz w:val="16"/>
              </w:rPr>
              <w:t>Hydrology study, environmental flow</w:t>
            </w:r>
          </w:p>
        </w:tc>
        <w:tc>
          <w:tcPr>
            <w:tcW w:type="dxa" w:w="2761"/>
          </w:tcPr>
          <w:p>
            <w:pPr>
              <w:spacing w:after="0"/>
            </w:pPr>
            <w:r>
              <w:rPr>
                <w:color w:val="1D1D1D"/>
                <w:sz w:val="16"/>
              </w:rPr>
              <w:t>Without it, the project has no legal right to the river</w:t>
            </w:r>
          </w:p>
        </w:tc>
      </w:tr>
      <w:tr>
        <w:tc>
          <w:tcPr>
            <w:tcW w:type="dxa" w:w="2158"/>
            <w:shd w:val="clear" w:color="auto" w:fill="FAF8F2"/>
          </w:tcPr>
          <w:p>
            <w:pPr>
              <w:spacing w:after="0"/>
            </w:pPr>
            <w:r>
              <w:rPr>
                <w:color w:val="1D1D1D"/>
                <w:sz w:val="16"/>
              </w:rPr>
              <w:t>Environmental and social approval</w:t>
            </w:r>
          </w:p>
        </w:tc>
        <w:tc>
          <w:tcPr>
            <w:tcW w:type="dxa" w:w="2259"/>
            <w:shd w:val="clear" w:color="auto" w:fill="FAF8F2"/>
          </w:tcPr>
          <w:p>
            <w:pPr>
              <w:spacing w:after="0"/>
            </w:pPr>
            <w:r>
              <w:rPr>
                <w:color w:val="1D1D1D"/>
                <w:sz w:val="16"/>
              </w:rPr>
              <w:t>Environment agency</w:t>
            </w:r>
          </w:p>
        </w:tc>
        <w:tc>
          <w:tcPr>
            <w:tcW w:type="dxa" w:w="2460"/>
            <w:shd w:val="clear" w:color="auto" w:fill="FAF8F2"/>
          </w:tcPr>
          <w:p>
            <w:pPr>
              <w:spacing w:after="0"/>
            </w:pPr>
            <w:r>
              <w:rPr>
                <w:color w:val="1D1D1D"/>
                <w:sz w:val="16"/>
              </w:rPr>
              <w:t>ESIA, public consultation</w:t>
            </w:r>
          </w:p>
        </w:tc>
        <w:tc>
          <w:tcPr>
            <w:tcW w:type="dxa" w:w="2761"/>
            <w:shd w:val="clear" w:color="auto" w:fill="FAF8F2"/>
          </w:tcPr>
          <w:p>
            <w:pPr>
              <w:spacing w:after="0"/>
            </w:pPr>
            <w:r>
              <w:rPr>
                <w:color w:val="1D1D1D"/>
                <w:sz w:val="16"/>
              </w:rPr>
              <w:t>Condition of lending under international standards</w:t>
            </w:r>
          </w:p>
        </w:tc>
      </w:tr>
      <w:tr>
        <w:tc>
          <w:tcPr>
            <w:tcW w:type="dxa" w:w="2158"/>
          </w:tcPr>
          <w:p>
            <w:pPr>
              <w:spacing w:after="0"/>
            </w:pPr>
            <w:r>
              <w:rPr>
                <w:color w:val="1D1D1D"/>
                <w:sz w:val="16"/>
              </w:rPr>
              <w:t>Generation licence</w:t>
            </w:r>
          </w:p>
        </w:tc>
        <w:tc>
          <w:tcPr>
            <w:tcW w:type="dxa" w:w="2259"/>
          </w:tcPr>
          <w:p>
            <w:pPr>
              <w:spacing w:after="0"/>
            </w:pPr>
            <w:r>
              <w:rPr>
                <w:color w:val="1D1D1D"/>
                <w:sz w:val="16"/>
              </w:rPr>
              <w:t>Electricity regulator</w:t>
            </w:r>
          </w:p>
        </w:tc>
        <w:tc>
          <w:tcPr>
            <w:tcW w:type="dxa" w:w="2460"/>
          </w:tcPr>
          <w:p>
            <w:pPr>
              <w:spacing w:after="0"/>
            </w:pPr>
            <w:r>
              <w:rPr>
                <w:color w:val="1D1D1D"/>
                <w:sz w:val="16"/>
              </w:rPr>
              <w:t>Feasibility, water permit, environmental approval</w:t>
            </w:r>
          </w:p>
        </w:tc>
        <w:tc>
          <w:tcPr>
            <w:tcW w:type="dxa" w:w="2761"/>
          </w:tcPr>
          <w:p>
            <w:pPr>
              <w:spacing w:after="0"/>
            </w:pPr>
            <w:r>
              <w:rPr>
                <w:color w:val="1D1D1D"/>
                <w:sz w:val="16"/>
              </w:rPr>
              <w:t>Required to sell power</w:t>
            </w:r>
          </w:p>
        </w:tc>
      </w:tr>
      <w:tr>
        <w:tc>
          <w:tcPr>
            <w:tcW w:type="dxa" w:w="2158"/>
            <w:shd w:val="clear" w:color="auto" w:fill="FAF8F2"/>
          </w:tcPr>
          <w:p>
            <w:pPr>
              <w:spacing w:after="0"/>
            </w:pPr>
            <w:r>
              <w:rPr>
                <w:color w:val="1D1D1D"/>
                <w:sz w:val="16"/>
              </w:rPr>
              <w:t>Land rights and resettlement</w:t>
            </w:r>
          </w:p>
        </w:tc>
        <w:tc>
          <w:tcPr>
            <w:tcW w:type="dxa" w:w="2259"/>
            <w:shd w:val="clear" w:color="auto" w:fill="FAF8F2"/>
          </w:tcPr>
          <w:p>
            <w:pPr>
              <w:spacing w:after="0"/>
            </w:pPr>
            <w:r>
              <w:rPr>
                <w:color w:val="1D1D1D"/>
                <w:sz w:val="16"/>
              </w:rPr>
              <w:t>Land authority, local government, communities</w:t>
            </w:r>
          </w:p>
        </w:tc>
        <w:tc>
          <w:tcPr>
            <w:tcW w:type="dxa" w:w="2460"/>
            <w:shd w:val="clear" w:color="auto" w:fill="FAF8F2"/>
          </w:tcPr>
          <w:p>
            <w:pPr>
              <w:spacing w:after="0"/>
            </w:pPr>
            <w:r>
              <w:rPr>
                <w:color w:val="1D1D1D"/>
                <w:sz w:val="16"/>
              </w:rPr>
              <w:t>Resettlement action plan, compensation</w:t>
            </w:r>
          </w:p>
        </w:tc>
        <w:tc>
          <w:tcPr>
            <w:tcW w:type="dxa" w:w="2761"/>
            <w:shd w:val="clear" w:color="auto" w:fill="FAF8F2"/>
          </w:tcPr>
          <w:p>
            <w:pPr>
              <w:spacing w:after="0"/>
            </w:pPr>
            <w:r>
              <w:rPr>
                <w:color w:val="1D1D1D"/>
                <w:sz w:val="16"/>
              </w:rPr>
              <w:t>Access for construction; reputational risk</w:t>
            </w:r>
          </w:p>
        </w:tc>
      </w:tr>
      <w:tr>
        <w:tc>
          <w:tcPr>
            <w:tcW w:type="dxa" w:w="2158"/>
          </w:tcPr>
          <w:p>
            <w:pPr>
              <w:spacing w:after="0"/>
            </w:pPr>
            <w:r>
              <w:rPr>
                <w:color w:val="1D1D1D"/>
                <w:sz w:val="16"/>
              </w:rPr>
              <w:t>Concession or implementation agreement</w:t>
            </w:r>
          </w:p>
        </w:tc>
        <w:tc>
          <w:tcPr>
            <w:tcW w:type="dxa" w:w="2259"/>
          </w:tcPr>
          <w:p>
            <w:pPr>
              <w:spacing w:after="0"/>
            </w:pPr>
            <w:r>
              <w:rPr>
                <w:color w:val="1D1D1D"/>
                <w:sz w:val="16"/>
              </w:rPr>
              <w:t>Government (energy and finance ministries)</w:t>
            </w:r>
          </w:p>
        </w:tc>
        <w:tc>
          <w:tcPr>
            <w:tcW w:type="dxa" w:w="2460"/>
          </w:tcPr>
          <w:p>
            <w:pPr>
              <w:spacing w:after="0"/>
            </w:pPr>
            <w:r>
              <w:rPr>
                <w:color w:val="1D1D1D"/>
                <w:sz w:val="16"/>
              </w:rPr>
              <w:t>Licence, PPA</w:t>
            </w:r>
          </w:p>
        </w:tc>
        <w:tc>
          <w:tcPr>
            <w:tcW w:type="dxa" w:w="2761"/>
          </w:tcPr>
          <w:p>
            <w:pPr>
              <w:spacing w:after="0"/>
            </w:pPr>
            <w:r>
              <w:rPr>
                <w:color w:val="1D1D1D"/>
                <w:sz w:val="16"/>
              </w:rPr>
              <w:t>Defines state obligations, including termination</w:t>
            </w:r>
          </w:p>
        </w:tc>
      </w:tr>
      <w:tr>
        <w:tc>
          <w:tcPr>
            <w:tcW w:type="dxa" w:w="2158"/>
            <w:shd w:val="clear" w:color="auto" w:fill="FAF8F2"/>
          </w:tcPr>
          <w:p>
            <w:pPr>
              <w:spacing w:after="0"/>
            </w:pPr>
            <w:r>
              <w:rPr>
                <w:color w:val="1D1D1D"/>
                <w:sz w:val="16"/>
              </w:rPr>
              <w:t>Grid connection agreement</w:t>
            </w:r>
          </w:p>
        </w:tc>
        <w:tc>
          <w:tcPr>
            <w:tcW w:type="dxa" w:w="2259"/>
            <w:shd w:val="clear" w:color="auto" w:fill="FAF8F2"/>
          </w:tcPr>
          <w:p>
            <w:pPr>
              <w:spacing w:after="0"/>
            </w:pPr>
            <w:r>
              <w:rPr>
                <w:color w:val="1D1D1D"/>
                <w:sz w:val="16"/>
              </w:rPr>
              <w:t>Transmission company or utility</w:t>
            </w:r>
          </w:p>
        </w:tc>
        <w:tc>
          <w:tcPr>
            <w:tcW w:type="dxa" w:w="2460"/>
            <w:shd w:val="clear" w:color="auto" w:fill="FAF8F2"/>
          </w:tcPr>
          <w:p>
            <w:pPr>
              <w:spacing w:after="0"/>
            </w:pPr>
            <w:r>
              <w:rPr>
                <w:color w:val="1D1D1D"/>
                <w:sz w:val="16"/>
              </w:rPr>
              <w:t>Grid study</w:t>
            </w:r>
          </w:p>
        </w:tc>
        <w:tc>
          <w:tcPr>
            <w:tcW w:type="dxa" w:w="2761"/>
            <w:shd w:val="clear" w:color="auto" w:fill="FAF8F2"/>
          </w:tcPr>
          <w:p>
            <w:pPr>
              <w:spacing w:after="0"/>
            </w:pPr>
            <w:r>
              <w:rPr>
                <w:color w:val="1D1D1D"/>
                <w:sz w:val="16"/>
              </w:rPr>
              <w:t>Evacuation and deemed energy</w:t>
            </w:r>
          </w:p>
        </w:tc>
      </w:tr>
      <w:tr>
        <w:tc>
          <w:tcPr>
            <w:tcW w:type="dxa" w:w="2158"/>
          </w:tcPr>
          <w:p>
            <w:pPr>
              <w:spacing w:after="0"/>
            </w:pPr>
            <w:r>
              <w:rPr>
                <w:color w:val="1D1D1D"/>
                <w:sz w:val="16"/>
              </w:rPr>
              <w:t>Dam safety approval</w:t>
            </w:r>
          </w:p>
        </w:tc>
        <w:tc>
          <w:tcPr>
            <w:tcW w:type="dxa" w:w="2259"/>
          </w:tcPr>
          <w:p>
            <w:pPr>
              <w:spacing w:after="0"/>
            </w:pPr>
            <w:r>
              <w:rPr>
                <w:color w:val="1D1D1D"/>
                <w:sz w:val="16"/>
              </w:rPr>
              <w:t>Dam safety authority, where one exists</w:t>
            </w:r>
          </w:p>
        </w:tc>
        <w:tc>
          <w:tcPr>
            <w:tcW w:type="dxa" w:w="2460"/>
          </w:tcPr>
          <w:p>
            <w:pPr>
              <w:spacing w:after="0"/>
            </w:pPr>
            <w:r>
              <w:rPr>
                <w:color w:val="1D1D1D"/>
                <w:sz w:val="16"/>
              </w:rPr>
              <w:t>Design review</w:t>
            </w:r>
          </w:p>
        </w:tc>
        <w:tc>
          <w:tcPr>
            <w:tcW w:type="dxa" w:w="2761"/>
          </w:tcPr>
          <w:p>
            <w:pPr>
              <w:spacing w:after="0"/>
            </w:pPr>
            <w:r>
              <w:rPr>
                <w:color w:val="1D1D1D"/>
                <w:sz w:val="16"/>
              </w:rPr>
              <w:t>Lenders apply international dam safety practice [HY-15]</w:t>
            </w:r>
          </w:p>
        </w:tc>
      </w:tr>
      <w:tr>
        <w:tc>
          <w:tcPr>
            <w:tcW w:type="dxa" w:w="2158"/>
            <w:shd w:val="clear" w:color="auto" w:fill="FAF8F2"/>
          </w:tcPr>
          <w:p>
            <w:pPr>
              <w:spacing w:after="0"/>
            </w:pPr>
            <w:r>
              <w:rPr>
                <w:color w:val="1D1D1D"/>
                <w:sz w:val="16"/>
              </w:rPr>
              <w:t>Tax, customs and exchange control approvals</w:t>
            </w:r>
          </w:p>
        </w:tc>
        <w:tc>
          <w:tcPr>
            <w:tcW w:type="dxa" w:w="2259"/>
            <w:shd w:val="clear" w:color="auto" w:fill="FAF8F2"/>
          </w:tcPr>
          <w:p>
            <w:pPr>
              <w:spacing w:after="0"/>
            </w:pPr>
            <w:r>
              <w:rPr>
                <w:color w:val="1D1D1D"/>
                <w:sz w:val="16"/>
              </w:rPr>
              <w:t>Revenue authority, central bank</w:t>
            </w:r>
          </w:p>
        </w:tc>
        <w:tc>
          <w:tcPr>
            <w:tcW w:type="dxa" w:w="2460"/>
            <w:shd w:val="clear" w:color="auto" w:fill="FAF8F2"/>
          </w:tcPr>
          <w:p>
            <w:pPr>
              <w:spacing w:after="0"/>
            </w:pPr>
            <w:r>
              <w:rPr>
                <w:color w:val="1D1D1D"/>
                <w:sz w:val="16"/>
              </w:rPr>
              <w:t>Investment registration</w:t>
            </w:r>
          </w:p>
        </w:tc>
        <w:tc>
          <w:tcPr>
            <w:tcW w:type="dxa" w:w="2761"/>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regulator has up to 180 days to process a generation licence application, according to a secondary source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provides a sector-specific framework that some lenders and buyers ask for [HY-03].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readiness sheet reads NOT MET.</w:t>
      </w:r>
    </w:p>
    <w:p>
      <w:pPr>
        <w:pStyle w:val="Heading2"/>
      </w:pPr>
      <w:r>
        <w:t>7.4 Resettlement</w:t>
      </w:r>
    </w:p>
    <w:p>
      <w:pPr>
        <w:jc w:val="both"/>
      </w:pPr>
      <w:r>
        <w:rPr/>
        <w:t>Resettlement is the consent most likely to delay construction and the one with the largest reputational risk. Lenders expect a resettlement action plan that is approved, budgeted and implemented before the land is needed. At Rusumo Falls, land acquisition and livelihood restoration costs roughly doubled during implementation, from about USD 18 million to about USD 38 million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Gates 5 to 8 of </w:t>
      </w:r>
      <w:r>
        <w:rPr>
          <w:i/>
        </w:rPr>
        <w:t>30A_CLOSE_READINESS</w:t>
      </w:r>
      <w:r>
        <w:rPr/>
        <w:t xml:space="preserve">.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The two consistency issues to resolve before close are the gap between the PPA and the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sets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gives a sobering comparison. Across 245 large dams, the median real cost overrun was 27 percent and the mean 96 percent [HY-08]. That study covers large dams, so it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cost about USD 862 million against about USD 582 million for the 2001 design, an increase of about 48 percent driven by re-procurement and escalation [A2:S48; A2:S52]. Bui in Ghana rose from about USD 622 million to about USD 790 million, some 27 percent [A1:S38]. At Rusumo Falls, shared by Rwanda, Tanzania and Burundi, the civil works rose by about 47 percent and the cost of resettlement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[A1:S59;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 monthly, equity-first draw schedule is on the list of extensions in Annex K.</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with fees </w:t>
      </w:r>
      <w:r>
        <w:rPr>
          <w:i/>
        </w:rPr>
        <w:t>f</w:t>
      </w:r>
      <w:r>
        <w:rPr/>
        <w:t xml:space="preserve">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sets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IRENA reports fixed operation and maintenance costs for hydro of 1 to 3 percent of installed cost a year,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World Bank guidance on operation and maintenance strategies for hydro sets out how to plan for such costs [HY-07].</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Uganda's Isimba plant was reported to have about 700 defects at handover [A2:S34; A2:S35], and the contractor at Karuma asked for an additional Shs 148 billion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sets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Commercial tenors for African hydro are rarely longer than fifteen to eighteen years [PF-13]. Kikagati in Uganda closed with a 16-year loan from FMO and the Emerging Africa Infrastructure Fund [DE:S53]. Bugoye was refinanced in 2017 with 12-year debt [DE:S30]. Nachtigal raised an 18-year euro tranche and a 21-year local-currency tranche guaranteed by IBRD [PF-11].</w:t>
      </w:r>
    </w:p>
    <w:p>
      <w:pPr>
        <w:jc w:val="both"/>
      </w:pPr>
      <w:r>
        <w:rPr/>
        <w:t>Kasiri's senior debt has a 16-year repayment period after commercial operation at 8 percent, fixed or swapped for three quarters of the amount, with a target DSCR of 1.35 for sizing.</w:t>
      </w:r>
    </w:p>
    <w:p>
      <w:pPr>
        <w:pStyle w:val="Heading2"/>
      </w:pPr>
      <w:r>
        <w:t>12.2 Gearing and cover</w:t>
      </w:r>
    </w:p>
    <w:p>
      <w:pPr>
        <w:jc w:val="both"/>
      </w:pPr>
      <w:r>
        <w:rPr/>
        <w:t>Public evidence on gearing for small and medium African hydro sits between about 62 and 76 percent of total cost: about 70 percent at Nyamagasani 1, 75 percent at Nyamagasani 2 and about 62 percent at Kikagati (derived) [DE:S39b; DE:S39c; DE:S53]. The IFC's guide indicates DSCR targets of 1.2 to 1.5, with cover above 1.0 in the worst dry year [DE:S1]. The most specific public covenant evidence for a large African hydro IPP is Nachtigal's lenders' base case, with a minimum DSCR of 1.45 and an average of 1.53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capital cost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4072"/>
            <w:shd w:val="clear" w:color="auto" w:fill="0B3020"/>
          </w:tcPr>
          <w:p>
            <w:pPr>
              <w:spacing w:after="0"/>
            </w:pPr>
            <w:r>
              <w:rPr>
                <w:b/>
                <w:color w:val="FFFFFF"/>
                <w:sz w:val="16"/>
              </w:rPr>
              <w:t>Lender case</w:t>
            </w:r>
          </w:p>
        </w:tc>
        <w:tc>
          <w:tcPr>
            <w:tcW w:type="dxa" w:w="2715"/>
            <w:shd w:val="clear" w:color="auto" w:fill="0B3020"/>
          </w:tcPr>
          <w:p>
            <w:pPr>
              <w:spacing w:after="0"/>
            </w:pPr>
            <w:r>
              <w:rPr>
                <w:b/>
                <w:color w:val="FFFFFF"/>
                <w:sz w:val="16"/>
              </w:rPr>
              <w:t>Debt capacity (USDm)</w:t>
            </w:r>
          </w:p>
        </w:tc>
        <w:tc>
          <w:tcPr>
            <w:tcW w:type="dxa" w:w="2851"/>
            <w:shd w:val="clear" w:color="auto" w:fill="0B3020"/>
          </w:tcPr>
          <w:p>
            <w:pPr>
              <w:spacing w:after="0"/>
            </w:pPr>
            <w:r>
              <w:rPr>
                <w:b/>
                <w:color w:val="FFFFFF"/>
                <w:sz w:val="16"/>
              </w:rPr>
              <w:t>Gearing on total uses</w:t>
            </w:r>
          </w:p>
        </w:tc>
      </w:tr>
      <w:tr>
        <w:tc>
          <w:tcPr>
            <w:tcW w:type="dxa" w:w="4072"/>
          </w:tcPr>
          <w:p>
            <w:pPr>
              <w:spacing w:after="0"/>
            </w:pPr>
            <w:r>
              <w:rPr>
                <w:color w:val="1D1D1D"/>
                <w:sz w:val="16"/>
              </w:rPr>
              <w:t>P90 ten-year average (default)</w:t>
            </w:r>
          </w:p>
        </w:tc>
        <w:tc>
          <w:tcPr>
            <w:tcW w:type="dxa" w:w="2715"/>
          </w:tcPr>
          <w:p>
            <w:pPr>
              <w:spacing w:after="0"/>
            </w:pPr>
            <w:r>
              <w:rPr>
                <w:color w:val="1D1D1D"/>
                <w:sz w:val="16"/>
              </w:rPr>
              <w:t>145</w:t>
            </w:r>
          </w:p>
        </w:tc>
        <w:tc>
          <w:tcPr>
            <w:tcW w:type="dxa" w:w="2851"/>
          </w:tcPr>
          <w:p>
            <w:pPr>
              <w:spacing w:after="0"/>
            </w:pPr>
            <w:r>
              <w:rPr>
                <w:color w:val="1D1D1D"/>
                <w:sz w:val="16"/>
              </w:rPr>
              <w:t>68%</w:t>
            </w:r>
          </w:p>
        </w:tc>
      </w:tr>
      <w:tr>
        <w:tc>
          <w:tcPr>
            <w:tcW w:type="dxa" w:w="4072"/>
            <w:shd w:val="clear" w:color="auto" w:fill="FAF8F2"/>
          </w:tcPr>
          <w:p>
            <w:pPr>
              <w:spacing w:after="0"/>
            </w:pPr>
            <w:r>
              <w:rPr>
                <w:color w:val="1D1D1D"/>
                <w:sz w:val="16"/>
              </w:rPr>
              <w:t>P90 one-year, every year</w:t>
            </w:r>
          </w:p>
        </w:tc>
        <w:tc>
          <w:tcPr>
            <w:tcW w:type="dxa" w:w="2715"/>
            <w:shd w:val="clear" w:color="auto" w:fill="FAF8F2"/>
          </w:tcPr>
          <w:p>
            <w:pPr>
              <w:spacing w:after="0"/>
            </w:pPr>
            <w:r>
              <w:rPr>
                <w:color w:val="1D1D1D"/>
                <w:sz w:val="16"/>
              </w:rPr>
              <w:t>127</w:t>
            </w:r>
          </w:p>
        </w:tc>
        <w:tc>
          <w:tcPr>
            <w:tcW w:type="dxa" w:w="2851"/>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local banks, coordinated by IFC [A2:S6].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adds currency risk to the project rather than removing it; the mismatch sits with the utility instead, and Chapter 15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full engine solves, for each structure with private equity,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expropriation, war, transfer restriction and breach of contract, and MIGA's non-honouring cover protects against a sovereign's failure to pay a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was refinanced in 2017 by the Emerging Africa Infrastructure Fund and FMO, after its original sponsors had sold [DE:S30].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5" name="Picture 5"/>
            <wp:cNvGraphicFramePr>
              <a:graphicFrameLocks noChangeAspect="1"/>
            </wp:cNvGraphicFramePr>
            <a:graphic>
              <a:graphicData uri="http://schemas.openxmlformats.org/drawingml/2006/picture">
                <pic:pic>
                  <pic:nvPicPr>
                    <pic:cNvPr id="0" name="fig14_1_developer_cf.png"/>
                    <pic:cNvPicPr/>
                  </pic:nvPicPr>
                  <pic:blipFill>
                    <a:blip r:embed="rId15"/>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19% of plant cost, which no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048"/>
            <w:shd w:val="clear" w:color="auto" w:fill="0B3020"/>
          </w:tcPr>
          <w:p>
            <w:pPr>
              <w:spacing w:after="0"/>
            </w:pPr>
            <w:r>
              <w:rPr>
                <w:b/>
                <w:color w:val="FFFFFF"/>
                <w:sz w:val="16"/>
              </w:rPr>
              <w:t>Case</w:t>
            </w:r>
          </w:p>
        </w:tc>
        <w:tc>
          <w:tcPr>
            <w:tcW w:type="dxa" w:w="2754"/>
            <w:shd w:val="clear" w:color="auto" w:fill="0B3020"/>
          </w:tcPr>
          <w:p>
            <w:pPr>
              <w:spacing w:after="0"/>
            </w:pPr>
            <w:r>
              <w:rPr>
                <w:b/>
                <w:color w:val="FFFFFF"/>
                <w:sz w:val="16"/>
              </w:rPr>
              <w:t>Risk-weighted NPV (USDm)</w:t>
            </w:r>
          </w:p>
        </w:tc>
        <w:tc>
          <w:tcPr>
            <w:tcW w:type="dxa" w:w="1836"/>
            <w:shd w:val="clear" w:color="auto" w:fill="0B3020"/>
          </w:tcPr>
          <w:p>
            <w:pPr>
              <w:spacing w:after="0"/>
            </w:pPr>
            <w:r>
              <w:rPr>
                <w:b/>
                <w:color w:val="FFFFFF"/>
                <w:sz w:val="16"/>
              </w:rPr>
              <w:t>Success-path IRR</w:t>
            </w:r>
          </w:p>
        </w:tc>
      </w:tr>
      <w:tr>
        <w:tc>
          <w:tcPr>
            <w:tcW w:type="dxa" w:w="5048"/>
          </w:tcPr>
          <w:p>
            <w:pPr>
              <w:spacing w:after="0"/>
            </w:pPr>
            <w:r>
              <w:rPr>
                <w:color w:val="1D1D1D"/>
                <w:sz w:val="16"/>
              </w:rPr>
              <w:t>Base</w:t>
            </w:r>
          </w:p>
        </w:tc>
        <w:tc>
          <w:tcPr>
            <w:tcW w:type="dxa" w:w="2754"/>
          </w:tcPr>
          <w:p>
            <w:pPr>
              <w:spacing w:after="0"/>
            </w:pPr>
            <w:r>
              <w:rPr>
                <w:color w:val="1D1D1D"/>
                <w:sz w:val="16"/>
              </w:rPr>
              <w:t>−0.95</w:t>
            </w:r>
          </w:p>
        </w:tc>
        <w:tc>
          <w:tcPr>
            <w:tcW w:type="dxa" w:w="1836"/>
          </w:tcPr>
          <w:p>
            <w:pPr>
              <w:spacing w:after="0"/>
            </w:pPr>
            <w:r>
              <w:rPr>
                <w:color w:val="1D1D1D"/>
                <w:sz w:val="16"/>
              </w:rPr>
              <w:t>16.0%</w:t>
            </w:r>
          </w:p>
        </w:tc>
      </w:tr>
      <w:tr>
        <w:tc>
          <w:tcPr>
            <w:tcW w:type="dxa" w:w="5048"/>
            <w:shd w:val="clear" w:color="auto" w:fill="FAF8F2"/>
          </w:tcPr>
          <w:p>
            <w:pPr>
              <w:spacing w:after="0"/>
            </w:pPr>
            <w:r>
              <w:rPr>
                <w:color w:val="1D1D1D"/>
                <w:sz w:val="16"/>
              </w:rPr>
              <w:t>Development discount rate 18% instead of 25%</w:t>
            </w:r>
          </w:p>
        </w:tc>
        <w:tc>
          <w:tcPr>
            <w:tcW w:type="dxa" w:w="2754"/>
            <w:shd w:val="clear" w:color="auto" w:fill="FAF8F2"/>
          </w:tcPr>
          <w:p>
            <w:pPr>
              <w:spacing w:after="0"/>
            </w:pPr>
            <w:r>
              <w:rPr>
                <w:color w:val="1D1D1D"/>
                <w:sz w:val="16"/>
              </w:rPr>
              <w:t>−1.02</w:t>
            </w:r>
          </w:p>
        </w:tc>
        <w:tc>
          <w:tcPr>
            <w:tcW w:type="dxa" w:w="1836"/>
            <w:shd w:val="clear" w:color="auto" w:fill="FAF8F2"/>
          </w:tcPr>
          <w:p>
            <w:pPr>
              <w:spacing w:after="0"/>
            </w:pPr>
            <w:r>
              <w:rPr>
                <w:color w:val="1D1D1D"/>
                <w:sz w:val="16"/>
              </w:rPr>
              <w:t>16.0%</w:t>
            </w:r>
          </w:p>
        </w:tc>
      </w:tr>
      <w:tr>
        <w:tc>
          <w:tcPr>
            <w:tcW w:type="dxa" w:w="5048"/>
          </w:tcPr>
          <w:p>
            <w:pPr>
              <w:spacing w:after="0"/>
            </w:pPr>
            <w:r>
              <w:rPr>
                <w:color w:val="1D1D1D"/>
                <w:sz w:val="16"/>
              </w:rPr>
              <w:t>Development premium 6% instead of 3%</w:t>
            </w:r>
          </w:p>
        </w:tc>
        <w:tc>
          <w:tcPr>
            <w:tcW w:type="dxa" w:w="2754"/>
          </w:tcPr>
          <w:p>
            <w:pPr>
              <w:spacing w:after="0"/>
            </w:pPr>
            <w:r>
              <w:rPr>
                <w:color w:val="1D1D1D"/>
                <w:sz w:val="16"/>
              </w:rPr>
              <w:t>−0.82</w:t>
            </w:r>
          </w:p>
        </w:tc>
        <w:tc>
          <w:tcPr>
            <w:tcW w:type="dxa" w:w="1836"/>
          </w:tcPr>
          <w:p>
            <w:pPr>
              <w:spacing w:after="0"/>
            </w:pPr>
            <w:r>
              <w:rPr>
                <w:color w:val="1D1D1D"/>
                <w:sz w:val="16"/>
              </w:rPr>
              <w:t>18.6%</w:t>
            </w:r>
          </w:p>
        </w:tc>
      </w:tr>
      <w:tr>
        <w:tc>
          <w:tcPr>
            <w:tcW w:type="dxa" w:w="5048"/>
            <w:shd w:val="clear" w:color="auto" w:fill="FAF8F2"/>
          </w:tcPr>
          <w:p>
            <w:pPr>
              <w:spacing w:after="0"/>
            </w:pPr>
            <w:r>
              <w:rPr>
                <w:color w:val="1D1D1D"/>
                <w:sz w:val="16"/>
              </w:rPr>
              <w:t>Stage odds 10 points higher at every stage</w:t>
            </w:r>
          </w:p>
        </w:tc>
        <w:tc>
          <w:tcPr>
            <w:tcW w:type="dxa" w:w="2754"/>
            <w:shd w:val="clear" w:color="auto" w:fill="FAF8F2"/>
          </w:tcPr>
          <w:p>
            <w:pPr>
              <w:spacing w:after="0"/>
            </w:pPr>
            <w:r>
              <w:rPr>
                <w:color w:val="1D1D1D"/>
                <w:sz w:val="16"/>
              </w:rPr>
              <w:t>−0.96</w:t>
            </w:r>
          </w:p>
        </w:tc>
        <w:tc>
          <w:tcPr>
            <w:tcW w:type="dxa" w:w="1836"/>
            <w:shd w:val="clear" w:color="auto" w:fill="FAF8F2"/>
          </w:tcPr>
          <w:p>
            <w:pPr>
              <w:spacing w:after="0"/>
            </w:pPr>
            <w:r>
              <w:rPr>
                <w:color w:val="1D1D1D"/>
                <w:sz w:val="16"/>
              </w:rPr>
              <w:t>16.0%</w:t>
            </w:r>
          </w:p>
        </w:tc>
      </w:tr>
      <w:tr>
        <w:tc>
          <w:tcPr>
            <w:tcW w:type="dxa" w:w="5048"/>
          </w:tcPr>
          <w:p>
            <w:pPr>
              <w:spacing w:after="0"/>
            </w:pPr>
            <w:r>
              <w:rPr>
                <w:color w:val="1D1D1D"/>
                <w:sz w:val="16"/>
              </w:rPr>
              <w:t>Grant funds half of the feasibility stage</w:t>
            </w:r>
          </w:p>
        </w:tc>
        <w:tc>
          <w:tcPr>
            <w:tcW w:type="dxa" w:w="2754"/>
          </w:tcPr>
          <w:p>
            <w:pPr>
              <w:spacing w:after="0"/>
            </w:pPr>
            <w:r>
              <w:rPr>
                <w:color w:val="1D1D1D"/>
                <w:sz w:val="16"/>
              </w:rPr>
              <w:t>−0.59</w:t>
            </w:r>
          </w:p>
        </w:tc>
        <w:tc>
          <w:tcPr>
            <w:tcW w:type="dxa" w:w="1836"/>
          </w:tcPr>
          <w:p>
            <w:pPr>
              <w:spacing w:after="0"/>
            </w:pPr>
            <w:r>
              <w:rPr>
                <w:color w:val="1D1D1D"/>
                <w:sz w:val="16"/>
              </w:rPr>
              <w:t>18.4%</w:t>
            </w:r>
          </w:p>
        </w:tc>
      </w:tr>
      <w:tr>
        <w:tc>
          <w:tcPr>
            <w:tcW w:type="dxa" w:w="5048"/>
            <w:shd w:val="clear" w:color="auto" w:fill="FAF8F2"/>
          </w:tcPr>
          <w:p>
            <w:pPr>
              <w:spacing w:after="0"/>
            </w:pPr>
            <w:r>
              <w:rPr>
                <w:color w:val="1D1D1D"/>
                <w:sz w:val="16"/>
              </w:rPr>
              <w:t>Tariff 10% higher</w:t>
            </w:r>
          </w:p>
        </w:tc>
        <w:tc>
          <w:tcPr>
            <w:tcW w:type="dxa" w:w="2754"/>
            <w:shd w:val="clear" w:color="auto" w:fill="FAF8F2"/>
          </w:tcPr>
          <w:p>
            <w:pPr>
              <w:spacing w:after="0"/>
            </w:pPr>
            <w:r>
              <w:rPr>
                <w:color w:val="1D1D1D"/>
                <w:sz w:val="16"/>
              </w:rPr>
              <w:t>−0.76</w:t>
            </w:r>
          </w:p>
        </w:tc>
        <w:tc>
          <w:tcPr>
            <w:tcW w:type="dxa" w:w="1836"/>
            <w:shd w:val="clear" w:color="auto" w:fill="FAF8F2"/>
          </w:tcPr>
          <w:p>
            <w:pPr>
              <w:spacing w:after="0"/>
            </w:pPr>
            <w:r>
              <w:rPr>
                <w:color w:val="1D1D1D"/>
                <w:sz w:val="16"/>
              </w:rPr>
              <w:t>20.7%</w:t>
            </w:r>
          </w:p>
        </w:tc>
      </w:tr>
      <w:tr>
        <w:tc>
          <w:tcPr>
            <w:tcW w:type="dxa" w:w="5048"/>
          </w:tcPr>
          <w:p>
            <w:pPr>
              <w:spacing w:after="0"/>
            </w:pPr>
            <w:r>
              <w:rPr>
                <w:color w:val="1D1D1D"/>
                <w:sz w:val="16"/>
              </w:rPr>
              <w:t>All four development levers together</w:t>
            </w:r>
          </w:p>
        </w:tc>
        <w:tc>
          <w:tcPr>
            <w:tcW w:type="dxa" w:w="2754"/>
          </w:tcPr>
          <w:p>
            <w:pPr>
              <w:spacing w:after="0"/>
            </w:pPr>
            <w:r>
              <w:rPr>
                <w:color w:val="1D1D1D"/>
                <w:sz w:val="16"/>
              </w:rPr>
              <w:t>−0.05</w:t>
            </w:r>
          </w:p>
        </w:tc>
        <w:tc>
          <w:tcPr>
            <w:tcW w:type="dxa" w:w="1836"/>
          </w:tcPr>
          <w:p>
            <w:pPr>
              <w:spacing w:after="0"/>
            </w:pPr>
            <w:r>
              <w:rPr>
                <w:color w:val="1D1D1D"/>
                <w:sz w:val="16"/>
              </w:rPr>
              <w:t>22.1%</w:t>
            </w:r>
          </w:p>
        </w:tc>
      </w:tr>
    </w:tbl>
    <w:p>
      <w:pPr>
        <w:spacing w:after="40"/>
      </w:pP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all the levers together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At Bugoye in Uganda, the original sponsors exited in 2015, according to search summaries we could not confirm in a primary source, and the buyer refinanced the plant in 2017 [DE:S11; DE:S30]; the case illustrates the pattern.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buyer's payment capacity is about 6.0x times the PPA bill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contingent exposure at commercial operation was of the order of 3 percent of GDP, its fiscal screen was moderate in the base case and high under cost overrun or offtaker stress,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6" name="Picture 6"/>
            <wp:cNvGraphicFramePr>
              <a:graphicFrameLocks noChangeAspect="1"/>
            </wp:cNvGraphicFramePr>
            <a:graphic>
              <a:graphicData uri="http://schemas.openxmlformats.org/drawingml/2006/picture">
                <pic:pic>
                  <pic:nvPicPr>
                    <pic:cNvPr id="0" name="fig16_1_tornado.png"/>
                    <pic:cNvPicPr/>
                  </pic:nvPicPr>
                  <pic:blipFill>
                    <a:blip r:embed="rId16"/>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either a larger reserve, a cash sweep in wet years, or completion of a drought test before close.</w:t>
      </w:r>
    </w:p>
    <w:p>
      <w:pPr>
        <w:jc w:val="both"/>
      </w:pPr>
      <w:r>
        <w:rPr/>
        <w:t>African experience gives both stresses a real shape. In 2024 the Zambezi River Authority cut the water allocated for generation at Kariba by about 47 percent [CL-04], and the output of Kariba North was reported to have fallen from 1,080 MW to about 166 MW [CL-05]. On the buyer side, Ghana's Electricity Company owed the Bui Power Authority about USD 612 million in March 2023 [A1:S40]. Neither event is a tail case for the region; both are recent.</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Grid connection agreement signed and transmission financed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base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commitments signed and equity IRR at or above target</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Government support approved by the finance ministry; fiscal screen not HIGH</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7" name="Picture 7"/>
            <wp:cNvGraphicFramePr>
              <a:graphicFrameLocks noChangeAspect="1"/>
            </wp:cNvGraphicFramePr>
            <a:graphic>
              <a:graphicData uri="http://schemas.openxmlformats.org/drawingml/2006/picture">
                <pic:pic>
                  <pic:nvPicPr>
                    <pic:cNvPr id="0" name="fig17_1_readiness_map.png"/>
                    <pic:cNvPicPr/>
                  </pic:nvPicPr>
                  <pic:blipFill>
                    <a:blip r:embed="rId17"/>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and the decision.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sized on the ten-year P90 and the 70 percent gearing limit binding by a small margin.</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Annexes A to I are checklists and templates for use on a live transaction; Annex J lists the public benchmark cases; Annex K records how the model was tested and what it does not do; Annex L lists every source cited, with its verification status; Annex M is a glossary. Annexes N to R are the technical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taxes and maintenance capital spending</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loan life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plan 5 yrs; full COD slipped to Dec 2024 / 2025</w:t>
            </w:r>
          </w:p>
        </w:tc>
        <w:tc>
          <w:tcPr>
            <w:tcW w:type="dxa" w:w="2570"/>
          </w:tcPr>
          <w:p>
            <w:pPr>
              <w:spacing w:after="0"/>
            </w:pPr>
            <w:r>
              <w:rPr>
                <w:color w:val="1D1D1D"/>
                <w:sz w:val="16"/>
              </w:rPr>
              <w:t>IBRD payment guarantee EUR 86m + loan guarantee EUR 171m; MIGA; 75:25 debt:equity</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Domestic bonds/budget;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COD Apr 2010 (search summary)</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(search summary)</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cycle detector confirms that the model has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Fixed: reference-class mean overrun and deeper drought added</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 test in Microsoft Excel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A1:S59</w:t>
            </w:r>
          </w:p>
        </w:tc>
        <w:tc>
          <w:tcPr>
            <w:tcW w:type="dxa" w:w="6024"/>
            <w:shd w:val="clear" w:color="auto" w:fill="FAF8F2"/>
          </w:tcPr>
          <w:p>
            <w:pPr>
              <w:spacing w:after="0"/>
            </w:pPr>
            <w:r>
              <w:rPr>
                <w:color w:val="1D1D1D"/>
                <w:sz w:val="16"/>
              </w:rPr>
              <w:t>African Energy, "Chinese contractors further delay Zambia's $2.3bn Kafue Gorge Lower" (Issue 459, 20 Apr 2022). https://www.africa-energy.com/news-centre/article/chinese-contractors-further-delay-zambias-23bn-kafue-gorge-lower</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A1:S60</w:t>
            </w:r>
          </w:p>
        </w:tc>
        <w:tc>
          <w:tcPr>
            <w:tcW w:type="dxa" w:w="6024"/>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A2:S3</w:t>
            </w:r>
          </w:p>
        </w:tc>
        <w:tc>
          <w:tcPr>
            <w:tcW w:type="dxa" w:w="6024"/>
            <w:shd w:val="clear" w:color="auto" w:fill="FAF8F2"/>
          </w:tcPr>
          <w:p>
            <w:pPr>
              <w:spacing w:after="0"/>
            </w:pPr>
            <w:r>
              <w:rPr>
                <w:color w:val="1D1D1D"/>
                <w:sz w:val="16"/>
              </w:rPr>
              <w:t>World Bank , "Republic of Cameroon, Nachtigal Hydropower Project, Chair Summary" (19 Jul 2018), P157734; retrieved via the EWS mirror. https://ewsdata.rightsindevelopment.org/files/documents/34/WB-P157734.pdf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A2:S6</w:t>
            </w:r>
          </w:p>
        </w:tc>
        <w:tc>
          <w:tcPr>
            <w:tcW w:type="dxa" w:w="6024"/>
          </w:tcPr>
          <w:p>
            <w:pPr>
              <w:spacing w:after="0"/>
            </w:pPr>
            <w:r>
              <w:rPr>
                <w:color w:val="1D1D1D"/>
                <w:sz w:val="16"/>
              </w:rPr>
              <w:t>(search-result only) EDF , "EDF, IFC and the Republic of Cameroon sign final and binding agreements…" (lender list). https://www.edf.fr/en/edf/edf-ifc-and-the-republic-of-cameroon-sign-final-and-binding-agreements-for-the-construction-of-the-nachtigal-hydroelectric-dam-in-cameroon</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A2:S20</w:t>
            </w:r>
          </w:p>
        </w:tc>
        <w:tc>
          <w:tcPr>
            <w:tcW w:type="dxa" w:w="6024"/>
          </w:tcPr>
          <w:p>
            <w:pPr>
              <w:spacing w:after="0"/>
            </w:pPr>
            <w:r>
              <w:rPr>
                <w:color w:val="1D1D1D"/>
                <w:sz w:val="16"/>
              </w:rPr>
              <w:t>World Bank , "Ruzizi 3 Regional Hydropower Project (P178685), Concept Environmental and Social Review Summary" (22 Dec 2022). https://documents1.worldbank.org/curated/en/099340012222221781/pdf/P17868509cbf4c0cb08cce06954824c1b6f.pdf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A2:S30</w:t>
            </w:r>
          </w:p>
        </w:tc>
        <w:tc>
          <w:tcPr>
            <w:tcW w:type="dxa" w:w="6024"/>
          </w:tcPr>
          <w:p>
            <w:pPr>
              <w:spacing w:after="0"/>
            </w:pPr>
            <w:r>
              <w:rPr>
                <w:color w:val="1D1D1D"/>
                <w:sz w:val="16"/>
              </w:rPr>
              <w:t>Enerdata , "Tanzania commissions 2.1 GW Julius Nyerere hydropower plant". https://www.enerdata.net/publications/daily-energy-news/tanzania-commissions-21-gw-julius-nyerere-hydropower-plant.html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A2:S34</w:t>
            </w:r>
          </w:p>
        </w:tc>
        <w:tc>
          <w:tcPr>
            <w:tcW w:type="dxa" w:w="6024"/>
            <w:shd w:val="clear" w:color="auto" w:fill="FAF8F2"/>
          </w:tcPr>
          <w:p>
            <w:pPr>
              <w:spacing w:after="0"/>
            </w:pPr>
            <w:r>
              <w:rPr>
                <w:color w:val="1D1D1D"/>
                <w:sz w:val="16"/>
              </w:rPr>
              <w:t>AidData (China's Global Development Footprint) , Project ID 36216, Isimba. https://china.aiddata.org/projects/36216</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A2:S35</w:t>
            </w:r>
          </w:p>
        </w:tc>
        <w:tc>
          <w:tcPr>
            <w:tcW w:type="dxa" w:w="6024"/>
          </w:tcPr>
          <w:p>
            <w:pPr>
              <w:spacing w:after="0"/>
            </w:pPr>
            <w:r>
              <w:rPr>
                <w:color w:val="1D1D1D"/>
                <w:sz w:val="16"/>
              </w:rPr>
              <w:t>NS Energy , "Isimba Hydropower Project, Uganda". https://www.nsenergybusiness.com/projects/isimba-hydropower-project-uganda/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(search-result only)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CL-05</w:t>
            </w:r>
          </w:p>
        </w:tc>
        <w:tc>
          <w:tcPr>
            <w:tcW w:type="dxa" w:w="6024"/>
            <w:shd w:val="clear" w:color="auto" w:fill="FAF8F2"/>
          </w:tcPr>
          <w:p>
            <w:pPr>
              <w:spacing w:after="0"/>
            </w:pPr>
            <w:r>
              <w:rPr>
                <w:color w:val="1D1D1D"/>
                <w:sz w:val="16"/>
              </w:rPr>
              <w:t>Bloomberg via BNN Bloomberg (2024). Zambia Warns It May Shut Operation at Its Biggest Dam by October. News (secondary). https://bnnbloomberg.ca/investing/2024/08/01/zambia-warns-it-may-shut-operation-at-its-biggest-dam-by-october</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CL-06</w:t>
            </w:r>
          </w:p>
        </w:tc>
        <w:tc>
          <w:tcPr>
            <w:tcW w:type="dxa" w:w="6024"/>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tcPr>
          <w:p>
            <w:pPr>
              <w:spacing w:after="0"/>
            </w:pPr>
            <w:r>
              <w:rPr>
                <w:color w:val="1D1D1D"/>
                <w:sz w:val="16"/>
              </w:rPr>
              <w:t>Landing or summary page read</w:t>
            </w:r>
          </w:p>
        </w:tc>
      </w:tr>
      <w:tr>
        <w:tc>
          <w:tcPr>
            <w:tcW w:type="dxa" w:w="803"/>
            <w:shd w:val="clear" w:color="auto" w:fill="FAF8F2"/>
          </w:tcPr>
          <w:p>
            <w:pPr>
              <w:spacing w:after="0"/>
            </w:pPr>
            <w:r>
              <w:rPr>
                <w:color w:val="1D1D1D"/>
                <w:sz w:val="16"/>
              </w:rPr>
              <w:t>DE:BENCH</w:t>
            </w:r>
          </w:p>
        </w:tc>
        <w:tc>
          <w:tcPr>
            <w:tcW w:type="dxa" w:w="6024"/>
            <w:shd w:val="clear" w:color="auto" w:fill="FAF8F2"/>
          </w:tcPr>
          <w:p>
            <w:pPr>
              <w:spacing w:after="0"/>
            </w:pPr>
            <w:r>
              <w:rPr>
                <w:color w:val="1D1D1D"/>
                <w:sz w:val="16"/>
              </w:rPr>
              <w:t>Benchmark table for development model defaults, development evidence file (research note). Records where no public data were found.</w:t>
            </w:r>
          </w:p>
        </w:tc>
        <w:tc>
          <w:tcPr>
            <w:tcW w:type="dxa" w:w="2811"/>
            <w:shd w:val="clear" w:color="auto" w:fill="FAF8F2"/>
          </w:tcPr>
          <w:p>
            <w:pPr>
              <w:spacing w:after="0"/>
            </w:pPr>
            <w:r>
              <w:rPr>
                <w:color w:val="1D1D1D"/>
                <w:sz w:val="16"/>
              </w:rPr>
              <w:t>Research note</w:t>
            </w:r>
          </w:p>
        </w:tc>
      </w:tr>
      <w:tr>
        <w:tc>
          <w:tcPr>
            <w:tcW w:type="dxa" w:w="803"/>
          </w:tcPr>
          <w:p>
            <w:pPr>
              <w:spacing w:after="0"/>
            </w:pPr>
            <w:r>
              <w:rPr>
                <w:color w:val="1D1D1D"/>
                <w:sz w:val="16"/>
              </w:rPr>
              <w:t>DE:S1</w:t>
            </w:r>
          </w:p>
        </w:tc>
        <w:tc>
          <w:tcPr>
            <w:tcW w:type="dxa" w:w="6024"/>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w:t>
            </w:r>
          </w:p>
        </w:tc>
        <w:tc>
          <w:tcPr>
            <w:tcW w:type="dxa" w:w="6024"/>
            <w:shd w:val="clear" w:color="auto" w:fill="FAF8F2"/>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w:t>
            </w:r>
          </w:p>
        </w:tc>
        <w:tc>
          <w:tcPr>
            <w:tcW w:type="dxa" w:w="6024"/>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w:t>
            </w:r>
          </w:p>
        </w:tc>
        <w:tc>
          <w:tcPr>
            <w:tcW w:type="dxa" w:w="6024"/>
            <w:shd w:val="clear" w:color="auto" w:fill="FAF8F2"/>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w:t>
            </w:r>
          </w:p>
        </w:tc>
        <w:tc>
          <w:tcPr>
            <w:tcW w:type="dxa" w:w="6024"/>
          </w:tcPr>
          <w:p>
            <w:pPr>
              <w:spacing w:after="0"/>
            </w:pPr>
            <w:r>
              <w:rPr>
                <w:color w:val="1D1D1D"/>
                <w:sz w:val="16"/>
              </w:rPr>
              <w:t>WikiProcedure, "Uganda: Apply for Electricity Generation License". https://wikiprocedure.com/index.php/Uganda_-_Apply_for_Electricity_Generation_License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DE:S8</w:t>
            </w:r>
          </w:p>
        </w:tc>
        <w:tc>
          <w:tcPr>
            <w:tcW w:type="dxa" w:w="6024"/>
            <w:shd w:val="clear" w:color="auto" w:fill="FAF8F2"/>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DE:S9</w:t>
            </w:r>
          </w:p>
        </w:tc>
        <w:tc>
          <w:tcPr>
            <w:tcW w:type="dxa" w:w="6024"/>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DE:S11</w:t>
            </w:r>
          </w:p>
        </w:tc>
        <w:tc>
          <w:tcPr>
            <w:tcW w:type="dxa" w:w="6024"/>
            <w:shd w:val="clear" w:color="auto" w:fill="FAF8F2"/>
          </w:tcPr>
          <w:p>
            <w:pPr>
              <w:spacing w:after="0"/>
            </w:pPr>
            <w:r>
              <w:rPr>
                <w:color w:val="1D1D1D"/>
                <w:sz w:val="16"/>
              </w:rPr>
              <w:t>Wikipedia, Bugoye Hydroelectric Power Station. https://en.wikipedia.org/wiki/Bugoye_Hydroelectric_Power_Station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DE:S30</w:t>
            </w:r>
          </w:p>
        </w:tc>
        <w:tc>
          <w:tcPr>
            <w:tcW w:type="dxa" w:w="6024"/>
            <w:shd w:val="clear" w:color="auto" w:fill="FAF8F2"/>
          </w:tcPr>
          <w:p>
            <w:pPr>
              <w:spacing w:after="0"/>
            </w:pPr>
            <w:r>
              <w:rPr>
                <w:color w:val="1D1D1D"/>
                <w:sz w:val="16"/>
              </w:rPr>
              <w:t>FMO project detail, Bugoye Hydro Limited (51836). https://www.fmo.nl/project-detail/51836</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DE:S35</w:t>
            </w:r>
          </w:p>
        </w:tc>
        <w:tc>
          <w:tcPr>
            <w:tcW w:type="dxa" w:w="6024"/>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w:t>
            </w:r>
          </w:p>
        </w:tc>
        <w:tc>
          <w:tcPr>
            <w:tcW w:type="dxa" w:w="6024"/>
            <w:shd w:val="clear" w:color="auto" w:fill="FAF8F2"/>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DE:S39b</w:t>
            </w:r>
          </w:p>
        </w:tc>
        <w:tc>
          <w:tcPr>
            <w:tcW w:type="dxa" w:w="6024"/>
          </w:tcPr>
          <w:p>
            <w:pPr>
              <w:spacing w:after="0"/>
            </w:pPr>
            <w:r>
              <w:rPr>
                <w:color w:val="1D1D1D"/>
                <w:sz w:val="16"/>
              </w:rPr>
              <w:t>Proparco, Nyamagasani 1. https://www.proparco.fr/en/carte-des-projets/nyamagasani-1</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DE:S39c</w:t>
            </w:r>
          </w:p>
        </w:tc>
        <w:tc>
          <w:tcPr>
            <w:tcW w:type="dxa" w:w="6024"/>
            <w:shd w:val="clear" w:color="auto" w:fill="FAF8F2"/>
          </w:tcPr>
          <w:p>
            <w:pPr>
              <w:spacing w:after="0"/>
            </w:pPr>
            <w:r>
              <w:rPr>
                <w:color w:val="1D1D1D"/>
                <w:sz w:val="16"/>
              </w:rPr>
              <w:t>Proparco, Nyamagasani 2. https://proparco.fr/en/carte-des-projets/nyamagasani-2</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DE:S40b</w:t>
            </w:r>
          </w:p>
        </w:tc>
        <w:tc>
          <w:tcPr>
            <w:tcW w:type="dxa" w:w="6024"/>
          </w:tcPr>
          <w:p>
            <w:pPr>
              <w:spacing w:after="0"/>
            </w:pPr>
            <w:r>
              <w:rPr>
                <w:color w:val="1D1D1D"/>
                <w:sz w:val="16"/>
              </w:rPr>
              <w:t>FMO project detail, Africa EMS Nyamwamba Ltd (44304). https://www.fmo.nl/project-detail/44304</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DE:S42</w:t>
            </w:r>
          </w:p>
        </w:tc>
        <w:tc>
          <w:tcPr>
            <w:tcW w:type="dxa" w:w="6024"/>
            <w:shd w:val="clear" w:color="auto" w:fill="FAF8F2"/>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DE:S44</w:t>
            </w:r>
          </w:p>
        </w:tc>
        <w:tc>
          <w:tcPr>
            <w:tcW w:type="dxa" w:w="6024"/>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DE:S47</w:t>
            </w:r>
          </w:p>
        </w:tc>
        <w:tc>
          <w:tcPr>
            <w:tcW w:type="dxa" w:w="6024"/>
            <w:shd w:val="clear" w:color="auto" w:fill="FAF8F2"/>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DE:S49</w:t>
            </w:r>
          </w:p>
        </w:tc>
        <w:tc>
          <w:tcPr>
            <w:tcW w:type="dxa" w:w="6024"/>
          </w:tcPr>
          <w:p>
            <w:pPr>
              <w:spacing w:after="0"/>
            </w:pPr>
            <w:r>
              <w:rPr>
                <w:color w:val="1D1D1D"/>
                <w:sz w:val="16"/>
              </w:rPr>
              <w:t>Equator Principles Association, About. https://equator-principles.com/about/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DE:S50</w:t>
            </w:r>
          </w:p>
        </w:tc>
        <w:tc>
          <w:tcPr>
            <w:tcW w:type="dxa" w:w="6024"/>
            <w:shd w:val="clear" w:color="auto" w:fill="FAF8F2"/>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DE:S51</w:t>
            </w:r>
          </w:p>
        </w:tc>
        <w:tc>
          <w:tcPr>
            <w:tcW w:type="dxa" w:w="6024"/>
          </w:tcPr>
          <w:p>
            <w:pPr>
              <w:spacing w:after="0"/>
            </w:pPr>
            <w:r>
              <w:rPr>
                <w:color w:val="1D1D1D"/>
                <w:sz w:val="16"/>
              </w:rPr>
              <w:t>FMO project detail, Kikagati Power Company Ltd (52073). https://fmo.nl/project-detail/52073</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DE:S52</w:t>
            </w:r>
          </w:p>
        </w:tc>
        <w:tc>
          <w:tcPr>
            <w:tcW w:type="dxa" w:w="6024"/>
            <w:shd w:val="clear" w:color="auto" w:fill="FAF8F2"/>
          </w:tcPr>
          <w:p>
            <w:pPr>
              <w:spacing w:after="0"/>
            </w:pPr>
            <w:r>
              <w:rPr>
                <w:color w:val="1D1D1D"/>
                <w:sz w:val="16"/>
              </w:rPr>
              <w:t>FMO project detail, Elgon Hydro Siti (48986). https://www.fmo.nl/project-detail/48986</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DE:S53</w:t>
            </w:r>
          </w:p>
        </w:tc>
        <w:tc>
          <w:tcPr>
            <w:tcW w:type="dxa" w:w="6024"/>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FR-01</w:t>
            </w:r>
          </w:p>
        </w:tc>
        <w:tc>
          <w:tcPr>
            <w:tcW w:type="dxa" w:w="6024"/>
            <w:shd w:val="clear" w:color="auto" w:fill="FAF8F2"/>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FR-09</w:t>
            </w:r>
          </w:p>
        </w:tc>
        <w:tc>
          <w:tcPr>
            <w:tcW w:type="dxa" w:w="6024"/>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HY-01</w:t>
            </w:r>
          </w:p>
        </w:tc>
        <w:tc>
          <w:tcPr>
            <w:tcW w:type="dxa" w:w="6024"/>
            <w:shd w:val="clear" w:color="auto" w:fill="FAF8F2"/>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HY-03</w:t>
            </w:r>
          </w:p>
        </w:tc>
        <w:tc>
          <w:tcPr>
            <w:tcW w:type="dxa" w:w="6024"/>
          </w:tcPr>
          <w:p>
            <w:pPr>
              <w:spacing w:after="0"/>
            </w:pPr>
            <w:r>
              <w:rPr>
                <w:color w:val="1D1D1D"/>
                <w:sz w:val="16"/>
              </w:rPr>
              <w:t>Hydropower Sustainability Council / IHA (2021). Hydropower Sustainability Standard. Certification standard. https://hydrosustainability.org/standard</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HY-06</w:t>
            </w:r>
          </w:p>
        </w:tc>
        <w:tc>
          <w:tcPr>
            <w:tcW w:type="dxa" w:w="6024"/>
            <w:shd w:val="clear" w:color="auto" w:fill="FAF8F2"/>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HY-07</w:t>
            </w:r>
          </w:p>
        </w:tc>
        <w:tc>
          <w:tcPr>
            <w:tcW w:type="dxa" w:w="6024"/>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HY-08</w:t>
            </w:r>
          </w:p>
        </w:tc>
        <w:tc>
          <w:tcPr>
            <w:tcW w:type="dxa" w:w="6024"/>
            <w:shd w:val="clear" w:color="auto" w:fill="FAF8F2"/>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HY-15</w:t>
            </w:r>
          </w:p>
        </w:tc>
        <w:tc>
          <w:tcPr>
            <w:tcW w:type="dxa" w:w="6024"/>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INT:S8</w:t>
            </w:r>
          </w:p>
        </w:tc>
        <w:tc>
          <w:tcPr>
            <w:tcW w:type="dxa" w:w="6024"/>
            <w:shd w:val="clear" w:color="auto" w:fill="FAF8F2"/>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INT:S22</w:t>
            </w:r>
          </w:p>
        </w:tc>
        <w:tc>
          <w:tcPr>
            <w:tcW w:type="dxa" w:w="6024"/>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LIT:S1</w:t>
            </w:r>
          </w:p>
        </w:tc>
        <w:tc>
          <w:tcPr>
            <w:tcW w:type="dxa" w:w="6024"/>
            <w:shd w:val="clear" w:color="auto" w:fill="FAF8F2"/>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LIT:S2</w:t>
            </w:r>
          </w:p>
        </w:tc>
        <w:tc>
          <w:tcPr>
            <w:tcW w:type="dxa" w:w="6024"/>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LIT:S3</w:t>
            </w:r>
          </w:p>
        </w:tc>
        <w:tc>
          <w:tcPr>
            <w:tcW w:type="dxa" w:w="6024"/>
            <w:shd w:val="clear" w:color="auto" w:fill="FAF8F2"/>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LIT:S4</w:t>
            </w:r>
          </w:p>
        </w:tc>
        <w:tc>
          <w:tcPr>
            <w:tcW w:type="dxa" w:w="6024"/>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LIT:S5</w:t>
            </w:r>
          </w:p>
        </w:tc>
        <w:tc>
          <w:tcPr>
            <w:tcW w:type="dxa" w:w="6024"/>
            <w:shd w:val="clear" w:color="auto" w:fill="FAF8F2"/>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LIT:S6</w:t>
            </w:r>
          </w:p>
        </w:tc>
        <w:tc>
          <w:tcPr>
            <w:tcW w:type="dxa" w:w="6024"/>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LIT:S7</w:t>
            </w:r>
          </w:p>
        </w:tc>
        <w:tc>
          <w:tcPr>
            <w:tcW w:type="dxa" w:w="6024"/>
            <w:shd w:val="clear" w:color="auto" w:fill="FAF8F2"/>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PF-01</w:t>
            </w:r>
          </w:p>
        </w:tc>
        <w:tc>
          <w:tcPr>
            <w:tcW w:type="dxa" w:w="6024"/>
          </w:tcPr>
          <w:p>
            <w:pPr>
              <w:spacing w:after="0"/>
            </w:pPr>
            <w:r>
              <w:rPr>
                <w:color w:val="1D1D1D"/>
                <w:sz w:val="16"/>
              </w:rPr>
              <w:t>World Bank (n.d.). World Bank Guarantees Program. Program page. https://www.worldbank.org/en/programs/guarantees-program</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PF-02</w:t>
            </w:r>
          </w:p>
        </w:tc>
        <w:tc>
          <w:tcPr>
            <w:tcW w:type="dxa" w:w="6024"/>
            <w:shd w:val="clear" w:color="auto" w:fill="FAF8F2"/>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PF-03</w:t>
            </w:r>
          </w:p>
        </w:tc>
        <w:tc>
          <w:tcPr>
            <w:tcW w:type="dxa" w:w="6024"/>
          </w:tcPr>
          <w:p>
            <w:pPr>
              <w:spacing w:after="0"/>
            </w:pPr>
            <w:r>
              <w:rPr>
                <w:color w:val="1D1D1D"/>
                <w:sz w:val="16"/>
              </w:rPr>
              <w:t>MIGA (n.d.). Non-Honoring of Sovereign Financial Obligations (NHSFO) / Non-honoring of public debt. Product page. https://www.miga.org/product/non-honoring-public-debt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PF-04</w:t>
            </w:r>
          </w:p>
        </w:tc>
        <w:tc>
          <w:tcPr>
            <w:tcW w:type="dxa" w:w="6024"/>
            <w:shd w:val="clear" w:color="auto" w:fill="FAF8F2"/>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PF-06</w:t>
            </w:r>
          </w:p>
        </w:tc>
        <w:tc>
          <w:tcPr>
            <w:tcW w:type="dxa" w:w="6024"/>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PF-11</w:t>
            </w:r>
          </w:p>
        </w:tc>
        <w:tc>
          <w:tcPr>
            <w:tcW w:type="dxa" w:w="6024"/>
            <w:shd w:val="clear" w:color="auto" w:fill="FAF8F2"/>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PF-13</w:t>
            </w:r>
          </w:p>
        </w:tc>
        <w:tc>
          <w:tcPr>
            <w:tcW w:type="dxa" w:w="6024"/>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tcPr>
          <w:p>
            <w:pPr>
              <w:spacing w:after="0"/>
            </w:pPr>
            <w:r>
              <w:rPr>
                <w:color w:val="1D1D1D"/>
                <w:sz w:val="16"/>
              </w:rPr>
              <w:t>Landing or summary page read</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Debt as a share of total funding</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Generation exceeded with 50 and 90 percent probability</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4698"/>
            <w:shd w:val="clear" w:color="auto" w:fill="0B3020"/>
          </w:tcPr>
          <w:p>
            <w:pPr>
              <w:spacing w:after="0"/>
            </w:pPr>
            <w:r>
              <w:rPr>
                <w:b/>
                <w:color w:val="FFFFFF"/>
                <w:sz w:val="16"/>
              </w:rPr>
              <w:t>Item</w:t>
            </w:r>
          </w:p>
        </w:tc>
        <w:tc>
          <w:tcPr>
            <w:tcW w:type="dxa" w:w="2771"/>
            <w:shd w:val="clear" w:color="auto" w:fill="0B3020"/>
          </w:tcPr>
          <w:p>
            <w:pPr>
              <w:spacing w:after="0"/>
            </w:pPr>
            <w:r>
              <w:rPr>
                <w:b/>
                <w:color w:val="FFFFFF"/>
                <w:sz w:val="16"/>
              </w:rPr>
              <w:t>Basis</w:t>
            </w:r>
          </w:p>
        </w:tc>
        <w:tc>
          <w:tcPr>
            <w:tcW w:type="dxa" w:w="2169"/>
            <w:shd w:val="clear" w:color="auto" w:fill="0B3020"/>
          </w:tcPr>
          <w:p>
            <w:pPr>
              <w:spacing w:after="0"/>
            </w:pPr>
            <w:r>
              <w:rPr>
                <w:b/>
                <w:color w:val="FFFFFF"/>
                <w:sz w:val="16"/>
              </w:rPr>
              <w:t>Result</w:t>
            </w:r>
          </w:p>
        </w:tc>
      </w:tr>
      <w:tr>
        <w:tc>
          <w:tcPr>
            <w:tcW w:type="dxa" w:w="4698"/>
          </w:tcPr>
          <w:p>
            <w:pPr>
              <w:spacing w:after="0"/>
            </w:pPr>
            <w:r>
              <w:rPr>
                <w:color w:val="1D1D1D"/>
                <w:sz w:val="16"/>
              </w:rPr>
              <w:t>Auxiliary demand 0.5 to 3.0%</w:t>
            </w:r>
          </w:p>
        </w:tc>
        <w:tc>
          <w:tcPr>
            <w:tcW w:type="dxa" w:w="2771"/>
          </w:tcPr>
          <w:p>
            <w:pPr>
              <w:spacing w:after="0"/>
            </w:pPr>
            <w:r>
              <w:rPr>
                <w:color w:val="1D1D1D"/>
                <w:sz w:val="16"/>
              </w:rPr>
              <w:t>[DE:S1]</w:t>
            </w:r>
          </w:p>
        </w:tc>
        <w:tc>
          <w:tcPr>
            <w:tcW w:type="dxa" w:w="2169"/>
          </w:tcPr>
          <w:p>
            <w:pPr>
              <w:spacing w:after="0"/>
            </w:pPr>
            <w:r>
              <w:rPr>
                <w:color w:val="1D1D1D"/>
                <w:sz w:val="16"/>
              </w:rPr>
              <w:t>290.7 to 283.4 GWh</w:t>
            </w:r>
          </w:p>
        </w:tc>
      </w:tr>
      <w:tr>
        <w:tc>
          <w:tcPr>
            <w:tcW w:type="dxa" w:w="4698"/>
            <w:shd w:val="clear" w:color="auto" w:fill="FAF8F2"/>
          </w:tcPr>
          <w:p>
            <w:pPr>
              <w:spacing w:after="0"/>
            </w:pPr>
            <w:r>
              <w:rPr>
                <w:color w:val="1D1D1D"/>
                <w:sz w:val="16"/>
              </w:rPr>
              <w:t>Monthly data overestimate of 10%</w:t>
            </w:r>
          </w:p>
        </w:tc>
        <w:tc>
          <w:tcPr>
            <w:tcW w:type="dxa" w:w="2771"/>
            <w:shd w:val="clear" w:color="auto" w:fill="FAF8F2"/>
          </w:tcPr>
          <w:p>
            <w:pPr>
              <w:spacing w:after="0"/>
            </w:pPr>
            <w:r>
              <w:rPr>
                <w:color w:val="1D1D1D"/>
                <w:sz w:val="16"/>
              </w:rPr>
              <w:t>[DE:S1]</w:t>
            </w:r>
          </w:p>
        </w:tc>
        <w:tc>
          <w:tcPr>
            <w:tcW w:type="dxa" w:w="2169"/>
            <w:shd w:val="clear" w:color="auto" w:fill="FAF8F2"/>
          </w:tcPr>
          <w:p>
            <w:pPr>
              <w:spacing w:after="0"/>
            </w:pPr>
            <w:r>
              <w:rPr>
                <w:color w:val="1D1D1D"/>
                <w:sz w:val="16"/>
              </w:rPr>
              <w:t>263 GWh</w:t>
            </w:r>
          </w:p>
        </w:tc>
      </w:tr>
      <w:tr>
        <w:tc>
          <w:tcPr>
            <w:tcW w:type="dxa" w:w="4698"/>
          </w:tcPr>
          <w:p>
            <w:pPr>
              <w:spacing w:after="0"/>
            </w:pPr>
            <w:r>
              <w:rPr>
                <w:color w:val="1D1D1D"/>
                <w:sz w:val="16"/>
              </w:rPr>
              <w:t>One Francis unit, 40% minimum flow</w:t>
            </w:r>
          </w:p>
        </w:tc>
        <w:tc>
          <w:tcPr>
            <w:tcW w:type="dxa" w:w="2771"/>
          </w:tcPr>
          <w:p>
            <w:pPr>
              <w:spacing w:after="0"/>
            </w:pPr>
            <w:r>
              <w:rPr>
                <w:color w:val="1D1D1D"/>
                <w:sz w:val="16"/>
              </w:rPr>
              <w:t>Illustrative assumption</w:t>
            </w:r>
          </w:p>
        </w:tc>
        <w:tc>
          <w:tcPr>
            <w:tcW w:type="dxa" w:w="2169"/>
          </w:tcPr>
          <w:p>
            <w:pPr>
              <w:spacing w:after="0"/>
            </w:pPr>
            <w:r>
              <w:rPr>
                <w:color w:val="1D1D1D"/>
                <w:sz w:val="16"/>
              </w:rPr>
              <w:t>about 252 GWh</w:t>
            </w:r>
          </w:p>
        </w:tc>
      </w:tr>
      <w:tr>
        <w:tc>
          <w:tcPr>
            <w:tcW w:type="dxa" w:w="4698"/>
            <w:shd w:val="clear" w:color="auto" w:fill="FAF8F2"/>
          </w:tcPr>
          <w:p>
            <w:pPr>
              <w:spacing w:after="0"/>
            </w:pPr>
            <w:r>
              <w:rPr>
                <w:color w:val="1D1D1D"/>
                <w:sz w:val="16"/>
              </w:rPr>
              <w:t>Losses on 35 km, 132 kV line</w:t>
            </w:r>
          </w:p>
        </w:tc>
        <w:tc>
          <w:tcPr>
            <w:tcW w:type="dxa" w:w="2771"/>
            <w:shd w:val="clear" w:color="auto" w:fill="FAF8F2"/>
          </w:tcPr>
          <w:p>
            <w:pPr>
              <w:spacing w:after="0"/>
            </w:pPr>
            <w:r>
              <w:rPr>
                <w:color w:val="1D1D1D"/>
                <w:sz w:val="16"/>
              </w:rPr>
              <w:t>No source value</w:t>
            </w:r>
          </w:p>
        </w:tc>
        <w:tc>
          <w:tcPr>
            <w:tcW w:type="dxa" w:w="2169"/>
            <w:shd w:val="clear" w:color="auto" w:fill="FAF8F2"/>
          </w:tcPr>
          <w:p>
            <w:pPr>
              <w:spacing w:after="0"/>
            </w:pPr>
            <w:r>
              <w:rPr>
                <w:color w:val="1D1D1D"/>
                <w:sz w:val="16"/>
              </w:rPr>
              <w:t>not quantified</w:t>
            </w:r>
          </w:p>
        </w:tc>
      </w:tr>
      <w:tr>
        <w:tc>
          <w:tcPr>
            <w:tcW w:type="dxa" w:w="4698"/>
          </w:tcPr>
          <w:p>
            <w:pPr>
              <w:spacing w:after="0"/>
            </w:pPr>
            <w:r>
              <w:rPr>
                <w:color w:val="1D1D1D"/>
                <w:sz w:val="16"/>
              </w:rPr>
              <w:t>Availability 97 to 98% after year three</w:t>
            </w:r>
          </w:p>
        </w:tc>
        <w:tc>
          <w:tcPr>
            <w:tcW w:type="dxa" w:w="2771"/>
          </w:tcPr>
          <w:p>
            <w:pPr>
              <w:spacing w:after="0"/>
            </w:pPr>
            <w:r>
              <w:rPr>
                <w:color w:val="1D1D1D"/>
                <w:sz w:val="16"/>
              </w:rPr>
              <w:t>[DE:S1]</w:t>
            </w:r>
          </w:p>
        </w:tc>
        <w:tc>
          <w:tcPr>
            <w:tcW w:type="dxa" w:w="2169"/>
          </w:tcPr>
          <w:p>
            <w:pPr>
              <w:spacing w:after="0"/>
            </w:pPr>
            <w:r>
              <w:rPr>
                <w:color w:val="1D1D1D"/>
                <w:sz w:val="16"/>
              </w:rPr>
              <w:t>298 to 301 GWh</w:t>
            </w:r>
          </w:p>
        </w:tc>
      </w:tr>
      <w:tr>
        <w:tc>
          <w:tcPr>
            <w:tcW w:type="dxa" w:w="4698"/>
            <w:shd w:val="clear" w:color="auto" w:fill="FAF8F2"/>
          </w:tcPr>
          <w:p>
            <w:pPr>
              <w:spacing w:after="0"/>
            </w:pPr>
            <w:r>
              <w:rPr>
                <w:color w:val="1D1D1D"/>
                <w:sz w:val="16"/>
              </w:rPr>
              <w:t>All flows 10% lower</w:t>
            </w:r>
          </w:p>
        </w:tc>
        <w:tc>
          <w:tcPr>
            <w:tcW w:type="dxa" w:w="2771"/>
            <w:shd w:val="clear" w:color="auto" w:fill="FAF8F2"/>
          </w:tcPr>
          <w:p>
            <w:pPr>
              <w:spacing w:after="0"/>
            </w:pPr>
            <w:r>
              <w:rPr>
                <w:color w:val="1D1D1D"/>
                <w:sz w:val="16"/>
              </w:rPr>
              <w:t>Illustrative stress</w:t>
            </w:r>
          </w:p>
        </w:tc>
        <w:tc>
          <w:tcPr>
            <w:tcW w:type="dxa" w:w="2169"/>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under a third of installed capacity;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 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10-year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10-year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10-year,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sets out requirements including independent panels and hydrological and seismic risk [HY-15].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help by financing access roads and grid links before construction [HY-06].</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Net head 120 m plus gross head margin plus water hammer approaches the limit;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On the works alone, the case's contingency would be 10 percent, below practice for a scheme with a tunnel.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project cost,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guide's head classes are: low head below 10 m and high head above 100 m; its medium-head range is misprinted in the text ("50 m &lt; H &lt; 10 m") and should not be quoted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energy check (60.5 MW × 8,760 h × 0.56 ≈ 297 GWh) agrees with the P50 of about 292 GWh.</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Unit count, grid frequency (50 Hz) and speeds below are illustrative assumptions, not case facts.</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In Africa, 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an illustrative assumption of three equal units of 19 m3/s each (not a case fact), two units could pass all usable February flow, so a scheduled overhaul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recommends that governments prepare basin plans and cumulative assessments before procurement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10.5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test greenhouse gas intensity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often a 100-year event set by national rules for the hazard class, from the maximum design flood the structures must survive, the probable maximum or 10,000-year flood [DE:S1]. The World Bank's dam safety note covers independent panels and hydrological and seismic risk [HY-15].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(search summary only)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