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 Paperback ISBN-13: 979-8178961780. Independently published.</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Companion materials</w:t>
      </w:r>
    </w:p>
    <w:p>
      <w:pPr>
        <w:jc w:val="both"/>
      </w:pPr>
      <w:r>
        <w:rPr/>
        <w:t>The materials that accompany this book are kept together in one online folder. Scan the code below with a phone camera, or type the address into a web browser.</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qr_companion.png"/>
                    <pic:cNvPicPr/>
                  </pic:nvPicPr>
                  <pic:blipFill>
                    <a:blip r:embed="rId12"/>
                    <a:stretch>
                      <a:fillRect/>
                    </a:stretch>
                  </pic:blipFill>
                  <pic:spPr>
                    <a:xfrm>
                      <a:off x="0" y="0"/>
                      <a:ext cx="1260000" cy="1260000"/>
                    </a:xfrm>
                    <a:prstGeom prst="rect"/>
                  </pic:spPr>
                </pic:pic>
              </a:graphicData>
            </a:graphic>
          </wp:inline>
        </w:drawing>
      </w:r>
    </w:p>
    <w:p>
      <w:r>
        <w:rPr>
          <w:i/>
          <w:color w:val="666666"/>
          <w:sz w:val="17"/>
        </w:rPr>
        <w:t>Scan to open the companion materials of Book 7.</w:t>
      </w:r>
    </w:p>
    <w:p>
      <w:pPr>
        <w:jc w:val="both"/>
      </w:pPr>
      <w:r>
        <w:rPr/>
        <w:t>The address, if you prefer to type it:</w:t>
      </w:r>
    </w:p>
    <w:p>
      <w:pPr>
        <w:jc w:val="both"/>
      </w:pPr>
      <w:r>
        <w:rPr/>
        <w:t>https://drive.google.com/drive/folders/1cLpEF8qvR_OMg0JKVFHKvLxtROvZAmfr</w:t>
      </w:r>
    </w:p>
    <w:p>
      <w:pPr>
        <w:jc w:val="both"/>
      </w:pPr>
      <w:r>
        <w:rPr/>
        <w:t>The folder holds seven sub-folders:</w:t>
      </w:r>
    </w:p>
    <w:p>
      <w:pPr>
        <w:spacing w:after="60"/>
        <w:ind w:left="397" w:hanging="397"/>
      </w:pPr>
      <w:r>
        <w:rPr/>
        <w:t>•</w:t>
        <w:tab/>
      </w:r>
      <w:r>
        <w:rPr>
          <w:b/>
        </w:rPr>
        <w:t>01_Hydro_Readiness_Framework</w:t>
      </w:r>
      <w:r>
        <w:rPr/>
        <w:t>: the full book in PDF, and the eight questions, the 23 gates and the decision ladder as a stand-alone reference.</w:t>
      </w:r>
    </w:p>
    <w:p>
      <w:pPr>
        <w:spacing w:after="60"/>
        <w:ind w:left="397" w:hanging="397"/>
      </w:pPr>
      <w:r>
        <w:rPr/>
        <w:t>•</w:t>
        <w:tab/>
      </w:r>
      <w:r>
        <w:rPr>
          <w:b/>
        </w:rPr>
        <w:t>02_Bankable_Hydro_Model</w:t>
      </w:r>
      <w:r>
        <w:rPr/>
        <w:t>: MODEL 7, the workbook behind every number in this book, with its test reports.</w:t>
      </w:r>
    </w:p>
    <w:p>
      <w:pPr>
        <w:spacing w:after="60"/>
        <w:ind w:left="397" w:hanging="397"/>
      </w:pPr>
      <w:r>
        <w:rPr/>
        <w:t>•</w:t>
        <w:tab/>
      </w:r>
      <w:r>
        <w:rPr>
          <w:b/>
        </w:rPr>
        <w:t>03_Model_User_Manual</w:t>
      </w:r>
      <w:r>
        <w:rPr/>
        <w:t>: MANUAL 7, the user and methodology manual, narrated video guides to the model in English and in French, with subtitles, and an audio guide.</w:t>
      </w:r>
    </w:p>
    <w:p>
      <w:pPr>
        <w:spacing w:after="60"/>
        <w:ind w:left="397" w:hanging="397"/>
      </w:pPr>
      <w:r>
        <w:rPr/>
        <w:t>•</w:t>
        <w:tab/>
      </w:r>
      <w:r>
        <w:rPr>
          <w:b/>
        </w:rPr>
        <w:t>04_Kasiri_River_Case</w:t>
      </w:r>
      <w:r>
        <w:rPr/>
        <w:t>: the worked case of Chapter 18 and its key figures.</w:t>
      </w:r>
    </w:p>
    <w:p>
      <w:pPr>
        <w:spacing w:after="60"/>
        <w:ind w:left="397" w:hanging="397"/>
      </w:pPr>
      <w:r>
        <w:rPr/>
        <w:t>•</w:t>
        <w:tab/>
      </w:r>
      <w:r>
        <w:rPr>
          <w:b/>
        </w:rPr>
        <w:t>05_Transaction_Tools</w:t>
      </w:r>
      <w:r>
        <w:rPr/>
        <w:t>: editable versions of the checklists and templates of Annexes A to I.</w:t>
      </w:r>
    </w:p>
    <w:p>
      <w:pPr>
        <w:spacing w:after="60"/>
        <w:ind w:left="397" w:hanging="397"/>
      </w:pPr>
      <w:r>
        <w:rPr/>
        <w:t>•</w:t>
        <w:tab/>
      </w:r>
      <w:r>
        <w:rPr>
          <w:b/>
        </w:rPr>
        <w:t>06_Technical_Due_Diligence</w:t>
      </w:r>
      <w:r>
        <w:rPr/>
        <w:t>: Annexes N to R as a stand-alone reference, in PDF and Word.</w:t>
      </w:r>
    </w:p>
    <w:p>
      <w:pPr>
        <w:spacing w:after="60"/>
        <w:ind w:left="397" w:hanging="397"/>
      </w:pPr>
      <w:r>
        <w:rPr/>
        <w:t>•</w:t>
        <w:tab/>
      </w:r>
      <w:r>
        <w:rPr>
          <w:b/>
        </w:rPr>
        <w:t>07_Sources_and_References</w:t>
      </w:r>
      <w:r>
        <w:rPr/>
        <w:t>: the source list with its verification status, and the research files behind it.</w:t>
      </w:r>
    </w:p>
    <w:p>
      <w:pPr>
        <w:jc w:val="both"/>
      </w:pPr>
      <w:r>
        <w:rPr/>
        <w:t>To use the materials:</w:t>
      </w:r>
    </w:p>
    <w:p>
      <w:pPr>
        <w:spacing w:after="60"/>
        <w:ind w:left="397" w:hanging="397"/>
      </w:pPr>
      <w:r>
        <w:rPr/>
        <w:t>1.</w:t>
        <w:tab/>
        <w:t>Open the folder in a web browser. The files can be viewed and downloaded, not edited in place.</w:t>
      </w:r>
    </w:p>
    <w:p>
      <w:pPr>
        <w:spacing w:after="60"/>
        <w:ind w:left="397" w:hanging="397"/>
      </w:pPr>
      <w:r>
        <w:rPr/>
        <w:t>2.</w:t>
        <w:tab/>
        <w:t>Download the workbook and open it in Microsoft Excel or a compatible spreadsheet program. It contains no macros.</w:t>
      </w:r>
    </w:p>
    <w:p>
      <w:pPr>
        <w:spacing w:after="60"/>
        <w:ind w:left="397" w:hanging="397"/>
      </w:pPr>
      <w:r>
        <w:rPr/>
        <w:t>3.</w:t>
        <w:tab/>
        <w:t>Start on the cover sheet of the workbook, then follow the video guide or the quick start in the manual.</w:t>
      </w:r>
    </w:p>
    <w:p>
      <w:pPr>
        <w:spacing w:after="60"/>
        <w:ind w:left="397" w:hanging="397"/>
      </w:pPr>
      <w:r>
        <w:rPr/>
        <w:t>4.</w:t>
        <w:tab/>
        <w:t>Work on your own copy. Replace the illustrative Kasiri inputs with project data only in that copy, and keep a record of each assumption and its source.</w:t>
      </w:r>
    </w:p>
    <w:p>
      <w:pPr>
        <w:spacing w:after="60"/>
        <w:ind w:left="397" w:hanging="397"/>
      </w:pPr>
      <w:r>
        <w:rPr/>
        <w:t>5.</w:t>
        <w:tab/>
        <w:t>Check that the version on the workbook cover matches the version of this book. Updated materials may be added to the same folder under a new version number.</w:t>
      </w:r>
    </w:p>
    <w:p>
      <w:pPr>
        <w:jc w:val="both"/>
      </w:pPr>
      <w:r>
        <w:rPr/>
        <w:t>If the code or the address no longer opens the folder, look for an updated address on the author's page of the bookseller where you bought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3" name="Picture 3"/>
            <wp:cNvGraphicFramePr>
              <a:graphicFrameLocks noChangeAspect="1"/>
            </wp:cNvGraphicFramePr>
            <a:graphic>
              <a:graphicData uri="http://schemas.openxmlformats.org/drawingml/2006/picture">
                <pic:pic>
                  <pic:nvPicPr>
                    <pic:cNvPr id="0" name="fig0_1_framework.png"/>
                    <pic:cNvPicPr/>
                  </pic:nvPicPr>
                  <pic:blipFill>
                    <a:blip r:embed="rId13"/>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The workbook, its manual and the other companion materials can be downloaded from the folder described under Companion materials, in the Preface.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4" name="Picture 4"/>
            <wp:cNvGraphicFramePr>
              <a:graphicFrameLocks noChangeAspect="1"/>
            </wp:cNvGraphicFramePr>
            <a:graphic>
              <a:graphicData uri="http://schemas.openxmlformats.org/drawingml/2006/picture">
                <pic:pic>
                  <pic:nvPicPr>
                    <pic:cNvPr id="0" name="fig2_1_hydrology.png"/>
                    <pic:cNvPicPr/>
                  </pic:nvPicPr>
                  <pic:blipFill>
                    <a:blip r:embed="rId14"/>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5" name="Picture 5"/>
            <wp:cNvGraphicFramePr>
              <a:graphicFrameLocks noChangeAspect="1"/>
            </wp:cNvGraphicFramePr>
            <a:graphic>
              <a:graphicData uri="http://schemas.openxmlformats.org/drawingml/2006/picture">
                <pic:pic>
                  <pic:nvPicPr>
                    <pic:cNvPr id="0" name="fig6_1_position_value.png"/>
                    <pic:cNvPicPr/>
                  </pic:nvPicPr>
                  <pic:blipFill>
                    <a:blip r:embed="rId15"/>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6" name="Picture 6"/>
            <wp:cNvGraphicFramePr>
              <a:graphicFrameLocks noChangeAspect="1"/>
            </wp:cNvGraphicFramePr>
            <a:graphic>
              <a:graphicData uri="http://schemas.openxmlformats.org/drawingml/2006/picture">
                <pic:pic>
                  <pic:nvPicPr>
                    <pic:cNvPr id="0" name="fig14_1_developer_cf.png"/>
                    <pic:cNvPicPr/>
                  </pic:nvPicPr>
                  <pic:blipFill>
                    <a:blip r:embed="rId16"/>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7" name="Picture 7"/>
            <wp:cNvGraphicFramePr>
              <a:graphicFrameLocks noChangeAspect="1"/>
            </wp:cNvGraphicFramePr>
            <a:graphic>
              <a:graphicData uri="http://schemas.openxmlformats.org/drawingml/2006/picture">
                <pic:pic>
                  <pic:nvPicPr>
                    <pic:cNvPr id="0" name="fig16_1_tornado.png"/>
                    <pic:cNvPicPr/>
                  </pic:nvPicPr>
                  <pic:blipFill>
                    <a:blip r:embed="rId17"/>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8" name="Picture 8"/>
            <wp:cNvGraphicFramePr>
              <a:graphicFrameLocks noChangeAspect="1"/>
            </wp:cNvGraphicFramePr>
            <a:graphic>
              <a:graphicData uri="http://schemas.openxmlformats.org/drawingml/2006/picture">
                <pic:pic>
                  <pic:nvPicPr>
                    <pic:cNvPr id="0" name="fig17_1_readiness_map.png"/>
                    <pic:cNvPicPr/>
                  </pic:nvPicPr>
                  <pic:blipFill>
                    <a:blip r:embed="rId18"/>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