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Developing, structuring and financing hydropower projects from site to financial close</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0.1 (pre-publication review draft)</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Business Models, Project Development and Financial Structuring for Hydropower in Africa. First edition, version 0.1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8"/>
            <w:shd w:val="clear" w:color="auto" w:fill="0B3020"/>
          </w:tcPr>
          <w:p>
            <w:pPr>
              <w:spacing w:after="0"/>
            </w:pPr>
            <w:r>
              <w:rPr>
                <w:b/>
                <w:color w:val="FFFFFF"/>
                <w:sz w:val="16"/>
              </w:rPr>
              <w:t>Book</w:t>
            </w:r>
          </w:p>
        </w:tc>
        <w:tc>
          <w:tcPr>
            <w:tcW w:type="dxa" w:w="3287"/>
            <w:shd w:val="clear" w:color="auto" w:fill="0B3020"/>
          </w:tcPr>
          <w:p>
            <w:pPr>
              <w:spacing w:after="0"/>
            </w:pPr>
            <w:r>
              <w:rPr>
                <w:b/>
                <w:color w:val="FFFFFF"/>
                <w:sz w:val="16"/>
              </w:rPr>
              <w:t>Subject</w:t>
            </w:r>
          </w:p>
        </w:tc>
        <w:tc>
          <w:tcPr>
            <w:tcW w:type="dxa" w:w="4483"/>
            <w:shd w:val="clear" w:color="auto" w:fill="0B3020"/>
          </w:tcPr>
          <w:p>
            <w:pPr>
              <w:spacing w:after="0"/>
            </w:pPr>
            <w:r>
              <w:rPr>
                <w:b/>
                <w:color w:val="FFFFFF"/>
                <w:sz w:val="16"/>
              </w:rPr>
              <w:t>Central question</w:t>
            </w:r>
          </w:p>
        </w:tc>
        <w:tc>
          <w:tcPr>
            <w:tcW w:type="dxa" w:w="1420"/>
            <w:shd w:val="clear" w:color="auto" w:fill="0B3020"/>
          </w:tcPr>
          <w:p>
            <w:pPr>
              <w:spacing w:after="0"/>
            </w:pPr>
            <w:r>
              <w:rPr>
                <w:b/>
                <w:color w:val="FFFFFF"/>
                <w:sz w:val="16"/>
              </w:rPr>
              <w:t>Status</w:t>
            </w:r>
          </w:p>
        </w:tc>
      </w:tr>
      <w:tr>
        <w:tc>
          <w:tcPr>
            <w:tcW w:type="dxa" w:w="448"/>
          </w:tcPr>
          <w:p>
            <w:pPr>
              <w:spacing w:after="0"/>
            </w:pPr>
            <w:r>
              <w:rPr>
                <w:color w:val="1D1D1D"/>
                <w:sz w:val="16"/>
              </w:rPr>
              <w:t>Book 1</w:t>
            </w:r>
          </w:p>
        </w:tc>
        <w:tc>
          <w:tcPr>
            <w:tcW w:type="dxa" w:w="3287"/>
          </w:tcPr>
          <w:p>
            <w:pPr>
              <w:spacing w:after="0"/>
            </w:pPr>
            <w:r>
              <w:rPr>
                <w:color w:val="1D1D1D"/>
                <w:sz w:val="16"/>
              </w:rPr>
              <w:t>Mini grids</w:t>
            </w:r>
          </w:p>
        </w:tc>
        <w:tc>
          <w:tcPr>
            <w:tcW w:type="dxa" w:w="4483"/>
          </w:tcPr>
          <w:p>
            <w:pPr>
              <w:spacing w:after="0"/>
            </w:pPr>
            <w:r>
              <w:rPr>
                <w:color w:val="1D1D1D"/>
                <w:sz w:val="16"/>
              </w:rPr>
              <w:t>Can this mini grid become a sustainable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2</w:t>
            </w:r>
          </w:p>
        </w:tc>
        <w:tc>
          <w:tcPr>
            <w:tcW w:type="dxa" w:w="3287"/>
            <w:shd w:val="clear" w:color="auto" w:fill="FAF8F2"/>
          </w:tcPr>
          <w:p>
            <w:pPr>
              <w:spacing w:after="0"/>
            </w:pPr>
            <w:r>
              <w:rPr>
                <w:color w:val="1D1D1D"/>
                <w:sz w:val="16"/>
              </w:rPr>
              <w:t>Solar home systems (PAYGo)</w:t>
            </w:r>
          </w:p>
        </w:tc>
        <w:tc>
          <w:tcPr>
            <w:tcW w:type="dxa" w:w="4483"/>
            <w:shd w:val="clear" w:color="auto" w:fill="FAF8F2"/>
          </w:tcPr>
          <w:p>
            <w:pPr>
              <w:spacing w:after="0"/>
            </w:pPr>
            <w:r>
              <w:rPr>
                <w:color w:val="1D1D1D"/>
                <w:sz w:val="16"/>
              </w:rPr>
              <w:t>Can PAYGo solar become profitable and financeable?</w:t>
            </w:r>
          </w:p>
        </w:tc>
        <w:tc>
          <w:tcPr>
            <w:tcW w:type="dxa" w:w="1420"/>
            <w:shd w:val="clear" w:color="auto" w:fill="FAF8F2"/>
          </w:tcPr>
          <w:p>
            <w:pPr>
              <w:spacing w:after="0"/>
            </w:pPr>
            <w:r>
              <w:rPr>
                <w:color w:val="1D1D1D"/>
                <w:sz w:val="16"/>
              </w:rPr>
              <w:t>First edition</w:t>
            </w:r>
          </w:p>
        </w:tc>
      </w:tr>
      <w:tr>
        <w:tc>
          <w:tcPr>
            <w:tcW w:type="dxa" w:w="448"/>
          </w:tcPr>
          <w:p>
            <w:pPr>
              <w:spacing w:after="0"/>
            </w:pPr>
            <w:r>
              <w:rPr>
                <w:color w:val="1D1D1D"/>
                <w:sz w:val="16"/>
              </w:rPr>
              <w:t>Book 3</w:t>
            </w:r>
          </w:p>
        </w:tc>
        <w:tc>
          <w:tcPr>
            <w:tcW w:type="dxa" w:w="3287"/>
          </w:tcPr>
          <w:p>
            <w:pPr>
              <w:spacing w:after="0"/>
            </w:pPr>
            <w:r>
              <w:rPr>
                <w:color w:val="1D1D1D"/>
                <w:sz w:val="16"/>
              </w:rPr>
              <w:t>Clean cooking</w:t>
            </w:r>
          </w:p>
        </w:tc>
        <w:tc>
          <w:tcPr>
            <w:tcW w:type="dxa" w:w="4483"/>
          </w:tcPr>
          <w:p>
            <w:pPr>
              <w:spacing w:after="0"/>
            </w:pPr>
            <w:r>
              <w:rPr>
                <w:color w:val="1D1D1D"/>
                <w:sz w:val="16"/>
              </w:rPr>
              <w:t>Can clean cooking scale as a commercial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4</w:t>
            </w:r>
          </w:p>
        </w:tc>
        <w:tc>
          <w:tcPr>
            <w:tcW w:type="dxa" w:w="3287"/>
            <w:shd w:val="clear" w:color="auto" w:fill="FAF8F2"/>
          </w:tcPr>
          <w:p>
            <w:pPr>
              <w:spacing w:after="0"/>
            </w:pPr>
            <w:r>
              <w:rPr>
                <w:color w:val="1D1D1D"/>
                <w:sz w:val="16"/>
              </w:rPr>
              <w:t>Commercial and industrial solar with storage</w:t>
            </w:r>
          </w:p>
        </w:tc>
        <w:tc>
          <w:tcPr>
            <w:tcW w:type="dxa" w:w="4483"/>
            <w:shd w:val="clear" w:color="auto" w:fill="FAF8F2"/>
          </w:tcPr>
          <w:p>
            <w:pPr>
              <w:spacing w:after="0"/>
            </w:pPr>
            <w:r>
              <w:rPr>
                <w:color w:val="1D1D1D"/>
                <w:sz w:val="16"/>
              </w:rPr>
              <w:t>Should the customer invest, sign a PPA or use an energy service company?</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5</w:t>
            </w:r>
          </w:p>
        </w:tc>
        <w:tc>
          <w:tcPr>
            <w:tcW w:type="dxa" w:w="3287"/>
          </w:tcPr>
          <w:p>
            <w:pPr>
              <w:spacing w:after="0"/>
            </w:pPr>
            <w:r>
              <w:rPr>
                <w:color w:val="1D1D1D"/>
                <w:sz w:val="16"/>
              </w:rPr>
              <w:t>Energy access fund</w:t>
            </w:r>
          </w:p>
        </w:tc>
        <w:tc>
          <w:tcPr>
            <w:tcW w:type="dxa" w:w="4483"/>
          </w:tcPr>
          <w:p>
            <w:pPr>
              <w:spacing w:after="0"/>
            </w:pPr>
            <w:r>
              <w:rPr>
                <w:color w:val="1D1D1D"/>
                <w:sz w:val="16"/>
              </w:rPr>
              <w:t>Can a fund mobilise capital and generate sustainable returns?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6</w:t>
            </w:r>
          </w:p>
        </w:tc>
        <w:tc>
          <w:tcPr>
            <w:tcW w:type="dxa" w:w="3287"/>
            <w:shd w:val="clear" w:color="auto" w:fill="FAF8F2"/>
          </w:tcPr>
          <w:p>
            <w:pPr>
              <w:spacing w:after="0"/>
            </w:pPr>
            <w:r>
              <w:rPr>
                <w:color w:val="1D1D1D"/>
                <w:sz w:val="16"/>
              </w:rPr>
              <w:t>Power utilities</w:t>
            </w:r>
          </w:p>
        </w:tc>
        <w:tc>
          <w:tcPr>
            <w:tcW w:type="dxa" w:w="4483"/>
            <w:shd w:val="clear" w:color="auto" w:fill="FAF8F2"/>
          </w:tcPr>
          <w:p>
            <w:pPr>
              <w:spacing w:after="0"/>
            </w:pPr>
            <w:r>
              <w:rPr>
                <w:color w:val="1D1D1D"/>
                <w:sz w:val="16"/>
              </w:rPr>
              <w:t>Can the utility become financially sustainable?</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7</w:t>
            </w:r>
          </w:p>
        </w:tc>
        <w:tc>
          <w:tcPr>
            <w:tcW w:type="dxa" w:w="3287"/>
          </w:tcPr>
          <w:p>
            <w:pPr>
              <w:spacing w:after="0"/>
            </w:pPr>
            <w:r>
              <w:rPr>
                <w:color w:val="1D1D1D"/>
                <w:sz w:val="16"/>
              </w:rPr>
              <w:t>Hydropower: this book</w:t>
            </w:r>
          </w:p>
        </w:tc>
        <w:tc>
          <w:tcPr>
            <w:tcW w:type="dxa" w:w="4483"/>
          </w:tcPr>
          <w:p>
            <w:pPr>
              <w:spacing w:after="0"/>
            </w:pPr>
            <w:r>
              <w:rPr>
                <w:color w:val="1D1D1D"/>
                <w:sz w:val="16"/>
              </w:rPr>
              <w:t>Can this hydropower project be developed to financial close and financed on terms the developer, the lenders and the state can each accept?</w:t>
            </w:r>
          </w:p>
        </w:tc>
        <w:tc>
          <w:tcPr>
            <w:tcW w:type="dxa" w:w="1420"/>
          </w:tcPr>
          <w:p>
            <w:pPr>
              <w:spacing w:after="0"/>
            </w:pPr>
            <w:r>
              <w:rPr>
                <w:color w:val="1D1D1D"/>
                <w:sz w:val="16"/>
              </w:rPr>
              <w:t>First edition, v0.1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59"/>
            <w:shd w:val="clear" w:color="auto" w:fill="0B3020"/>
          </w:tcPr>
          <w:p>
            <w:pPr>
              <w:spacing w:after="0"/>
            </w:pPr>
            <w:r>
              <w:rPr>
                <w:b/>
                <w:color w:val="FFFFFF"/>
                <w:sz w:val="16"/>
              </w:rPr>
              <w:t>Product</w:t>
            </w:r>
          </w:p>
        </w:tc>
        <w:tc>
          <w:tcPr>
            <w:tcW w:type="dxa" w:w="4036"/>
            <w:shd w:val="clear" w:color="auto" w:fill="0B3020"/>
          </w:tcPr>
          <w:p>
            <w:pPr>
              <w:spacing w:after="0"/>
            </w:pPr>
            <w:r>
              <w:rPr>
                <w:b/>
                <w:color w:val="FFFFFF"/>
                <w:sz w:val="16"/>
              </w:rPr>
              <w:t>Name</w:t>
            </w:r>
          </w:p>
        </w:tc>
        <w:tc>
          <w:tcPr>
            <w:tcW w:type="dxa" w:w="4942"/>
            <w:shd w:val="clear" w:color="auto" w:fill="0B3020"/>
          </w:tcPr>
          <w:p>
            <w:pPr>
              <w:spacing w:after="0"/>
            </w:pPr>
            <w:r>
              <w:rPr>
                <w:b/>
                <w:color w:val="FFFFFF"/>
                <w:sz w:val="16"/>
              </w:rPr>
              <w:t>Role</w:t>
            </w:r>
          </w:p>
        </w:tc>
      </w:tr>
      <w:tr>
        <w:tc>
          <w:tcPr>
            <w:tcW w:type="dxa" w:w="659"/>
          </w:tcPr>
          <w:p>
            <w:pPr>
              <w:spacing w:after="0"/>
            </w:pPr>
            <w:r>
              <w:rPr>
                <w:color w:val="1D1D1D"/>
                <w:sz w:val="16"/>
              </w:rPr>
              <w:t>Book</w:t>
            </w:r>
          </w:p>
        </w:tc>
        <w:tc>
          <w:tcPr>
            <w:tcW w:type="dxa" w:w="4036"/>
          </w:tcPr>
          <w:p>
            <w:pPr>
              <w:spacing w:after="0"/>
            </w:pPr>
            <w:r>
              <w:rPr>
                <w:color w:val="1D1D1D"/>
                <w:sz w:val="16"/>
              </w:rPr>
              <w:t>Hydropower Development and Finance (this book)</w:t>
            </w:r>
          </w:p>
        </w:tc>
        <w:tc>
          <w:tcPr>
            <w:tcW w:type="dxa" w:w="4942"/>
          </w:tcPr>
          <w:p>
            <w:pPr>
              <w:spacing w:after="0"/>
            </w:pPr>
            <w:r>
              <w:rPr>
                <w:color w:val="1D1D1D"/>
                <w:sz w:val="16"/>
              </w:rPr>
              <w:t>Explains the method and why it works</w:t>
            </w:r>
          </w:p>
        </w:tc>
      </w:tr>
      <w:tr>
        <w:tc>
          <w:tcPr>
            <w:tcW w:type="dxa" w:w="659"/>
            <w:shd w:val="clear" w:color="auto" w:fill="FAF8F2"/>
          </w:tcPr>
          <w:p>
            <w:pPr>
              <w:spacing w:after="0"/>
            </w:pPr>
            <w:r>
              <w:rPr>
                <w:color w:val="1D1D1D"/>
                <w:sz w:val="16"/>
              </w:rPr>
              <w:t>Model</w:t>
            </w:r>
          </w:p>
        </w:tc>
        <w:tc>
          <w:tcPr>
            <w:tcW w:type="dxa" w:w="4036"/>
            <w:shd w:val="clear" w:color="auto" w:fill="FAF8F2"/>
          </w:tcPr>
          <w:p>
            <w:pPr>
              <w:spacing w:after="0"/>
            </w:pPr>
            <w:r>
              <w:rPr>
                <w:color w:val="1D1D1D"/>
                <w:sz w:val="16"/>
              </w:rPr>
              <w:t>MODEL 7: Hydropower Development and Finance Model</w:t>
            </w:r>
          </w:p>
        </w:tc>
        <w:tc>
          <w:tcPr>
            <w:tcW w:type="dxa" w:w="4942"/>
            <w:shd w:val="clear" w:color="auto" w:fill="FAF8F2"/>
          </w:tcPr>
          <w:p>
            <w:pPr>
              <w:spacing w:after="0"/>
            </w:pPr>
            <w:r>
              <w:rPr>
                <w:color w:val="1D1D1D"/>
                <w:sz w:val="16"/>
              </w:rPr>
              <w:t>Quantifies the method: annual, 40 period, integrated project, utility and public-finance model with a development module and 23 financial close gates</w:t>
            </w:r>
          </w:p>
        </w:tc>
      </w:tr>
      <w:tr>
        <w:tc>
          <w:tcPr>
            <w:tcW w:type="dxa" w:w="659"/>
          </w:tcPr>
          <w:p>
            <w:pPr>
              <w:spacing w:after="0"/>
            </w:pPr>
            <w:r>
              <w:rPr>
                <w:color w:val="1D1D1D"/>
                <w:sz w:val="16"/>
              </w:rPr>
              <w:t>Manual</w:t>
            </w:r>
          </w:p>
        </w:tc>
        <w:tc>
          <w:tcPr>
            <w:tcW w:type="dxa" w:w="4036"/>
          </w:tcPr>
          <w:p>
            <w:pPr>
              <w:spacing w:after="0"/>
            </w:pPr>
            <w:r>
              <w:rPr>
                <w:color w:val="1D1D1D"/>
                <w:sz w:val="16"/>
              </w:rPr>
              <w:t>MANUAL 7: User and Methodology Manual</w:t>
            </w:r>
          </w:p>
        </w:tc>
        <w:tc>
          <w:tcPr>
            <w:tcW w:type="dxa" w:w="4942"/>
          </w:tcPr>
          <w:p>
            <w:pPr>
              <w:spacing w:after="0"/>
            </w:pPr>
            <w:r>
              <w:rPr>
                <w:color w:val="1D1D1D"/>
                <w:sz w:val="16"/>
              </w:rPr>
              <w:t>Teaches the reader to operate the model</w:t>
            </w:r>
          </w:p>
        </w:tc>
      </w:tr>
      <w:tr>
        <w:tc>
          <w:tcPr>
            <w:tcW w:type="dxa" w:w="659"/>
            <w:shd w:val="clear" w:color="auto" w:fill="FAF8F2"/>
          </w:tcPr>
          <w:p>
            <w:pPr>
              <w:spacing w:after="0"/>
            </w:pPr>
            <w:r>
              <w:rPr>
                <w:color w:val="1D1D1D"/>
                <w:sz w:val="16"/>
              </w:rPr>
              <w:t>Case</w:t>
            </w:r>
          </w:p>
        </w:tc>
        <w:tc>
          <w:tcPr>
            <w:tcW w:type="dxa" w:w="4036"/>
            <w:shd w:val="clear" w:color="auto" w:fill="FAF8F2"/>
          </w:tcPr>
          <w:p>
            <w:pPr>
              <w:spacing w:after="0"/>
            </w:pPr>
            <w:r>
              <w:rPr>
                <w:color w:val="1D1D1D"/>
                <w:sz w:val="16"/>
              </w:rPr>
              <w:t>CASE 7: Kasiri River Hydro</w:t>
            </w:r>
          </w:p>
        </w:tc>
        <w:tc>
          <w:tcPr>
            <w:tcW w:type="dxa" w:w="4942"/>
            <w:shd w:val="clear" w:color="auto" w:fill="FAF8F2"/>
          </w:tcPr>
          <w:p>
            <w:pPr>
              <w:spacing w:after="0"/>
            </w:pPr>
            <w:r>
              <w:rPr>
                <w:color w:val="1D1D1D"/>
                <w:sz w:val="16"/>
              </w:rPr>
              <w:t>Demonstrates the method on a fictional 60 MW run-of-river project</w:t>
            </w:r>
          </w:p>
        </w:tc>
      </w:tr>
      <w:tr>
        <w:tc>
          <w:tcPr>
            <w:tcW w:type="dxa" w:w="659"/>
          </w:tcPr>
          <w:p>
            <w:pPr>
              <w:spacing w:after="0"/>
            </w:pPr>
            <w:r>
              <w:rPr>
                <w:color w:val="1D1D1D"/>
                <w:sz w:val="16"/>
              </w:rPr>
              <w:t>Training</w:t>
            </w:r>
          </w:p>
        </w:tc>
        <w:tc>
          <w:tcPr>
            <w:tcW w:type="dxa" w:w="4036"/>
          </w:tcPr>
          <w:p>
            <w:pPr>
              <w:spacing w:after="0"/>
            </w:pPr>
            <w:r>
              <w:rPr>
                <w:color w:val="1D1D1D"/>
                <w:sz w:val="16"/>
              </w:rPr>
              <w:t>Video course</w:t>
            </w:r>
          </w:p>
        </w:tc>
        <w:tc>
          <w:tcPr>
            <w:tcW w:type="dxa" w:w="4942"/>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the reason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15 and 16. It comes from the author's earlier policy paper on hydro and public liabilities, which is now a companion paper to this book.</w:t>
      </w:r>
    </w:p>
    <w:p>
      <w:pPr>
        <w:pStyle w:val="Heading2"/>
      </w:pPr>
      <w:r>
        <w:t>Conventions</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0.1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tested in LibreOffice, adversarially reviewed and corrected);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Eight questions that are not the same question</w:t>
      </w:r>
    </w:p>
    <w:p>
      <w:pPr>
        <w:jc w:val="both"/>
      </w:pPr>
      <w:r>
        <w:rPr/>
        <w:t>Hydro projects are often described as "feasible" or "bankable" as if those words meant one thing. The book separates eight questions, because a project can pass one and fail the next, and each is answered by a different document or test.</w:t>
      </w:r>
    </w:p>
    <w:tbl>
      <w:tblPr>
        <w:tblStyle w:val="TableGrid"/>
        <w:tblW w:type="auto" w:w="0"/>
        <w:jc w:val="center"/>
        <w:tblLook w:firstColumn="1" w:firstRow="1" w:lastColumn="0" w:lastRow="0" w:noHBand="0" w:noVBand="1" w:val="04A0"/>
      </w:tblPr>
      <w:tblGrid>
        <w:gridCol w:w="3213"/>
        <w:gridCol w:w="3213"/>
        <w:gridCol w:w="3213"/>
      </w:tblGrid>
      <w:tr>
        <w:tc>
          <w:tcPr>
            <w:tcW w:type="dxa" w:w="2628"/>
            <w:shd w:val="clear" w:color="auto" w:fill="0B3020"/>
          </w:tcPr>
          <w:p>
            <w:pPr>
              <w:spacing w:after="0"/>
            </w:pPr>
            <w:r>
              <w:rPr>
                <w:b/>
                <w:color w:val="FFFFFF"/>
                <w:sz w:val="16"/>
              </w:rPr>
              <w:t>Question</w:t>
            </w:r>
          </w:p>
        </w:tc>
        <w:tc>
          <w:tcPr>
            <w:tcW w:type="dxa" w:w="3505"/>
            <w:shd w:val="clear" w:color="auto" w:fill="0B3020"/>
          </w:tcPr>
          <w:p>
            <w:pPr>
              <w:spacing w:after="0"/>
            </w:pPr>
            <w:r>
              <w:rPr>
                <w:b/>
                <w:color w:val="FFFFFF"/>
                <w:sz w:val="16"/>
              </w:rPr>
              <w:t>Answered by</w:t>
            </w:r>
          </w:p>
        </w:tc>
        <w:tc>
          <w:tcPr>
            <w:tcW w:type="dxa" w:w="3505"/>
            <w:shd w:val="clear" w:color="auto" w:fill="0B3020"/>
          </w:tcPr>
          <w:p>
            <w:pPr>
              <w:spacing w:after="0"/>
            </w:pPr>
            <w:r>
              <w:rPr>
                <w:b/>
                <w:color w:val="FFFFFF"/>
                <w:sz w:val="16"/>
              </w:rPr>
              <w:t>Typical trap</w:t>
            </w:r>
          </w:p>
        </w:tc>
      </w:tr>
      <w:tr>
        <w:tc>
          <w:tcPr>
            <w:tcW w:type="dxa" w:w="2628"/>
          </w:tcPr>
          <w:p>
            <w:pPr>
              <w:spacing w:after="0"/>
            </w:pPr>
            <w:r>
              <w:rPr>
                <w:color w:val="1D1D1D"/>
                <w:sz w:val="16"/>
              </w:rPr>
              <w:t>Is the site technically viable?</w:t>
            </w:r>
          </w:p>
        </w:tc>
        <w:tc>
          <w:tcPr>
            <w:tcW w:type="dxa" w:w="3505"/>
          </w:tcPr>
          <w:p>
            <w:pPr>
              <w:spacing w:after="0"/>
            </w:pPr>
            <w:r>
              <w:rPr>
                <w:color w:val="1D1D1D"/>
                <w:sz w:val="16"/>
              </w:rPr>
              <w:t>Feasibility study and geotechnical investigation (Chapters 2, 3, 9)</w:t>
            </w:r>
          </w:p>
        </w:tc>
        <w:tc>
          <w:tcPr>
            <w:tcW w:type="dxa" w:w="3505"/>
          </w:tcPr>
          <w:p>
            <w:pPr>
              <w:spacing w:after="0"/>
            </w:pPr>
            <w:r>
              <w:rPr>
                <w:color w:val="1D1D1D"/>
                <w:sz w:val="16"/>
              </w:rPr>
              <w:t>A feasibility study built on a short or synthetic flow record presented as a long one</w:t>
            </w:r>
          </w:p>
        </w:tc>
      </w:tr>
      <w:tr>
        <w:tc>
          <w:tcPr>
            <w:tcW w:type="dxa" w:w="2628"/>
            <w:shd w:val="clear" w:color="auto" w:fill="FAF8F2"/>
          </w:tcPr>
          <w:p>
            <w:pPr>
              <w:spacing w:after="0"/>
            </w:pPr>
            <w:r>
              <w:rPr>
                <w:color w:val="1D1D1D"/>
                <w:sz w:val="16"/>
              </w:rPr>
              <w:t>Is the project developable?</w:t>
            </w:r>
          </w:p>
        </w:tc>
        <w:tc>
          <w:tcPr>
            <w:tcW w:type="dxa" w:w="3505"/>
            <w:shd w:val="clear" w:color="auto" w:fill="FAF8F2"/>
          </w:tcPr>
          <w:p>
            <w:pPr>
              <w:spacing w:after="0"/>
            </w:pPr>
            <w:r>
              <w:rPr>
                <w:color w:val="1D1D1D"/>
                <w:sz w:val="16"/>
              </w:rPr>
              <w:t>Consent sequence, land and water rights, PPA route (Chapters 5, 7)</w:t>
            </w:r>
          </w:p>
        </w:tc>
        <w:tc>
          <w:tcPr>
            <w:tcW w:type="dxa" w:w="3505"/>
            <w:shd w:val="clear" w:color="auto" w:fill="FAF8F2"/>
          </w:tcPr>
          <w:p>
            <w:pPr>
              <w:spacing w:after="0"/>
            </w:pPr>
            <w:r>
              <w:rPr>
                <w:color w:val="1D1D1D"/>
                <w:sz w:val="16"/>
              </w:rPr>
              <w:t>Spending on bankable feasibility before the PPA route and water rights are secure</w:t>
            </w:r>
          </w:p>
        </w:tc>
      </w:tr>
      <w:tr>
        <w:tc>
          <w:tcPr>
            <w:tcW w:type="dxa" w:w="2628"/>
          </w:tcPr>
          <w:p>
            <w:pPr>
              <w:spacing w:after="0"/>
            </w:pPr>
            <w:r>
              <w:rPr>
                <w:color w:val="1D1D1D"/>
                <w:sz w:val="16"/>
              </w:rPr>
              <w:t>Is it economic for the power system?</w:t>
            </w:r>
          </w:p>
        </w:tc>
        <w:tc>
          <w:tcPr>
            <w:tcW w:type="dxa" w:w="3505"/>
          </w:tcPr>
          <w:p>
            <w:pPr>
              <w:spacing w:after="0"/>
            </w:pPr>
            <w:r>
              <w:rPr>
                <w:color w:val="1D1D1D"/>
                <w:sz w:val="16"/>
              </w:rPr>
              <w:t>Least-cost plan, LCOE against alternatives (Chapters 3, 4)</w:t>
            </w:r>
          </w:p>
        </w:tc>
        <w:tc>
          <w:tcPr>
            <w:tcW w:type="dxa" w:w="3505"/>
          </w:tcPr>
          <w:p>
            <w:pPr>
              <w:spacing w:after="0"/>
            </w:pPr>
            <w:r>
              <w:rPr>
                <w:color w:val="1D1D1D"/>
                <w:sz w:val="16"/>
              </w:rPr>
              <w:t>Quoting plant cost when the system pays for plant and line</w:t>
            </w:r>
          </w:p>
        </w:tc>
      </w:tr>
      <w:tr>
        <w:tc>
          <w:tcPr>
            <w:tcW w:type="dxa" w:w="2628"/>
            <w:shd w:val="clear" w:color="auto" w:fill="FAF8F2"/>
          </w:tcPr>
          <w:p>
            <w:pPr>
              <w:spacing w:after="0"/>
            </w:pPr>
            <w:r>
              <w:rPr>
                <w:color w:val="1D1D1D"/>
                <w:sz w:val="16"/>
              </w:rPr>
              <w:t>Is it investable for the developer?</w:t>
            </w:r>
          </w:p>
        </w:tc>
        <w:tc>
          <w:tcPr>
            <w:tcW w:type="dxa" w:w="3505"/>
            <w:shd w:val="clear" w:color="auto" w:fill="FAF8F2"/>
          </w:tcPr>
          <w:p>
            <w:pPr>
              <w:spacing w:after="0"/>
            </w:pPr>
            <w:r>
              <w:rPr>
                <w:color w:val="1D1D1D"/>
                <w:sz w:val="16"/>
              </w:rPr>
              <w:t>Risk-weighted development NPV, premium, sell-down value (Chapters 6, 14)</w:t>
            </w:r>
          </w:p>
        </w:tc>
        <w:tc>
          <w:tcPr>
            <w:tcW w:type="dxa" w:w="3505"/>
            <w:shd w:val="clear" w:color="auto" w:fill="FAF8F2"/>
          </w:tcPr>
          <w:p>
            <w:pPr>
              <w:spacing w:after="0"/>
            </w:pPr>
            <w:r>
              <w:rPr>
                <w:color w:val="1D1D1D"/>
                <w:sz w:val="16"/>
              </w:rPr>
              <w:t>Reading the equity IRR at close as the developer's return, ignoring at-risk spend and the chance of failure</w:t>
            </w:r>
          </w:p>
        </w:tc>
      </w:tr>
      <w:tr>
        <w:tc>
          <w:tcPr>
            <w:tcW w:type="dxa" w:w="2628"/>
          </w:tcPr>
          <w:p>
            <w:pPr>
              <w:spacing w:after="0"/>
            </w:pPr>
            <w:r>
              <w:rPr>
                <w:color w:val="1D1D1D"/>
                <w:sz w:val="16"/>
              </w:rPr>
              <w:t>Is it bankable?</w:t>
            </w:r>
          </w:p>
        </w:tc>
        <w:tc>
          <w:tcPr>
            <w:tcW w:type="dxa" w:w="3505"/>
          </w:tcPr>
          <w:p>
            <w:pPr>
              <w:spacing w:after="0"/>
            </w:pPr>
            <w:r>
              <w:rPr>
                <w:color w:val="1D1D1D"/>
                <w:sz w:val="16"/>
              </w:rPr>
              <w:t>Lender case, DSCR, LLCR, security package (Chapters 12, 13)</w:t>
            </w:r>
          </w:p>
        </w:tc>
        <w:tc>
          <w:tcPr>
            <w:tcW w:type="dxa" w:w="3505"/>
          </w:tcPr>
          <w:p>
            <w:pPr>
              <w:spacing w:after="0"/>
            </w:pPr>
            <w:r>
              <w:rPr>
                <w:color w:val="1D1D1D"/>
                <w:sz w:val="16"/>
              </w:rPr>
              <w:t>A project protected by backstops, so that lenders see none of the risk</w:t>
            </w:r>
          </w:p>
        </w:tc>
      </w:tr>
      <w:tr>
        <w:tc>
          <w:tcPr>
            <w:tcW w:type="dxa" w:w="2628"/>
            <w:shd w:val="clear" w:color="auto" w:fill="FAF8F2"/>
          </w:tcPr>
          <w:p>
            <w:pPr>
              <w:spacing w:after="0"/>
            </w:pPr>
            <w:r>
              <w:rPr>
                <w:color w:val="1D1D1D"/>
                <w:sz w:val="16"/>
              </w:rPr>
              <w:t>Is it buildable on budget?</w:t>
            </w:r>
          </w:p>
        </w:tc>
        <w:tc>
          <w:tcPr>
            <w:tcW w:type="dxa" w:w="3505"/>
            <w:shd w:val="clear" w:color="auto" w:fill="FAF8F2"/>
          </w:tcPr>
          <w:p>
            <w:pPr>
              <w:spacing w:after="0"/>
            </w:pPr>
            <w:r>
              <w:rPr>
                <w:color w:val="1D1D1D"/>
                <w:sz w:val="16"/>
              </w:rPr>
              <w:t>Contract structure, contingency, reference class (Chapters 9, 10)</w:t>
            </w:r>
          </w:p>
        </w:tc>
        <w:tc>
          <w:tcPr>
            <w:tcW w:type="dxa" w:w="3505"/>
            <w:shd w:val="clear" w:color="auto" w:fill="FAF8F2"/>
          </w:tcPr>
          <w:p>
            <w:pPr>
              <w:spacing w:after="0"/>
            </w:pPr>
            <w:r>
              <w:rPr>
                <w:color w:val="1D1D1D"/>
                <w:sz w:val="16"/>
              </w:rPr>
              <w:t>A "fixed-price" EPC contract with ground conditions excluded</w:t>
            </w:r>
          </w:p>
        </w:tc>
      </w:tr>
      <w:tr>
        <w:tc>
          <w:tcPr>
            <w:tcW w:type="dxa" w:w="2628"/>
          </w:tcPr>
          <w:p>
            <w:pPr>
              <w:spacing w:after="0"/>
            </w:pPr>
            <w:r>
              <w:rPr>
                <w:color w:val="1D1D1D"/>
                <w:sz w:val="16"/>
              </w:rPr>
              <w:t>Is it affordable for the buyer and the state?</w:t>
            </w:r>
          </w:p>
        </w:tc>
        <w:tc>
          <w:tcPr>
            <w:tcW w:type="dxa" w:w="3505"/>
          </w:tcPr>
          <w:p>
            <w:pPr>
              <w:spacing w:after="0"/>
            </w:pPr>
            <w:r>
              <w:rPr>
                <w:color w:val="1D1D1D"/>
                <w:sz w:val="16"/>
              </w:rPr>
              <w:t>Payment capacity, support package, contingent liabilities (Chapter 15)</w:t>
            </w:r>
          </w:p>
        </w:tc>
        <w:tc>
          <w:tcPr>
            <w:tcW w:type="dxa" w:w="3505"/>
          </w:tcPr>
          <w:p>
            <w:pPr>
              <w:spacing w:after="0"/>
            </w:pPr>
            <w:r>
              <w:rPr>
                <w:color w:val="1D1D1D"/>
                <w:sz w:val="16"/>
              </w:rPr>
              <w:t>A bankable project whose arrangements move the risk onto the Treasury</w:t>
            </w:r>
          </w:p>
        </w:tc>
      </w:tr>
      <w:tr>
        <w:tc>
          <w:tcPr>
            <w:tcW w:type="dxa" w:w="2628"/>
            <w:shd w:val="clear" w:color="auto" w:fill="FAF8F2"/>
          </w:tcPr>
          <w:p>
            <w:pPr>
              <w:spacing w:after="0"/>
            </w:pPr>
            <w:r>
              <w:rPr>
                <w:color w:val="1D1D1D"/>
                <w:sz w:val="16"/>
              </w:rPr>
              <w:t>Is it ready to close?</w:t>
            </w:r>
          </w:p>
        </w:tc>
        <w:tc>
          <w:tcPr>
            <w:tcW w:type="dxa" w:w="3505"/>
            <w:shd w:val="clear" w:color="auto" w:fill="FAF8F2"/>
          </w:tcPr>
          <w:p>
            <w:pPr>
              <w:spacing w:after="0"/>
            </w:pPr>
            <w:r>
              <w:rPr>
                <w:color w:val="1D1D1D"/>
                <w:sz w:val="16"/>
              </w:rPr>
              <w:t>Evidence-based financial close gates (Chapter 17)</w:t>
            </w:r>
          </w:p>
        </w:tc>
        <w:tc>
          <w:tcPr>
            <w:tcW w:type="dxa" w:w="3505"/>
            <w:shd w:val="clear" w:color="auto" w:fill="FAF8F2"/>
          </w:tcPr>
          <w:p>
            <w:pPr>
              <w:spacing w:after="0"/>
            </w:pPr>
            <w:r>
              <w:rPr>
                <w:color w:val="1D1D1D"/>
                <w:sz w:val="16"/>
              </w:rPr>
              <w:t>Treating a signed term sheet as a closed deal</w:t>
            </w:r>
          </w:p>
        </w:tc>
      </w:tr>
    </w:tbl>
    <w:p>
      <w:pPr>
        <w:spacing w:after="40"/>
      </w:pP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[A2:S30].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that the private share of hydro capacity falls sharply with plant size [HY-06]. Uganda's GET FiT programme supported a portfolio of small private hydro plants, with about EUR 94 million of public money mobilising about EUR 450 million of private investment according to KfW [DE:S35].</w:t>
      </w:r>
    </w:p>
    <w:p>
      <w:pPr>
        <w:jc w:val="both"/>
      </w:pPr>
      <w:r>
        <w:rPr/>
        <w:t>Development finance institutions increasingly co-develop. IFC InfraVentures typically funds a minority share of development costs and an average ticket of about USD 4 million per project [DE:S2]. The African Development Bank's Sustainable Energy Fund for Africa has provided project preparation grants of around USD 1 million to small hydro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stalled since about 2009 [A2:S20].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in 2024 the water allocation for generation was cut by about half,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The companion workbook, MODEL 7, is an annual, 40 period model with 38 sheets and about 11,000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sets a minimum of about 15 years of hydrological data for lenders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reports a weighted average capacity factor of 55 percent for small hydro commissioned in Africa between 2018 and 2024, within a 5th to 95th percentile band of 50 to 66 percent [HY-01].</w:t>
      </w:r>
    </w:p>
    <w:p>
      <w:pPr>
        <w:jc w:val="center"/>
      </w:pPr>
      <w:r>
        <w:drawing>
          <wp:inline xmlns:a="http://schemas.openxmlformats.org/drawingml/2006/main" xmlns:pic="http://schemas.openxmlformats.org/drawingml/2006/picture">
            <wp:extent cx="5400000" cy="2182978"/>
            <wp:docPr id="2" name="Picture 2"/>
            <wp:cNvGraphicFramePr>
              <a:graphicFrameLocks noChangeAspect="1"/>
            </wp:cNvGraphicFramePr>
            <a:graphic>
              <a:graphicData uri="http://schemas.openxmlformats.org/drawingml/2006/picture">
                <pic:pic>
                  <pic:nvPicPr>
                    <pic:cNvPr id="0" name="fig2_1_hydrology.png"/>
                    <pic:cNvPicPr/>
                  </pic:nvPicPr>
                  <pic:blipFill>
                    <a:blip r:embed="rId12"/>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For a bankable estimate, energy should be computed month by month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In 2024 the water allocation for generation at Kariba was cut from 30 to 16 billion cubic metres, according to news reporting [CL-04]. The model's default of 55 percent of normal flow for three years is set close to that event.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supply disruption across interconnected systems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IRENA reports capacity factors for newly commissioned African large hydro of 33, 48 and 81 percent at the 5th percentile, weighted average and 95th percentile, and 50, 55 and 66 percent for small hydro [HY-01]. Kasiri's 55.6% sits at the small-hydro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about USD 4,084 per kW for small hydro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follows the IFC's median of 9.8 percent of total plant cost, within a range of 5.4 to 12.6 percent [DE:S1].</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these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and corruption investigations followed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an assumed term of 25 years. That is well above the standard tariffs quoted above, for two reasons: Kasiri's unit cost is higher than the plants those tariffs were set for, and it is not eligible for a standard tariff. Chapter 12 shows how close the tariff is to the level the project needs, and Chapter 14 shows how the developer's return depends on it. A tariff of 116 USD per MWh in 2026 dollars would bring the private equity return to the 15 percent target.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Programmes of that kind change the developer's cash flow profile more than its long-run returns, because they arrive early, when equity is most expensive.</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put the total time from development to commercial operation for hydro at eight to ten years [DE:S2]. Ngonye Falls in Zambia has been in development for more than a decade without reaching financial close [DE:S3], and Nyagak III in Uganda took about ten years from award to commissioning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also might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midway through permitting and PPA negotiations.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stage with a higher probability of success is worth more than spending that cannot.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3" name="Picture 3"/>
            <wp:cNvGraphicFramePr>
              <a:graphicFrameLocks noChangeAspect="1"/>
            </wp:cNvGraphicFramePr>
            <a:graphic>
              <a:graphicData uri="http://schemas.openxmlformats.org/drawingml/2006/picture">
                <pic:pic>
                  <pic:nvPicPr>
                    <pic:cNvPr id="0" name="fig6_1_position_value.png"/>
                    <pic:cNvPicPr/>
                  </pic:nvPicPr>
                  <pic:blipFill>
                    <a:blip r:embed="rId13"/>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58"/>
            <w:shd w:val="clear" w:color="auto" w:fill="0B3020"/>
          </w:tcPr>
          <w:p>
            <w:pPr>
              <w:spacing w:after="0"/>
            </w:pPr>
            <w:r>
              <w:rPr>
                <w:b/>
                <w:color w:val="FFFFFF"/>
                <w:sz w:val="16"/>
              </w:rPr>
              <w:t>Consent</w:t>
            </w:r>
          </w:p>
        </w:tc>
        <w:tc>
          <w:tcPr>
            <w:tcW w:type="dxa" w:w="2259"/>
            <w:shd w:val="clear" w:color="auto" w:fill="0B3020"/>
          </w:tcPr>
          <w:p>
            <w:pPr>
              <w:spacing w:after="0"/>
            </w:pPr>
            <w:r>
              <w:rPr>
                <w:b/>
                <w:color w:val="FFFFFF"/>
                <w:sz w:val="16"/>
              </w:rPr>
              <w:t>Typical authority</w:t>
            </w:r>
          </w:p>
        </w:tc>
        <w:tc>
          <w:tcPr>
            <w:tcW w:type="dxa" w:w="2460"/>
            <w:shd w:val="clear" w:color="auto" w:fill="0B3020"/>
          </w:tcPr>
          <w:p>
            <w:pPr>
              <w:spacing w:after="0"/>
            </w:pPr>
            <w:r>
              <w:rPr>
                <w:b/>
                <w:color w:val="FFFFFF"/>
                <w:sz w:val="16"/>
              </w:rPr>
              <w:t>Depends on</w:t>
            </w:r>
          </w:p>
        </w:tc>
        <w:tc>
          <w:tcPr>
            <w:tcW w:type="dxa" w:w="2761"/>
            <w:shd w:val="clear" w:color="auto" w:fill="0B3020"/>
          </w:tcPr>
          <w:p>
            <w:pPr>
              <w:spacing w:after="0"/>
            </w:pPr>
            <w:r>
              <w:rPr>
                <w:b/>
                <w:color w:val="FFFFFF"/>
                <w:sz w:val="16"/>
              </w:rPr>
              <w:t>Why lenders care</w:t>
            </w:r>
          </w:p>
        </w:tc>
      </w:tr>
      <w:tr>
        <w:tc>
          <w:tcPr>
            <w:tcW w:type="dxa" w:w="2158"/>
          </w:tcPr>
          <w:p>
            <w:pPr>
              <w:spacing w:after="0"/>
            </w:pPr>
            <w:r>
              <w:rPr>
                <w:color w:val="1D1D1D"/>
                <w:sz w:val="16"/>
              </w:rPr>
              <w:t>Water use permit or water right</w:t>
            </w:r>
          </w:p>
        </w:tc>
        <w:tc>
          <w:tcPr>
            <w:tcW w:type="dxa" w:w="2259"/>
          </w:tcPr>
          <w:p>
            <w:pPr>
              <w:spacing w:after="0"/>
            </w:pPr>
            <w:r>
              <w:rPr>
                <w:color w:val="1D1D1D"/>
                <w:sz w:val="16"/>
              </w:rPr>
              <w:t>Water resources authority</w:t>
            </w:r>
          </w:p>
        </w:tc>
        <w:tc>
          <w:tcPr>
            <w:tcW w:type="dxa" w:w="2460"/>
          </w:tcPr>
          <w:p>
            <w:pPr>
              <w:spacing w:after="0"/>
            </w:pPr>
            <w:r>
              <w:rPr>
                <w:color w:val="1D1D1D"/>
                <w:sz w:val="16"/>
              </w:rPr>
              <w:t>Hydrology study, environmental flow</w:t>
            </w:r>
          </w:p>
        </w:tc>
        <w:tc>
          <w:tcPr>
            <w:tcW w:type="dxa" w:w="2761"/>
          </w:tcPr>
          <w:p>
            <w:pPr>
              <w:spacing w:after="0"/>
            </w:pPr>
            <w:r>
              <w:rPr>
                <w:color w:val="1D1D1D"/>
                <w:sz w:val="16"/>
              </w:rPr>
              <w:t>Without it, the project has no legal right to the river</w:t>
            </w:r>
          </w:p>
        </w:tc>
      </w:tr>
      <w:tr>
        <w:tc>
          <w:tcPr>
            <w:tcW w:type="dxa" w:w="2158"/>
            <w:shd w:val="clear" w:color="auto" w:fill="FAF8F2"/>
          </w:tcPr>
          <w:p>
            <w:pPr>
              <w:spacing w:after="0"/>
            </w:pPr>
            <w:r>
              <w:rPr>
                <w:color w:val="1D1D1D"/>
                <w:sz w:val="16"/>
              </w:rPr>
              <w:t>Environmental and social approval</w:t>
            </w:r>
          </w:p>
        </w:tc>
        <w:tc>
          <w:tcPr>
            <w:tcW w:type="dxa" w:w="2259"/>
            <w:shd w:val="clear" w:color="auto" w:fill="FAF8F2"/>
          </w:tcPr>
          <w:p>
            <w:pPr>
              <w:spacing w:after="0"/>
            </w:pPr>
            <w:r>
              <w:rPr>
                <w:color w:val="1D1D1D"/>
                <w:sz w:val="16"/>
              </w:rPr>
              <w:t>Environment agency</w:t>
            </w:r>
          </w:p>
        </w:tc>
        <w:tc>
          <w:tcPr>
            <w:tcW w:type="dxa" w:w="2460"/>
            <w:shd w:val="clear" w:color="auto" w:fill="FAF8F2"/>
          </w:tcPr>
          <w:p>
            <w:pPr>
              <w:spacing w:after="0"/>
            </w:pPr>
            <w:r>
              <w:rPr>
                <w:color w:val="1D1D1D"/>
                <w:sz w:val="16"/>
              </w:rPr>
              <w:t>ESIA, public consultation</w:t>
            </w:r>
          </w:p>
        </w:tc>
        <w:tc>
          <w:tcPr>
            <w:tcW w:type="dxa" w:w="2761"/>
            <w:shd w:val="clear" w:color="auto" w:fill="FAF8F2"/>
          </w:tcPr>
          <w:p>
            <w:pPr>
              <w:spacing w:after="0"/>
            </w:pPr>
            <w:r>
              <w:rPr>
                <w:color w:val="1D1D1D"/>
                <w:sz w:val="16"/>
              </w:rPr>
              <w:t>Condition of lending under international standards</w:t>
            </w:r>
          </w:p>
        </w:tc>
      </w:tr>
      <w:tr>
        <w:tc>
          <w:tcPr>
            <w:tcW w:type="dxa" w:w="2158"/>
          </w:tcPr>
          <w:p>
            <w:pPr>
              <w:spacing w:after="0"/>
            </w:pPr>
            <w:r>
              <w:rPr>
                <w:color w:val="1D1D1D"/>
                <w:sz w:val="16"/>
              </w:rPr>
              <w:t>Generation licence</w:t>
            </w:r>
          </w:p>
        </w:tc>
        <w:tc>
          <w:tcPr>
            <w:tcW w:type="dxa" w:w="2259"/>
          </w:tcPr>
          <w:p>
            <w:pPr>
              <w:spacing w:after="0"/>
            </w:pPr>
            <w:r>
              <w:rPr>
                <w:color w:val="1D1D1D"/>
                <w:sz w:val="16"/>
              </w:rPr>
              <w:t>Electricity regulator</w:t>
            </w:r>
          </w:p>
        </w:tc>
        <w:tc>
          <w:tcPr>
            <w:tcW w:type="dxa" w:w="2460"/>
          </w:tcPr>
          <w:p>
            <w:pPr>
              <w:spacing w:after="0"/>
            </w:pPr>
            <w:r>
              <w:rPr>
                <w:color w:val="1D1D1D"/>
                <w:sz w:val="16"/>
              </w:rPr>
              <w:t>Feasibility, water permit, environmental approval</w:t>
            </w:r>
          </w:p>
        </w:tc>
        <w:tc>
          <w:tcPr>
            <w:tcW w:type="dxa" w:w="2761"/>
          </w:tcPr>
          <w:p>
            <w:pPr>
              <w:spacing w:after="0"/>
            </w:pPr>
            <w:r>
              <w:rPr>
                <w:color w:val="1D1D1D"/>
                <w:sz w:val="16"/>
              </w:rPr>
              <w:t>Required to sell power</w:t>
            </w:r>
          </w:p>
        </w:tc>
      </w:tr>
      <w:tr>
        <w:tc>
          <w:tcPr>
            <w:tcW w:type="dxa" w:w="2158"/>
            <w:shd w:val="clear" w:color="auto" w:fill="FAF8F2"/>
          </w:tcPr>
          <w:p>
            <w:pPr>
              <w:spacing w:after="0"/>
            </w:pPr>
            <w:r>
              <w:rPr>
                <w:color w:val="1D1D1D"/>
                <w:sz w:val="16"/>
              </w:rPr>
              <w:t>Land rights and resettlement</w:t>
            </w:r>
          </w:p>
        </w:tc>
        <w:tc>
          <w:tcPr>
            <w:tcW w:type="dxa" w:w="2259"/>
            <w:shd w:val="clear" w:color="auto" w:fill="FAF8F2"/>
          </w:tcPr>
          <w:p>
            <w:pPr>
              <w:spacing w:after="0"/>
            </w:pPr>
            <w:r>
              <w:rPr>
                <w:color w:val="1D1D1D"/>
                <w:sz w:val="16"/>
              </w:rPr>
              <w:t>Land authority, local government, communities</w:t>
            </w:r>
          </w:p>
        </w:tc>
        <w:tc>
          <w:tcPr>
            <w:tcW w:type="dxa" w:w="2460"/>
            <w:shd w:val="clear" w:color="auto" w:fill="FAF8F2"/>
          </w:tcPr>
          <w:p>
            <w:pPr>
              <w:spacing w:after="0"/>
            </w:pPr>
            <w:r>
              <w:rPr>
                <w:color w:val="1D1D1D"/>
                <w:sz w:val="16"/>
              </w:rPr>
              <w:t>Resettlement action plan, compensation</w:t>
            </w:r>
          </w:p>
        </w:tc>
        <w:tc>
          <w:tcPr>
            <w:tcW w:type="dxa" w:w="2761"/>
            <w:shd w:val="clear" w:color="auto" w:fill="FAF8F2"/>
          </w:tcPr>
          <w:p>
            <w:pPr>
              <w:spacing w:after="0"/>
            </w:pPr>
            <w:r>
              <w:rPr>
                <w:color w:val="1D1D1D"/>
                <w:sz w:val="16"/>
              </w:rPr>
              <w:t>Access for construction; reputational risk</w:t>
            </w:r>
          </w:p>
        </w:tc>
      </w:tr>
      <w:tr>
        <w:tc>
          <w:tcPr>
            <w:tcW w:type="dxa" w:w="2158"/>
          </w:tcPr>
          <w:p>
            <w:pPr>
              <w:spacing w:after="0"/>
            </w:pPr>
            <w:r>
              <w:rPr>
                <w:color w:val="1D1D1D"/>
                <w:sz w:val="16"/>
              </w:rPr>
              <w:t>Concession or implementation agreement</w:t>
            </w:r>
          </w:p>
        </w:tc>
        <w:tc>
          <w:tcPr>
            <w:tcW w:type="dxa" w:w="2259"/>
          </w:tcPr>
          <w:p>
            <w:pPr>
              <w:spacing w:after="0"/>
            </w:pPr>
            <w:r>
              <w:rPr>
                <w:color w:val="1D1D1D"/>
                <w:sz w:val="16"/>
              </w:rPr>
              <w:t>Government (energy and finance ministries)</w:t>
            </w:r>
          </w:p>
        </w:tc>
        <w:tc>
          <w:tcPr>
            <w:tcW w:type="dxa" w:w="2460"/>
          </w:tcPr>
          <w:p>
            <w:pPr>
              <w:spacing w:after="0"/>
            </w:pPr>
            <w:r>
              <w:rPr>
                <w:color w:val="1D1D1D"/>
                <w:sz w:val="16"/>
              </w:rPr>
              <w:t>Licence, PPA</w:t>
            </w:r>
          </w:p>
        </w:tc>
        <w:tc>
          <w:tcPr>
            <w:tcW w:type="dxa" w:w="2761"/>
          </w:tcPr>
          <w:p>
            <w:pPr>
              <w:spacing w:after="0"/>
            </w:pPr>
            <w:r>
              <w:rPr>
                <w:color w:val="1D1D1D"/>
                <w:sz w:val="16"/>
              </w:rPr>
              <w:t>Defines state obligations, including termination</w:t>
            </w:r>
          </w:p>
        </w:tc>
      </w:tr>
      <w:tr>
        <w:tc>
          <w:tcPr>
            <w:tcW w:type="dxa" w:w="2158"/>
            <w:shd w:val="clear" w:color="auto" w:fill="FAF8F2"/>
          </w:tcPr>
          <w:p>
            <w:pPr>
              <w:spacing w:after="0"/>
            </w:pPr>
            <w:r>
              <w:rPr>
                <w:color w:val="1D1D1D"/>
                <w:sz w:val="16"/>
              </w:rPr>
              <w:t>Grid connection agreement</w:t>
            </w:r>
          </w:p>
        </w:tc>
        <w:tc>
          <w:tcPr>
            <w:tcW w:type="dxa" w:w="2259"/>
            <w:shd w:val="clear" w:color="auto" w:fill="FAF8F2"/>
          </w:tcPr>
          <w:p>
            <w:pPr>
              <w:spacing w:after="0"/>
            </w:pPr>
            <w:r>
              <w:rPr>
                <w:color w:val="1D1D1D"/>
                <w:sz w:val="16"/>
              </w:rPr>
              <w:t>Transmission company or utility</w:t>
            </w:r>
          </w:p>
        </w:tc>
        <w:tc>
          <w:tcPr>
            <w:tcW w:type="dxa" w:w="2460"/>
            <w:shd w:val="clear" w:color="auto" w:fill="FAF8F2"/>
          </w:tcPr>
          <w:p>
            <w:pPr>
              <w:spacing w:after="0"/>
            </w:pPr>
            <w:r>
              <w:rPr>
                <w:color w:val="1D1D1D"/>
                <w:sz w:val="16"/>
              </w:rPr>
              <w:t>Grid study</w:t>
            </w:r>
          </w:p>
        </w:tc>
        <w:tc>
          <w:tcPr>
            <w:tcW w:type="dxa" w:w="2761"/>
            <w:shd w:val="clear" w:color="auto" w:fill="FAF8F2"/>
          </w:tcPr>
          <w:p>
            <w:pPr>
              <w:spacing w:after="0"/>
            </w:pPr>
            <w:r>
              <w:rPr>
                <w:color w:val="1D1D1D"/>
                <w:sz w:val="16"/>
              </w:rPr>
              <w:t>Evacuation and deemed energy</w:t>
            </w:r>
          </w:p>
        </w:tc>
      </w:tr>
      <w:tr>
        <w:tc>
          <w:tcPr>
            <w:tcW w:type="dxa" w:w="2158"/>
          </w:tcPr>
          <w:p>
            <w:pPr>
              <w:spacing w:after="0"/>
            </w:pPr>
            <w:r>
              <w:rPr>
                <w:color w:val="1D1D1D"/>
                <w:sz w:val="16"/>
              </w:rPr>
              <w:t>Dam safety approval</w:t>
            </w:r>
          </w:p>
        </w:tc>
        <w:tc>
          <w:tcPr>
            <w:tcW w:type="dxa" w:w="2259"/>
          </w:tcPr>
          <w:p>
            <w:pPr>
              <w:spacing w:after="0"/>
            </w:pPr>
            <w:r>
              <w:rPr>
                <w:color w:val="1D1D1D"/>
                <w:sz w:val="16"/>
              </w:rPr>
              <w:t>Dam safety authority, where one exists</w:t>
            </w:r>
          </w:p>
        </w:tc>
        <w:tc>
          <w:tcPr>
            <w:tcW w:type="dxa" w:w="2460"/>
          </w:tcPr>
          <w:p>
            <w:pPr>
              <w:spacing w:after="0"/>
            </w:pPr>
            <w:r>
              <w:rPr>
                <w:color w:val="1D1D1D"/>
                <w:sz w:val="16"/>
              </w:rPr>
              <w:t>Design review</w:t>
            </w:r>
          </w:p>
        </w:tc>
        <w:tc>
          <w:tcPr>
            <w:tcW w:type="dxa" w:w="2761"/>
          </w:tcPr>
          <w:p>
            <w:pPr>
              <w:spacing w:after="0"/>
            </w:pPr>
            <w:r>
              <w:rPr>
                <w:color w:val="1D1D1D"/>
                <w:sz w:val="16"/>
              </w:rPr>
              <w:t>Lenders apply international dam safety practice [HY-15]</w:t>
            </w:r>
          </w:p>
        </w:tc>
      </w:tr>
      <w:tr>
        <w:tc>
          <w:tcPr>
            <w:tcW w:type="dxa" w:w="2158"/>
            <w:shd w:val="clear" w:color="auto" w:fill="FAF8F2"/>
          </w:tcPr>
          <w:p>
            <w:pPr>
              <w:spacing w:after="0"/>
            </w:pPr>
            <w:r>
              <w:rPr>
                <w:color w:val="1D1D1D"/>
                <w:sz w:val="16"/>
              </w:rPr>
              <w:t>Tax, customs and exchange control approvals</w:t>
            </w:r>
          </w:p>
        </w:tc>
        <w:tc>
          <w:tcPr>
            <w:tcW w:type="dxa" w:w="2259"/>
            <w:shd w:val="clear" w:color="auto" w:fill="FAF8F2"/>
          </w:tcPr>
          <w:p>
            <w:pPr>
              <w:spacing w:after="0"/>
            </w:pPr>
            <w:r>
              <w:rPr>
                <w:color w:val="1D1D1D"/>
                <w:sz w:val="16"/>
              </w:rPr>
              <w:t>Revenue authority, central bank</w:t>
            </w:r>
          </w:p>
        </w:tc>
        <w:tc>
          <w:tcPr>
            <w:tcW w:type="dxa" w:w="2460"/>
            <w:shd w:val="clear" w:color="auto" w:fill="FAF8F2"/>
          </w:tcPr>
          <w:p>
            <w:pPr>
              <w:spacing w:after="0"/>
            </w:pPr>
            <w:r>
              <w:rPr>
                <w:color w:val="1D1D1D"/>
                <w:sz w:val="16"/>
              </w:rPr>
              <w:t>Investment registration</w:t>
            </w:r>
          </w:p>
        </w:tc>
        <w:tc>
          <w:tcPr>
            <w:tcW w:type="dxa" w:w="2761"/>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regulator has up to 180 days to process a generation licence application, according to a secondary source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provides a sector-specific framework that some lenders and buyers ask for [HY-03].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readiness sheet reads NOT MET.</w:t>
      </w:r>
    </w:p>
    <w:p>
      <w:pPr>
        <w:pStyle w:val="Heading2"/>
      </w:pPr>
      <w:r>
        <w:t>7.4 Resettlement</w:t>
      </w:r>
    </w:p>
    <w:p>
      <w:pPr>
        <w:jc w:val="both"/>
      </w:pPr>
      <w:r>
        <w:rPr/>
        <w:t>Resettlement is the consent most likely to delay construction and the one with the largest reputational risk. Lenders expect a resettlement action plan that is approved, budgeted and implemented before the land is needed. At Rusumo Falls, land acquisition and livelihood restoration costs roughly doubled during implementation, from about USD 18 million to about USD 38 million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Gates 5 to 8 of </w:t>
      </w:r>
      <w:r>
        <w:rPr>
          <w:i/>
        </w:rPr>
        <w:t>30A_CLOSE_READINESS</w:t>
      </w:r>
      <w:r>
        <w:rPr/>
        <w:t xml:space="preserve">. </w:t>
      </w:r>
      <w:r>
        <w:rPr>
          <w:i/>
        </w:rPr>
        <w:t>29_RISK_ALLOCATION</w:t>
      </w:r>
      <w:r>
        <w:rPr/>
        <w:t xml:space="preserve"> records who carries E&amp;S risk.</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The two consistency issues to resolve before close are the gap between the PPA and the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gives a sobering comparison. Across 245 large dams, the median real cost overrun was 27 percent and the mean 96 percent [HY-08]. That study covers large dams, so it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 monthly, equity-first draw schedule is on the list of extensions in Annex K.</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with fees </w:t>
      </w:r>
      <w:r>
        <w:rPr>
          <w:i/>
        </w:rPr>
        <w:t>f</w:t>
      </w:r>
      <w:r>
        <w:rPr/>
        <w:t xml:space="preserve">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IRENA reports fixed operation and maintenance costs for hydro of 1 to 3 percent of installed cost a year,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World Bank guidance on operation and maintenance strategies for hydro sets out how to plan for such costs [HY-07].</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pStyle w:val="Heading2"/>
      </w:pPr>
      <w:r>
        <w:t>12.1 Tenor</w:t>
      </w:r>
    </w:p>
    <w:p>
      <w:pPr>
        <w:jc w:val="both"/>
      </w:pPr>
      <w:r>
        <w:rPr/>
        <w:t>For an asset that can run for fifty years or more, the length of the debt matters more for the tariff than almost any other financing term. Commercial tenors for African hydro are rarely longer than fifteen to eighteen years [PF-13]. Kikagati in Uganda closed with a 16-year loan from FMO and the Emerging Africa Infrastructure Fund [DE:S53]. Bugoye was refinanced in 2017 with 12-year debt [DE:S30]. Nachtigal raised an 18-year euro tranche and a 21-year local-currency tranche guaranteed by IBRD [PF-11].</w:t>
      </w:r>
    </w:p>
    <w:p>
      <w:pPr>
        <w:jc w:val="both"/>
      </w:pPr>
      <w:r>
        <w:rPr/>
        <w:t>Kasiri's senior debt has a 16-year repayment period after commercial operation at 8 percent, fixed or swapped for three quarters of the amount, with a target DSCR of 1.35 for sizing.</w:t>
      </w:r>
    </w:p>
    <w:p>
      <w:pPr>
        <w:pStyle w:val="Heading2"/>
      </w:pPr>
      <w:r>
        <w:t>12.2 Gearing and cover</w:t>
      </w:r>
    </w:p>
    <w:p>
      <w:pPr>
        <w:jc w:val="both"/>
      </w:pPr>
      <w:r>
        <w:rPr/>
        <w:t>Public evidence on gearing for small and medium African hydro sits between about 62 and 76 percent of total cost: about 70 percent at Nyamagasani 1, 75 percent at Nyamagasani 2 and about 62 percent at Kikagati (derived) [DE:S39b; DE:S39c; DE:S53]. The IFC's guide indicates DSCR targets of 1.2 to 1.5, with cover above 1.0 in the worst dry year [DE:S1]. The most specific public covenant evidence for a large African hydro IPP is Nachtigal's lenders' base case, with a minimum DSCR of 1.45 and an average of 1.53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capital cost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4072"/>
            <w:shd w:val="clear" w:color="auto" w:fill="0B3020"/>
          </w:tcPr>
          <w:p>
            <w:pPr>
              <w:spacing w:after="0"/>
            </w:pPr>
            <w:r>
              <w:rPr>
                <w:b/>
                <w:color w:val="FFFFFF"/>
                <w:sz w:val="16"/>
              </w:rPr>
              <w:t>Lender case</w:t>
            </w:r>
          </w:p>
        </w:tc>
        <w:tc>
          <w:tcPr>
            <w:tcW w:type="dxa" w:w="2715"/>
            <w:shd w:val="clear" w:color="auto" w:fill="0B3020"/>
          </w:tcPr>
          <w:p>
            <w:pPr>
              <w:spacing w:after="0"/>
            </w:pPr>
            <w:r>
              <w:rPr>
                <w:b/>
                <w:color w:val="FFFFFF"/>
                <w:sz w:val="16"/>
              </w:rPr>
              <w:t>Debt capacity (USDm)</w:t>
            </w:r>
          </w:p>
        </w:tc>
        <w:tc>
          <w:tcPr>
            <w:tcW w:type="dxa" w:w="2851"/>
            <w:shd w:val="clear" w:color="auto" w:fill="0B3020"/>
          </w:tcPr>
          <w:p>
            <w:pPr>
              <w:spacing w:after="0"/>
            </w:pPr>
            <w:r>
              <w:rPr>
                <w:b/>
                <w:color w:val="FFFFFF"/>
                <w:sz w:val="16"/>
              </w:rPr>
              <w:t>Gearing on total uses</w:t>
            </w:r>
          </w:p>
        </w:tc>
      </w:tr>
      <w:tr>
        <w:tc>
          <w:tcPr>
            <w:tcW w:type="dxa" w:w="4072"/>
          </w:tcPr>
          <w:p>
            <w:pPr>
              <w:spacing w:after="0"/>
            </w:pPr>
            <w:r>
              <w:rPr>
                <w:color w:val="1D1D1D"/>
                <w:sz w:val="16"/>
              </w:rPr>
              <w:t>P90 ten-year average (default)</w:t>
            </w:r>
          </w:p>
        </w:tc>
        <w:tc>
          <w:tcPr>
            <w:tcW w:type="dxa" w:w="2715"/>
          </w:tcPr>
          <w:p>
            <w:pPr>
              <w:spacing w:after="0"/>
            </w:pPr>
            <w:r>
              <w:rPr>
                <w:color w:val="1D1D1D"/>
                <w:sz w:val="16"/>
              </w:rPr>
              <w:t>145</w:t>
            </w:r>
          </w:p>
        </w:tc>
        <w:tc>
          <w:tcPr>
            <w:tcW w:type="dxa" w:w="2851"/>
          </w:tcPr>
          <w:p>
            <w:pPr>
              <w:spacing w:after="0"/>
            </w:pPr>
            <w:r>
              <w:rPr>
                <w:color w:val="1D1D1D"/>
                <w:sz w:val="16"/>
              </w:rPr>
              <w:t>68%</w:t>
            </w:r>
          </w:p>
        </w:tc>
      </w:tr>
      <w:tr>
        <w:tc>
          <w:tcPr>
            <w:tcW w:type="dxa" w:w="4072"/>
            <w:shd w:val="clear" w:color="auto" w:fill="FAF8F2"/>
          </w:tcPr>
          <w:p>
            <w:pPr>
              <w:spacing w:after="0"/>
            </w:pPr>
            <w:r>
              <w:rPr>
                <w:color w:val="1D1D1D"/>
                <w:sz w:val="16"/>
              </w:rPr>
              <w:t>P90 one-year, every year</w:t>
            </w:r>
          </w:p>
        </w:tc>
        <w:tc>
          <w:tcPr>
            <w:tcW w:type="dxa" w:w="2715"/>
            <w:shd w:val="clear" w:color="auto" w:fill="FAF8F2"/>
          </w:tcPr>
          <w:p>
            <w:pPr>
              <w:spacing w:after="0"/>
            </w:pPr>
            <w:r>
              <w:rPr>
                <w:color w:val="1D1D1D"/>
                <w:sz w:val="16"/>
              </w:rPr>
              <w:t>127</w:t>
            </w:r>
          </w:p>
        </w:tc>
        <w:tc>
          <w:tcPr>
            <w:tcW w:type="dxa" w:w="2851"/>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local banks, coordinated by IFC [A2:S6].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adds currency risk to the project rather than removing it; the mismatch sits with the utility instead, and Chapter 15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full engine solves, for each structure with private equity,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expropriation, war, transfer restriction and breach of contract, and MIGA's non-honouring cover protects against a sovereign's failure to pay a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was refinanced in 2017 by the Emerging Africa Infrastructure Fund and FMO, after its original sponsors had sold [DE:S30].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4" name="Picture 4"/>
            <wp:cNvGraphicFramePr>
              <a:graphicFrameLocks noChangeAspect="1"/>
            </wp:cNvGraphicFramePr>
            <a:graphic>
              <a:graphicData uri="http://schemas.openxmlformats.org/drawingml/2006/picture">
                <pic:pic>
                  <pic:nvPicPr>
                    <pic:cNvPr id="0" name="fig14_1_developer_cf.png"/>
                    <pic:cNvPicPr/>
                  </pic:nvPicPr>
                  <pic:blipFill>
                    <a:blip r:embed="rId14"/>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19% of plant cost, which no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048"/>
            <w:shd w:val="clear" w:color="auto" w:fill="0B3020"/>
          </w:tcPr>
          <w:p>
            <w:pPr>
              <w:spacing w:after="0"/>
            </w:pPr>
            <w:r>
              <w:rPr>
                <w:b/>
                <w:color w:val="FFFFFF"/>
                <w:sz w:val="16"/>
              </w:rPr>
              <w:t>Case</w:t>
            </w:r>
          </w:p>
        </w:tc>
        <w:tc>
          <w:tcPr>
            <w:tcW w:type="dxa" w:w="2754"/>
            <w:shd w:val="clear" w:color="auto" w:fill="0B3020"/>
          </w:tcPr>
          <w:p>
            <w:pPr>
              <w:spacing w:after="0"/>
            </w:pPr>
            <w:r>
              <w:rPr>
                <w:b/>
                <w:color w:val="FFFFFF"/>
                <w:sz w:val="16"/>
              </w:rPr>
              <w:t>Risk-weighted NPV (USDm)</w:t>
            </w:r>
          </w:p>
        </w:tc>
        <w:tc>
          <w:tcPr>
            <w:tcW w:type="dxa" w:w="1836"/>
            <w:shd w:val="clear" w:color="auto" w:fill="0B3020"/>
          </w:tcPr>
          <w:p>
            <w:pPr>
              <w:spacing w:after="0"/>
            </w:pPr>
            <w:r>
              <w:rPr>
                <w:b/>
                <w:color w:val="FFFFFF"/>
                <w:sz w:val="16"/>
              </w:rPr>
              <w:t>Success-path IRR</w:t>
            </w:r>
          </w:p>
        </w:tc>
      </w:tr>
      <w:tr>
        <w:tc>
          <w:tcPr>
            <w:tcW w:type="dxa" w:w="5048"/>
          </w:tcPr>
          <w:p>
            <w:pPr>
              <w:spacing w:after="0"/>
            </w:pPr>
            <w:r>
              <w:rPr>
                <w:color w:val="1D1D1D"/>
                <w:sz w:val="16"/>
              </w:rPr>
              <w:t>Base</w:t>
            </w:r>
          </w:p>
        </w:tc>
        <w:tc>
          <w:tcPr>
            <w:tcW w:type="dxa" w:w="2754"/>
          </w:tcPr>
          <w:p>
            <w:pPr>
              <w:spacing w:after="0"/>
            </w:pPr>
            <w:r>
              <w:rPr>
                <w:color w:val="1D1D1D"/>
                <w:sz w:val="16"/>
              </w:rPr>
              <w:t>−0.95</w:t>
            </w:r>
          </w:p>
        </w:tc>
        <w:tc>
          <w:tcPr>
            <w:tcW w:type="dxa" w:w="1836"/>
          </w:tcPr>
          <w:p>
            <w:pPr>
              <w:spacing w:after="0"/>
            </w:pPr>
            <w:r>
              <w:rPr>
                <w:color w:val="1D1D1D"/>
                <w:sz w:val="16"/>
              </w:rPr>
              <w:t>16.0%</w:t>
            </w:r>
          </w:p>
        </w:tc>
      </w:tr>
      <w:tr>
        <w:tc>
          <w:tcPr>
            <w:tcW w:type="dxa" w:w="5048"/>
            <w:shd w:val="clear" w:color="auto" w:fill="FAF8F2"/>
          </w:tcPr>
          <w:p>
            <w:pPr>
              <w:spacing w:after="0"/>
            </w:pPr>
            <w:r>
              <w:rPr>
                <w:color w:val="1D1D1D"/>
                <w:sz w:val="16"/>
              </w:rPr>
              <w:t>Development discount rate 18% instead of 25%</w:t>
            </w:r>
          </w:p>
        </w:tc>
        <w:tc>
          <w:tcPr>
            <w:tcW w:type="dxa" w:w="2754"/>
            <w:shd w:val="clear" w:color="auto" w:fill="FAF8F2"/>
          </w:tcPr>
          <w:p>
            <w:pPr>
              <w:spacing w:after="0"/>
            </w:pPr>
            <w:r>
              <w:rPr>
                <w:color w:val="1D1D1D"/>
                <w:sz w:val="16"/>
              </w:rPr>
              <w:t>−1.02</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Development premium 6% instead of 3%</w:t>
            </w:r>
          </w:p>
        </w:tc>
        <w:tc>
          <w:tcPr>
            <w:tcW w:type="dxa" w:w="2754"/>
          </w:tcPr>
          <w:p>
            <w:pPr>
              <w:spacing w:after="0"/>
            </w:pPr>
            <w:r>
              <w:rPr>
                <w:color w:val="1D1D1D"/>
                <w:sz w:val="16"/>
              </w:rPr>
              <w:t>−0.82</w:t>
            </w:r>
          </w:p>
        </w:tc>
        <w:tc>
          <w:tcPr>
            <w:tcW w:type="dxa" w:w="1836"/>
          </w:tcPr>
          <w:p>
            <w:pPr>
              <w:spacing w:after="0"/>
            </w:pPr>
            <w:r>
              <w:rPr>
                <w:color w:val="1D1D1D"/>
                <w:sz w:val="16"/>
              </w:rPr>
              <w:t>18.6%</w:t>
            </w:r>
          </w:p>
        </w:tc>
      </w:tr>
      <w:tr>
        <w:tc>
          <w:tcPr>
            <w:tcW w:type="dxa" w:w="5048"/>
            <w:shd w:val="clear" w:color="auto" w:fill="FAF8F2"/>
          </w:tcPr>
          <w:p>
            <w:pPr>
              <w:spacing w:after="0"/>
            </w:pPr>
            <w:r>
              <w:rPr>
                <w:color w:val="1D1D1D"/>
                <w:sz w:val="16"/>
              </w:rPr>
              <w:t>Stage odds 10 points higher at every stage</w:t>
            </w:r>
          </w:p>
        </w:tc>
        <w:tc>
          <w:tcPr>
            <w:tcW w:type="dxa" w:w="2754"/>
            <w:shd w:val="clear" w:color="auto" w:fill="FAF8F2"/>
          </w:tcPr>
          <w:p>
            <w:pPr>
              <w:spacing w:after="0"/>
            </w:pPr>
            <w:r>
              <w:rPr>
                <w:color w:val="1D1D1D"/>
                <w:sz w:val="16"/>
              </w:rPr>
              <w:t>−0.96</w:t>
            </w:r>
          </w:p>
        </w:tc>
        <w:tc>
          <w:tcPr>
            <w:tcW w:type="dxa" w:w="1836"/>
            <w:shd w:val="clear" w:color="auto" w:fill="FAF8F2"/>
          </w:tcPr>
          <w:p>
            <w:pPr>
              <w:spacing w:after="0"/>
            </w:pPr>
            <w:r>
              <w:rPr>
                <w:color w:val="1D1D1D"/>
                <w:sz w:val="16"/>
              </w:rPr>
              <w:t>16.0%</w:t>
            </w:r>
          </w:p>
        </w:tc>
      </w:tr>
      <w:tr>
        <w:tc>
          <w:tcPr>
            <w:tcW w:type="dxa" w:w="5048"/>
          </w:tcPr>
          <w:p>
            <w:pPr>
              <w:spacing w:after="0"/>
            </w:pPr>
            <w:r>
              <w:rPr>
                <w:color w:val="1D1D1D"/>
                <w:sz w:val="16"/>
              </w:rPr>
              <w:t>Grant funds half of the feasibility stage</w:t>
            </w:r>
          </w:p>
        </w:tc>
        <w:tc>
          <w:tcPr>
            <w:tcW w:type="dxa" w:w="2754"/>
          </w:tcPr>
          <w:p>
            <w:pPr>
              <w:spacing w:after="0"/>
            </w:pPr>
            <w:r>
              <w:rPr>
                <w:color w:val="1D1D1D"/>
                <w:sz w:val="16"/>
              </w:rPr>
              <w:t>−0.59</w:t>
            </w:r>
          </w:p>
        </w:tc>
        <w:tc>
          <w:tcPr>
            <w:tcW w:type="dxa" w:w="1836"/>
          </w:tcPr>
          <w:p>
            <w:pPr>
              <w:spacing w:after="0"/>
            </w:pPr>
            <w:r>
              <w:rPr>
                <w:color w:val="1D1D1D"/>
                <w:sz w:val="16"/>
              </w:rPr>
              <w:t>18.4%</w:t>
            </w:r>
          </w:p>
        </w:tc>
      </w:tr>
      <w:tr>
        <w:tc>
          <w:tcPr>
            <w:tcW w:type="dxa" w:w="5048"/>
            <w:shd w:val="clear" w:color="auto" w:fill="FAF8F2"/>
          </w:tcPr>
          <w:p>
            <w:pPr>
              <w:spacing w:after="0"/>
            </w:pPr>
            <w:r>
              <w:rPr>
                <w:color w:val="1D1D1D"/>
                <w:sz w:val="16"/>
              </w:rPr>
              <w:t>Tariff 10% higher</w:t>
            </w:r>
          </w:p>
        </w:tc>
        <w:tc>
          <w:tcPr>
            <w:tcW w:type="dxa" w:w="2754"/>
            <w:shd w:val="clear" w:color="auto" w:fill="FAF8F2"/>
          </w:tcPr>
          <w:p>
            <w:pPr>
              <w:spacing w:after="0"/>
            </w:pPr>
            <w:r>
              <w:rPr>
                <w:color w:val="1D1D1D"/>
                <w:sz w:val="16"/>
              </w:rPr>
              <w:t>−0.76</w:t>
            </w:r>
          </w:p>
        </w:tc>
        <w:tc>
          <w:tcPr>
            <w:tcW w:type="dxa" w:w="1836"/>
            <w:shd w:val="clear" w:color="auto" w:fill="FAF8F2"/>
          </w:tcPr>
          <w:p>
            <w:pPr>
              <w:spacing w:after="0"/>
            </w:pPr>
            <w:r>
              <w:rPr>
                <w:color w:val="1D1D1D"/>
                <w:sz w:val="16"/>
              </w:rPr>
              <w:t>20.7%</w:t>
            </w:r>
          </w:p>
        </w:tc>
      </w:tr>
      <w:tr>
        <w:tc>
          <w:tcPr>
            <w:tcW w:type="dxa" w:w="5048"/>
          </w:tcPr>
          <w:p>
            <w:pPr>
              <w:spacing w:after="0"/>
            </w:pPr>
            <w:r>
              <w:rPr>
                <w:color w:val="1D1D1D"/>
                <w:sz w:val="16"/>
              </w:rPr>
              <w:t>All four development levers together</w:t>
            </w:r>
          </w:p>
        </w:tc>
        <w:tc>
          <w:tcPr>
            <w:tcW w:type="dxa" w:w="2754"/>
          </w:tcPr>
          <w:p>
            <w:pPr>
              <w:spacing w:after="0"/>
            </w:pPr>
            <w:r>
              <w:rPr>
                <w:color w:val="1D1D1D"/>
                <w:sz w:val="16"/>
              </w:rPr>
              <w:t>−0.05</w:t>
            </w:r>
          </w:p>
        </w:tc>
        <w:tc>
          <w:tcPr>
            <w:tcW w:type="dxa" w:w="1836"/>
          </w:tcPr>
          <w:p>
            <w:pPr>
              <w:spacing w:after="0"/>
            </w:pPr>
            <w:r>
              <w:rPr>
                <w:color w:val="1D1D1D"/>
                <w:sz w:val="16"/>
              </w:rPr>
              <w:t>22.1%</w:t>
            </w:r>
          </w:p>
        </w:tc>
      </w:tr>
    </w:tbl>
    <w:p>
      <w:pPr>
        <w:spacing w:after="40"/>
      </w:pP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all the levers together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At Bugoye in Uganda, the original sponsors exited in 2015, according to search summaries we could not confirm in a primary source, and the buyer refinanced the plant in 2017 [DE:S11; DE:S30]; the case illustrates the pattern.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buyer's payment capacity is about 6.0x times the PPA bill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contingent exposure at commercial operation was of the order of 3 percent of GDP, its fiscal screen was moderate in the base case and high under cost overrun or offtaker stress,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5" name="Picture 5"/>
            <wp:cNvGraphicFramePr>
              <a:graphicFrameLocks noChangeAspect="1"/>
            </wp:cNvGraphicFramePr>
            <a:graphic>
              <a:graphicData uri="http://schemas.openxmlformats.org/drawingml/2006/picture">
                <pic:pic>
                  <pic:nvPicPr>
                    <pic:cNvPr id="0" name="fig16_1_tornado.png"/>
                    <pic:cNvPicPr/>
                  </pic:nvPicPr>
                  <pic:blipFill>
                    <a:blip r:embed="rId15"/>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either a larger reserve, a cash sweep in wet years, or completion of a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35"/>
            <w:shd w:val="clear" w:color="auto" w:fill="0B3020"/>
          </w:tcPr>
          <w:p>
            <w:pPr>
              <w:spacing w:after="0"/>
            </w:pPr>
            <w:r>
              <w:rPr>
                <w:b/>
                <w:color w:val="FFFFFF"/>
                <w:sz w:val="16"/>
              </w:rPr>
              <w:t>#</w:t>
            </w:r>
          </w:p>
        </w:tc>
        <w:tc>
          <w:tcPr>
            <w:tcW w:type="dxa" w:w="5354"/>
            <w:shd w:val="clear" w:color="auto" w:fill="0B3020"/>
          </w:tcPr>
          <w:p>
            <w:pPr>
              <w:spacing w:after="0"/>
            </w:pPr>
            <w:r>
              <w:rPr>
                <w:b/>
                <w:color w:val="FFFFFF"/>
                <w:sz w:val="16"/>
              </w:rPr>
              <w:t>Gate</w:t>
            </w:r>
          </w:p>
        </w:tc>
        <w:tc>
          <w:tcPr>
            <w:tcW w:type="dxa" w:w="1249"/>
            <w:shd w:val="clear" w:color="auto" w:fill="0B3020"/>
          </w:tcPr>
          <w:p>
            <w:pPr>
              <w:spacing w:after="0"/>
            </w:pPr>
            <w:r>
              <w:rPr>
                <w:b/>
                <w:color w:val="FFFFFF"/>
                <w:sz w:val="16"/>
              </w:rPr>
              <w:t>Area</w:t>
            </w:r>
          </w:p>
        </w:tc>
        <w:tc>
          <w:tcPr>
            <w:tcW w:type="dxa" w:w="714"/>
            <w:shd w:val="clear" w:color="auto" w:fill="0B3020"/>
          </w:tcPr>
          <w:p>
            <w:pPr>
              <w:spacing w:after="0"/>
            </w:pPr>
            <w:r>
              <w:rPr>
                <w:b/>
                <w:color w:val="FFFFFF"/>
                <w:sz w:val="16"/>
              </w:rPr>
              <w:t>Critical</w:t>
            </w:r>
          </w:p>
        </w:tc>
        <w:tc>
          <w:tcPr>
            <w:tcW w:type="dxa" w:w="1785"/>
            <w:shd w:val="clear" w:color="auto" w:fill="0B3020"/>
          </w:tcPr>
          <w:p>
            <w:pPr>
              <w:spacing w:after="0"/>
            </w:pPr>
            <w:r>
              <w:rPr>
                <w:b/>
                <w:color w:val="FFFFFF"/>
                <w:sz w:val="16"/>
              </w:rPr>
              <w:t>Status</w:t>
            </w:r>
          </w:p>
        </w:tc>
      </w:tr>
      <w:tr>
        <w:tc>
          <w:tcPr>
            <w:tcW w:type="dxa" w:w="535"/>
          </w:tcPr>
          <w:p>
            <w:pPr>
              <w:spacing w:after="0"/>
            </w:pPr>
            <w:r>
              <w:rPr>
                <w:color w:val="1D1D1D"/>
                <w:sz w:val="16"/>
              </w:rPr>
              <w:t>1</w:t>
            </w:r>
          </w:p>
        </w:tc>
        <w:tc>
          <w:tcPr>
            <w:tcW w:type="dxa" w:w="5354"/>
          </w:tcPr>
          <w:p>
            <w:pPr>
              <w:spacing w:after="0"/>
            </w:pPr>
            <w:r>
              <w:rPr>
                <w:color w:val="1D1D1D"/>
                <w:sz w:val="16"/>
              </w:rPr>
              <w:t>Flow record of at least 15 years and independent hydrology review</w:t>
            </w:r>
          </w:p>
        </w:tc>
        <w:tc>
          <w:tcPr>
            <w:tcW w:type="dxa" w:w="1249"/>
          </w:tcPr>
          <w:p>
            <w:pPr>
              <w:spacing w:after="0"/>
            </w:pPr>
            <w:r>
              <w:rPr>
                <w:color w:val="1D1D1D"/>
                <w:sz w:val="16"/>
              </w:rPr>
              <w:t>Resource</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2</w:t>
            </w:r>
          </w:p>
        </w:tc>
        <w:tc>
          <w:tcPr>
            <w:tcW w:type="dxa" w:w="5354"/>
            <w:shd w:val="clear" w:color="auto" w:fill="FAF8F2"/>
          </w:tcPr>
          <w:p>
            <w:pPr>
              <w:spacing w:after="0"/>
            </w:pPr>
            <w:r>
              <w:rPr>
                <w:color w:val="1D1D1D"/>
                <w:sz w:val="16"/>
              </w:rPr>
              <w:t>P90 energy confirmed by the lenders' technical adviser</w:t>
            </w:r>
          </w:p>
        </w:tc>
        <w:tc>
          <w:tcPr>
            <w:tcW w:type="dxa" w:w="1249"/>
            <w:shd w:val="clear" w:color="auto" w:fill="FAF8F2"/>
          </w:tcPr>
          <w:p>
            <w:pPr>
              <w:spacing w:after="0"/>
            </w:pPr>
            <w:r>
              <w:rPr>
                <w:color w:val="1D1D1D"/>
                <w:sz w:val="16"/>
              </w:rPr>
              <w:t>Resource</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PARTIAL</w:t>
            </w:r>
          </w:p>
        </w:tc>
      </w:tr>
      <w:tr>
        <w:tc>
          <w:tcPr>
            <w:tcW w:type="dxa" w:w="535"/>
          </w:tcPr>
          <w:p>
            <w:pPr>
              <w:spacing w:after="0"/>
            </w:pPr>
            <w:r>
              <w:rPr>
                <w:color w:val="1D1D1D"/>
                <w:sz w:val="16"/>
              </w:rPr>
              <w:t>3</w:t>
            </w:r>
          </w:p>
        </w:tc>
        <w:tc>
          <w:tcPr>
            <w:tcW w:type="dxa" w:w="5354"/>
          </w:tcPr>
          <w:p>
            <w:pPr>
              <w:spacing w:after="0"/>
            </w:pPr>
            <w:r>
              <w:rPr>
                <w:color w:val="1D1D1D"/>
                <w:sz w:val="16"/>
              </w:rPr>
              <w:t>Bankable feasibility study signed off by the lenders' technical adviser</w:t>
            </w:r>
          </w:p>
        </w:tc>
        <w:tc>
          <w:tcPr>
            <w:tcW w:type="dxa" w:w="1249"/>
          </w:tcPr>
          <w:p>
            <w:pPr>
              <w:spacing w:after="0"/>
            </w:pPr>
            <w:r>
              <w:rPr>
                <w:color w:val="1D1D1D"/>
                <w:sz w:val="16"/>
              </w:rPr>
              <w:t>Design</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4</w:t>
            </w:r>
          </w:p>
        </w:tc>
        <w:tc>
          <w:tcPr>
            <w:tcW w:type="dxa" w:w="5354"/>
            <w:shd w:val="clear" w:color="auto" w:fill="FAF8F2"/>
          </w:tcPr>
          <w:p>
            <w:pPr>
              <w:spacing w:after="0"/>
            </w:pPr>
            <w:r>
              <w:rPr>
                <w:color w:val="1D1D1D"/>
                <w:sz w:val="16"/>
              </w:rPr>
              <w:t>Geotechnical investigation sufficient for a baseline report</w:t>
            </w:r>
          </w:p>
        </w:tc>
        <w:tc>
          <w:tcPr>
            <w:tcW w:type="dxa" w:w="1249"/>
            <w:shd w:val="clear" w:color="auto" w:fill="FAF8F2"/>
          </w:tcPr>
          <w:p>
            <w:pPr>
              <w:spacing w:after="0"/>
            </w:pPr>
            <w:r>
              <w:rPr>
                <w:color w:val="1D1D1D"/>
                <w:sz w:val="16"/>
              </w:rPr>
              <w:t>Design</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PARTIAL</w:t>
            </w:r>
          </w:p>
        </w:tc>
      </w:tr>
      <w:tr>
        <w:tc>
          <w:tcPr>
            <w:tcW w:type="dxa" w:w="535"/>
          </w:tcPr>
          <w:p>
            <w:pPr>
              <w:spacing w:after="0"/>
            </w:pPr>
            <w:r>
              <w:rPr>
                <w:color w:val="1D1D1D"/>
                <w:sz w:val="16"/>
              </w:rPr>
              <w:t>5</w:t>
            </w:r>
          </w:p>
        </w:tc>
        <w:tc>
          <w:tcPr>
            <w:tcW w:type="dxa" w:w="5354"/>
          </w:tcPr>
          <w:p>
            <w:pPr>
              <w:spacing w:after="0"/>
            </w:pPr>
            <w:r>
              <w:rPr>
                <w:color w:val="1D1D1D"/>
                <w:sz w:val="16"/>
              </w:rPr>
              <w:t>ESIA approved and compliant with lender standards</w:t>
            </w:r>
          </w:p>
        </w:tc>
        <w:tc>
          <w:tcPr>
            <w:tcW w:type="dxa" w:w="1249"/>
          </w:tcPr>
          <w:p>
            <w:pPr>
              <w:spacing w:after="0"/>
            </w:pPr>
            <w:r>
              <w:rPr>
                <w:color w:val="1D1D1D"/>
                <w:sz w:val="16"/>
              </w:rPr>
              <w:t>E&amp;S</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6</w:t>
            </w:r>
          </w:p>
        </w:tc>
        <w:tc>
          <w:tcPr>
            <w:tcW w:type="dxa" w:w="5354"/>
            <w:shd w:val="clear" w:color="auto" w:fill="FAF8F2"/>
          </w:tcPr>
          <w:p>
            <w:pPr>
              <w:spacing w:after="0"/>
            </w:pPr>
            <w:r>
              <w:rPr>
                <w:color w:val="1D1D1D"/>
                <w:sz w:val="16"/>
              </w:rPr>
              <w:t>Resettlement action plan approved and funded</w:t>
            </w:r>
          </w:p>
        </w:tc>
        <w:tc>
          <w:tcPr>
            <w:tcW w:type="dxa" w:w="1249"/>
            <w:shd w:val="clear" w:color="auto" w:fill="FAF8F2"/>
          </w:tcPr>
          <w:p>
            <w:pPr>
              <w:spacing w:after="0"/>
            </w:pPr>
            <w:r>
              <w:rPr>
                <w:color w:val="1D1D1D"/>
                <w:sz w:val="16"/>
              </w:rPr>
              <w:t>E&amp;S</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MET (model test)</w:t>
            </w:r>
          </w:p>
        </w:tc>
      </w:tr>
      <w:tr>
        <w:tc>
          <w:tcPr>
            <w:tcW w:type="dxa" w:w="535"/>
          </w:tcPr>
          <w:p>
            <w:pPr>
              <w:spacing w:after="0"/>
            </w:pPr>
            <w:r>
              <w:rPr>
                <w:color w:val="1D1D1D"/>
                <w:sz w:val="16"/>
              </w:rPr>
              <w:t>7</w:t>
            </w:r>
          </w:p>
        </w:tc>
        <w:tc>
          <w:tcPr>
            <w:tcW w:type="dxa" w:w="5354"/>
          </w:tcPr>
          <w:p>
            <w:pPr>
              <w:spacing w:after="0"/>
            </w:pPr>
            <w:r>
              <w:rPr>
                <w:color w:val="1D1D1D"/>
                <w:sz w:val="16"/>
              </w:rPr>
              <w:t>Generation licence and water-use permit granted</w:t>
            </w:r>
          </w:p>
        </w:tc>
        <w:tc>
          <w:tcPr>
            <w:tcW w:type="dxa" w:w="1249"/>
          </w:tcPr>
          <w:p>
            <w:pPr>
              <w:spacing w:after="0"/>
            </w:pPr>
            <w:r>
              <w:rPr>
                <w:color w:val="1D1D1D"/>
                <w:sz w:val="16"/>
              </w:rPr>
              <w:t>Permits</w:t>
            </w:r>
          </w:p>
        </w:tc>
        <w:tc>
          <w:tcPr>
            <w:tcW w:type="dxa" w:w="714"/>
          </w:tcPr>
          <w:p>
            <w:pPr>
              <w:spacing w:after="0"/>
            </w:pPr>
            <w:r>
              <w:rPr>
                <w:color w:val="1D1D1D"/>
                <w:sz w:val="16"/>
              </w:rPr>
              <w:t>Yes</w:t>
            </w:r>
          </w:p>
        </w:tc>
        <w:tc>
          <w:tcPr>
            <w:tcW w:type="dxa" w:w="1785"/>
          </w:tcPr>
          <w:p>
            <w:pPr>
              <w:spacing w:after="0"/>
            </w:pPr>
            <w:r>
              <w:rPr>
                <w:color w:val="1D1D1D"/>
                <w:sz w:val="16"/>
              </w:rPr>
              <w:t>PARTIAL</w:t>
            </w:r>
          </w:p>
        </w:tc>
      </w:tr>
      <w:tr>
        <w:tc>
          <w:tcPr>
            <w:tcW w:type="dxa" w:w="535"/>
            <w:shd w:val="clear" w:color="auto" w:fill="FAF8F2"/>
          </w:tcPr>
          <w:p>
            <w:pPr>
              <w:spacing w:after="0"/>
            </w:pPr>
            <w:r>
              <w:rPr>
                <w:color w:val="1D1D1D"/>
                <w:sz w:val="16"/>
              </w:rPr>
              <w:t>8</w:t>
            </w:r>
          </w:p>
        </w:tc>
        <w:tc>
          <w:tcPr>
            <w:tcW w:type="dxa" w:w="5354"/>
            <w:shd w:val="clear" w:color="auto" w:fill="FAF8F2"/>
          </w:tcPr>
          <w:p>
            <w:pPr>
              <w:spacing w:after="0"/>
            </w:pPr>
            <w:r>
              <w:rPr>
                <w:color w:val="1D1D1D"/>
                <w:sz w:val="16"/>
              </w:rPr>
              <w:t>Land rights secured for all project areas</w:t>
            </w:r>
          </w:p>
        </w:tc>
        <w:tc>
          <w:tcPr>
            <w:tcW w:type="dxa" w:w="1249"/>
            <w:shd w:val="clear" w:color="auto" w:fill="FAF8F2"/>
          </w:tcPr>
          <w:p>
            <w:pPr>
              <w:spacing w:after="0"/>
            </w:pPr>
            <w:r>
              <w:rPr>
                <w:color w:val="1D1D1D"/>
                <w:sz w:val="16"/>
              </w:rPr>
              <w:t>Permits</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NOT MET</w:t>
            </w:r>
          </w:p>
        </w:tc>
      </w:tr>
      <w:tr>
        <w:tc>
          <w:tcPr>
            <w:tcW w:type="dxa" w:w="535"/>
          </w:tcPr>
          <w:p>
            <w:pPr>
              <w:spacing w:after="0"/>
            </w:pPr>
            <w:r>
              <w:rPr>
                <w:color w:val="1D1D1D"/>
                <w:sz w:val="16"/>
              </w:rPr>
              <w:t>9</w:t>
            </w:r>
          </w:p>
        </w:tc>
        <w:tc>
          <w:tcPr>
            <w:tcW w:type="dxa" w:w="5354"/>
          </w:tcPr>
          <w:p>
            <w:pPr>
              <w:spacing w:after="0"/>
            </w:pPr>
            <w:r>
              <w:rPr>
                <w:color w:val="1D1D1D"/>
                <w:sz w:val="16"/>
              </w:rPr>
              <w:t>PPA signed and approved by the regulator</w:t>
            </w:r>
          </w:p>
        </w:tc>
        <w:tc>
          <w:tcPr>
            <w:tcW w:type="dxa" w:w="1249"/>
          </w:tcPr>
          <w:p>
            <w:pPr>
              <w:spacing w:after="0"/>
            </w:pPr>
            <w:r>
              <w:rPr>
                <w:color w:val="1D1D1D"/>
                <w:sz w:val="16"/>
              </w:rPr>
              <w:t>Revenue</w:t>
            </w:r>
          </w:p>
        </w:tc>
        <w:tc>
          <w:tcPr>
            <w:tcW w:type="dxa" w:w="714"/>
          </w:tcPr>
          <w:p>
            <w:pPr>
              <w:spacing w:after="0"/>
            </w:pPr>
            <w:r>
              <w:rPr>
                <w:color w:val="1D1D1D"/>
                <w:sz w:val="16"/>
              </w:rPr>
              <w:t>Yes</w:t>
            </w:r>
          </w:p>
        </w:tc>
        <w:tc>
          <w:tcPr>
            <w:tcW w:type="dxa" w:w="1785"/>
          </w:tcPr>
          <w:p>
            <w:pPr>
              <w:spacing w:after="0"/>
            </w:pPr>
            <w:r>
              <w:rPr>
                <w:color w:val="1D1D1D"/>
                <w:sz w:val="16"/>
              </w:rPr>
              <w:t>PARTIAL</w:t>
            </w:r>
          </w:p>
        </w:tc>
      </w:tr>
      <w:tr>
        <w:tc>
          <w:tcPr>
            <w:tcW w:type="dxa" w:w="535"/>
            <w:shd w:val="clear" w:color="auto" w:fill="FAF8F2"/>
          </w:tcPr>
          <w:p>
            <w:pPr>
              <w:spacing w:after="0"/>
            </w:pPr>
            <w:r>
              <w:rPr>
                <w:color w:val="1D1D1D"/>
                <w:sz w:val="16"/>
              </w:rPr>
              <w:t>10</w:t>
            </w:r>
          </w:p>
        </w:tc>
        <w:tc>
          <w:tcPr>
            <w:tcW w:type="dxa" w:w="5354"/>
            <w:shd w:val="clear" w:color="auto" w:fill="FAF8F2"/>
          </w:tcPr>
          <w:p>
            <w:pPr>
              <w:spacing w:after="0"/>
            </w:pPr>
            <w:r>
              <w:rPr>
                <w:color w:val="1D1D1D"/>
                <w:sz w:val="16"/>
              </w:rPr>
              <w:t>Implementation or concession agreement signed</w:t>
            </w:r>
          </w:p>
        </w:tc>
        <w:tc>
          <w:tcPr>
            <w:tcW w:type="dxa" w:w="1249"/>
            <w:shd w:val="clear" w:color="auto" w:fill="FAF8F2"/>
          </w:tcPr>
          <w:p>
            <w:pPr>
              <w:spacing w:after="0"/>
            </w:pPr>
            <w:r>
              <w:rPr>
                <w:color w:val="1D1D1D"/>
                <w:sz w:val="16"/>
              </w:rPr>
              <w:t>Revenue</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PARTIAL</w:t>
            </w:r>
          </w:p>
        </w:tc>
      </w:tr>
      <w:tr>
        <w:tc>
          <w:tcPr>
            <w:tcW w:type="dxa" w:w="535"/>
          </w:tcPr>
          <w:p>
            <w:pPr>
              <w:spacing w:after="0"/>
            </w:pPr>
            <w:r>
              <w:rPr>
                <w:color w:val="1D1D1D"/>
                <w:sz w:val="16"/>
              </w:rPr>
              <w:t>11</w:t>
            </w:r>
          </w:p>
        </w:tc>
        <w:tc>
          <w:tcPr>
            <w:tcW w:type="dxa" w:w="5354"/>
          </w:tcPr>
          <w:p>
            <w:pPr>
              <w:spacing w:after="0"/>
            </w:pPr>
            <w:r>
              <w:rPr>
                <w:color w:val="1D1D1D"/>
                <w:sz w:val="16"/>
              </w:rPr>
              <w:t>Grid connection agreement signed and transmission financed</w:t>
            </w:r>
          </w:p>
        </w:tc>
        <w:tc>
          <w:tcPr>
            <w:tcW w:type="dxa" w:w="1249"/>
          </w:tcPr>
          <w:p>
            <w:pPr>
              <w:spacing w:after="0"/>
            </w:pPr>
            <w:r>
              <w:rPr>
                <w:color w:val="1D1D1D"/>
                <w:sz w:val="16"/>
              </w:rPr>
              <w:t>Grid</w:t>
            </w:r>
          </w:p>
        </w:tc>
        <w:tc>
          <w:tcPr>
            <w:tcW w:type="dxa" w:w="714"/>
          </w:tcPr>
          <w:p>
            <w:pPr>
              <w:spacing w:after="0"/>
            </w:pPr>
            <w:r>
              <w:rPr>
                <w:color w:val="1D1D1D"/>
                <w:sz w:val="16"/>
              </w:rPr>
              <w:t>Yes</w:t>
            </w:r>
          </w:p>
        </w:tc>
        <w:tc>
          <w:tcPr>
            <w:tcW w:type="dxa" w:w="1785"/>
          </w:tcPr>
          <w:p>
            <w:pPr>
              <w:spacing w:after="0"/>
            </w:pPr>
            <w:r>
              <w:rPr>
                <w:color w:val="1D1D1D"/>
                <w:sz w:val="16"/>
              </w:rPr>
              <w:t>MET (model test)</w:t>
            </w:r>
          </w:p>
        </w:tc>
      </w:tr>
      <w:tr>
        <w:tc>
          <w:tcPr>
            <w:tcW w:type="dxa" w:w="535"/>
            <w:shd w:val="clear" w:color="auto" w:fill="FAF8F2"/>
          </w:tcPr>
          <w:p>
            <w:pPr>
              <w:spacing w:after="0"/>
            </w:pPr>
            <w:r>
              <w:rPr>
                <w:color w:val="1D1D1D"/>
                <w:sz w:val="16"/>
              </w:rPr>
              <w:t>12</w:t>
            </w:r>
          </w:p>
        </w:tc>
        <w:tc>
          <w:tcPr>
            <w:tcW w:type="dxa" w:w="5354"/>
            <w:shd w:val="clear" w:color="auto" w:fill="FAF8F2"/>
          </w:tcPr>
          <w:p>
            <w:pPr>
              <w:spacing w:after="0"/>
            </w:pPr>
            <w:r>
              <w:rPr>
                <w:color w:val="1D1D1D"/>
                <w:sz w:val="16"/>
              </w:rPr>
              <w:t>Transmission in service no later than plant COD</w:t>
            </w:r>
          </w:p>
        </w:tc>
        <w:tc>
          <w:tcPr>
            <w:tcW w:type="dxa" w:w="1249"/>
            <w:shd w:val="clear" w:color="auto" w:fill="FAF8F2"/>
          </w:tcPr>
          <w:p>
            <w:pPr>
              <w:spacing w:after="0"/>
            </w:pPr>
            <w:r>
              <w:rPr>
                <w:color w:val="1D1D1D"/>
                <w:sz w:val="16"/>
              </w:rPr>
              <w:t>Grid</w:t>
            </w:r>
          </w:p>
        </w:tc>
        <w:tc>
          <w:tcPr>
            <w:tcW w:type="dxa" w:w="714"/>
            <w:shd w:val="clear" w:color="auto" w:fill="FAF8F2"/>
          </w:tcPr>
          <w:p>
            <w:pPr>
              <w:spacing w:after="0"/>
            </w:pPr>
            <w:r>
              <w:rPr>
                <w:color w:val="1D1D1D"/>
                <w:sz w:val="16"/>
              </w:rPr>
              <w:t>No</w:t>
            </w:r>
          </w:p>
        </w:tc>
        <w:tc>
          <w:tcPr>
            <w:tcW w:type="dxa" w:w="1785"/>
            <w:shd w:val="clear" w:color="auto" w:fill="FAF8F2"/>
          </w:tcPr>
          <w:p>
            <w:pPr>
              <w:spacing w:after="0"/>
            </w:pPr>
            <w:r>
              <w:rPr>
                <w:color w:val="1D1D1D"/>
                <w:sz w:val="16"/>
              </w:rPr>
              <w:t>MET (model test)</w:t>
            </w:r>
          </w:p>
        </w:tc>
      </w:tr>
      <w:tr>
        <w:tc>
          <w:tcPr>
            <w:tcW w:type="dxa" w:w="535"/>
          </w:tcPr>
          <w:p>
            <w:pPr>
              <w:spacing w:after="0"/>
            </w:pPr>
            <w:r>
              <w:rPr>
                <w:color w:val="1D1D1D"/>
                <w:sz w:val="16"/>
              </w:rPr>
              <w:t>13</w:t>
            </w:r>
          </w:p>
        </w:tc>
        <w:tc>
          <w:tcPr>
            <w:tcW w:type="dxa" w:w="5354"/>
          </w:tcPr>
          <w:p>
            <w:pPr>
              <w:spacing w:after="0"/>
            </w:pPr>
            <w:r>
              <w:rPr>
                <w:color w:val="1D1D1D"/>
                <w:sz w:val="16"/>
              </w:rPr>
              <w:t>EPC contract(s) signed with fixed price, completion date and LDs</w:t>
            </w:r>
          </w:p>
        </w:tc>
        <w:tc>
          <w:tcPr>
            <w:tcW w:type="dxa" w:w="1249"/>
          </w:tcPr>
          <w:p>
            <w:pPr>
              <w:spacing w:after="0"/>
            </w:pPr>
            <w:r>
              <w:rPr>
                <w:color w:val="1D1D1D"/>
                <w:sz w:val="16"/>
              </w:rPr>
              <w:t>Construction</w:t>
            </w:r>
          </w:p>
        </w:tc>
        <w:tc>
          <w:tcPr>
            <w:tcW w:type="dxa" w:w="714"/>
          </w:tcPr>
          <w:p>
            <w:pPr>
              <w:spacing w:after="0"/>
            </w:pPr>
            <w:r>
              <w:rPr>
                <w:color w:val="1D1D1D"/>
                <w:sz w:val="16"/>
              </w:rPr>
              <w:t>Yes</w:t>
            </w:r>
          </w:p>
        </w:tc>
        <w:tc>
          <w:tcPr>
            <w:tcW w:type="dxa" w:w="1785"/>
          </w:tcPr>
          <w:p>
            <w:pPr>
              <w:spacing w:after="0"/>
            </w:pPr>
            <w:r>
              <w:rPr>
                <w:color w:val="1D1D1D"/>
                <w:sz w:val="16"/>
              </w:rPr>
              <w:t>PARTIAL</w:t>
            </w:r>
          </w:p>
        </w:tc>
      </w:tr>
      <w:tr>
        <w:tc>
          <w:tcPr>
            <w:tcW w:type="dxa" w:w="535"/>
            <w:shd w:val="clear" w:color="auto" w:fill="FAF8F2"/>
          </w:tcPr>
          <w:p>
            <w:pPr>
              <w:spacing w:after="0"/>
            </w:pPr>
            <w:r>
              <w:rPr>
                <w:color w:val="1D1D1D"/>
                <w:sz w:val="16"/>
              </w:rPr>
              <w:t>14</w:t>
            </w:r>
          </w:p>
        </w:tc>
        <w:tc>
          <w:tcPr>
            <w:tcW w:type="dxa" w:w="5354"/>
            <w:shd w:val="clear" w:color="auto" w:fill="FAF8F2"/>
          </w:tcPr>
          <w:p>
            <w:pPr>
              <w:spacing w:after="0"/>
            </w:pPr>
            <w:r>
              <w:rPr>
                <w:color w:val="1D1D1D"/>
                <w:sz w:val="16"/>
              </w:rPr>
              <w:t>O&amp;M arrangements and owner's team in place</w:t>
            </w:r>
          </w:p>
        </w:tc>
        <w:tc>
          <w:tcPr>
            <w:tcW w:type="dxa" w:w="1249"/>
            <w:shd w:val="clear" w:color="auto" w:fill="FAF8F2"/>
          </w:tcPr>
          <w:p>
            <w:pPr>
              <w:spacing w:after="0"/>
            </w:pPr>
            <w:r>
              <w:rPr>
                <w:color w:val="1D1D1D"/>
                <w:sz w:val="16"/>
              </w:rPr>
              <w:t>Operations</w:t>
            </w:r>
          </w:p>
        </w:tc>
        <w:tc>
          <w:tcPr>
            <w:tcW w:type="dxa" w:w="714"/>
            <w:shd w:val="clear" w:color="auto" w:fill="FAF8F2"/>
          </w:tcPr>
          <w:p>
            <w:pPr>
              <w:spacing w:after="0"/>
            </w:pPr>
            <w:r>
              <w:rPr>
                <w:color w:val="1D1D1D"/>
                <w:sz w:val="16"/>
              </w:rPr>
              <w:t>No</w:t>
            </w:r>
          </w:p>
        </w:tc>
        <w:tc>
          <w:tcPr>
            <w:tcW w:type="dxa" w:w="1785"/>
            <w:shd w:val="clear" w:color="auto" w:fill="FAF8F2"/>
          </w:tcPr>
          <w:p>
            <w:pPr>
              <w:spacing w:after="0"/>
            </w:pPr>
            <w:r>
              <w:rPr>
                <w:color w:val="1D1D1D"/>
                <w:sz w:val="16"/>
              </w:rPr>
              <w:t>PARTIAL</w:t>
            </w:r>
          </w:p>
        </w:tc>
      </w:tr>
      <w:tr>
        <w:tc>
          <w:tcPr>
            <w:tcW w:type="dxa" w:w="535"/>
          </w:tcPr>
          <w:p>
            <w:pPr>
              <w:spacing w:after="0"/>
            </w:pPr>
            <w:r>
              <w:rPr>
                <w:color w:val="1D1D1D"/>
                <w:sz w:val="16"/>
              </w:rPr>
              <w:t>15</w:t>
            </w:r>
          </w:p>
        </w:tc>
        <w:tc>
          <w:tcPr>
            <w:tcW w:type="dxa" w:w="5354"/>
          </w:tcPr>
          <w:p>
            <w:pPr>
              <w:spacing w:after="0"/>
            </w:pPr>
            <w:r>
              <w:rPr>
                <w:color w:val="1D1D1D"/>
                <w:sz w:val="16"/>
              </w:rPr>
              <w:t>Payment security of at least 6 months in place</w:t>
            </w:r>
          </w:p>
        </w:tc>
        <w:tc>
          <w:tcPr>
            <w:tcW w:type="dxa" w:w="1249"/>
          </w:tcPr>
          <w:p>
            <w:pPr>
              <w:spacing w:after="0"/>
            </w:pPr>
            <w:r>
              <w:rPr>
                <w:color w:val="1D1D1D"/>
                <w:sz w:val="16"/>
              </w:rPr>
              <w:t>Offtaker</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16</w:t>
            </w:r>
          </w:p>
        </w:tc>
        <w:tc>
          <w:tcPr>
            <w:tcW w:type="dxa" w:w="5354"/>
            <w:shd w:val="clear" w:color="auto" w:fill="FAF8F2"/>
          </w:tcPr>
          <w:p>
            <w:pPr>
              <w:spacing w:after="0"/>
            </w:pPr>
            <w:r>
              <w:rPr>
                <w:color w:val="1D1D1D"/>
                <w:sz w:val="16"/>
              </w:rPr>
              <w:t>Offtaker payment capacity at least 1.2x the PPA bill (worst of first 10 years)</w:t>
            </w:r>
          </w:p>
        </w:tc>
        <w:tc>
          <w:tcPr>
            <w:tcW w:type="dxa" w:w="1249"/>
            <w:shd w:val="clear" w:color="auto" w:fill="FAF8F2"/>
          </w:tcPr>
          <w:p>
            <w:pPr>
              <w:spacing w:after="0"/>
            </w:pPr>
            <w:r>
              <w:rPr>
                <w:color w:val="1D1D1D"/>
                <w:sz w:val="16"/>
              </w:rPr>
              <w:t>Offtaker</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MET (model test)</w:t>
            </w:r>
          </w:p>
        </w:tc>
      </w:tr>
      <w:tr>
        <w:tc>
          <w:tcPr>
            <w:tcW w:type="dxa" w:w="535"/>
          </w:tcPr>
          <w:p>
            <w:pPr>
              <w:spacing w:after="0"/>
            </w:pPr>
            <w:r>
              <w:rPr>
                <w:color w:val="1D1D1D"/>
                <w:sz w:val="16"/>
              </w:rPr>
              <w:t>17</w:t>
            </w:r>
          </w:p>
        </w:tc>
        <w:tc>
          <w:tcPr>
            <w:tcW w:type="dxa" w:w="5354"/>
          </w:tcPr>
          <w:p>
            <w:pPr>
              <w:spacing w:after="0"/>
            </w:pPr>
            <w:r>
              <w:rPr>
                <w:color w:val="1D1D1D"/>
                <w:sz w:val="16"/>
              </w:rPr>
              <w:t>Financing plan fully committed (no financing gap)</w:t>
            </w:r>
          </w:p>
        </w:tc>
        <w:tc>
          <w:tcPr>
            <w:tcW w:type="dxa" w:w="1249"/>
          </w:tcPr>
          <w:p>
            <w:pPr>
              <w:spacing w:after="0"/>
            </w:pPr>
            <w:r>
              <w:rPr>
                <w:color w:val="1D1D1D"/>
                <w:sz w:val="16"/>
              </w:rPr>
              <w:t>Finance</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18</w:t>
            </w:r>
          </w:p>
        </w:tc>
        <w:tc>
          <w:tcPr>
            <w:tcW w:type="dxa" w:w="5354"/>
            <w:shd w:val="clear" w:color="auto" w:fill="FAF8F2"/>
          </w:tcPr>
          <w:p>
            <w:pPr>
              <w:spacing w:after="0"/>
            </w:pPr>
            <w:r>
              <w:rPr>
                <w:color w:val="1D1D1D"/>
                <w:sz w:val="16"/>
              </w:rPr>
              <w:t>Minimum DSCR at or above the sizing target in the base case</w:t>
            </w:r>
          </w:p>
        </w:tc>
        <w:tc>
          <w:tcPr>
            <w:tcW w:type="dxa" w:w="1249"/>
            <w:shd w:val="clear" w:color="auto" w:fill="FAF8F2"/>
          </w:tcPr>
          <w:p>
            <w:pPr>
              <w:spacing w:after="0"/>
            </w:pPr>
            <w:r>
              <w:rPr>
                <w:color w:val="1D1D1D"/>
                <w:sz w:val="16"/>
              </w:rPr>
              <w:t>Finance</w:t>
            </w:r>
          </w:p>
        </w:tc>
        <w:tc>
          <w:tcPr>
            <w:tcW w:type="dxa" w:w="714"/>
            <w:shd w:val="clear" w:color="auto" w:fill="FAF8F2"/>
          </w:tcPr>
          <w:p>
            <w:pPr>
              <w:spacing w:after="0"/>
            </w:pPr>
            <w:r>
              <w:rPr>
                <w:color w:val="1D1D1D"/>
                <w:sz w:val="16"/>
              </w:rPr>
              <w:t>Yes</w:t>
            </w:r>
          </w:p>
        </w:tc>
        <w:tc>
          <w:tcPr>
            <w:tcW w:type="dxa" w:w="1785"/>
            <w:shd w:val="clear" w:color="auto" w:fill="FAF8F2"/>
          </w:tcPr>
          <w:p>
            <w:pPr>
              <w:spacing w:after="0"/>
            </w:pPr>
            <w:r>
              <w:rPr>
                <w:color w:val="1D1D1D"/>
                <w:sz w:val="16"/>
              </w:rPr>
              <w:t>MET (model test)</w:t>
            </w:r>
          </w:p>
        </w:tc>
      </w:tr>
      <w:tr>
        <w:tc>
          <w:tcPr>
            <w:tcW w:type="dxa" w:w="535"/>
          </w:tcPr>
          <w:p>
            <w:pPr>
              <w:spacing w:after="0"/>
            </w:pPr>
            <w:r>
              <w:rPr>
                <w:color w:val="1D1D1D"/>
                <w:sz w:val="16"/>
              </w:rPr>
              <w:t>19</w:t>
            </w:r>
          </w:p>
        </w:tc>
        <w:tc>
          <w:tcPr>
            <w:tcW w:type="dxa" w:w="5354"/>
          </w:tcPr>
          <w:p>
            <w:pPr>
              <w:spacing w:after="0"/>
            </w:pPr>
            <w:r>
              <w:rPr>
                <w:color w:val="1D1D1D"/>
                <w:sz w:val="16"/>
              </w:rPr>
              <w:t>Equity commitments signed and equity IRR at or above target</w:t>
            </w:r>
          </w:p>
        </w:tc>
        <w:tc>
          <w:tcPr>
            <w:tcW w:type="dxa" w:w="1249"/>
          </w:tcPr>
          <w:p>
            <w:pPr>
              <w:spacing w:after="0"/>
            </w:pPr>
            <w:r>
              <w:rPr>
                <w:color w:val="1D1D1D"/>
                <w:sz w:val="16"/>
              </w:rPr>
              <w:t>Finance</w:t>
            </w:r>
          </w:p>
        </w:tc>
        <w:tc>
          <w:tcPr>
            <w:tcW w:type="dxa" w:w="714"/>
          </w:tcPr>
          <w:p>
            <w:pPr>
              <w:spacing w:after="0"/>
            </w:pPr>
            <w:r>
              <w:rPr>
                <w:color w:val="1D1D1D"/>
                <w:sz w:val="16"/>
              </w:rPr>
              <w:t>Yes</w:t>
            </w:r>
          </w:p>
        </w:tc>
        <w:tc>
          <w:tcPr>
            <w:tcW w:type="dxa" w:w="1785"/>
          </w:tcPr>
          <w:p>
            <w:pPr>
              <w:spacing w:after="0"/>
            </w:pPr>
            <w:r>
              <w:rPr>
                <w:color w:val="1D1D1D"/>
                <w:sz w:val="16"/>
              </w:rPr>
              <w:t>NOT MET (model test)</w:t>
            </w:r>
          </w:p>
        </w:tc>
      </w:tr>
      <w:tr>
        <w:tc>
          <w:tcPr>
            <w:tcW w:type="dxa" w:w="535"/>
            <w:shd w:val="clear" w:color="auto" w:fill="FAF8F2"/>
          </w:tcPr>
          <w:p>
            <w:pPr>
              <w:spacing w:after="0"/>
            </w:pPr>
            <w:r>
              <w:rPr>
                <w:color w:val="1D1D1D"/>
                <w:sz w:val="16"/>
              </w:rPr>
              <w:t>20</w:t>
            </w:r>
          </w:p>
        </w:tc>
        <w:tc>
          <w:tcPr>
            <w:tcW w:type="dxa" w:w="5354"/>
            <w:shd w:val="clear" w:color="auto" w:fill="FAF8F2"/>
          </w:tcPr>
          <w:p>
            <w:pPr>
              <w:spacing w:after="0"/>
            </w:pPr>
            <w:r>
              <w:rPr>
                <w:color w:val="1D1D1D"/>
                <w:sz w:val="16"/>
              </w:rPr>
              <w:t>Political risk cover or guarantees signed</w:t>
            </w:r>
          </w:p>
        </w:tc>
        <w:tc>
          <w:tcPr>
            <w:tcW w:type="dxa" w:w="1249"/>
            <w:shd w:val="clear" w:color="auto" w:fill="FAF8F2"/>
          </w:tcPr>
          <w:p>
            <w:pPr>
              <w:spacing w:after="0"/>
            </w:pPr>
            <w:r>
              <w:rPr>
                <w:color w:val="1D1D1D"/>
                <w:sz w:val="16"/>
              </w:rPr>
              <w:t>Risk</w:t>
            </w:r>
          </w:p>
        </w:tc>
        <w:tc>
          <w:tcPr>
            <w:tcW w:type="dxa" w:w="714"/>
            <w:shd w:val="clear" w:color="auto" w:fill="FAF8F2"/>
          </w:tcPr>
          <w:p>
            <w:pPr>
              <w:spacing w:after="0"/>
            </w:pPr>
            <w:r>
              <w:rPr>
                <w:color w:val="1D1D1D"/>
                <w:sz w:val="16"/>
              </w:rPr>
              <w:t>No</w:t>
            </w:r>
          </w:p>
        </w:tc>
        <w:tc>
          <w:tcPr>
            <w:tcW w:type="dxa" w:w="1785"/>
            <w:shd w:val="clear" w:color="auto" w:fill="FAF8F2"/>
          </w:tcPr>
          <w:p>
            <w:pPr>
              <w:spacing w:after="0"/>
            </w:pPr>
            <w:r>
              <w:rPr>
                <w:color w:val="1D1D1D"/>
                <w:sz w:val="16"/>
              </w:rPr>
              <w:t>NO EVIDENCE</w:t>
            </w:r>
          </w:p>
        </w:tc>
      </w:tr>
      <w:tr>
        <w:tc>
          <w:tcPr>
            <w:tcW w:type="dxa" w:w="535"/>
          </w:tcPr>
          <w:p>
            <w:pPr>
              <w:spacing w:after="0"/>
            </w:pPr>
            <w:r>
              <w:rPr>
                <w:color w:val="1D1D1D"/>
                <w:sz w:val="16"/>
              </w:rPr>
              <w:t>21</w:t>
            </w:r>
          </w:p>
        </w:tc>
        <w:tc>
          <w:tcPr>
            <w:tcW w:type="dxa" w:w="5354"/>
          </w:tcPr>
          <w:p>
            <w:pPr>
              <w:spacing w:after="0"/>
            </w:pPr>
            <w:r>
              <w:rPr>
                <w:color w:val="1D1D1D"/>
                <w:sz w:val="16"/>
              </w:rPr>
              <w:t>Government support approved by the finance ministry; fiscal screen not HIGH</w:t>
            </w:r>
          </w:p>
        </w:tc>
        <w:tc>
          <w:tcPr>
            <w:tcW w:type="dxa" w:w="1249"/>
          </w:tcPr>
          <w:p>
            <w:pPr>
              <w:spacing w:after="0"/>
            </w:pPr>
            <w:r>
              <w:rPr>
                <w:color w:val="1D1D1D"/>
                <w:sz w:val="16"/>
              </w:rPr>
              <w:t>Public finance</w:t>
            </w:r>
          </w:p>
        </w:tc>
        <w:tc>
          <w:tcPr>
            <w:tcW w:type="dxa" w:w="714"/>
          </w:tcPr>
          <w:p>
            <w:pPr>
              <w:spacing w:after="0"/>
            </w:pPr>
            <w:r>
              <w:rPr>
                <w:color w:val="1D1D1D"/>
                <w:sz w:val="16"/>
              </w:rPr>
              <w:t>Yes</w:t>
            </w:r>
          </w:p>
        </w:tc>
        <w:tc>
          <w:tcPr>
            <w:tcW w:type="dxa" w:w="1785"/>
          </w:tcPr>
          <w:p>
            <w:pPr>
              <w:spacing w:after="0"/>
            </w:pPr>
            <w:r>
              <w:rPr>
                <w:color w:val="1D1D1D"/>
                <w:sz w:val="16"/>
              </w:rPr>
              <w:t>MET (model test)</w:t>
            </w:r>
          </w:p>
        </w:tc>
      </w:tr>
      <w:tr>
        <w:tc>
          <w:tcPr>
            <w:tcW w:type="dxa" w:w="535"/>
            <w:shd w:val="clear" w:color="auto" w:fill="FAF8F2"/>
          </w:tcPr>
          <w:p>
            <w:pPr>
              <w:spacing w:after="0"/>
            </w:pPr>
            <w:r>
              <w:rPr>
                <w:color w:val="1D1D1D"/>
                <w:sz w:val="16"/>
              </w:rPr>
              <w:t>22</w:t>
            </w:r>
          </w:p>
        </w:tc>
        <w:tc>
          <w:tcPr>
            <w:tcW w:type="dxa" w:w="5354"/>
            <w:shd w:val="clear" w:color="auto" w:fill="FAF8F2"/>
          </w:tcPr>
          <w:p>
            <w:pPr>
              <w:spacing w:after="0"/>
            </w:pPr>
            <w:r>
              <w:rPr>
                <w:color w:val="1D1D1D"/>
                <w:sz w:val="16"/>
              </w:rPr>
              <w:t>Insurance programme placed (construction all risks, DSU)</w:t>
            </w:r>
          </w:p>
        </w:tc>
        <w:tc>
          <w:tcPr>
            <w:tcW w:type="dxa" w:w="1249"/>
            <w:shd w:val="clear" w:color="auto" w:fill="FAF8F2"/>
          </w:tcPr>
          <w:p>
            <w:pPr>
              <w:spacing w:after="0"/>
            </w:pPr>
            <w:r>
              <w:rPr>
                <w:color w:val="1D1D1D"/>
                <w:sz w:val="16"/>
              </w:rPr>
              <w:t>Risk</w:t>
            </w:r>
          </w:p>
        </w:tc>
        <w:tc>
          <w:tcPr>
            <w:tcW w:type="dxa" w:w="714"/>
            <w:shd w:val="clear" w:color="auto" w:fill="FAF8F2"/>
          </w:tcPr>
          <w:p>
            <w:pPr>
              <w:spacing w:after="0"/>
            </w:pPr>
            <w:r>
              <w:rPr>
                <w:color w:val="1D1D1D"/>
                <w:sz w:val="16"/>
              </w:rPr>
              <w:t>No</w:t>
            </w:r>
          </w:p>
        </w:tc>
        <w:tc>
          <w:tcPr>
            <w:tcW w:type="dxa" w:w="1785"/>
            <w:shd w:val="clear" w:color="auto" w:fill="FAF8F2"/>
          </w:tcPr>
          <w:p>
            <w:pPr>
              <w:spacing w:after="0"/>
            </w:pPr>
            <w:r>
              <w:rPr>
                <w:color w:val="1D1D1D"/>
                <w:sz w:val="16"/>
              </w:rPr>
              <w:t>PARTIAL</w:t>
            </w:r>
          </w:p>
        </w:tc>
      </w:tr>
      <w:tr>
        <w:tc>
          <w:tcPr>
            <w:tcW w:type="dxa" w:w="535"/>
          </w:tcPr>
          <w:p>
            <w:pPr>
              <w:spacing w:after="0"/>
            </w:pPr>
            <w:r>
              <w:rPr>
                <w:color w:val="1D1D1D"/>
                <w:sz w:val="16"/>
              </w:rPr>
              <w:t>23</w:t>
            </w:r>
          </w:p>
        </w:tc>
        <w:tc>
          <w:tcPr>
            <w:tcW w:type="dxa" w:w="5354"/>
          </w:tcPr>
          <w:p>
            <w:pPr>
              <w:spacing w:after="0"/>
            </w:pPr>
            <w:r>
              <w:rPr>
                <w:color w:val="1D1D1D"/>
                <w:sz w:val="16"/>
              </w:rPr>
              <w:t>Independent model audit completed</w:t>
            </w:r>
          </w:p>
        </w:tc>
        <w:tc>
          <w:tcPr>
            <w:tcW w:type="dxa" w:w="1249"/>
          </w:tcPr>
          <w:p>
            <w:pPr>
              <w:spacing w:after="0"/>
            </w:pPr>
            <w:r>
              <w:rPr>
                <w:color w:val="1D1D1D"/>
                <w:sz w:val="16"/>
              </w:rPr>
              <w:t>Finance</w:t>
            </w:r>
          </w:p>
        </w:tc>
        <w:tc>
          <w:tcPr>
            <w:tcW w:type="dxa" w:w="714"/>
          </w:tcPr>
          <w:p>
            <w:pPr>
              <w:spacing w:after="0"/>
            </w:pPr>
            <w:r>
              <w:rPr>
                <w:color w:val="1D1D1D"/>
                <w:sz w:val="16"/>
              </w:rPr>
              <w:t>No</w:t>
            </w:r>
          </w:p>
        </w:tc>
        <w:tc>
          <w:tcPr>
            <w:tcW w:type="dxa" w:w="1785"/>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17.5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and the decision.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sized on the ten-year P90 and the 70 percent gearing limit binding by a small margin.</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18.8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Annexes A to I are checklists and templates for use on a live transaction; Annex J lists the public benchmark cases; Annex K records how the model was tested and what it does not do; Annex L lists every source cited, with its verification status; Annex M is a glossary.</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taxes and maintenance capital spending</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loan life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plan 5 yrs; full COD slipped to Dec 2024 / 2025</w:t>
            </w:r>
          </w:p>
        </w:tc>
        <w:tc>
          <w:tcPr>
            <w:tcW w:type="dxa" w:w="2570"/>
          </w:tcPr>
          <w:p>
            <w:pPr>
              <w:spacing w:after="0"/>
            </w:pPr>
            <w:r>
              <w:rPr>
                <w:color w:val="1D1D1D"/>
                <w:sz w:val="16"/>
              </w:rPr>
              <w:t>IBRD payment guarantee EUR 86m + loan guarantee EUR 171m; MIGA; 75:25 debt:equity</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Domestic bonds/budget;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COD Apr 2010 (search summary)</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(search summary)</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cycle detector confirms that the model has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 test in Microsoft Excel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CL-01</w:t>
            </w:r>
          </w:p>
        </w:tc>
        <w:tc>
          <w:tcPr>
            <w:tcW w:type="dxa" w:w="6024"/>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tcPr>
          <w:p>
            <w:pPr>
              <w:spacing w:after="0"/>
            </w:pPr>
            <w:r>
              <w:rPr>
                <w:color w:val="1D1D1D"/>
                <w:sz w:val="16"/>
              </w:rPr>
              <w:t>Landing or summary page read</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DE:BENCH</w:t>
            </w:r>
          </w:p>
        </w:tc>
        <w:tc>
          <w:tcPr>
            <w:tcW w:type="dxa" w:w="6024"/>
            <w:shd w:val="clear" w:color="auto" w:fill="FAF8F2"/>
          </w:tcPr>
          <w:p>
            <w:pPr>
              <w:spacing w:after="0"/>
            </w:pPr>
            <w:r>
              <w:rPr>
                <w:color w:val="1D1D1D"/>
                <w:sz w:val="16"/>
              </w:rPr>
              <w:t>Benchmark table for development model defaults, development evidence file (research note). Records where no public data were found.</w:t>
            </w:r>
          </w:p>
        </w:tc>
        <w:tc>
          <w:tcPr>
            <w:tcW w:type="dxa" w:w="2811"/>
            <w:shd w:val="clear" w:color="auto" w:fill="FAF8F2"/>
          </w:tcPr>
          <w:p>
            <w:pPr>
              <w:spacing w:after="0"/>
            </w:pPr>
            <w:r>
              <w:rPr>
                <w:color w:val="1D1D1D"/>
                <w:sz w:val="16"/>
              </w:rPr>
              <w:t>Research note</w:t>
            </w:r>
          </w:p>
        </w:tc>
      </w:tr>
      <w:tr>
        <w:tc>
          <w:tcPr>
            <w:tcW w:type="dxa" w:w="803"/>
          </w:tcPr>
          <w:p>
            <w:pPr>
              <w:spacing w:after="0"/>
            </w:pPr>
            <w:r>
              <w:rPr>
                <w:color w:val="1D1D1D"/>
                <w:sz w:val="16"/>
              </w:rPr>
              <w:t>DE:S1</w:t>
            </w:r>
          </w:p>
        </w:tc>
        <w:tc>
          <w:tcPr>
            <w:tcW w:type="dxa" w:w="6024"/>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w:t>
            </w:r>
          </w:p>
        </w:tc>
        <w:tc>
          <w:tcPr>
            <w:tcW w:type="dxa" w:w="6024"/>
            <w:shd w:val="clear" w:color="auto" w:fill="FAF8F2"/>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w:t>
            </w:r>
          </w:p>
        </w:tc>
        <w:tc>
          <w:tcPr>
            <w:tcW w:type="dxa" w:w="6024"/>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w:t>
            </w:r>
          </w:p>
        </w:tc>
        <w:tc>
          <w:tcPr>
            <w:tcW w:type="dxa" w:w="6024"/>
            <w:shd w:val="clear" w:color="auto" w:fill="FAF8F2"/>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w:t>
            </w:r>
          </w:p>
        </w:tc>
        <w:tc>
          <w:tcPr>
            <w:tcW w:type="dxa" w:w="6024"/>
          </w:tcPr>
          <w:p>
            <w:pPr>
              <w:spacing w:after="0"/>
            </w:pPr>
            <w:r>
              <w:rPr>
                <w:color w:val="1D1D1D"/>
                <w:sz w:val="16"/>
              </w:rPr>
              <w:t>WikiProcedure, "Uganda: Apply for Electricity Generation License". https://wikiprocedure.com/index.php/Uganda_-_Apply_for_Electricity_Generation_License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DE:S8</w:t>
            </w:r>
          </w:p>
        </w:tc>
        <w:tc>
          <w:tcPr>
            <w:tcW w:type="dxa" w:w="6024"/>
            <w:shd w:val="clear" w:color="auto" w:fill="FAF8F2"/>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DE:S9</w:t>
            </w:r>
          </w:p>
        </w:tc>
        <w:tc>
          <w:tcPr>
            <w:tcW w:type="dxa" w:w="6024"/>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DE:S11</w:t>
            </w:r>
          </w:p>
        </w:tc>
        <w:tc>
          <w:tcPr>
            <w:tcW w:type="dxa" w:w="6024"/>
            <w:shd w:val="clear" w:color="auto" w:fill="FAF8F2"/>
          </w:tcPr>
          <w:p>
            <w:pPr>
              <w:spacing w:after="0"/>
            </w:pPr>
            <w:r>
              <w:rPr>
                <w:color w:val="1D1D1D"/>
                <w:sz w:val="16"/>
              </w:rPr>
              <w:t>Wikipedia, Bugoye Hydroelectric Power Station. https://en.wikipedia.org/wiki/Bugoye_Hydroelectric_Power_Station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DE:S30</w:t>
            </w:r>
          </w:p>
        </w:tc>
        <w:tc>
          <w:tcPr>
            <w:tcW w:type="dxa" w:w="6024"/>
            <w:shd w:val="clear" w:color="auto" w:fill="FAF8F2"/>
          </w:tcPr>
          <w:p>
            <w:pPr>
              <w:spacing w:after="0"/>
            </w:pPr>
            <w:r>
              <w:rPr>
                <w:color w:val="1D1D1D"/>
                <w:sz w:val="16"/>
              </w:rPr>
              <w:t>FMO project detail, Bugoye Hydro Limited (51836). https://www.fmo.nl/project-detail/51836</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DE:S35</w:t>
            </w:r>
          </w:p>
        </w:tc>
        <w:tc>
          <w:tcPr>
            <w:tcW w:type="dxa" w:w="6024"/>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w:t>
            </w:r>
          </w:p>
        </w:tc>
        <w:tc>
          <w:tcPr>
            <w:tcW w:type="dxa" w:w="6024"/>
            <w:shd w:val="clear" w:color="auto" w:fill="FAF8F2"/>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DE:S39b</w:t>
            </w:r>
          </w:p>
        </w:tc>
        <w:tc>
          <w:tcPr>
            <w:tcW w:type="dxa" w:w="6024"/>
          </w:tcPr>
          <w:p>
            <w:pPr>
              <w:spacing w:after="0"/>
            </w:pPr>
            <w:r>
              <w:rPr>
                <w:color w:val="1D1D1D"/>
                <w:sz w:val="16"/>
              </w:rPr>
              <w:t>Proparco, Nyamagasani 1. https://www.proparco.fr/en/carte-des-projets/nyamagasani-1</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DE:S39c</w:t>
            </w:r>
          </w:p>
        </w:tc>
        <w:tc>
          <w:tcPr>
            <w:tcW w:type="dxa" w:w="6024"/>
            <w:shd w:val="clear" w:color="auto" w:fill="FAF8F2"/>
          </w:tcPr>
          <w:p>
            <w:pPr>
              <w:spacing w:after="0"/>
            </w:pPr>
            <w:r>
              <w:rPr>
                <w:color w:val="1D1D1D"/>
                <w:sz w:val="16"/>
              </w:rPr>
              <w:t>Proparco, Nyamagasani 2. https://proparco.fr/en/carte-des-projets/nyamagasani-2</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PF-01</w:t>
            </w:r>
          </w:p>
        </w:tc>
        <w:tc>
          <w:tcPr>
            <w:tcW w:type="dxa" w:w="6024"/>
          </w:tcPr>
          <w:p>
            <w:pPr>
              <w:spacing w:after="0"/>
            </w:pPr>
            <w:r>
              <w:rPr>
                <w:color w:val="1D1D1D"/>
                <w:sz w:val="16"/>
              </w:rPr>
              <w:t>World Bank (n.d.). World Bank Guarantees Program. Program page. https://www.worldbank.org/en/programs/guarantees-program</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PF-02</w:t>
            </w:r>
          </w:p>
        </w:tc>
        <w:tc>
          <w:tcPr>
            <w:tcW w:type="dxa" w:w="6024"/>
            <w:shd w:val="clear" w:color="auto" w:fill="FAF8F2"/>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PF-03</w:t>
            </w:r>
          </w:p>
        </w:tc>
        <w:tc>
          <w:tcPr>
            <w:tcW w:type="dxa" w:w="6024"/>
          </w:tcPr>
          <w:p>
            <w:pPr>
              <w:spacing w:after="0"/>
            </w:pPr>
            <w:r>
              <w:rPr>
                <w:color w:val="1D1D1D"/>
                <w:sz w:val="16"/>
              </w:rPr>
              <w:t>MIGA (n.d.). Non-Honoring of Sovereign Financial Obligations (NHSFO) / Non-honoring of public debt. Product page. https://www.miga.org/product/non-honoring-public-debt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PF-04</w:t>
            </w:r>
          </w:p>
        </w:tc>
        <w:tc>
          <w:tcPr>
            <w:tcW w:type="dxa" w:w="6024"/>
            <w:shd w:val="clear" w:color="auto" w:fill="FAF8F2"/>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PF-06</w:t>
            </w:r>
          </w:p>
        </w:tc>
        <w:tc>
          <w:tcPr>
            <w:tcW w:type="dxa" w:w="6024"/>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PF-11</w:t>
            </w:r>
          </w:p>
        </w:tc>
        <w:tc>
          <w:tcPr>
            <w:tcW w:type="dxa" w:w="6024"/>
            <w:shd w:val="clear" w:color="auto" w:fill="FAF8F2"/>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PF-13</w:t>
            </w:r>
          </w:p>
        </w:tc>
        <w:tc>
          <w:tcPr>
            <w:tcW w:type="dxa" w:w="6024"/>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tcPr>
          <w:p>
            <w:pPr>
              <w:spacing w:after="0"/>
            </w:pPr>
            <w:r>
              <w:rPr>
                <w:color w:val="1D1D1D"/>
                <w:sz w:val="16"/>
              </w:rPr>
              <w:t>Landing or summary page read</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Debt as a share of total funding</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Generation exceeded with 50 and 90 percent probability</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Developing, structuring and financing hydropower projects from site to financial close</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