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octoral-research-proposal-revised-draft"/>
    <w:p>
      <w:pPr>
        <w:pStyle w:val="Heading1"/>
        <w:jc w:val="center"/>
      </w:pPr>
      <w:r>
        <w:t xml:space="preserve">Doctoral Research Proposal (revised draft)</w:t>
      </w:r>
    </w:p>
    <w:bookmarkStart w:id="20" w:name="X209e42849d060c3b0c2b8418d40773b55d6917f"/>
    <w:p>
      <w:pPr>
        <w:pStyle w:val="Heading2"/>
        <w:jc w:val="center"/>
      </w:pPr>
      <w:r>
        <w:t xml:space="preserve">Paying for Power: Tariff Compensation, Distributional Equity and Industrial Electricity Costs in Sub-Saharan Africa</w:t>
      </w:r>
    </w:p>
    <w:p>
      <w:pPr>
        <w:pStyle w:val="FirstParagraph"/>
        <w:jc w:val="center"/>
      </w:pPr>
      <w:r>
        <w:rPr>
          <w:iCs/>
          <w:i/>
        </w:rPr>
        <w:t xml:space="preserve">A comparative political-economy and infrastructure-finance analysis</w:t>
      </w:r>
    </w:p>
    <w:p>
      <w:pPr>
        <w:pStyle w:val="BlockText"/>
      </w:pPr>
      <w:r>
        <w:rPr>
          <w:bCs/>
          <w:b/>
        </w:rPr>
        <w:t xml:space="preserve">Status of this draft.</w:t>
      </w:r>
      <w:r>
        <w:t xml:space="preserve"> </w:t>
      </w:r>
      <w:r>
        <w:t xml:space="preserve">This is a fine-tuned version of the original proposal, plus a structured review of the literature. Every reference in Section 9 has a verification note. Items marked</w:t>
      </w:r>
      <w:r>
        <w:t xml:space="preserve"> </w:t>
      </w:r>
      <w:r>
        <w:rPr>
          <w:bCs/>
          <w:b/>
        </w:rPr>
        <w:t xml:space="preserve">[verify]</w:t>
      </w:r>
      <w:r>
        <w:t xml:space="preserve"> </w:t>
      </w:r>
      <w:r>
        <w:t xml:space="preserve">must be checked against the original source before submission. Proposed case countries and data sources are recommendations that need a scoping phase; they are not confirmed facts about data availability.</w:t>
      </w:r>
    </w:p>
    <w:p>
      <w:r>
        <w:pict>
          <v:rect style="width:0;height:1.5pt" o:hralign="center" o:hrstd="t" o:hr="t"/>
        </w:pict>
      </w:r>
    </w:p>
    <w:bookmarkEnd w:id="20"/>
    <w:bookmarkStart w:id="21" w:name="X54a346158e1c9302d737b408239f1b33007b474"/>
    <w:p>
      <w:pPr>
        <w:pStyle w:val="Heading2"/>
      </w:pPr>
      <w:r>
        <w:t xml:space="preserve">1. Summary</w:t>
      </w:r>
    </w:p>
    <w:p>
      <w:pPr>
        <w:pStyle w:val="FirstParagraph"/>
      </w:pPr>
      <w:r>
        <w:t xml:space="preserve">Most electricity utilities in Sub-Saharan Africa (SSA) do not recover their costs. A World Bank study of 39 SSA countries found that only two (Seychelles and Uganda) had financially viable electricity sectors, and only 19 covered operating costs (Trimble et al., 2016). Below-cost tariffs are usually defended on equity grounds. However, the incidence studies reviewed below show that SSA electricity subsidies are mostly regressive. Unreliable supply, meanwhile, imposes large costs on firms, often larger than the tariff itself.</w:t>
      </w:r>
    </w:p>
    <w:p>
      <w:pPr>
        <w:pStyle w:val="BodyText"/>
      </w:pPr>
      <w:r>
        <w:t xml:space="preserve">The literature has studied these three problems (utility finance, distributional equity and industrial costs) largely in separate silos. It has also paid little attention to one variable that links them:</w:t>
      </w:r>
      <w:r>
        <w:t xml:space="preserve"> </w:t>
      </w:r>
      <w:r>
        <w:rPr>
          <w:bCs/>
          <w:b/>
        </w:rPr>
        <w:t xml:space="preserve">whether governments actually and reliably pay for the tariff concessions they impose on utilities.</w:t>
      </w:r>
    </w:p>
    <w:p>
      <w:pPr>
        <w:pStyle w:val="BodyText"/>
      </w:pPr>
      <w:r>
        <w:t xml:space="preserve">This thesis asks why some SSA governments compensate their utilities transparently and on time while others build up arrears, and how that difference shapes who bears the costs: low-income households, industrial users or the public purse. It uses a mixed-methods comparative design across four countries, organised as three linked papers.</w:t>
      </w:r>
    </w:p>
    <w:p>
      <w:r>
        <w:pict>
          <v:rect style="width:0;height:1.5pt" o:hralign="center" o:hrstd="t" o:hr="t"/>
        </w:pict>
      </w:r>
    </w:p>
    <w:bookmarkEnd w:id="21"/>
    <w:bookmarkStart w:id="28" w:name="Xe6f33f15488280d70f3858ac5d64bf720282e0a"/>
    <w:p>
      <w:pPr>
        <w:pStyle w:val="Heading2"/>
      </w:pPr>
      <w:r>
        <w:t xml:space="preserve">2. Literature review</w:t>
      </w:r>
    </w:p>
    <w:p>
      <w:pPr>
        <w:pStyle w:val="FirstParagraph"/>
      </w:pPr>
      <w:r>
        <w:t xml:space="preserve">The literature falls into five strands. For each, I summarise what is established and what remains open.</w:t>
      </w:r>
    </w:p>
    <w:bookmarkStart w:id="22" w:name="X4a871fb362d0bcda40ae1ab464f8cb89592ec11"/>
    <w:p>
      <w:pPr>
        <w:pStyle w:val="Heading3"/>
      </w:pPr>
      <w:r>
        <w:t xml:space="preserve">2.1 Utility financial viability and quasi-fiscal deficits</w:t>
      </w:r>
    </w:p>
    <w:p>
      <w:pPr>
        <w:pStyle w:val="FirstParagraph"/>
      </w:pPr>
      <w:r>
        <w:rPr>
          <w:bCs/>
          <w:b/>
        </w:rPr>
        <w:t xml:space="preserve">Established.</w:t>
      </w:r>
    </w:p>
    <w:p>
      <w:pPr>
        <w:numPr>
          <w:ilvl w:val="0"/>
          <w:numId w:val="1001"/>
        </w:numPr>
        <w:pStyle w:val="Compact"/>
      </w:pPr>
      <w:r>
        <w:t xml:space="preserve">The Africa Infrastructure Country Diagnostic (Foster &amp; Briceño-Garmendia, 2010) set out the "hidden costs" framework for SSA utilities: underpricing, transmission and distribution losses, and collection losses.</w:t>
      </w:r>
    </w:p>
    <w:p>
      <w:pPr>
        <w:numPr>
          <w:ilvl w:val="0"/>
          <w:numId w:val="1001"/>
        </w:numPr>
        <w:pStyle w:val="Compact"/>
      </w:pPr>
      <w:r>
        <w:t xml:space="preserve">Trimble, Kojima, Perez Arroyo and Mohammadzadeh (2016) applied a similar method to 39 countries. Quasi-fiscal deficits averaged about 1.5% of GDP and exceeded 5% of GDP in several countries.</w:t>
      </w:r>
    </w:p>
    <w:p>
      <w:pPr>
        <w:numPr>
          <w:ilvl w:val="0"/>
          <w:numId w:val="1001"/>
        </w:numPr>
        <w:pStyle w:val="Compact"/>
      </w:pPr>
      <w:r>
        <w:t xml:space="preserve">A key finding of Trimble et al. (2016) is that network and collection losses were, on average, a larger hidden cost than underpricing. The companion synthesis (Kojima &amp; Trimble, 2016,</w:t>
      </w:r>
      <w:r>
        <w:t xml:space="preserve"> </w:t>
      </w:r>
      <w:r>
        <w:rPr>
          <w:iCs/>
          <w:i/>
        </w:rPr>
        <w:t xml:space="preserve">Making Power Affordable for Africa and Viable for Its Utilities</w:t>
      </w:r>
      <w:r>
        <w:t xml:space="preserve">) argues that cutting losses to 10% would close deficits in about one-third of countries; the rest would still need tariff increases.</w:t>
      </w:r>
    </w:p>
    <w:p>
      <w:pPr>
        <w:numPr>
          <w:ilvl w:val="0"/>
          <w:numId w:val="1001"/>
        </w:numPr>
        <w:pStyle w:val="Compact"/>
      </w:pPr>
      <w:r>
        <w:t xml:space="preserve">Across 15 case studies worldwide, Huenteler et al. (2020) find that cost recovery has improved on average over 30 years but unevenly. More than half of the jurisdictions declined relative to before reform. Better utility governance correlates with better cost recovery.</w:t>
      </w:r>
    </w:p>
    <w:p>
      <w:pPr>
        <w:pStyle w:val="FirstParagraph"/>
      </w:pPr>
      <w:r>
        <w:rPr>
          <w:bCs/>
          <w:b/>
        </w:rPr>
        <w:t xml:space="preserve">Open.</w:t>
      </w:r>
      <w:r>
        <w:t xml:space="preserve"> </w:t>
      </w:r>
      <w:r>
        <w:t xml:space="preserve">These studies measure the</w:t>
      </w:r>
      <w:r>
        <w:t xml:space="preserve"> </w:t>
      </w:r>
      <w:r>
        <w:rPr>
          <w:iCs/>
          <w:i/>
        </w:rPr>
        <w:t xml:space="preserve">size</w:t>
      </w:r>
      <w:r>
        <w:t xml:space="preserve"> </w:t>
      </w:r>
      <w:r>
        <w:t xml:space="preserve">of the deficit. Almost none treats the</w:t>
      </w:r>
      <w:r>
        <w:t xml:space="preserve"> </w:t>
      </w:r>
      <w:r>
        <w:rPr>
          <w:iCs/>
          <w:i/>
        </w:rPr>
        <w:t xml:space="preserve">financing</w:t>
      </w:r>
      <w:r>
        <w:t xml:space="preserve"> </w:t>
      </w:r>
      <w:r>
        <w:t xml:space="preserve">of the deficit as an object of study: explicit budget transfers versus arrears, cross-debts between state-owned enterprises (SOEs), or deferred maintenance. Whether a subsidy is compensated or not changes the utility's balance sheet, its creditworthiness to independent power producers (IPPs), and ultimately the reliability it delivers.</w:t>
      </w:r>
    </w:p>
    <w:bookmarkEnd w:id="22"/>
    <w:bookmarkStart w:id="23" w:name="Xc946d5099ff1ec09aa33689fa9cf6c7f24a5717"/>
    <w:p>
      <w:pPr>
        <w:pStyle w:val="Heading3"/>
      </w:pPr>
      <w:r>
        <w:t xml:space="preserve">2.2 Distributional incidence of electricity subsidies</w:t>
      </w:r>
    </w:p>
    <w:p>
      <w:pPr>
        <w:pStyle w:val="FirstParagraph"/>
      </w:pPr>
      <w:r>
        <w:rPr>
          <w:bCs/>
          <w:b/>
        </w:rPr>
        <w:t xml:space="preserve">Established.</w:t>
      </w:r>
    </w:p>
    <w:p>
      <w:pPr>
        <w:numPr>
          <w:ilvl w:val="0"/>
          <w:numId w:val="1002"/>
        </w:numPr>
        <w:pStyle w:val="Compact"/>
      </w:pPr>
      <w:r>
        <w:t xml:space="preserve">Komives, Foster, Halpern and Wodon (2005) set the benefit-incidence approach used in this field. They show that consumption subsidies often fail to reach the poor, chiefly because the poor are not connected.</w:t>
      </w:r>
    </w:p>
    <w:p>
      <w:pPr>
        <w:numPr>
          <w:ilvl w:val="0"/>
          <w:numId w:val="1002"/>
        </w:numPr>
        <w:pStyle w:val="Compact"/>
      </w:pPr>
      <w:r>
        <w:t xml:space="preserve">Evidence from SSA consistently finds regressive outcomes:</w:t>
      </w:r>
    </w:p>
    <w:p>
      <w:pPr>
        <w:numPr>
          <w:ilvl w:val="1"/>
          <w:numId w:val="1003"/>
        </w:numPr>
        <w:pStyle w:val="Compact"/>
      </w:pPr>
      <w:r>
        <w:rPr>
          <w:bCs/>
          <w:b/>
        </w:rPr>
        <w:t xml:space="preserve">Addis Ababa:</w:t>
      </w:r>
      <w:r>
        <w:t xml:space="preserve"> </w:t>
      </w:r>
      <w:r>
        <w:t xml:space="preserve">the poorest quintile received 7% of electricity subsidies and the richest 37%. Many poor households use shared connections, so the increasing block tariff (IBT) does not reach them (Cardenas et al., 2019).</w:t>
      </w:r>
    </w:p>
    <w:p>
      <w:pPr>
        <w:numPr>
          <w:ilvl w:val="1"/>
          <w:numId w:val="1003"/>
        </w:numPr>
        <w:pStyle w:val="Compact"/>
      </w:pPr>
      <w:r>
        <w:rPr>
          <w:bCs/>
          <w:b/>
        </w:rPr>
        <w:t xml:space="preserve">Zambia:</w:t>
      </w:r>
      <w:r>
        <w:t xml:space="preserve"> </w:t>
      </w:r>
      <w:r>
        <w:t xml:space="preserve">the richest quintile captured over 60% of subsidies and the poorest less than 1%. Recycling the fiscal savings as transfers to the poor would reduce extreme poverty (Maboshe et al., 2019).</w:t>
      </w:r>
    </w:p>
    <w:p>
      <w:pPr>
        <w:numPr>
          <w:ilvl w:val="0"/>
          <w:numId w:val="1002"/>
        </w:numPr>
        <w:pStyle w:val="Compact"/>
      </w:pPr>
      <w:r>
        <w:t xml:space="preserve">A systematic review of 82 studies of African tariff reform (Klug et al., 2022,</w:t>
      </w:r>
      <w:r>
        <w:t xml:space="preserve"> </w:t>
      </w:r>
      <w:r>
        <w:rPr>
          <w:iCs/>
          <w:i/>
        </w:rPr>
        <w:t xml:space="preserve">Energy Policy</w:t>
      </w:r>
      <w:r>
        <w:t xml:space="preserve"> </w:t>
      </w:r>
      <w:r>
        <w:t xml:space="preserve">170) concludes that:</w:t>
      </w:r>
    </w:p>
    <w:p>
      <w:pPr>
        <w:numPr>
          <w:ilvl w:val="1"/>
          <w:numId w:val="1004"/>
        </w:numPr>
        <w:pStyle w:val="Compact"/>
      </w:pPr>
      <w:r>
        <w:t xml:space="preserve">IBTs are regressive in practice;</w:t>
      </w:r>
    </w:p>
    <w:p>
      <w:pPr>
        <w:numPr>
          <w:ilvl w:val="1"/>
          <w:numId w:val="1004"/>
        </w:numPr>
        <w:pStyle w:val="Compact"/>
      </w:pPr>
      <w:r>
        <w:t xml:space="preserve">demand is price-inelastic across sectors;</w:t>
      </w:r>
    </w:p>
    <w:p>
      <w:pPr>
        <w:numPr>
          <w:ilvl w:val="1"/>
          <w:numId w:val="1004"/>
        </w:numPr>
        <w:pStyle w:val="Compact"/>
      </w:pPr>
      <w:r>
        <w:t xml:space="preserve">prepaid meters reduce arrears;</w:t>
      </w:r>
    </w:p>
    <w:p>
      <w:pPr>
        <w:numPr>
          <w:ilvl w:val="1"/>
          <w:numId w:val="1004"/>
        </w:numPr>
        <w:pStyle w:val="Compact"/>
      </w:pPr>
      <w:r>
        <w:t xml:space="preserve">tariff increases need protections for low-income users.</w:t>
      </w:r>
    </w:p>
    <w:p>
      <w:pPr>
        <w:numPr>
          <w:ilvl w:val="0"/>
          <w:numId w:val="1002"/>
        </w:numPr>
        <w:pStyle w:val="Compact"/>
      </w:pPr>
      <w:r>
        <w:t xml:space="preserve">Blimpo and Cosgrove-Davies (2019) show that demand-side factors, such as low uptake and willingness to pay, account for a large share of the access gap. This weakens the case that low tariffs are the main barrier for the poor.</w:t>
      </w:r>
    </w:p>
    <w:p>
      <w:pPr>
        <w:pStyle w:val="FirstParagraph"/>
      </w:pPr>
      <w:r>
        <w:rPr>
          <w:bCs/>
          <w:b/>
        </w:rPr>
        <w:t xml:space="preserve">Open.</w:t>
      </w:r>
      <w:r>
        <w:t xml:space="preserve"> </w:t>
      </w:r>
      <w:r>
        <w:t xml:space="preserve">Most incidence studies are static, single-city or single-country, and look only at households. Few follow incidence</w:t>
      </w:r>
      <w:r>
        <w:t xml:space="preserve"> </w:t>
      </w:r>
      <w:r>
        <w:rPr>
          <w:iCs/>
          <w:i/>
        </w:rPr>
        <w:t xml:space="preserve">through a reform episode</w:t>
      </w:r>
      <w:r>
        <w:t xml:space="preserve">. Fewer still compare the household gains from below-cost tariffs with the costs pushed onto industrial users (through cross-subsidies) or onto everyone (through unreliability).</w:t>
      </w:r>
    </w:p>
    <w:bookmarkEnd w:id="23"/>
    <w:bookmarkStart w:id="24" w:name="Xbdd3aa1dc6f29f49cf6f1b894467c99dcba5560"/>
    <w:p>
      <w:pPr>
        <w:pStyle w:val="Heading3"/>
      </w:pPr>
      <w:r>
        <w:t xml:space="preserve">2.3 Industrial electricity costs: price versus reliability</w:t>
      </w:r>
    </w:p>
    <w:p>
      <w:pPr>
        <w:pStyle w:val="FirstParagraph"/>
      </w:pPr>
      <w:r>
        <w:rPr>
          <w:bCs/>
          <w:b/>
        </w:rPr>
        <w:t xml:space="preserve">Established.</w:t>
      </w:r>
      <w:r>
        <w:t xml:space="preserve"> </w:t>
      </w:r>
      <w:r>
        <w:t xml:space="preserve">Using World Bank Enterprise Surveys and quasi-experimental designs, several studies find large productivity and sales losses from outages:</w:t>
      </w:r>
    </w:p>
    <w:p>
      <w:pPr>
        <w:numPr>
          <w:ilvl w:val="0"/>
          <w:numId w:val="1005"/>
        </w:numPr>
        <w:pStyle w:val="Compact"/>
      </w:pPr>
      <w:r>
        <w:rPr>
          <w:bCs/>
          <w:b/>
        </w:rPr>
        <w:t xml:space="preserve">Cole et al. (2018)</w:t>
      </w:r>
      <w:r>
        <w:t xml:space="preserve"> </w:t>
      </w:r>
      <w:r>
        <w:t xml:space="preserve">use a hydro-climate instrument across 14 SSA countries. They estimate that cutting outages to South African levels would raise firm sales by about 85%.</w:t>
      </w:r>
    </w:p>
    <w:p>
      <w:pPr>
        <w:numPr>
          <w:ilvl w:val="0"/>
          <w:numId w:val="1005"/>
        </w:numPr>
        <w:pStyle w:val="Compact"/>
      </w:pPr>
      <w:r>
        <w:rPr>
          <w:bCs/>
          <w:b/>
        </w:rPr>
        <w:t xml:space="preserve">Abeberese et al. (2019)</w:t>
      </w:r>
      <w:r>
        <w:t xml:space="preserve"> </w:t>
      </w:r>
      <w:r>
        <w:t xml:space="preserve">study Ghana's rationing programme and find productivity losses that generators do not fully offset.</w:t>
      </w:r>
    </w:p>
    <w:p>
      <w:pPr>
        <w:numPr>
          <w:ilvl w:val="0"/>
          <w:numId w:val="1005"/>
        </w:numPr>
        <w:pStyle w:val="Compact"/>
      </w:pPr>
      <w:r>
        <w:rPr>
          <w:bCs/>
          <w:b/>
        </w:rPr>
        <w:t xml:space="preserve">Country studies</w:t>
      </w:r>
      <w:r>
        <w:t xml:space="preserve"> </w:t>
      </w:r>
      <w:r>
        <w:t xml:space="preserve">reach similar conclusions for Ethiopia (Abdisa, 2018), Senegal (Cissokho, 2019) and East Africa (Kupzig, 2022).</w:t>
      </w:r>
    </w:p>
    <w:p>
      <w:pPr>
        <w:numPr>
          <w:ilvl w:val="0"/>
          <w:numId w:val="1005"/>
        </w:numPr>
        <w:pStyle w:val="Compact"/>
      </w:pPr>
      <w:r>
        <w:rPr>
          <w:bCs/>
          <w:b/>
        </w:rPr>
        <w:t xml:space="preserve">Smaller firms</w:t>
      </w:r>
      <w:r>
        <w:t xml:space="preserve"> </w:t>
      </w:r>
      <w:r>
        <w:t xml:space="preserve">bear disproportionate losses (Osei-Gyebi et al., 2023).</w:t>
      </w:r>
    </w:p>
    <w:p>
      <w:pPr>
        <w:pStyle w:val="FirstParagraph"/>
      </w:pPr>
      <w:r>
        <w:t xml:space="preserve">On prices, South African evidence shows rising tariffs and cross-subsidy burdens pushing large users to cut consumption or self-generate. Their departure in turn raises unit costs for those who remain (Mahony et al., 2018; Baker et al., 2018), a dynamic linked to the "utility death spiral" literature (Castañeda et al., 2017).</w:t>
      </w:r>
    </w:p>
    <w:p>
      <w:pPr>
        <w:pStyle w:val="BodyText"/>
      </w:pPr>
      <w:r>
        <w:rPr>
          <w:bCs/>
          <w:b/>
        </w:rPr>
        <w:t xml:space="preserve">Open.</w:t>
      </w:r>
      <w:r>
        <w:t xml:space="preserve"> </w:t>
      </w:r>
      <w:r>
        <w:t xml:space="preserve">Competitiveness is usually measured either by</w:t>
      </w:r>
      <w:r>
        <w:t xml:space="preserve"> </w:t>
      </w:r>
      <w:r>
        <w:rPr>
          <w:iCs/>
          <w:i/>
        </w:rPr>
        <w:t xml:space="preserve">tariff level</w:t>
      </w:r>
      <w:r>
        <w:t xml:space="preserve"> </w:t>
      </w:r>
      <w:r>
        <w:t xml:space="preserve">or by</w:t>
      </w:r>
      <w:r>
        <w:t xml:space="preserve"> </w:t>
      </w:r>
      <w:r>
        <w:rPr>
          <w:iCs/>
          <w:i/>
        </w:rPr>
        <w:t xml:space="preserve">outage losses</w:t>
      </w:r>
      <w:r>
        <w:t xml:space="preserve">, rarely both. There is no standard measure of the</w:t>
      </w:r>
      <w:r>
        <w:t xml:space="preserve"> </w:t>
      </w:r>
      <w:r>
        <w:rPr>
          <w:bCs/>
          <w:b/>
        </w:rPr>
        <w:t xml:space="preserve">effective cost of electricity to firms</w:t>
      </w:r>
      <w:r>
        <w:t xml:space="preserve">: tariff, plus outage losses, plus self-generation cost. That measure would let researchers test whether cost-reflective tariffs that improve reliability</w:t>
      </w:r>
      <w:r>
        <w:t xml:space="preserve"> </w:t>
      </w:r>
      <w:r>
        <w:rPr>
          <w:iCs/>
          <w:i/>
        </w:rPr>
        <w:t xml:space="preserve">lower</w:t>
      </w:r>
      <w:r>
        <w:t xml:space="preserve"> </w:t>
      </w:r>
      <w:r>
        <w:t xml:space="preserve">firms' effective costs.</w:t>
      </w:r>
    </w:p>
    <w:bookmarkEnd w:id="24"/>
    <w:bookmarkStart w:id="25" w:name="X88eb66434fab09b0df90c78e10b5d4e3edb4e9f"/>
    <w:p>
      <w:pPr>
        <w:pStyle w:val="Heading3"/>
      </w:pPr>
      <w:r>
        <w:t xml:space="preserve">2.4 Political economy of tariff setting and power-sector reform</w:t>
      </w:r>
    </w:p>
    <w:p>
      <w:pPr>
        <w:pStyle w:val="FirstParagraph"/>
      </w:pPr>
      <w:r>
        <w:rPr>
          <w:bCs/>
          <w:b/>
        </w:rPr>
        <w:t xml:space="preserve">Established.</w:t>
      </w:r>
    </w:p>
    <w:p>
      <w:pPr>
        <w:numPr>
          <w:ilvl w:val="0"/>
          <w:numId w:val="1006"/>
        </w:numPr>
        <w:pStyle w:val="Compact"/>
      </w:pPr>
      <w:r>
        <w:t xml:space="preserve">Kojima, Bacon and Trimble (2014) conclude that SSA power subsidies are large and regressive, easy to adopt and hard to remove, and that political-economy barriers are among the strongest obstacles.</w:t>
      </w:r>
    </w:p>
    <w:p>
      <w:pPr>
        <w:numPr>
          <w:ilvl w:val="0"/>
          <w:numId w:val="1006"/>
        </w:numPr>
        <w:pStyle w:val="Compact"/>
      </w:pPr>
      <w:r>
        <w:t xml:space="preserve">Foster and Rana (2020) show that the 1990s reform model (unbundling, private participation, independent regulation) was rarely adopted in full. The result was hybrid sectors with continued state dominance. They argue that future reform should be context-specific and judged by outcomes.</w:t>
      </w:r>
    </w:p>
    <w:p>
      <w:pPr>
        <w:numPr>
          <w:ilvl w:val="0"/>
          <w:numId w:val="1006"/>
        </w:numPr>
        <w:pStyle w:val="Compact"/>
      </w:pPr>
      <w:r>
        <w:t xml:space="preserve">Min (2015) shows that electoral incentives shape electricity provision, with supply improving around elections.</w:t>
      </w:r>
    </w:p>
    <w:p>
      <w:pPr>
        <w:numPr>
          <w:ilvl w:val="0"/>
          <w:numId w:val="1006"/>
        </w:numPr>
        <w:pStyle w:val="Compact"/>
      </w:pPr>
      <w:r>
        <w:t xml:space="preserve">Eberhard and Godinho (2017) characterise political-economy research on power reform as lacking methodological coherence and theoretical substance.</w:t>
      </w:r>
    </w:p>
    <w:p>
      <w:pPr>
        <w:numPr>
          <w:ilvl w:val="0"/>
          <w:numId w:val="1006"/>
        </w:numPr>
        <w:pStyle w:val="Compact"/>
      </w:pPr>
      <w:r>
        <w:t xml:space="preserve">The AfDB's Electricity Regulatory Index reports that many SSA regulators lack a documented tariff methodology or scheduled reviews. Kenya and Senegal ranked highest in the 2024 edition.</w:t>
      </w:r>
    </w:p>
    <w:p>
      <w:pPr>
        <w:pStyle w:val="FirstParagraph"/>
      </w:pPr>
      <w:r>
        <w:rPr>
          <w:bCs/>
          <w:b/>
        </w:rPr>
        <w:t xml:space="preserve">Open.</w:t>
      </w:r>
      <w:r>
        <w:t xml:space="preserve"> </w:t>
      </w:r>
      <w:r>
        <w:t xml:space="preserve">There is no well-specified theory of</w:t>
      </w:r>
      <w:r>
        <w:t xml:space="preserve"> </w:t>
      </w:r>
      <w:r>
        <w:rPr>
          <w:bCs/>
          <w:b/>
        </w:rPr>
        <w:t xml:space="preserve">why governments differ in honouring tariff compensation commitments</w:t>
      </w:r>
      <w:r>
        <w:t xml:space="preserve">. Plausible explanatory factors include:</w:t>
      </w:r>
    </w:p>
    <w:p>
      <w:pPr>
        <w:numPr>
          <w:ilvl w:val="0"/>
          <w:numId w:val="1007"/>
        </w:numPr>
        <w:pStyle w:val="Compact"/>
      </w:pPr>
      <w:r>
        <w:t xml:space="preserve">fiscal space;</w:t>
      </w:r>
    </w:p>
    <w:p>
      <w:pPr>
        <w:numPr>
          <w:ilvl w:val="0"/>
          <w:numId w:val="1007"/>
        </w:numPr>
        <w:pStyle w:val="Compact"/>
      </w:pPr>
      <w:r>
        <w:t xml:space="preserve">the credibility of the regulator;</w:t>
      </w:r>
    </w:p>
    <w:p>
      <w:pPr>
        <w:numPr>
          <w:ilvl w:val="0"/>
          <w:numId w:val="1007"/>
        </w:numPr>
        <w:pStyle w:val="Compact"/>
      </w:pPr>
      <w:r>
        <w:t xml:space="preserve">the political salience of industrial versus residential constituencies;</w:t>
      </w:r>
    </w:p>
    <w:p>
      <w:pPr>
        <w:numPr>
          <w:ilvl w:val="0"/>
          <w:numId w:val="1007"/>
        </w:numPr>
        <w:pStyle w:val="Compact"/>
      </w:pPr>
      <w:r>
        <w:t xml:space="preserve">donor or IMF conditionality;</w:t>
      </w:r>
    </w:p>
    <w:p>
      <w:pPr>
        <w:numPr>
          <w:ilvl w:val="0"/>
          <w:numId w:val="1007"/>
        </w:numPr>
        <w:pStyle w:val="Compact"/>
      </w:pPr>
      <w:r>
        <w:t xml:space="preserve">the size of foreign-currency IPP obligations.</w:t>
      </w:r>
    </w:p>
    <w:p>
      <w:pPr>
        <w:pStyle w:val="FirstParagraph"/>
      </w:pPr>
      <w:r>
        <w:t xml:space="preserve">Eberhard and Godinho's methodological critique invites a design that is explicitly comparative and theory-testing.</w:t>
      </w:r>
    </w:p>
    <w:bookmarkEnd w:id="25"/>
    <w:bookmarkStart w:id="26" w:name="X912f706fdd046a7043e3d08257d92278cdf5c41"/>
    <w:p>
      <w:pPr>
        <w:pStyle w:val="Heading3"/>
      </w:pPr>
      <w:r>
        <w:t xml:space="preserve">2.5 Private investment and contractual exposure</w:t>
      </w:r>
    </w:p>
    <w:p>
      <w:pPr>
        <w:pStyle w:val="FirstParagraph"/>
      </w:pPr>
      <w:r>
        <w:rPr>
          <w:bCs/>
          <w:b/>
        </w:rPr>
        <w:t xml:space="preserve">Established.</w:t>
      </w:r>
      <w:r>
        <w:t xml:space="preserve"> </w:t>
      </w:r>
      <w:r>
        <w:t xml:space="preserve">Eberhard, Gratwick, Morella and Antmann (2016) study IPPs in Kenya, Nigeria, South Africa, Tanzania and Uganda. They show that IPP success depends on the creditworthiness of the off-taker and on credible government support. Mission 300, the joint World Bank and AfDB initiative to connect 300 million Africans by 2030, now ties financing to national energy compacts that include tariff and utility-performance reforms.</w:t>
      </w:r>
    </w:p>
    <w:p>
      <w:pPr>
        <w:pStyle w:val="BodyText"/>
      </w:pPr>
      <w:r>
        <w:rPr>
          <w:bCs/>
          <w:b/>
        </w:rPr>
        <w:t xml:space="preserve">Open.</w:t>
      </w:r>
      <w:r>
        <w:t xml:space="preserve"> </w:t>
      </w:r>
      <w:r>
        <w:t xml:space="preserve">Little academic work traces how unpaid tariff compensation turns into IPP payment arrears, guarantee calls and, eventually, higher risk premia in new power-purchase agreements. That chain links the "equity" decision directly to the "investment" problem.</w:t>
      </w:r>
    </w:p>
    <w:bookmarkEnd w:id="26"/>
    <w:bookmarkStart w:id="27" w:name="X48950d844c2bcc81df294a99e5004cea0ad29a3"/>
    <w:p>
      <w:pPr>
        <w:pStyle w:val="Heading3"/>
      </w:pPr>
      <w:r>
        <w:t xml:space="preserve">2.6 Synthesis: the gap this thesis fills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DCE6F2"/>
          </w:tcPr>
          <w:p>
            <w:pPr>
              <w:pStyle w:val="Compact"/>
              <w:spacing w:after="40"/>
              <w:jc w:val="left"/>
            </w:pPr>
            <w:r>
              <w:rPr>
                <w:b/>
                <w:sz w:val="19"/>
              </w:rPr>
              <w:t xml:space="preserve">Strand</w:t>
            </w:r>
          </w:p>
        </w:tc>
        <w:tc>
          <w:tcPr>
            <w:shd w:val="clear" w:color="auto" w:fill="DCE6F2"/>
          </w:tcPr>
          <w:p>
            <w:pPr>
              <w:pStyle w:val="Compact"/>
              <w:spacing w:after="40"/>
              <w:jc w:val="left"/>
            </w:pPr>
            <w:r>
              <w:rPr>
                <w:b/>
                <w:sz w:val="19"/>
              </w:rPr>
              <w:t xml:space="preserve">What we know</w:t>
            </w:r>
          </w:p>
        </w:tc>
        <w:tc>
          <w:tcPr>
            <w:shd w:val="clear" w:color="auto" w:fill="DCE6F2"/>
          </w:tcPr>
          <w:p>
            <w:pPr>
              <w:pStyle w:val="Compact"/>
              <w:spacing w:after="40"/>
              <w:jc w:val="left"/>
            </w:pPr>
            <w:r>
              <w:rPr>
                <w:b/>
                <w:sz w:val="19"/>
              </w:rPr>
              <w:t xml:space="preserve">What is missing</w:t>
            </w:r>
          </w:p>
        </w:tc>
      </w:tr>
      <w:tr>
        <w:tc>
          <w:tcPr/>
          <w:p>
            <w:pPr>
              <w:pStyle w:val="Compact"/>
              <w:spacing w:after="40"/>
              <w:jc w:val="left"/>
            </w:pPr>
            <w:r>
              <w:rPr>
                <w:sz w:val="19"/>
              </w:rPr>
              <w:t xml:space="preserve">Utility finance</w:t>
            </w:r>
          </w:p>
        </w:tc>
        <w:tc>
          <w:tcPr/>
          <w:p>
            <w:pPr>
              <w:pStyle w:val="Compact"/>
              <w:spacing w:after="40"/>
              <w:jc w:val="left"/>
            </w:pPr>
            <w:r>
              <w:rPr>
                <w:sz w:val="19"/>
              </w:rPr>
              <w:t xml:space="preserve">Deficits are large; losses matter more than underpricing</w:t>
            </w:r>
          </w:p>
        </w:tc>
        <w:tc>
          <w:tcPr/>
          <w:p>
            <w:pPr>
              <w:pStyle w:val="Compact"/>
              <w:spacing w:after="40"/>
              <w:jc w:val="left"/>
            </w:pPr>
            <w:r>
              <w:rPr>
                <w:sz w:val="19"/>
              </w:rPr>
              <w:t xml:space="preserve">How deficits are</w:t>
            </w:r>
            <w:r>
              <w:rPr>
                <w:sz w:val="19"/>
              </w:rPr>
              <w:t xml:space="preserve"> </w:t>
            </w:r>
            <w:r>
              <w:rPr>
                <w:iCs/>
                <w:i/>
                <w:sz w:val="19"/>
              </w:rPr>
              <w:t xml:space="preserve">financed</w:t>
            </w:r>
            <w:r>
              <w:rPr>
                <w:sz w:val="19"/>
              </w:rPr>
              <w:t xml:space="preserve">, and with what consequences</w:t>
            </w:r>
          </w:p>
        </w:tc>
      </w:tr>
      <w:tr>
        <w:tc>
          <w:tcPr/>
          <w:p>
            <w:pPr>
              <w:pStyle w:val="Compact"/>
              <w:spacing w:after="40"/>
              <w:jc w:val="left"/>
            </w:pPr>
            <w:r>
              <w:rPr>
                <w:sz w:val="19"/>
              </w:rPr>
              <w:t xml:space="preserve">Equity</w:t>
            </w:r>
          </w:p>
        </w:tc>
        <w:tc>
          <w:tcPr/>
          <w:p>
            <w:pPr>
              <w:pStyle w:val="Compact"/>
              <w:spacing w:after="40"/>
              <w:jc w:val="left"/>
            </w:pPr>
            <w:r>
              <w:rPr>
                <w:sz w:val="19"/>
              </w:rPr>
              <w:t xml:space="preserve">Consumption subsidies are regressive</w:t>
            </w:r>
          </w:p>
        </w:tc>
        <w:tc>
          <w:tcPr/>
          <w:p>
            <w:pPr>
              <w:pStyle w:val="Compact"/>
              <w:spacing w:after="40"/>
              <w:jc w:val="left"/>
            </w:pPr>
            <w:r>
              <w:rPr>
                <w:sz w:val="19"/>
              </w:rPr>
              <w:t xml:space="preserve">Dynamic, cross-sector incidence through reform episodes</w:t>
            </w:r>
          </w:p>
        </w:tc>
      </w:tr>
      <w:tr>
        <w:tc>
          <w:tcPr/>
          <w:p>
            <w:pPr>
              <w:pStyle w:val="Compact"/>
              <w:spacing w:after="40"/>
              <w:jc w:val="left"/>
            </w:pPr>
            <w:r>
              <w:rPr>
                <w:sz w:val="19"/>
              </w:rPr>
              <w:t xml:space="preserve">Industry</w:t>
            </w:r>
          </w:p>
        </w:tc>
        <w:tc>
          <w:tcPr/>
          <w:p>
            <w:pPr>
              <w:pStyle w:val="Compact"/>
              <w:spacing w:after="40"/>
              <w:jc w:val="left"/>
            </w:pPr>
            <w:r>
              <w:rPr>
                <w:sz w:val="19"/>
              </w:rPr>
              <w:t xml:space="preserve">Outages are very costly</w:t>
            </w:r>
          </w:p>
        </w:tc>
        <w:tc>
          <w:tcPr/>
          <w:p>
            <w:pPr>
              <w:pStyle w:val="Compact"/>
              <w:spacing w:after="40"/>
              <w:jc w:val="left"/>
            </w:pPr>
            <w:r>
              <w:rPr>
                <w:sz w:val="19"/>
              </w:rPr>
              <w:t xml:space="preserve">An integrated</w:t>
            </w:r>
            <w:r>
              <w:rPr>
                <w:sz w:val="19"/>
              </w:rPr>
              <w:t xml:space="preserve"> </w:t>
            </w:r>
            <w:r>
              <w:rPr>
                <w:iCs/>
                <w:i/>
                <w:sz w:val="19"/>
              </w:rPr>
              <w:t xml:space="preserve">effective cost of electricity</w:t>
            </w:r>
            <w:r>
              <w:rPr>
                <w:sz w:val="19"/>
              </w:rPr>
              <w:t xml:space="preserve"> </w:t>
            </w:r>
            <w:r>
              <w:rPr>
                <w:sz w:val="19"/>
              </w:rPr>
              <w:t xml:space="preserve">measure</w:t>
            </w:r>
          </w:p>
        </w:tc>
      </w:tr>
      <w:tr>
        <w:tc>
          <w:tcPr/>
          <w:p>
            <w:pPr>
              <w:pStyle w:val="Compact"/>
              <w:spacing w:after="40"/>
              <w:jc w:val="left"/>
            </w:pPr>
            <w:r>
              <w:rPr>
                <w:sz w:val="19"/>
              </w:rPr>
              <w:t xml:space="preserve">Political economy</w:t>
            </w:r>
          </w:p>
        </w:tc>
        <w:tc>
          <w:tcPr/>
          <w:p>
            <w:pPr>
              <w:pStyle w:val="Compact"/>
              <w:spacing w:after="40"/>
              <w:jc w:val="left"/>
            </w:pPr>
            <w:r>
              <w:rPr>
                <w:sz w:val="19"/>
              </w:rPr>
              <w:t xml:space="preserve">Reform is hybrid and politically constrained</w:t>
            </w:r>
          </w:p>
        </w:tc>
        <w:tc>
          <w:tcPr/>
          <w:p>
            <w:pPr>
              <w:pStyle w:val="Compact"/>
              <w:spacing w:after="40"/>
              <w:jc w:val="left"/>
            </w:pPr>
            <w:r>
              <w:rPr>
                <w:sz w:val="19"/>
              </w:rPr>
              <w:t xml:space="preserve">A theory of</w:t>
            </w:r>
            <w:r>
              <w:rPr>
                <w:sz w:val="19"/>
              </w:rPr>
              <w:t xml:space="preserve"> </w:t>
            </w:r>
            <w:r>
              <w:rPr>
                <w:iCs/>
                <w:i/>
                <w:sz w:val="19"/>
              </w:rPr>
              <w:t xml:space="preserve">compensation reliability</w:t>
            </w:r>
          </w:p>
        </w:tc>
      </w:tr>
      <w:tr>
        <w:tc>
          <w:tcPr/>
          <w:p>
            <w:pPr>
              <w:pStyle w:val="Compact"/>
              <w:spacing w:after="40"/>
              <w:jc w:val="left"/>
            </w:pPr>
            <w:r>
              <w:rPr>
                <w:sz w:val="19"/>
              </w:rPr>
              <w:t xml:space="preserve">Investment</w:t>
            </w:r>
          </w:p>
        </w:tc>
        <w:tc>
          <w:tcPr/>
          <w:p>
            <w:pPr>
              <w:pStyle w:val="Compact"/>
              <w:spacing w:after="40"/>
              <w:jc w:val="left"/>
            </w:pPr>
            <w:r>
              <w:rPr>
                <w:sz w:val="19"/>
              </w:rPr>
              <w:t xml:space="preserve">IPPs need creditworthy off-takers</w:t>
            </w:r>
          </w:p>
        </w:tc>
        <w:tc>
          <w:tcPr/>
          <w:p>
            <w:pPr>
              <w:pStyle w:val="Compact"/>
              <w:spacing w:after="40"/>
              <w:jc w:val="left"/>
            </w:pPr>
            <w:r>
              <w:rPr>
                <w:sz w:val="19"/>
              </w:rPr>
              <w:t xml:space="preserve">The causal chain from compensation arrears to investment risk</w:t>
            </w:r>
          </w:p>
        </w:tc>
      </w:tr>
    </w:tbl>
    <w:p>
      <w:pPr>
        <w:pStyle w:val="BodyText"/>
      </w:pPr>
      <w:r>
        <w:rPr>
          <w:bCs/>
          <w:b/>
        </w:rPr>
        <w:t xml:space="preserve">Unifying gap.</w:t>
      </w:r>
      <w:r>
        <w:t xml:space="preserve"> </w:t>
      </w:r>
      <w:r>
        <w:t xml:space="preserve">The literature treats "below-cost tariffs" as one policy. This thesis argues that the same tariff level has very different consequences depending on whether the gap is</w:t>
      </w:r>
      <w:r>
        <w:t xml:space="preserve"> </w:t>
      </w:r>
      <w:r>
        <w:rPr>
          <w:bCs/>
          <w:b/>
        </w:rPr>
        <w:t xml:space="preserve">explicitly compensated, cross-subsidised, or left as arrears</w:t>
      </w:r>
      <w:r>
        <w:t xml:space="preserve">. That choice, not the tariff level alone, is the main point where equity, financial sustainability and competitiveness are traded off against each other.</w:t>
      </w:r>
    </w:p>
    <w:p>
      <w:r>
        <w:pict>
          <v:rect style="width:0;height:1.5pt" o:hralign="center" o:hrstd="t" o:hr="t"/>
        </w:pict>
      </w:r>
    </w:p>
    <w:bookmarkEnd w:id="27"/>
    <w:bookmarkEnd w:id="28"/>
    <w:bookmarkStart w:id="29" w:name="Xee038801b6299e8302d98d5ddab32ce3b794d6c"/>
    <w:p>
      <w:pPr>
        <w:pStyle w:val="Heading2"/>
      </w:pPr>
      <w:r>
        <w:t xml:space="preserve">3. Research problem (revised)</w:t>
      </w:r>
    </w:p>
    <w:p>
      <w:pPr>
        <w:pStyle w:val="FirstParagraph"/>
      </w:pPr>
      <w:r>
        <w:t xml:space="preserve">SSA governments regularly hold electricity tariffs below cost for social or political reasons. The gap can be covered in three ways:</w:t>
      </w:r>
    </w:p>
    <w:p>
      <w:pPr>
        <w:numPr>
          <w:ilvl w:val="0"/>
          <w:numId w:val="1008"/>
        </w:numPr>
        <w:pStyle w:val="Compact"/>
      </w:pPr>
      <w:r>
        <w:rPr>
          <w:bCs/>
          <w:b/>
        </w:rPr>
        <w:t xml:space="preserve">Explicit budget compensation</w:t>
      </w:r>
      <w:r>
        <w:t xml:space="preserve">, which is transparent and keeps the utility viable;</w:t>
      </w:r>
    </w:p>
    <w:p>
      <w:pPr>
        <w:numPr>
          <w:ilvl w:val="0"/>
          <w:numId w:val="1008"/>
        </w:numPr>
        <w:pStyle w:val="Compact"/>
      </w:pPr>
      <w:r>
        <w:rPr>
          <w:bCs/>
          <w:b/>
        </w:rPr>
        <w:t xml:space="preserve">Cross-subsidies from commercial and industrial users</w:t>
      </w:r>
      <w:r>
        <w:t xml:space="preserve">, which raise firms' costs and encourage them to self-generate or leave the grid;</w:t>
      </w:r>
    </w:p>
    <w:p>
      <w:pPr>
        <w:numPr>
          <w:ilvl w:val="0"/>
          <w:numId w:val="1008"/>
        </w:numPr>
        <w:pStyle w:val="Compact"/>
      </w:pPr>
      <w:r>
        <w:rPr>
          <w:bCs/>
          <w:b/>
        </w:rPr>
        <w:t xml:space="preserve">Implicit arrears and deferred maintenance</w:t>
      </w:r>
      <w:r>
        <w:t xml:space="preserve">, which cause financial distress, unreliable supply and higher investment risk.</w:t>
      </w:r>
    </w:p>
    <w:p>
      <w:pPr>
        <w:pStyle w:val="FirstParagraph"/>
      </w:pPr>
      <w:r>
        <w:t xml:space="preserve">Existing research documents each consequence separately. It does not explain</w:t>
      </w:r>
      <w:r>
        <w:t xml:space="preserve"> </w:t>
      </w:r>
      <w:r>
        <w:rPr>
          <w:iCs/>
          <w:i/>
        </w:rPr>
        <w:t xml:space="preserve">why</w:t>
      </w:r>
      <w:r>
        <w:t xml:space="preserve"> </w:t>
      </w:r>
      <w:r>
        <w:t xml:space="preserve">governments choose one combination over another, or measure the distributional result across households, firms and the public purse. Without that explanation, tariff reform advice ("move to cost-reflective tariffs") ignores the institutional conditions that decide whether reform holds.</w:t>
      </w:r>
    </w:p>
    <w:p>
      <w:r>
        <w:pict>
          <v:rect style="width:0;height:1.5pt" o:hralign="center" o:hrstd="t" o:hr="t"/>
        </w:pict>
      </w:r>
    </w:p>
    <w:bookmarkEnd w:id="29"/>
    <w:bookmarkStart w:id="30" w:name="Xbb6ad886949ad7725e7de5124baf23e8653e757"/>
    <w:p>
      <w:pPr>
        <w:pStyle w:val="Heading2"/>
      </w:pPr>
      <w:r>
        <w:t xml:space="preserve">4. Research questions</w:t>
      </w:r>
    </w:p>
    <w:p>
      <w:pPr>
        <w:pStyle w:val="FirstParagraph"/>
      </w:pPr>
      <w:r>
        <w:rPr>
          <w:bCs/>
          <w:b/>
        </w:rPr>
        <w:t xml:space="preserve">Main question.</w:t>
      </w:r>
      <w:r>
        <w:t xml:space="preserve"> </w:t>
      </w:r>
      <w:r>
        <w:t xml:space="preserve">Under what institutional and political conditions do SSA governments finance below-cost electricity tariffs through explicit compensation rather than cross-subsidies or arrears, and how does that choice distribute costs among low-income households, industrial users and the state?</w:t>
      </w:r>
    </w:p>
    <w:p>
      <w:pPr>
        <w:pStyle w:val="BodyText"/>
      </w:pPr>
      <w:r>
        <w:rPr>
          <w:bCs/>
          <w:b/>
        </w:rPr>
        <w:t xml:space="preserve">Sub-questions (one per paper):</w:t>
      </w:r>
    </w:p>
    <w:p>
      <w:pPr>
        <w:numPr>
          <w:ilvl w:val="0"/>
          <w:numId w:val="1009"/>
        </w:numPr>
        <w:pStyle w:val="Compact"/>
      </w:pPr>
      <w:r>
        <w:rPr>
          <w:bCs/>
          <w:b/>
        </w:rPr>
        <w:t xml:space="preserve">Finance (Paper 1).</w:t>
      </w:r>
      <w:r>
        <w:t xml:space="preserve"> </w:t>
      </w:r>
      <w:r>
        <w:t xml:space="preserve">How large are the tariff gaps in the case countries, and how is each financed: by budget transfers, cross-subsidies or arrears? How has the mix changed over roughly 2010–2025?</w:t>
      </w:r>
    </w:p>
    <w:p>
      <w:pPr>
        <w:numPr>
          <w:ilvl w:val="0"/>
          <w:numId w:val="1009"/>
        </w:numPr>
        <w:pStyle w:val="Compact"/>
      </w:pPr>
      <w:r>
        <w:rPr>
          <w:bCs/>
          <w:b/>
        </w:rPr>
        <w:t xml:space="preserve">Distribution (Paper 2).</w:t>
      </w:r>
      <w:r>
        <w:t xml:space="preserve"> </w:t>
      </w:r>
      <w:r>
        <w:t xml:space="preserve">Who benefits from the tariff structure, and who pays for it? This is measured by household benefit incidence and by the effective cost of electricity to firms, before and after a major tariff reform episode in each country.</w:t>
      </w:r>
    </w:p>
    <w:p>
      <w:pPr>
        <w:numPr>
          <w:ilvl w:val="0"/>
          <w:numId w:val="1009"/>
        </w:numPr>
        <w:pStyle w:val="Compact"/>
      </w:pPr>
      <w:r>
        <w:rPr>
          <w:bCs/>
          <w:b/>
        </w:rPr>
        <w:t xml:space="preserve">Political economy (Paper 3).</w:t>
      </w:r>
      <w:r>
        <w:t xml:space="preserve"> </w:t>
      </w:r>
      <w:r>
        <w:t xml:space="preserve">Why do compensation practices differ across countries and over time? What roles do fiscal space, regulatory credibility, electoral cycles, IMF or donor conditionality, and IPP obligations play?</w:t>
      </w:r>
    </w:p>
    <w:p>
      <w:r>
        <w:pict>
          <v:rect style="width:0;height:1.5pt" o:hralign="center" o:hrstd="t" o:hr="t"/>
        </w:pict>
      </w:r>
    </w:p>
    <w:bookmarkEnd w:id="30"/>
    <w:bookmarkStart w:id="31" w:name="Xa3ddbc228579a409443f3f5216bf56840d954ba"/>
    <w:p>
      <w:pPr>
        <w:pStyle w:val="Heading2"/>
      </w:pPr>
      <w:r>
        <w:t xml:space="preserve">5. Concepts and measures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DCE6F2"/>
          </w:tcPr>
          <w:p>
            <w:pPr>
              <w:pStyle w:val="Compact"/>
              <w:spacing w:after="40"/>
              <w:jc w:val="left"/>
            </w:pPr>
            <w:r>
              <w:rPr>
                <w:b/>
                <w:sz w:val="19"/>
              </w:rPr>
              <w:t xml:space="preserve">Concept</w:t>
            </w:r>
          </w:p>
        </w:tc>
        <w:tc>
          <w:tcPr>
            <w:shd w:val="clear" w:color="auto" w:fill="DCE6F2"/>
          </w:tcPr>
          <w:p>
            <w:pPr>
              <w:pStyle w:val="Compact"/>
              <w:spacing w:after="40"/>
              <w:jc w:val="left"/>
            </w:pPr>
            <w:r>
              <w:rPr>
                <w:b/>
                <w:sz w:val="19"/>
              </w:rPr>
              <w:t xml:space="preserve">Operational definition</w:t>
            </w:r>
          </w:p>
        </w:tc>
        <w:tc>
          <w:tcPr>
            <w:shd w:val="clear" w:color="auto" w:fill="DCE6F2"/>
          </w:tcPr>
          <w:p>
            <w:pPr>
              <w:pStyle w:val="Compact"/>
              <w:spacing w:after="40"/>
              <w:jc w:val="left"/>
            </w:pPr>
            <w:r>
              <w:rPr>
                <w:b/>
                <w:sz w:val="19"/>
              </w:rPr>
              <w:t xml:space="preserve">Indicative data</w:t>
            </w:r>
          </w:p>
        </w:tc>
      </w:tr>
      <w:tr>
        <w:tc>
          <w:tcPr/>
          <w:p>
            <w:pPr>
              <w:pStyle w:val="Compact"/>
              <w:spacing w:after="40"/>
              <w:jc w:val="left"/>
            </w:pPr>
            <w:r>
              <w:rPr>
                <w:bCs/>
                <w:b/>
                <w:sz w:val="19"/>
              </w:rPr>
              <w:t xml:space="preserve">Financial sustainability</w:t>
            </w:r>
          </w:p>
        </w:tc>
        <w:tc>
          <w:tcPr/>
          <w:p>
            <w:pPr>
              <w:pStyle w:val="Compact"/>
              <w:spacing w:after="40"/>
              <w:jc w:val="left"/>
            </w:pPr>
            <w:r>
              <w:rPr>
                <w:sz w:val="19"/>
              </w:rPr>
              <w:t xml:space="preserve">Cost-recovery ratio (revenue ÷ full cost of service); collection rate; transmission and distribution losses; quasi-fiscal deficit (Trimble et al., 2016 method)</w:t>
            </w:r>
          </w:p>
        </w:tc>
        <w:tc>
          <w:tcPr/>
          <w:p>
            <w:pPr>
              <w:pStyle w:val="Compact"/>
              <w:spacing w:after="40"/>
              <w:jc w:val="left"/>
            </w:pPr>
            <w:r>
              <w:rPr>
                <w:sz w:val="19"/>
              </w:rPr>
              <w:t xml:space="preserve">Utility audited accounts; regulator determinations</w:t>
            </w:r>
          </w:p>
        </w:tc>
      </w:tr>
      <w:tr>
        <w:tc>
          <w:tcPr/>
          <w:p>
            <w:pPr>
              <w:pStyle w:val="Compact"/>
              <w:spacing w:after="40"/>
              <w:jc w:val="left"/>
            </w:pPr>
            <w:r>
              <w:rPr>
                <w:bCs/>
                <w:b/>
                <w:sz w:val="19"/>
              </w:rPr>
              <w:t xml:space="preserve">Compensation reliability</w:t>
            </w:r>
            <w:r>
              <w:rPr>
                <w:sz w:val="19"/>
              </w:rPr>
              <w:t xml:space="preserve"> </w:t>
            </w:r>
            <w:r>
              <w:rPr>
                <w:iCs/>
                <w:i/>
                <w:sz w:val="19"/>
              </w:rPr>
              <w:t xml:space="preserve">(new variable)</w:t>
            </w:r>
          </w:p>
        </w:tc>
        <w:tc>
          <w:tcPr/>
          <w:p>
            <w:pPr>
              <w:pStyle w:val="Compact"/>
              <w:spacing w:after="40"/>
              <w:jc w:val="left"/>
            </w:pPr>
            <w:r>
              <w:rPr>
                <w:sz w:val="19"/>
              </w:rPr>
              <w:t xml:space="preserve">Share of government-mandated subsidies or tariff shortfalls actually paid to the utility within the fiscal year; stock of government and SOE arrears to the utility</w:t>
            </w:r>
          </w:p>
        </w:tc>
        <w:tc>
          <w:tcPr/>
          <w:p>
            <w:pPr>
              <w:pStyle w:val="Compact"/>
              <w:spacing w:after="40"/>
              <w:jc w:val="left"/>
            </w:pPr>
            <w:r>
              <w:rPr>
                <w:sz w:val="19"/>
              </w:rPr>
              <w:t xml:space="preserve">Budget execution reports; utility notes on receivables; IMF Article IV and programme documents</w:t>
            </w:r>
            <w:r>
              <w:rPr>
                <w:sz w:val="19"/>
              </w:rPr>
              <w:t xml:space="preserve"> </w:t>
            </w:r>
            <w:r>
              <w:rPr>
                <w:bCs/>
                <w:b/>
                <w:sz w:val="19"/>
              </w:rPr>
              <w:t xml:space="preserve">[verify availability per country]</w:t>
            </w:r>
          </w:p>
        </w:tc>
      </w:tr>
      <w:tr>
        <w:tc>
          <w:tcPr/>
          <w:p>
            <w:pPr>
              <w:pStyle w:val="Compact"/>
              <w:spacing w:after="40"/>
              <w:jc w:val="left"/>
            </w:pPr>
            <w:r>
              <w:rPr>
                <w:bCs/>
                <w:b/>
                <w:sz w:val="19"/>
              </w:rPr>
              <w:t xml:space="preserve">Distributional equity</w:t>
            </w:r>
          </w:p>
        </w:tc>
        <w:tc>
          <w:tcPr/>
          <w:p>
            <w:pPr>
              <w:pStyle w:val="Compact"/>
              <w:spacing w:after="40"/>
              <w:jc w:val="left"/>
            </w:pPr>
            <w:r>
              <w:rPr>
                <w:sz w:val="19"/>
              </w:rPr>
              <w:t xml:space="preserve">Benefit incidence by consumption quintile (concentration coefficient); energy burden (electricity spending as a share of household spending); access gap by quintile</w:t>
            </w:r>
          </w:p>
        </w:tc>
        <w:tc>
          <w:tcPr/>
          <w:p>
            <w:pPr>
              <w:pStyle w:val="Compact"/>
              <w:spacing w:after="40"/>
              <w:jc w:val="left"/>
            </w:pPr>
            <w:r>
              <w:rPr>
                <w:sz w:val="19"/>
              </w:rPr>
              <w:t xml:space="preserve">National household surveys (e.g. LSMS-type surveys); utility billing samples where obtainable</w:t>
            </w:r>
          </w:p>
        </w:tc>
      </w:tr>
      <w:tr>
        <w:tc>
          <w:tcPr/>
          <w:p>
            <w:pPr>
              <w:pStyle w:val="Compact"/>
              <w:spacing w:after="40"/>
              <w:jc w:val="left"/>
            </w:pPr>
            <w:r>
              <w:rPr>
                <w:bCs/>
                <w:b/>
                <w:sz w:val="19"/>
              </w:rPr>
              <w:t xml:space="preserve">Industrial cost burden</w:t>
            </w:r>
          </w:p>
        </w:tc>
        <w:tc>
          <w:tcPr/>
          <w:p>
            <w:pPr>
              <w:pStyle w:val="Compact"/>
              <w:spacing w:after="40"/>
              <w:jc w:val="left"/>
            </w:pPr>
            <w:r>
              <w:rPr>
                <w:bCs/>
                <w:b/>
                <w:sz w:val="19"/>
              </w:rPr>
              <w:t xml:space="preserve">Effective cost of electricity</w:t>
            </w:r>
            <w:r>
              <w:rPr>
                <w:sz w:val="19"/>
              </w:rPr>
              <w:t xml:space="preserve"> </w:t>
            </w:r>
            <w:r>
              <w:rPr>
                <w:sz w:val="19"/>
              </w:rPr>
              <w:t xml:space="preserve">= tariff paid + outage losses + self-generation cost, per kWh and as a share of costs</w:t>
            </w:r>
          </w:p>
        </w:tc>
        <w:tc>
          <w:tcPr/>
          <w:p>
            <w:pPr>
              <w:pStyle w:val="Compact"/>
              <w:spacing w:after="40"/>
              <w:jc w:val="left"/>
            </w:pPr>
            <w:r>
              <w:rPr>
                <w:sz w:val="19"/>
              </w:rPr>
              <w:t xml:space="preserve">World Bank Enterprise Surveys; tariff schedules</w:t>
            </w:r>
          </w:p>
        </w:tc>
      </w:tr>
      <w:tr>
        <w:tc>
          <w:tcPr/>
          <w:p>
            <w:pPr>
              <w:pStyle w:val="Compact"/>
              <w:spacing w:after="40"/>
              <w:jc w:val="left"/>
            </w:pPr>
            <w:r>
              <w:rPr>
                <w:bCs/>
                <w:b/>
                <w:sz w:val="19"/>
              </w:rPr>
              <w:t xml:space="preserve">Cross-subsidy intensity</w:t>
            </w:r>
          </w:p>
        </w:tc>
        <w:tc>
          <w:tcPr/>
          <w:p>
            <w:pPr>
              <w:pStyle w:val="Compact"/>
              <w:spacing w:after="40"/>
              <w:jc w:val="left"/>
            </w:pPr>
            <w:r>
              <w:rPr>
                <w:sz w:val="19"/>
              </w:rPr>
              <w:t xml:space="preserve">Ratio of industrial or commercial tariff to cost of service, relative to the residential ratio</w:t>
            </w:r>
          </w:p>
        </w:tc>
        <w:tc>
          <w:tcPr/>
          <w:p>
            <w:pPr>
              <w:pStyle w:val="Compact"/>
              <w:spacing w:after="40"/>
              <w:jc w:val="left"/>
            </w:pPr>
            <w:r>
              <w:rPr>
                <w:sz w:val="19"/>
              </w:rPr>
              <w:t xml:space="preserve">Regulator cost-of-service studies</w:t>
            </w:r>
          </w:p>
        </w:tc>
      </w:tr>
    </w:tbl>
    <w:p>
      <w:r>
        <w:pict>
          <v:rect style="width:0;height:1.5pt" o:hralign="center" o:hrstd="t" o:hr="t"/>
        </w:pict>
      </w:r>
    </w:p>
    <w:bookmarkEnd w:id="31"/>
    <w:bookmarkStart w:id="32" w:name="Xb709f15f50bd2eb417faefc969b35cb24999d19"/>
    <w:p>
      <w:pPr>
        <w:pStyle w:val="Heading2"/>
      </w:pPr>
      <w:r>
        <w:t xml:space="preserve">6. Analytical framework and propositions</w:t>
      </w:r>
    </w:p>
    <w:p>
      <w:pPr>
        <w:pStyle w:val="FirstParagraph"/>
      </w:pPr>
      <w:r>
        <w:t xml:space="preserve">The framework treats the</w:t>
      </w:r>
      <w:r>
        <w:t xml:space="preserve"> </w:t>
      </w:r>
      <w:r>
        <w:rPr>
          <w:bCs/>
          <w:b/>
        </w:rPr>
        <w:t xml:space="preserve">financing mode</w:t>
      </w:r>
      <w:r>
        <w:t xml:space="preserve"> </w:t>
      </w:r>
      <w:r>
        <w:t xml:space="preserve">(compensation, cross-subsidy or arrears) as an intermediate variable. Political and institutional conditions shape it, and it in turn produces distributional and financial outcomes.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DCE6F2"/>
          </w:tcPr>
          <w:p>
            <w:pPr>
              <w:pStyle w:val="Compact"/>
              <w:spacing w:after="40"/>
              <w:jc w:val="left"/>
            </w:pPr>
            <w:r>
              <w:rPr>
                <w:b/>
                <w:sz w:val="19"/>
              </w:rPr>
              <w:t xml:space="preserve">Political-institutional conditions →</w:t>
            </w:r>
          </w:p>
        </w:tc>
        <w:tc>
          <w:tcPr>
            <w:shd w:val="clear" w:color="auto" w:fill="DCE6F2"/>
          </w:tcPr>
          <w:p>
            <w:pPr>
              <w:pStyle w:val="Compact"/>
              <w:spacing w:after="40"/>
              <w:jc w:val="left"/>
            </w:pPr>
            <w:r>
              <w:rPr>
                <w:b/>
                <w:sz w:val="19"/>
              </w:rPr>
              <w:t xml:space="preserve">Financing mode of the tariff gap →</w:t>
            </w:r>
          </w:p>
        </w:tc>
        <w:tc>
          <w:tcPr>
            <w:shd w:val="clear" w:color="auto" w:fill="DCE6F2"/>
          </w:tcPr>
          <w:p>
            <w:pPr>
              <w:pStyle w:val="Compact"/>
              <w:spacing w:after="40"/>
              <w:jc w:val="left"/>
            </w:pPr>
            <w:r>
              <w:rPr>
                <w:b/>
                <w:sz w:val="19"/>
              </w:rPr>
              <w:t xml:space="preserve">Outcomes</w:t>
            </w:r>
          </w:p>
        </w:tc>
      </w:tr>
      <w:tr>
        <w:tc>
          <w:tcPr/>
          <w:p>
            <w:pPr>
              <w:pStyle w:val="Compact"/>
              <w:spacing w:after="40"/>
              <w:jc w:val="left"/>
            </w:pPr>
            <w:r>
              <w:rPr>
                <w:sz w:val="19"/>
              </w:rPr>
              <w:t xml:space="preserve">Fiscal space</w:t>
            </w:r>
          </w:p>
        </w:tc>
        <w:tc>
          <w:tcPr/>
          <w:p>
            <w:pPr>
              <w:pStyle w:val="Compact"/>
              <w:spacing w:after="40"/>
              <w:jc w:val="left"/>
            </w:pPr>
            <w:r>
              <w:rPr>
                <w:sz w:val="19"/>
              </w:rPr>
              <w:t xml:space="preserve">Explicit compensation</w:t>
            </w:r>
          </w:p>
        </w:tc>
        <w:tc>
          <w:tcPr/>
          <w:p>
            <w:pPr>
              <w:pStyle w:val="Compact"/>
              <w:spacing w:after="40"/>
              <w:jc w:val="left"/>
            </w:pPr>
            <w:r>
              <w:rPr>
                <w:sz w:val="19"/>
              </w:rPr>
              <w:t xml:space="preserve">Utility viability and reliability</w:t>
            </w:r>
          </w:p>
        </w:tc>
      </w:tr>
      <w:tr>
        <w:tc>
          <w:tcPr/>
          <w:p>
            <w:pPr>
              <w:pStyle w:val="Compact"/>
              <w:spacing w:after="40"/>
              <w:jc w:val="left"/>
            </w:pPr>
            <w:r>
              <w:rPr>
                <w:sz w:val="19"/>
              </w:rPr>
              <w:t xml:space="preserve">Regulatory credibility</w:t>
            </w:r>
          </w:p>
        </w:tc>
        <w:tc>
          <w:tcPr/>
          <w:p>
            <w:pPr>
              <w:pStyle w:val="Compact"/>
              <w:spacing w:after="40"/>
              <w:jc w:val="left"/>
            </w:pPr>
            <w:r>
              <w:rPr>
                <w:sz w:val="19"/>
              </w:rPr>
              <w:t xml:space="preserve">Cross-subsidy</w:t>
            </w:r>
          </w:p>
        </w:tc>
        <w:tc>
          <w:tcPr/>
          <w:p>
            <w:pPr>
              <w:pStyle w:val="Compact"/>
              <w:spacing w:after="40"/>
              <w:jc w:val="left"/>
            </w:pPr>
            <w:r>
              <w:rPr>
                <w:sz w:val="19"/>
              </w:rPr>
              <w:t xml:space="preserve">Household incidence</w:t>
            </w:r>
          </w:p>
        </w:tc>
      </w:tr>
      <w:tr>
        <w:tc>
          <w:tcPr/>
          <w:p>
            <w:pPr>
              <w:pStyle w:val="Compact"/>
              <w:spacing w:after="40"/>
              <w:jc w:val="left"/>
            </w:pPr>
            <w:r>
              <w:rPr>
                <w:sz w:val="19"/>
              </w:rPr>
              <w:t xml:space="preserve">Electoral salience</w:t>
            </w:r>
          </w:p>
        </w:tc>
        <w:tc>
          <w:tcPr/>
          <w:p>
            <w:pPr>
              <w:pStyle w:val="Compact"/>
              <w:spacing w:after="40"/>
              <w:jc w:val="left"/>
            </w:pPr>
            <w:r>
              <w:rPr>
                <w:sz w:val="19"/>
              </w:rPr>
              <w:t xml:space="preserve">Arrears / deferral</w:t>
            </w:r>
          </w:p>
        </w:tc>
        <w:tc>
          <w:tcPr/>
          <w:p>
            <w:pPr>
              <w:pStyle w:val="Compact"/>
              <w:spacing w:after="40"/>
              <w:jc w:val="left"/>
            </w:pPr>
            <w:r>
              <w:rPr>
                <w:sz w:val="19"/>
              </w:rPr>
              <w:t xml:space="preserve">Firms' effective electricity cost</w:t>
            </w:r>
          </w:p>
        </w:tc>
      </w:tr>
      <w:tr>
        <w:tc>
          <w:tcPr/>
          <w:p>
            <w:pPr>
              <w:pStyle w:val="Compact"/>
              <w:spacing w:after="40"/>
              <w:jc w:val="left"/>
            </w:pPr>
            <w:r>
              <w:rPr>
                <w:sz w:val="19"/>
              </w:rPr>
              <w:t xml:space="preserve">IMF/donor conditionality</w:t>
            </w:r>
          </w:p>
        </w:tc>
        <w:tc>
          <w:tcPr/>
          <w:p>
            <w:pPr>
              <w:pStyle w:val="Compact"/>
              <w:spacing w:after="40"/>
            </w:pPr>
          </w:p>
        </w:tc>
        <w:tc>
          <w:tcPr/>
          <w:p>
            <w:pPr>
              <w:pStyle w:val="Compact"/>
              <w:spacing w:after="40"/>
              <w:jc w:val="left"/>
            </w:pPr>
            <w:r>
              <w:rPr>
                <w:sz w:val="19"/>
              </w:rPr>
              <w:t xml:space="preserve">IPP payment risk</w:t>
            </w:r>
          </w:p>
        </w:tc>
      </w:tr>
      <w:tr>
        <w:tc>
          <w:tcPr/>
          <w:p>
            <w:pPr>
              <w:pStyle w:val="Compact"/>
              <w:spacing w:after="40"/>
              <w:jc w:val="left"/>
            </w:pPr>
            <w:r>
              <w:rPr>
                <w:sz w:val="19"/>
              </w:rPr>
              <w:t xml:space="preserve">FX-denominated IPP exposure</w:t>
            </w:r>
          </w:p>
        </w:tc>
        <w:tc>
          <w:tcPr/>
          <w:p>
            <w:pPr>
              <w:pStyle w:val="Compact"/>
              <w:spacing w:after="40"/>
            </w:pPr>
          </w:p>
        </w:tc>
        <w:tc>
          <w:tcPr/>
          <w:p>
            <w:pPr>
              <w:pStyle w:val="Compact"/>
              <w:spacing w:after="40"/>
            </w:pPr>
          </w:p>
        </w:tc>
      </w:tr>
    </w:tbl>
    <w:p>
      <w:pPr>
        <w:pStyle w:val="BodyText"/>
      </w:pPr>
      <w:r>
        <w:rPr>
          <w:bCs/>
          <w:b/>
        </w:rPr>
        <w:t xml:space="preserve">Working propositions</w:t>
      </w:r>
      <w:r>
        <w:t xml:space="preserve"> </w:t>
      </w:r>
      <w:r>
        <w:t xml:space="preserve">(to be tested; they are not presented as findings):</w:t>
      </w:r>
    </w:p>
    <w:p>
      <w:pPr>
        <w:numPr>
          <w:ilvl w:val="0"/>
          <w:numId w:val="1010"/>
        </w:numPr>
        <w:pStyle w:val="Compact"/>
      </w:pPr>
      <w:r>
        <w:rPr>
          <w:bCs/>
          <w:b/>
        </w:rPr>
        <w:t xml:space="preserve">P1.</w:t>
      </w:r>
      <w:r>
        <w:t xml:space="preserve"> </w:t>
      </w:r>
      <w:r>
        <w:t xml:space="preserve">For a given tariff gap, financing by arrears is associated with worse reliability, and therefore a higher effective cost to firms, than explicit compensation.</w:t>
      </w:r>
    </w:p>
    <w:p>
      <w:pPr>
        <w:numPr>
          <w:ilvl w:val="0"/>
          <w:numId w:val="1010"/>
        </w:numPr>
        <w:pStyle w:val="Compact"/>
      </w:pPr>
      <w:r>
        <w:rPr>
          <w:bCs/>
          <w:b/>
        </w:rPr>
        <w:t xml:space="preserve">P2.</w:t>
      </w:r>
      <w:r>
        <w:t xml:space="preserve"> </w:t>
      </w:r>
      <w:r>
        <w:t xml:space="preserve">Heavy reliance on industrial cross-subsidies is associated with large users reducing grid consumption or leaving the grid, which raises unit costs for remaining customers.</w:t>
      </w:r>
    </w:p>
    <w:p>
      <w:pPr>
        <w:numPr>
          <w:ilvl w:val="0"/>
          <w:numId w:val="1010"/>
        </w:numPr>
        <w:pStyle w:val="Compact"/>
      </w:pPr>
      <w:r>
        <w:rPr>
          <w:bCs/>
          <w:b/>
        </w:rPr>
        <w:t xml:space="preserve">P3.</w:t>
      </w:r>
      <w:r>
        <w:t xml:space="preserve"> </w:t>
      </w:r>
      <w:r>
        <w:t xml:space="preserve">Because poor households are often unconnected or share connections, below-cost residential tariffs financed by arrears are regressive overall once their effect on reliability is counted.</w:t>
      </w:r>
    </w:p>
    <w:p>
      <w:pPr>
        <w:numPr>
          <w:ilvl w:val="0"/>
          <w:numId w:val="1010"/>
        </w:numPr>
        <w:pStyle w:val="Compact"/>
      </w:pPr>
      <w:r>
        <w:rPr>
          <w:bCs/>
          <w:b/>
        </w:rPr>
        <w:t xml:space="preserve">P4.</w:t>
      </w:r>
      <w:r>
        <w:t xml:space="preserve"> </w:t>
      </w:r>
      <w:r>
        <w:t xml:space="preserve">Explicit compensation is more likely where regulators are credible, fiscal space exists and external programmes make compensation a condition. Elections push towards arrears rather than explicit transfers.</w:t>
      </w:r>
    </w:p>
    <w:p>
      <w:pPr>
        <w:pStyle w:val="FirstParagraph"/>
      </w:pPr>
      <w:r>
        <w:rPr>
          <w:bCs/>
          <w:b/>
        </w:rPr>
        <w:t xml:space="preserve">Rival explanations to test against.</w:t>
      </w:r>
    </w:p>
    <w:p>
      <w:pPr>
        <w:numPr>
          <w:ilvl w:val="0"/>
          <w:numId w:val="1011"/>
        </w:numPr>
        <w:pStyle w:val="Compact"/>
      </w:pPr>
      <w:r>
        <w:t xml:space="preserve">Tariff level alone, rather than how the gap is financed, drives the outcomes.</w:t>
      </w:r>
    </w:p>
    <w:p>
      <w:pPr>
        <w:numPr>
          <w:ilvl w:val="0"/>
          <w:numId w:val="1011"/>
        </w:numPr>
        <w:pStyle w:val="Compact"/>
      </w:pPr>
      <w:r>
        <w:t xml:space="preserve">Generation technology and fuel-price shocks (hydrology, oil prices) drive deficits more than policy choices do.</w:t>
      </w:r>
    </w:p>
    <w:p>
      <w:pPr>
        <w:numPr>
          <w:ilvl w:val="0"/>
          <w:numId w:val="1011"/>
        </w:numPr>
        <w:pStyle w:val="Compact"/>
      </w:pPr>
      <w:r>
        <w:t xml:space="preserve">Reliability is mainly a supply-capacity problem, independent of utility finances.</w:t>
      </w:r>
    </w:p>
    <w:p>
      <w:r>
        <w:pict>
          <v:rect style="width:0;height:1.5pt" o:hralign="center" o:hrstd="t" o:hr="t"/>
        </w:pict>
      </w:r>
    </w:p>
    <w:bookmarkEnd w:id="32"/>
    <w:bookmarkStart w:id="37" w:name="X0f84d5dc117b91c56f2fd12d6a44edd8006a6f2"/>
    <w:p>
      <w:pPr>
        <w:pStyle w:val="Heading2"/>
      </w:pPr>
      <w:r>
        <w:t xml:space="preserve">7. Research design and methods</w:t>
      </w:r>
    </w:p>
    <w:bookmarkStart w:id="33" w:name="X8ad42b6f94135b7cbffa30c47480c21789cc9ad"/>
    <w:p>
      <w:pPr>
        <w:pStyle w:val="Heading3"/>
      </w:pPr>
      <w:r>
        <w:t xml:space="preserve">7.1 Case selection (recommended; subject to a scoping phase)</w:t>
      </w:r>
    </w:p>
    <w:p>
      <w:pPr>
        <w:pStyle w:val="FirstParagraph"/>
      </w:pPr>
      <w:r>
        <w:t xml:space="preserve">The design compares cases that differ on the explanatory variables rather than a large-N sample. The provisional cases are:</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2640"/>
        <w:gridCol w:w="2640"/>
        <w:gridCol w:w="2640"/>
      </w:tblGrid>
      <w:tr>
        <w:trPr>
          <w:tblHeader w:val="true"/>
        </w:trPr>
        <w:tc>
          <w:tcPr>
            <w:shd w:val="clear" w:color="auto" w:fill="DCE6F2"/>
          </w:tcPr>
          <w:p>
            <w:pPr>
              <w:pStyle w:val="Compact"/>
              <w:spacing w:after="40"/>
              <w:jc w:val="left"/>
            </w:pPr>
            <w:r>
              <w:rPr>
                <w:b/>
                <w:sz w:val="19"/>
              </w:rPr>
              <w:t xml:space="preserve">Country</w:t>
            </w:r>
          </w:p>
        </w:tc>
        <w:tc>
          <w:tcPr>
            <w:shd w:val="clear" w:color="auto" w:fill="DCE6F2"/>
          </w:tcPr>
          <w:p>
            <w:pPr>
              <w:pStyle w:val="Compact"/>
              <w:spacing w:after="40"/>
              <w:jc w:val="left"/>
            </w:pPr>
            <w:r>
              <w:rPr>
                <w:b/>
                <w:sz w:val="19"/>
              </w:rPr>
              <w:t xml:space="preserve">Rationale (from reviewed literature)</w:t>
            </w:r>
          </w:p>
        </w:tc>
        <w:tc>
          <w:tcPr>
            <w:shd w:val="clear" w:color="auto" w:fill="DCE6F2"/>
          </w:tcPr>
          <w:p>
            <w:pPr>
              <w:pStyle w:val="Compact"/>
              <w:spacing w:after="40"/>
              <w:jc w:val="left"/>
            </w:pPr>
            <w:r>
              <w:rPr>
                <w:b/>
                <w:sz w:val="19"/>
              </w:rPr>
              <w:t xml:space="preserve">Points to confirm in scoping</w:t>
            </w:r>
          </w:p>
        </w:tc>
      </w:tr>
      <w:tr>
        <w:tc>
          <w:tcPr/>
          <w:p>
            <w:pPr>
              <w:pStyle w:val="Compact"/>
              <w:spacing w:after="40"/>
              <w:jc w:val="left"/>
            </w:pPr>
            <w:r>
              <w:rPr>
                <w:bCs/>
                <w:b/>
                <w:sz w:val="19"/>
              </w:rPr>
              <w:t xml:space="preserve">Uganda</w:t>
            </w:r>
          </w:p>
        </w:tc>
        <w:tc>
          <w:tcPr/>
          <w:p>
            <w:pPr>
              <w:pStyle w:val="Compact"/>
              <w:spacing w:after="40"/>
              <w:jc w:val="left"/>
            </w:pPr>
            <w:r>
              <w:rPr>
                <w:sz w:val="19"/>
              </w:rPr>
              <w:t xml:space="preserve">One of only two financially viable sectors in Trimble et al. (2016); IPP experience (Eberhard et al., 2016)</w:t>
            </w:r>
          </w:p>
        </w:tc>
        <w:tc>
          <w:tcPr/>
          <w:p>
            <w:pPr>
              <w:pStyle w:val="Compact"/>
              <w:spacing w:after="40"/>
              <w:jc w:val="left"/>
            </w:pPr>
            <w:r>
              <w:rPr>
                <w:sz w:val="19"/>
              </w:rPr>
              <w:t xml:space="preserve">Current compensation practice; data access</w:t>
            </w:r>
          </w:p>
        </w:tc>
      </w:tr>
      <w:tr>
        <w:tc>
          <w:tcPr/>
          <w:p>
            <w:pPr>
              <w:pStyle w:val="Compact"/>
              <w:spacing w:after="40"/>
              <w:jc w:val="left"/>
            </w:pPr>
            <w:r>
              <w:rPr>
                <w:bCs/>
                <w:b/>
                <w:sz w:val="19"/>
              </w:rPr>
              <w:t xml:space="preserve">Kenya</w:t>
            </w:r>
          </w:p>
        </w:tc>
        <w:tc>
          <w:tcPr/>
          <w:p>
            <w:pPr>
              <w:pStyle w:val="Compact"/>
              <w:spacing w:after="40"/>
              <w:jc w:val="left"/>
            </w:pPr>
            <w:r>
              <w:rPr>
                <w:sz w:val="19"/>
              </w:rPr>
              <w:t xml:space="preserve">Top-ranked on AfDB Electricity Regulatory Index 2024; large IPP portfolio</w:t>
            </w:r>
          </w:p>
        </w:tc>
        <w:tc>
          <w:tcPr/>
          <w:p>
            <w:pPr>
              <w:pStyle w:val="Compact"/>
              <w:spacing w:after="40"/>
              <w:jc w:val="left"/>
            </w:pPr>
            <w:r>
              <w:rPr>
                <w:sz w:val="19"/>
              </w:rPr>
              <w:t xml:space="preserve">Industrial tariff and cross-subsidy structure</w:t>
            </w:r>
          </w:p>
        </w:tc>
      </w:tr>
      <w:tr>
        <w:tc>
          <w:tcPr/>
          <w:p>
            <w:pPr>
              <w:pStyle w:val="Compact"/>
              <w:spacing w:after="40"/>
              <w:jc w:val="left"/>
            </w:pPr>
            <w:r>
              <w:rPr>
                <w:bCs/>
                <w:b/>
                <w:sz w:val="19"/>
              </w:rPr>
              <w:t xml:space="preserve">Ghana</w:t>
            </w:r>
          </w:p>
        </w:tc>
        <w:tc>
          <w:tcPr/>
          <w:p>
            <w:pPr>
              <w:pStyle w:val="Compact"/>
              <w:spacing w:after="40"/>
              <w:jc w:val="left"/>
            </w:pPr>
            <w:r>
              <w:rPr>
                <w:sz w:val="19"/>
              </w:rPr>
              <w:t xml:space="preserve">Well-documented outage episode and firm-level evidence (Abeberese et al., 2019)</w:t>
            </w:r>
          </w:p>
        </w:tc>
        <w:tc>
          <w:tcPr/>
          <w:p>
            <w:pPr>
              <w:pStyle w:val="Compact"/>
              <w:spacing w:after="40"/>
              <w:jc w:val="left"/>
            </w:pPr>
            <w:r>
              <w:rPr>
                <w:sz w:val="19"/>
              </w:rPr>
              <w:t xml:space="preserve">Scale of sector arrears and compensation history</w:t>
            </w:r>
            <w:r>
              <w:rPr>
                <w:sz w:val="19"/>
              </w:rPr>
              <w:t xml:space="preserve"> </w:t>
            </w:r>
            <w:r>
              <w:rPr>
                <w:bCs/>
                <w:b/>
                <w:sz w:val="19"/>
              </w:rPr>
              <w:t xml:space="preserve">[verify]</w:t>
            </w:r>
          </w:p>
        </w:tc>
      </w:tr>
      <w:tr>
        <w:tc>
          <w:tcPr/>
          <w:p>
            <w:pPr>
              <w:pStyle w:val="Compact"/>
              <w:spacing w:after="40"/>
              <w:jc w:val="left"/>
            </w:pPr>
            <w:r>
              <w:rPr>
                <w:bCs/>
                <w:b/>
                <w:sz w:val="19"/>
              </w:rPr>
              <w:t xml:space="preserve">Zambia</w:t>
            </w:r>
          </w:p>
        </w:tc>
        <w:tc>
          <w:tcPr/>
          <w:p>
            <w:pPr>
              <w:pStyle w:val="Compact"/>
              <w:spacing w:after="40"/>
              <w:jc w:val="left"/>
            </w:pPr>
            <w:r>
              <w:rPr>
                <w:sz w:val="19"/>
              </w:rPr>
              <w:t xml:space="preserve">Large tariff increases and evidence of regressive subsidies (Maboshe et al., 2019)</w:t>
            </w:r>
          </w:p>
        </w:tc>
        <w:tc>
          <w:tcPr/>
          <w:p>
            <w:pPr>
              <w:pStyle w:val="Compact"/>
              <w:spacing w:after="40"/>
              <w:jc w:val="left"/>
            </w:pPr>
            <w:r>
              <w:rPr>
                <w:sz w:val="19"/>
              </w:rPr>
              <w:t xml:space="preserve">Utility account availability; debt context</w:t>
            </w:r>
          </w:p>
        </w:tc>
      </w:tr>
    </w:tbl>
    <w:p>
      <w:pPr>
        <w:pStyle w:val="BodyText"/>
      </w:pPr>
      <w:r>
        <w:t xml:space="preserve">An optional fifth case,</w:t>
      </w:r>
      <w:r>
        <w:t xml:space="preserve"> </w:t>
      </w:r>
      <w:r>
        <w:rPr>
          <w:bCs/>
          <w:b/>
        </w:rPr>
        <w:t xml:space="preserve">Nigeria</w:t>
      </w:r>
      <w:r>
        <w:t xml:space="preserve">, would add a tariff-design innovation: the Service Reflective Tariff introduced in 2020, which links tariffs to service quality. It should be added only if the data and fieldwork budget allow.</w:t>
      </w:r>
    </w:p>
    <w:p>
      <w:pPr>
        <w:pStyle w:val="BodyText"/>
      </w:pPr>
      <w:r>
        <w:t xml:space="preserve">The final selection should be explicit about the variation sought (high or low regulatory credibility; reliance on compensation, cross-subsidy or arrears) and about access to data and interviewees.</w:t>
      </w:r>
    </w:p>
    <w:bookmarkEnd w:id="33"/>
    <w:bookmarkStart w:id="34" w:name="X226a49ee592713a668b80779190fd63bbf0e409"/>
    <w:p>
      <w:pPr>
        <w:pStyle w:val="Heading3"/>
      </w:pPr>
      <w:r>
        <w:t xml:space="preserve">7.2 Methods by paper</w:t>
      </w:r>
    </w:p>
    <w:p>
      <w:pPr>
        <w:numPr>
          <w:ilvl w:val="0"/>
          <w:numId w:val="1012"/>
        </w:numPr>
        <w:pStyle w:val="Compact"/>
      </w:pPr>
      <w:r>
        <w:rPr>
          <w:bCs/>
          <w:b/>
        </w:rPr>
        <w:t xml:space="preserve">Paper 1: financial accounting analysis.</w:t>
      </w:r>
    </w:p>
    <w:p>
      <w:pPr>
        <w:numPr>
          <w:ilvl w:val="1"/>
          <w:numId w:val="1013"/>
        </w:numPr>
        <w:pStyle w:val="Compact"/>
      </w:pPr>
      <w:r>
        <w:t xml:space="preserve">Reconstruct cost-of-service, revenue and quasi-fiscal deficits from audited utility accounts and regulator filings, following the Trimble et al. (2016) method.</w:t>
      </w:r>
    </w:p>
    <w:p>
      <w:pPr>
        <w:numPr>
          <w:ilvl w:val="1"/>
          <w:numId w:val="1013"/>
        </w:numPr>
        <w:pStyle w:val="Compact"/>
      </w:pPr>
      <w:r>
        <w:t xml:space="preserve">Break the deficit financing down into transfers, cross-subsidies and arrears.</w:t>
      </w:r>
    </w:p>
    <w:p>
      <w:pPr>
        <w:numPr>
          <w:ilvl w:val="1"/>
          <w:numId w:val="1013"/>
        </w:numPr>
        <w:pStyle w:val="Compact"/>
      </w:pPr>
      <w:r>
        <w:t xml:space="preserve">Build an annual panel per country.</w:t>
      </w:r>
    </w:p>
    <w:p>
      <w:pPr>
        <w:numPr>
          <w:ilvl w:val="0"/>
          <w:numId w:val="1012"/>
        </w:numPr>
        <w:pStyle w:val="Compact"/>
      </w:pPr>
      <w:r>
        <w:rPr>
          <w:bCs/>
          <w:b/>
        </w:rPr>
        <w:t xml:space="preserve">Paper 2: distributional analysis.</w:t>
      </w:r>
    </w:p>
    <w:p>
      <w:pPr>
        <w:numPr>
          <w:ilvl w:val="1"/>
          <w:numId w:val="1014"/>
        </w:numPr>
        <w:pStyle w:val="Compact"/>
      </w:pPr>
      <w:r>
        <w:t xml:space="preserve">Run a benefit-incidence analysis on household survey rounds before and after a reform episode.</w:t>
      </w:r>
    </w:p>
    <w:p>
      <w:pPr>
        <w:numPr>
          <w:ilvl w:val="1"/>
          <w:numId w:val="1014"/>
        </w:numPr>
        <w:pStyle w:val="Compact"/>
      </w:pPr>
      <w:r>
        <w:t xml:space="preserve">Simulate tariff scenarios with price elasticities drawn from the literature (Klug et al., 2022).</w:t>
      </w:r>
    </w:p>
    <w:p>
      <w:pPr>
        <w:numPr>
          <w:ilvl w:val="1"/>
          <w:numId w:val="1014"/>
        </w:numPr>
        <w:pStyle w:val="Compact"/>
      </w:pPr>
      <w:r>
        <w:t xml:space="preserve">Estimate firms' effective cost of electricity from Enterprise Survey waves.</w:t>
      </w:r>
    </w:p>
    <w:p>
      <w:pPr>
        <w:numPr>
          <w:ilvl w:val="1"/>
          <w:numId w:val="1014"/>
        </w:numPr>
        <w:pStyle w:val="Compact"/>
      </w:pPr>
      <w:r>
        <w:t xml:space="preserve">Where waves bracket a reform, use difference-in-differences or event-study designs. Causal claims are limited to settings with credible identification.</w:t>
      </w:r>
    </w:p>
    <w:p>
      <w:pPr>
        <w:numPr>
          <w:ilvl w:val="0"/>
          <w:numId w:val="1012"/>
        </w:numPr>
        <w:pStyle w:val="Compact"/>
      </w:pPr>
      <w:r>
        <w:rPr>
          <w:bCs/>
          <w:b/>
        </w:rPr>
        <w:t xml:space="preserve">Paper 3: comparative political economy.</w:t>
      </w:r>
    </w:p>
    <w:p>
      <w:pPr>
        <w:numPr>
          <w:ilvl w:val="1"/>
          <w:numId w:val="1015"/>
        </w:numPr>
        <w:pStyle w:val="Compact"/>
      </w:pPr>
      <w:r>
        <w:t xml:space="preserve">Use process tracing of 2–3 major tariff-reform or compensation episodes per country.</w:t>
      </w:r>
    </w:p>
    <w:p>
      <w:pPr>
        <w:numPr>
          <w:ilvl w:val="1"/>
          <w:numId w:val="1015"/>
        </w:numPr>
        <w:pStyle w:val="Compact"/>
      </w:pPr>
      <w:r>
        <w:t xml:space="preserve">Draw on regulator decisions, budget documents, parliamentary records, IMF and donor programme documents, and 25–40 semi-structured interviews with regulators, utility finance staff, finance ministry officials, industrial associations and consumer groups.</w:t>
      </w:r>
    </w:p>
    <w:p>
      <w:pPr>
        <w:numPr>
          <w:ilvl w:val="1"/>
          <w:numId w:val="1015"/>
        </w:numPr>
        <w:pStyle w:val="Compact"/>
      </w:pPr>
      <w:r>
        <w:t xml:space="preserve">Optionally, a structured-focused comparison or crisp-set qualitative comparative analysis (QCA) across episodes.</w:t>
      </w:r>
    </w:p>
    <w:bookmarkEnd w:id="34"/>
    <w:bookmarkStart w:id="35" w:name="Xe60e05c7d8ac8577302b96af451dbe3521415a5"/>
    <w:p>
      <w:pPr>
        <w:pStyle w:val="Heading3"/>
      </w:pPr>
      <w:r>
        <w:t xml:space="preserve">7.3 Data risks and mitigation</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3960"/>
        <w:gridCol w:w="3960"/>
      </w:tblGrid>
      <w:tr>
        <w:trPr>
          <w:tblHeader w:val="true"/>
        </w:trPr>
        <w:tc>
          <w:tcPr>
            <w:shd w:val="clear" w:color="auto" w:fill="DCE6F2"/>
          </w:tcPr>
          <w:p>
            <w:pPr>
              <w:pStyle w:val="Compact"/>
              <w:spacing w:after="40"/>
              <w:jc w:val="left"/>
            </w:pPr>
            <w:r>
              <w:rPr>
                <w:b/>
                <w:sz w:val="19"/>
              </w:rPr>
              <w:t xml:space="preserve">Risk</w:t>
            </w:r>
          </w:p>
        </w:tc>
        <w:tc>
          <w:tcPr>
            <w:shd w:val="clear" w:color="auto" w:fill="DCE6F2"/>
          </w:tcPr>
          <w:p>
            <w:pPr>
              <w:pStyle w:val="Compact"/>
              <w:spacing w:after="40"/>
              <w:jc w:val="left"/>
            </w:pPr>
            <w:r>
              <w:rPr>
                <w:b/>
                <w:sz w:val="19"/>
              </w:rPr>
              <w:t xml:space="preserve">Mitigation</w:t>
            </w:r>
          </w:p>
        </w:tc>
      </w:tr>
      <w:tr>
        <w:tc>
          <w:tcPr/>
          <w:p>
            <w:pPr>
              <w:pStyle w:val="Compact"/>
              <w:spacing w:after="40"/>
              <w:jc w:val="left"/>
            </w:pPr>
            <w:r>
              <w:rPr>
                <w:sz w:val="19"/>
              </w:rPr>
              <w:t xml:space="preserve">Utility accounts unpublished or delayed</w:t>
            </w:r>
          </w:p>
        </w:tc>
        <w:tc>
          <w:tcPr/>
          <w:p>
            <w:pPr>
              <w:pStyle w:val="Compact"/>
              <w:spacing w:after="40"/>
              <w:jc w:val="left"/>
            </w:pPr>
            <w:r>
              <w:rPr>
                <w:sz w:val="19"/>
              </w:rPr>
              <w:t xml:space="preserve">Use regulator tariff determinations, IMF and World Bank documents and published bond prospectuses as alternative sources; narrow the panel period</w:t>
            </w:r>
          </w:p>
        </w:tc>
      </w:tr>
      <w:tr>
        <w:tc>
          <w:tcPr/>
          <w:p>
            <w:pPr>
              <w:pStyle w:val="Compact"/>
              <w:spacing w:after="40"/>
              <w:jc w:val="left"/>
            </w:pPr>
            <w:r>
              <w:rPr>
                <w:sz w:val="19"/>
              </w:rPr>
              <w:t xml:space="preserve">Arrears data are politically sensitive</w:t>
            </w:r>
          </w:p>
        </w:tc>
        <w:tc>
          <w:tcPr/>
          <w:p>
            <w:pPr>
              <w:pStyle w:val="Compact"/>
              <w:spacing w:after="40"/>
              <w:jc w:val="left"/>
            </w:pPr>
            <w:r>
              <w:rPr>
                <w:sz w:val="19"/>
              </w:rPr>
              <w:t xml:space="preserve">Triangulate from several documents; interviews under confidentiality; report ranges rather than point estimates</w:t>
            </w:r>
          </w:p>
        </w:tc>
      </w:tr>
      <w:tr>
        <w:tc>
          <w:tcPr/>
          <w:p>
            <w:pPr>
              <w:pStyle w:val="Compact"/>
              <w:spacing w:after="40"/>
              <w:jc w:val="left"/>
            </w:pPr>
            <w:r>
              <w:rPr>
                <w:sz w:val="19"/>
              </w:rPr>
              <w:t xml:space="preserve">Survey waves do not bracket reforms</w:t>
            </w:r>
          </w:p>
        </w:tc>
        <w:tc>
          <w:tcPr/>
          <w:p>
            <w:pPr>
              <w:pStyle w:val="Compact"/>
              <w:spacing w:after="40"/>
              <w:jc w:val="left"/>
            </w:pPr>
            <w:r>
              <w:rPr>
                <w:sz w:val="19"/>
              </w:rPr>
              <w:t xml:space="preserve">Use simulation rather than ex-post causal estimates; state the limitation</w:t>
            </w:r>
          </w:p>
        </w:tc>
      </w:tr>
      <w:tr>
        <w:tc>
          <w:tcPr/>
          <w:p>
            <w:pPr>
              <w:pStyle w:val="Compact"/>
              <w:spacing w:after="40"/>
              <w:jc w:val="left"/>
            </w:pPr>
            <w:r>
              <w:rPr>
                <w:sz w:val="19"/>
              </w:rPr>
              <w:t xml:space="preserve">Interview access</w:t>
            </w:r>
          </w:p>
        </w:tc>
        <w:tc>
          <w:tcPr/>
          <w:p>
            <w:pPr>
              <w:pStyle w:val="Compact"/>
              <w:spacing w:after="40"/>
              <w:jc w:val="left"/>
            </w:pPr>
            <w:r>
              <w:rPr>
                <w:sz w:val="19"/>
              </w:rPr>
              <w:t xml:space="preserve">Use institutional affiliation and supervisor networks; a partnership with a regulator or research centre where possible</w:t>
            </w:r>
          </w:p>
        </w:tc>
      </w:tr>
    </w:tbl>
    <w:bookmarkEnd w:id="35"/>
    <w:bookmarkStart w:id="36" w:name="Xba88420cb132399da673a493095004b44edf912"/>
    <w:p>
      <w:pPr>
        <w:pStyle w:val="Heading3"/>
      </w:pPr>
      <w:r>
        <w:t xml:space="preserve">7.4 Ethics</w:t>
      </w:r>
    </w:p>
    <w:p>
      <w:pPr>
        <w:pStyle w:val="FirstParagraph"/>
      </w:pPr>
      <w:r>
        <w:t xml:space="preserve">Interviews need ethics approval, informed consent, anonymisation of officials, and secure data storage. Commercially sensitive utility or IPP information will be reported only in aggregate or with permission.</w:t>
      </w:r>
    </w:p>
    <w:p>
      <w:r>
        <w:pict>
          <v:rect style="width:0;height:1.5pt" o:hralign="center" o:hrstd="t" o:hr="t"/>
        </w:pict>
      </w:r>
    </w:p>
    <w:bookmarkEnd w:id="36"/>
    <w:bookmarkEnd w:id="37"/>
    <w:bookmarkStart w:id="38" w:name="Xc6c7c186068f5ff73ed2452ee31a6e224aae74c"/>
    <w:p>
      <w:pPr>
        <w:pStyle w:val="Heading2"/>
      </w:pPr>
      <w:r>
        <w:t xml:space="preserve">8. Expected contribution and timeline</w:t>
      </w:r>
    </w:p>
    <w:p>
      <w:pPr>
        <w:pStyle w:val="FirstParagraph"/>
      </w:pPr>
      <w:r>
        <w:rPr>
          <w:bCs/>
          <w:b/>
        </w:rPr>
        <w:t xml:space="preserve">Academic contribution.</w:t>
      </w:r>
    </w:p>
    <w:p>
      <w:pPr>
        <w:numPr>
          <w:ilvl w:val="0"/>
          <w:numId w:val="1016"/>
        </w:numPr>
        <w:pStyle w:val="Compact"/>
      </w:pPr>
      <w:r>
        <w:t xml:space="preserve">Introduces</w:t>
      </w:r>
      <w:r>
        <w:t xml:space="preserve"> </w:t>
      </w:r>
      <w:r>
        <w:rPr>
          <w:iCs/>
          <w:i/>
        </w:rPr>
        <w:t xml:space="preserve">compensation reliability</w:t>
      </w:r>
      <w:r>
        <w:t xml:space="preserve"> </w:t>
      </w:r>
      <w:r>
        <w:t xml:space="preserve">and</w:t>
      </w:r>
      <w:r>
        <w:t xml:space="preserve"> </w:t>
      </w:r>
      <w:r>
        <w:rPr>
          <w:iCs/>
          <w:i/>
        </w:rPr>
        <w:t xml:space="preserve">financing mode</w:t>
      </w:r>
      <w:r>
        <w:t xml:space="preserve"> </w:t>
      </w:r>
      <w:r>
        <w:t xml:space="preserve">as variables that connect the infrastructure-finance and political-economy literatures.</w:t>
      </w:r>
    </w:p>
    <w:p>
      <w:pPr>
        <w:numPr>
          <w:ilvl w:val="0"/>
          <w:numId w:val="1016"/>
        </w:numPr>
        <w:pStyle w:val="Compact"/>
      </w:pPr>
      <w:r>
        <w:t xml:space="preserve">Proposes an integrated</w:t>
      </w:r>
      <w:r>
        <w:t xml:space="preserve"> </w:t>
      </w:r>
      <w:r>
        <w:rPr>
          <w:iCs/>
          <w:i/>
        </w:rPr>
        <w:t xml:space="preserve">effective cost of electricity</w:t>
      </w:r>
      <w:r>
        <w:t xml:space="preserve"> </w:t>
      </w:r>
      <w:r>
        <w:t xml:space="preserve">measure for firms.</w:t>
      </w:r>
    </w:p>
    <w:p>
      <w:pPr>
        <w:numPr>
          <w:ilvl w:val="0"/>
          <w:numId w:val="1016"/>
        </w:numPr>
        <w:pStyle w:val="Compact"/>
      </w:pPr>
      <w:r>
        <w:t xml:space="preserve">Responds to Eberhard and Godinho's (2017) critique with a theory-driven, explicitly comparative design.</w:t>
      </w:r>
    </w:p>
    <w:p>
      <w:pPr>
        <w:pStyle w:val="FirstParagraph"/>
      </w:pPr>
      <w:r>
        <w:rPr>
          <w:bCs/>
          <w:b/>
        </w:rPr>
        <w:t xml:space="preserve">Policy contribution.</w:t>
      </w:r>
      <w:r>
        <w:t xml:space="preserve"> </w:t>
      </w:r>
      <w:r>
        <w:t xml:space="preserve">The thesis gives evidence on</w:t>
      </w:r>
      <w:r>
        <w:t xml:space="preserve"> </w:t>
      </w:r>
      <w:r>
        <w:rPr>
          <w:iCs/>
          <w:i/>
        </w:rPr>
        <w:t xml:space="preserve">how</w:t>
      </w:r>
      <w:r>
        <w:t xml:space="preserve"> </w:t>
      </w:r>
      <w:r>
        <w:t xml:space="preserve">to finance social tariffs, not only whether to have them. This is directly relevant to the tariff and utility-performance commitments in Mission 300 national energy compacts and to the regulatory capacity tracked by the AfDB's Electricity Regulatory Index.</w:t>
      </w:r>
    </w:p>
    <w:p>
      <w:pPr>
        <w:pStyle w:val="BodyText"/>
      </w:pPr>
      <w:r>
        <w:rPr>
          <w:bCs/>
          <w:b/>
        </w:rPr>
        <w:t xml:space="preserve">Indicative timeline (four years).</w:t>
      </w:r>
    </w:p>
    <w:tbl>
      <w:tblPr>
        <w:tblStyle w:val="Table"/>
        <w:tblW w:type="pct" w:w="5000"/>
        <w:tblLook w:firstRow="1" w:lastRow="0" w:firstColumn="0" w:lastColumn="0" w:noHBand="0" w:noVBand="0" w:val="0020"/>
        <w:jc w:val="start"/>
        <w:tblBorders>
          <w:top w:val="single" w:sz="4" w:color="A6B4C8"/>
          <w:left w:val="single" w:sz="4" w:color="A6B4C8"/>
          <w:bottom w:val="single" w:sz="4" w:color="A6B4C8"/>
          <w:right w:val="single" w:sz="4" w:color="A6B4C8"/>
          <w:insideH w:val="single" w:sz="4" w:color="A6B4C8"/>
          <w:insideV w:val="single" w:sz="4" w:color="A6B4C8"/>
        </w:tblBorders>
      </w:tblPr>
      <w:tblGrid>
        <w:gridCol w:w="3960"/>
        <w:gridCol w:w="3960"/>
      </w:tblGrid>
      <w:tr>
        <w:trPr>
          <w:tblHeader w:val="true"/>
        </w:trPr>
        <w:tc>
          <w:tcPr>
            <w:shd w:val="clear" w:color="auto" w:fill="DCE6F2"/>
          </w:tcPr>
          <w:p>
            <w:pPr>
              <w:pStyle w:val="Compact"/>
              <w:spacing w:after="40"/>
              <w:jc w:val="left"/>
            </w:pPr>
            <w:r>
              <w:rPr>
                <w:b/>
                <w:sz w:val="19"/>
              </w:rPr>
              <w:t xml:space="preserve">Period</w:t>
            </w:r>
          </w:p>
        </w:tc>
        <w:tc>
          <w:tcPr>
            <w:shd w:val="clear" w:color="auto" w:fill="DCE6F2"/>
          </w:tcPr>
          <w:p>
            <w:pPr>
              <w:pStyle w:val="Compact"/>
              <w:spacing w:after="40"/>
              <w:jc w:val="left"/>
            </w:pPr>
            <w:r>
              <w:rPr>
                <w:b/>
                <w:sz w:val="19"/>
              </w:rPr>
              <w:t xml:space="preserve">Activity</w:t>
            </w:r>
          </w:p>
        </w:tc>
      </w:tr>
      <w:tr>
        <w:tc>
          <w:tcPr/>
          <w:p>
            <w:pPr>
              <w:pStyle w:val="Compact"/>
              <w:spacing w:after="40"/>
              <w:jc w:val="left"/>
            </w:pPr>
            <w:r>
              <w:rPr>
                <w:sz w:val="19"/>
              </w:rPr>
              <w:t xml:space="preserve">Year 1</w:t>
            </w:r>
          </w:p>
        </w:tc>
        <w:tc>
          <w:tcPr/>
          <w:p>
            <w:pPr>
              <w:pStyle w:val="Compact"/>
              <w:spacing w:after="40"/>
              <w:jc w:val="left"/>
            </w:pPr>
            <w:r>
              <w:rPr>
                <w:sz w:val="19"/>
              </w:rPr>
              <w:t xml:space="preserve">Literature consolidation; scoping visits; data access agreements; ethics approval; Paper 1 data assembly</w:t>
            </w:r>
          </w:p>
        </w:tc>
      </w:tr>
      <w:tr>
        <w:tc>
          <w:tcPr/>
          <w:p>
            <w:pPr>
              <w:pStyle w:val="Compact"/>
              <w:spacing w:after="40"/>
              <w:jc w:val="left"/>
            </w:pPr>
            <w:r>
              <w:rPr>
                <w:sz w:val="19"/>
              </w:rPr>
              <w:t xml:space="preserve">Year 2</w:t>
            </w:r>
          </w:p>
        </w:tc>
        <w:tc>
          <w:tcPr/>
          <w:p>
            <w:pPr>
              <w:pStyle w:val="Compact"/>
              <w:spacing w:after="40"/>
              <w:jc w:val="left"/>
            </w:pPr>
            <w:r>
              <w:rPr>
                <w:sz w:val="19"/>
              </w:rPr>
              <w:t xml:space="preserve">Paper 1 completed; household and firm data analysis for Paper 2; first fieldwork round</w:t>
            </w:r>
          </w:p>
        </w:tc>
      </w:tr>
      <w:tr>
        <w:tc>
          <w:tcPr/>
          <w:p>
            <w:pPr>
              <w:pStyle w:val="Compact"/>
              <w:spacing w:after="40"/>
              <w:jc w:val="left"/>
            </w:pPr>
            <w:r>
              <w:rPr>
                <w:sz w:val="19"/>
              </w:rPr>
              <w:t xml:space="preserve">Year 3</w:t>
            </w:r>
          </w:p>
        </w:tc>
        <w:tc>
          <w:tcPr/>
          <w:p>
            <w:pPr>
              <w:pStyle w:val="Compact"/>
              <w:spacing w:after="40"/>
              <w:jc w:val="left"/>
            </w:pPr>
            <w:r>
              <w:rPr>
                <w:sz w:val="19"/>
              </w:rPr>
              <w:t xml:space="preserve">Paper 2 completed; interviews and process tracing for Paper 3</w:t>
            </w:r>
          </w:p>
        </w:tc>
      </w:tr>
      <w:tr>
        <w:tc>
          <w:tcPr/>
          <w:p>
            <w:pPr>
              <w:pStyle w:val="Compact"/>
              <w:spacing w:after="40"/>
              <w:jc w:val="left"/>
            </w:pPr>
            <w:r>
              <w:rPr>
                <w:sz w:val="19"/>
              </w:rPr>
              <w:t xml:space="preserve">Year 4</w:t>
            </w:r>
          </w:p>
        </w:tc>
        <w:tc>
          <w:tcPr/>
          <w:p>
            <w:pPr>
              <w:pStyle w:val="Compact"/>
              <w:spacing w:after="40"/>
              <w:jc w:val="left"/>
            </w:pPr>
            <w:r>
              <w:rPr>
                <w:sz w:val="19"/>
              </w:rPr>
              <w:t xml:space="preserve">Paper 3 completed; integrating chapter; submission</w:t>
            </w:r>
          </w:p>
        </w:tc>
      </w:tr>
    </w:tbl>
    <w:p>
      <w:r>
        <w:pict>
          <v:rect style="width:0;height:1.5pt" o:hralign="center" o:hrstd="t" o:hr="t"/>
        </w:pict>
      </w:r>
    </w:p>
    <w:bookmarkEnd w:id="38"/>
    <w:bookmarkStart w:id="40" w:name="Xbfde430e9ee71933696a91fc338954b63ecc5c2"/>
    <w:p>
      <w:pPr>
        <w:pStyle w:val="Heading2"/>
      </w:pPr>
      <w:r>
        <w:t xml:space="preserve">9. Reference list with verification status</w:t>
      </w:r>
    </w:p>
    <w:p>
      <w:pPr>
        <w:pStyle w:val="FirstParagraph"/>
      </w:pPr>
      <w:r>
        <w:t xml:space="preserve">Legend:</w:t>
      </w:r>
    </w:p>
    <w:p>
      <w:pPr>
        <w:numPr>
          <w:ilvl w:val="0"/>
          <w:numId w:val="1017"/>
        </w:numPr>
        <w:pStyle w:val="Compact"/>
      </w:pPr>
      <w:r>
        <w:rPr>
          <w:bCs/>
          <w:b/>
        </w:rPr>
        <w:t xml:space="preserve">✔ checked</w:t>
      </w:r>
      <w:r>
        <w:t xml:space="preserve">: the title, authors and year were confirmed online during this review (October 2026), from abstracts, catalogue pages or publisher listings, not full texts.</w:t>
      </w:r>
    </w:p>
    <w:p>
      <w:pPr>
        <w:numPr>
          <w:ilvl w:val="0"/>
          <w:numId w:val="1017"/>
        </w:numPr>
        <w:pStyle w:val="Compact"/>
      </w:pPr>
      <w:r>
        <w:rPr>
          <w:bCs/>
          <w:b/>
        </w:rPr>
        <w:t xml:space="preserve">[verify]</w:t>
      </w:r>
      <w:r>
        <w:t xml:space="preserve">: page numbers, volume details or exact author lists still need checking.</w:t>
      </w:r>
    </w:p>
    <w:p>
      <w:pPr>
        <w:numPr>
          <w:ilvl w:val="0"/>
          <w:numId w:val="1018"/>
        </w:numPr>
        <w:pStyle w:val="Compact"/>
      </w:pPr>
      <w:r>
        <w:t xml:space="preserve">Abdisa, L. (2018). Power outages, economic cost, and firm performance: Evidence from Ethiopia.</w:t>
      </w:r>
      <w:r>
        <w:t xml:space="preserve"> </w:t>
      </w:r>
      <w:r>
        <w:rPr>
          <w:iCs/>
          <w:i/>
        </w:rPr>
        <w:t xml:space="preserve">Utilities Policy</w:t>
      </w:r>
      <w:r>
        <w:t xml:space="preserve">. ✔ checked (title, journal, year)</w:t>
      </w:r>
      <w:r>
        <w:t xml:space="preserve"> </w:t>
      </w:r>
      <w:r>
        <w:rPr>
          <w:bCs/>
          <w:b/>
        </w:rPr>
        <w:t xml:space="preserve">[verify volume/pages]</w:t>
      </w:r>
    </w:p>
    <w:p>
      <w:pPr>
        <w:numPr>
          <w:ilvl w:val="0"/>
          <w:numId w:val="1018"/>
        </w:numPr>
        <w:pStyle w:val="Compact"/>
      </w:pPr>
      <w:r>
        <w:t xml:space="preserve">Abeberese, A. B., et al. (2019). Productivity losses and firm responses to electricity shortages: Evidence from Ghana.</w:t>
      </w:r>
      <w:r>
        <w:t xml:space="preserve"> </w:t>
      </w:r>
      <w:r>
        <w:rPr>
          <w:iCs/>
          <w:i/>
        </w:rPr>
        <w:t xml:space="preserve">The World Bank Economic Review</w:t>
      </w:r>
      <w:r>
        <w:t xml:space="preserve">. ✔ checked</w:t>
      </w:r>
      <w:r>
        <w:t xml:space="preserve"> </w:t>
      </w:r>
      <w:r>
        <w:rPr>
          <w:bCs/>
          <w:b/>
        </w:rPr>
        <w:t xml:space="preserve">[verify full author list]</w:t>
      </w:r>
    </w:p>
    <w:p>
      <w:pPr>
        <w:numPr>
          <w:ilvl w:val="0"/>
          <w:numId w:val="1018"/>
        </w:numPr>
        <w:pStyle w:val="Compact"/>
      </w:pPr>
      <w:r>
        <w:t xml:space="preserve">Baker, L., et al. (2018). Tensions in the transition: The politics of electricity distribution in South Africa.</w:t>
      </w:r>
      <w:r>
        <w:t xml:space="preserve"> </w:t>
      </w:r>
      <w:r>
        <w:rPr>
          <w:iCs/>
          <w:i/>
        </w:rPr>
        <w:t xml:space="preserve">Environment and Planning C: Politics and Space</w:t>
      </w:r>
      <w:r>
        <w:t xml:space="preserve">. ✔ checked</w:t>
      </w:r>
      <w:r>
        <w:t xml:space="preserve"> </w:t>
      </w:r>
      <w:r>
        <w:rPr>
          <w:bCs/>
          <w:b/>
        </w:rPr>
        <w:t xml:space="preserve">[verify full author list]</w:t>
      </w:r>
    </w:p>
    <w:p>
      <w:pPr>
        <w:numPr>
          <w:ilvl w:val="0"/>
          <w:numId w:val="1018"/>
        </w:numPr>
        <w:pStyle w:val="Compact"/>
      </w:pPr>
      <w:r>
        <w:t xml:space="preserve">Blimpo, M. P., &amp; Cosgrove-Davies, M. (2019).</w:t>
      </w:r>
      <w:r>
        <w:t xml:space="preserve"> </w:t>
      </w:r>
      <w:r>
        <w:rPr>
          <w:iCs/>
          <w:i/>
        </w:rPr>
        <w:t xml:space="preserve">Electricity Access in Sub-Saharan Africa: Uptake, Reliability, and Complementary Factors for Economic Impact</w:t>
      </w:r>
      <w:r>
        <w:t xml:space="preserve">. Africa Development Forum. World Bank &amp; AFD. doi:10.1596/978-1-4648-1361-0. ✔ checked</w:t>
      </w:r>
    </w:p>
    <w:p>
      <w:pPr>
        <w:numPr>
          <w:ilvl w:val="0"/>
          <w:numId w:val="1018"/>
        </w:numPr>
        <w:pStyle w:val="Compact"/>
      </w:pPr>
      <w:r>
        <w:t xml:space="preserve">Cardenas, H. C., et al. (2019). The consequences of increasing block tariffs on the distribution of residential electricity subsidies in Addis Ababa, Ethiopia.</w:t>
      </w:r>
      <w:r>
        <w:t xml:space="preserve"> </w:t>
      </w:r>
      <w:r>
        <w:rPr>
          <w:iCs/>
          <w:i/>
        </w:rPr>
        <w:t xml:space="preserve">Energy Policy</w:t>
      </w:r>
      <w:r>
        <w:t xml:space="preserve">. ✔ checked</w:t>
      </w:r>
      <w:r>
        <w:t xml:space="preserve"> </w:t>
      </w:r>
      <w:r>
        <w:rPr>
          <w:bCs/>
          <w:b/>
        </w:rPr>
        <w:t xml:space="preserve">[verify authors, volume]</w:t>
      </w:r>
    </w:p>
    <w:p>
      <w:pPr>
        <w:numPr>
          <w:ilvl w:val="0"/>
          <w:numId w:val="1018"/>
        </w:numPr>
        <w:pStyle w:val="Compact"/>
      </w:pPr>
      <w:r>
        <w:t xml:space="preserve">Castañeda, M., et al. (2017). Myths and facts of the utility death spiral.</w:t>
      </w:r>
      <w:r>
        <w:t xml:space="preserve"> </w:t>
      </w:r>
      <w:r>
        <w:rPr>
          <w:iCs/>
          <w:i/>
        </w:rPr>
        <w:t xml:space="preserve">Energy Policy</w:t>
      </w:r>
      <w:r>
        <w:t xml:space="preserve">. ✔ checked</w:t>
      </w:r>
      <w:r>
        <w:t xml:space="preserve"> </w:t>
      </w:r>
      <w:r>
        <w:rPr>
          <w:bCs/>
          <w:b/>
        </w:rPr>
        <w:t xml:space="preserve">[verify authors, volume]</w:t>
      </w:r>
    </w:p>
    <w:p>
      <w:pPr>
        <w:numPr>
          <w:ilvl w:val="0"/>
          <w:numId w:val="1018"/>
        </w:numPr>
        <w:pStyle w:val="Compact"/>
      </w:pPr>
      <w:r>
        <w:t xml:space="preserve">Cissokho, L. (2019). The productivity cost of power outages for manufacturing small and medium enterprises in Senegal.</w:t>
      </w:r>
      <w:r>
        <w:t xml:space="preserve"> </w:t>
      </w:r>
      <w:r>
        <w:rPr>
          <w:iCs/>
          <w:i/>
        </w:rPr>
        <w:t xml:space="preserve">Journal of Industrial and Business Economics</w:t>
      </w:r>
      <w:r>
        <w:t xml:space="preserve">. ✔ checked</w:t>
      </w:r>
    </w:p>
    <w:p>
      <w:pPr>
        <w:numPr>
          <w:ilvl w:val="0"/>
          <w:numId w:val="1018"/>
        </w:numPr>
        <w:pStyle w:val="Compact"/>
      </w:pPr>
      <w:r>
        <w:t xml:space="preserve">Cole, M. A., et al. (2018). Power outages and firm performance in Sub-Saharan Africa.</w:t>
      </w:r>
      <w:r>
        <w:t xml:space="preserve"> </w:t>
      </w:r>
      <w:r>
        <w:rPr>
          <w:iCs/>
          <w:i/>
        </w:rPr>
        <w:t xml:space="preserve">Journal of Development Economics</w:t>
      </w:r>
      <w:r>
        <w:t xml:space="preserve">. ✔ checked</w:t>
      </w:r>
      <w:r>
        <w:t xml:space="preserve"> </w:t>
      </w:r>
      <w:r>
        <w:rPr>
          <w:bCs/>
          <w:b/>
        </w:rPr>
        <w:t xml:space="preserve">[verify authors, volume]</w:t>
      </w:r>
    </w:p>
    <w:p>
      <w:pPr>
        <w:numPr>
          <w:ilvl w:val="0"/>
          <w:numId w:val="1018"/>
        </w:numPr>
        <w:pStyle w:val="Compact"/>
      </w:pPr>
      <w:r>
        <w:t xml:space="preserve">Eberhard, A., &amp; Godinho, C. (2017).</w:t>
      </w:r>
      <w:r>
        <w:t xml:space="preserve"> </w:t>
      </w:r>
      <w:r>
        <w:rPr>
          <w:iCs/>
          <w:i/>
        </w:rPr>
        <w:t xml:space="preserve">A Review and Exploration of the Status, Context and Political Economy of Power Sector Reforms in Sub-Saharan Africa, South Asia and Latin America</w:t>
      </w:r>
      <w:r>
        <w:t xml:space="preserve">. MIR Working Paper, University of Cape Town Graduate School of Business. ✔ checked (it is a</w:t>
      </w:r>
      <w:r>
        <w:t xml:space="preserve"> </w:t>
      </w:r>
      <w:r>
        <w:rPr>
          <w:bCs/>
          <w:b/>
        </w:rPr>
        <w:t xml:space="preserve">working paper</w:t>
      </w:r>
      <w:r>
        <w:t xml:space="preserve">, not an</w:t>
      </w:r>
      <w:r>
        <w:t xml:space="preserve"> </w:t>
      </w:r>
      <w:r>
        <w:rPr>
          <w:iCs/>
          <w:i/>
        </w:rPr>
        <w:t xml:space="preserve">Energy Policy</w:t>
      </w:r>
      <w:r>
        <w:t xml:space="preserve"> </w:t>
      </w:r>
      <w:r>
        <w:t xml:space="preserve">article; sources give 2016 or 2017 dates</w:t>
      </w:r>
      <w:r>
        <w:t xml:space="preserve"> </w:t>
      </w:r>
      <w:r>
        <w:rPr>
          <w:bCs/>
          <w:b/>
        </w:rPr>
        <w:t xml:space="preserve">[verify]</w:t>
      </w:r>
      <w:r>
        <w:t xml:space="preserve">)</w:t>
      </w:r>
    </w:p>
    <w:p>
      <w:pPr>
        <w:numPr>
          <w:ilvl w:val="0"/>
          <w:numId w:val="1018"/>
        </w:numPr>
        <w:pStyle w:val="Compact"/>
      </w:pPr>
      <w:r>
        <w:t xml:space="preserve">Eberhard, A., Gratwick, K., Morella, E., &amp; Antmann, P. (2016).</w:t>
      </w:r>
      <w:r>
        <w:t xml:space="preserve"> </w:t>
      </w:r>
      <w:r>
        <w:rPr>
          <w:iCs/>
          <w:i/>
        </w:rPr>
        <w:t xml:space="preserve">Independent Power Projects in Sub-Saharan Africa: Lessons from Five Key Countries</w:t>
      </w:r>
      <w:r>
        <w:t xml:space="preserve">. Directions in Development. World Bank. ✔ checked</w:t>
      </w:r>
    </w:p>
    <w:p>
      <w:pPr>
        <w:numPr>
          <w:ilvl w:val="0"/>
          <w:numId w:val="1018"/>
        </w:numPr>
        <w:pStyle w:val="Compact"/>
      </w:pPr>
      <w:r>
        <w:t xml:space="preserve">Foster, V., &amp; Briceño-Garmendia, C. (Eds.) (2010).</w:t>
      </w:r>
      <w:r>
        <w:t xml:space="preserve"> </w:t>
      </w:r>
      <w:r>
        <w:rPr>
          <w:iCs/>
          <w:i/>
        </w:rPr>
        <w:t xml:space="preserve">Africa's Infrastructure: A Time for Transformation</w:t>
      </w:r>
      <w:r>
        <w:t xml:space="preserve">. Africa Development Forum. World Bank &amp; AFD. ✔ checked (catalogued as 2010; launched November 2009)</w:t>
      </w:r>
    </w:p>
    <w:p>
      <w:pPr>
        <w:numPr>
          <w:ilvl w:val="0"/>
          <w:numId w:val="1018"/>
        </w:numPr>
        <w:pStyle w:val="Compact"/>
      </w:pPr>
      <w:r>
        <w:t xml:space="preserve">Foster, V., &amp; Rana, A. (2020).</w:t>
      </w:r>
      <w:r>
        <w:t xml:space="preserve"> </w:t>
      </w:r>
      <w:r>
        <w:rPr>
          <w:iCs/>
          <w:i/>
        </w:rPr>
        <w:t xml:space="preserve">Rethinking Power Sector Reform in the Developing World</w:t>
      </w:r>
      <w:r>
        <w:t xml:space="preserve">. Sustainable Infrastructure Series. World Bank. doi:10.1596/978-1-4648-1442-6. ✔ checked</w:t>
      </w:r>
    </w:p>
    <w:p>
      <w:pPr>
        <w:numPr>
          <w:ilvl w:val="0"/>
          <w:numId w:val="1018"/>
        </w:numPr>
        <w:pStyle w:val="Compact"/>
      </w:pPr>
      <w:r>
        <w:t xml:space="preserve">Huenteler, J., Hankinson, D., Rosenthal, N., Balabanyan, A., Kochnakyan, A., Nguyen, T. C., Rana, A., &amp; Foster, V. (2020).</w:t>
      </w:r>
      <w:r>
        <w:t xml:space="preserve"> </w:t>
      </w:r>
      <w:r>
        <w:rPr>
          <w:iCs/>
          <w:i/>
        </w:rPr>
        <w:t xml:space="preserve">Cost Recovery and Financial Viability of the Power Sector in Developing Countries: Insights from 15 Case Studies</w:t>
      </w:r>
      <w:r>
        <w:t xml:space="preserve">. Policy Research Working Paper 9136. World Bank. ✔ checked</w:t>
      </w:r>
    </w:p>
    <w:p>
      <w:pPr>
        <w:numPr>
          <w:ilvl w:val="0"/>
          <w:numId w:val="1018"/>
        </w:numPr>
        <w:pStyle w:val="Compact"/>
      </w:pPr>
      <w:r>
        <w:t xml:space="preserve">Huenteler, J., Dobozi, I., Balabanyan, A., &amp; Banerjee, S. G. (2017).</w:t>
      </w:r>
      <w:r>
        <w:t xml:space="preserve"> </w:t>
      </w:r>
      <w:r>
        <w:rPr>
          <w:iCs/>
          <w:i/>
        </w:rPr>
        <w:t xml:space="preserve">Cost Recovery and Financial Viability of the Power Sector in Developing Countries: A Literature Review</w:t>
      </w:r>
      <w:r>
        <w:t xml:space="preserve">. Policy Research Working Paper 8287. World Bank. ✔ checked (title and number)</w:t>
      </w:r>
      <w:r>
        <w:t xml:space="preserve"> </w:t>
      </w:r>
      <w:r>
        <w:rPr>
          <w:bCs/>
          <w:b/>
        </w:rPr>
        <w:t xml:space="preserve">[verify author initials]</w:t>
      </w:r>
    </w:p>
    <w:p>
      <w:pPr>
        <w:numPr>
          <w:ilvl w:val="0"/>
          <w:numId w:val="1018"/>
        </w:numPr>
        <w:pStyle w:val="Compact"/>
      </w:pPr>
      <w:r>
        <w:t xml:space="preserve">Klug, T. W., Beyene, A. D., Meles, T. H., Toman, M. A., Hassen, S., Hou, M., Klooss, B., Mekonnen, A., &amp; Jeuland, M. (2022). A review of impacts of electricity tariff reform in Africa.</w:t>
      </w:r>
      <w:r>
        <w:t xml:space="preserve"> </w:t>
      </w:r>
      <w:r>
        <w:rPr>
          <w:iCs/>
          <w:i/>
        </w:rPr>
        <w:t xml:space="preserve">Energy Policy</w:t>
      </w:r>
      <w:r>
        <w:t xml:space="preserve">, 170. ✔ checked</w:t>
      </w:r>
      <w:r>
        <w:t xml:space="preserve"> </w:t>
      </w:r>
      <w:r>
        <w:rPr>
          <w:bCs/>
          <w:b/>
        </w:rPr>
        <w:t xml:space="preserve">[verify article number]</w:t>
      </w:r>
    </w:p>
    <w:p>
      <w:pPr>
        <w:numPr>
          <w:ilvl w:val="0"/>
          <w:numId w:val="1018"/>
        </w:numPr>
        <w:pStyle w:val="Compact"/>
      </w:pPr>
      <w:r>
        <w:t xml:space="preserve">Komives, K., Foster, V., Halpern, J., &amp; Wodon, Q. (2005).</w:t>
      </w:r>
      <w:r>
        <w:t xml:space="preserve"> </w:t>
      </w:r>
      <w:r>
        <w:rPr>
          <w:iCs/>
          <w:i/>
        </w:rPr>
        <w:t xml:space="preserve">Water, Electricity, and the Poor: Who Benefits from Utility Subsidies?</w:t>
      </w:r>
      <w:r>
        <w:t xml:space="preserve"> </w:t>
      </w:r>
      <w:r>
        <w:t xml:space="preserve">Directions in Development. World Bank. ✔ checked (some catalogue records add R. Abdullah as an author</w:t>
      </w:r>
      <w:r>
        <w:t xml:space="preserve"> </w:t>
      </w:r>
      <w:r>
        <w:rPr>
          <w:bCs/>
          <w:b/>
        </w:rPr>
        <w:t xml:space="preserve">[verify]</w:t>
      </w:r>
      <w:r>
        <w:t xml:space="preserve">)</w:t>
      </w:r>
    </w:p>
    <w:p>
      <w:pPr>
        <w:numPr>
          <w:ilvl w:val="0"/>
          <w:numId w:val="1018"/>
        </w:numPr>
        <w:pStyle w:val="Compact"/>
      </w:pPr>
      <w:r>
        <w:t xml:space="preserve">Kojima, M., Bacon, R., &amp; Trimble, C. (2014).</w:t>
      </w:r>
      <w:r>
        <w:t xml:space="preserve"> </w:t>
      </w:r>
      <w:r>
        <w:rPr>
          <w:iCs/>
          <w:i/>
        </w:rPr>
        <w:t xml:space="preserve">Political Economy of Power Sector Subsidies: A Review with Reference to Sub-Saharan Africa</w:t>
      </w:r>
      <w:r>
        <w:t xml:space="preserve">. World Bank. doi:10.1596/19986. ✔ checked</w:t>
      </w:r>
    </w:p>
    <w:p>
      <w:pPr>
        <w:numPr>
          <w:ilvl w:val="0"/>
          <w:numId w:val="1018"/>
        </w:numPr>
        <w:pStyle w:val="Compact"/>
      </w:pPr>
      <w:r>
        <w:t xml:space="preserve">Kojima, M., &amp; Trimble, C. (2016).</w:t>
      </w:r>
      <w:r>
        <w:t xml:space="preserve"> </w:t>
      </w:r>
      <w:r>
        <w:rPr>
          <w:iCs/>
          <w:i/>
        </w:rPr>
        <w:t xml:space="preserve">Making Power Affordable for Africa and Viable for Its Utilities</w:t>
      </w:r>
      <w:r>
        <w:t xml:space="preserve">. World Bank. ✔ checked (title, date)</w:t>
      </w:r>
      <w:r>
        <w:t xml:space="preserve"> </w:t>
      </w:r>
      <w:r>
        <w:rPr>
          <w:bCs/>
          <w:b/>
        </w:rPr>
        <w:t xml:space="preserve">[verify author credit; one catalogue lists these authors but the World Bank press release does not name them]</w:t>
      </w:r>
    </w:p>
    <w:p>
      <w:pPr>
        <w:numPr>
          <w:ilvl w:val="0"/>
          <w:numId w:val="1018"/>
        </w:numPr>
        <w:pStyle w:val="Compact"/>
      </w:pPr>
      <w:r>
        <w:t xml:space="preserve">Kupzig, N. (2022). Power outages, firm productivity, and generator ownership in East Africa.</w:t>
      </w:r>
      <w:r>
        <w:t xml:space="preserve"> </w:t>
      </w:r>
      <w:r>
        <w:rPr>
          <w:iCs/>
          <w:i/>
        </w:rPr>
        <w:t xml:space="preserve">Journal of African Business</w:t>
      </w:r>
      <w:r>
        <w:t xml:space="preserve">. ✔ checked</w:t>
      </w:r>
    </w:p>
    <w:p>
      <w:pPr>
        <w:numPr>
          <w:ilvl w:val="0"/>
          <w:numId w:val="1018"/>
        </w:numPr>
        <w:pStyle w:val="Compact"/>
      </w:pPr>
      <w:r>
        <w:t xml:space="preserve">Maboshe, M., et al. (2019). The welfare effects of unprecedented electricity price hikes in Zambia.</w:t>
      </w:r>
      <w:r>
        <w:t xml:space="preserve"> </w:t>
      </w:r>
      <w:r>
        <w:rPr>
          <w:iCs/>
          <w:i/>
        </w:rPr>
        <w:t xml:space="preserve">Energy Policy</w:t>
      </w:r>
      <w:r>
        <w:t xml:space="preserve">. ✔ checked</w:t>
      </w:r>
      <w:r>
        <w:t xml:space="preserve"> </w:t>
      </w:r>
      <w:r>
        <w:rPr>
          <w:bCs/>
          <w:b/>
        </w:rPr>
        <w:t xml:space="preserve">[verify co-authors, volume]</w:t>
      </w:r>
    </w:p>
    <w:p>
      <w:pPr>
        <w:numPr>
          <w:ilvl w:val="0"/>
          <w:numId w:val="1018"/>
        </w:numPr>
        <w:pStyle w:val="Compact"/>
      </w:pPr>
      <w:r>
        <w:t xml:space="preserve">Mahony, C., et al. (2018). Tariff developments for electricity-intensive industry in South Africa.</w:t>
      </w:r>
      <w:r>
        <w:t xml:space="preserve"> </w:t>
      </w:r>
      <w:r>
        <w:rPr>
          <w:iCs/>
          <w:i/>
        </w:rPr>
        <w:t xml:space="preserve">Journal of the Southern African Institute of Mining and Metallurgy</w:t>
      </w:r>
      <w:r>
        <w:t xml:space="preserve">. ✔ checked</w:t>
      </w:r>
      <w:r>
        <w:t xml:space="preserve"> </w:t>
      </w:r>
      <w:r>
        <w:rPr>
          <w:bCs/>
          <w:b/>
        </w:rPr>
        <w:t xml:space="preserve">[verify authors]</w:t>
      </w:r>
    </w:p>
    <w:p>
      <w:pPr>
        <w:numPr>
          <w:ilvl w:val="0"/>
          <w:numId w:val="1018"/>
        </w:numPr>
        <w:pStyle w:val="Compact"/>
      </w:pPr>
      <w:r>
        <w:t xml:space="preserve">Min, B. (2015).</w:t>
      </w:r>
      <w:r>
        <w:t xml:space="preserve"> </w:t>
      </w:r>
      <w:r>
        <w:rPr>
          <w:iCs/>
          <w:i/>
        </w:rPr>
        <w:t xml:space="preserve">Power and the Vote: Elections and Electricity in the Developing World</w:t>
      </w:r>
      <w:r>
        <w:t xml:space="preserve">. Cambridge University Press. ✔ checked</w:t>
      </w:r>
    </w:p>
    <w:p>
      <w:pPr>
        <w:numPr>
          <w:ilvl w:val="0"/>
          <w:numId w:val="1018"/>
        </w:numPr>
        <w:pStyle w:val="Compact"/>
      </w:pPr>
      <w:r>
        <w:t xml:space="preserve">Osei-Gyebi, S., et al. (2023). Firm performance in sub-Saharan Africa: What role do electricity shortages play?</w:t>
      </w:r>
      <w:r>
        <w:t xml:space="preserve"> </w:t>
      </w:r>
      <w:r>
        <w:rPr>
          <w:iCs/>
          <w:i/>
        </w:rPr>
        <w:t xml:space="preserve">Cogent Economics &amp; Finance</w:t>
      </w:r>
      <w:r>
        <w:t xml:space="preserve">. ✔ checked</w:t>
      </w:r>
    </w:p>
    <w:p>
      <w:pPr>
        <w:numPr>
          <w:ilvl w:val="0"/>
          <w:numId w:val="1018"/>
        </w:numPr>
        <w:pStyle w:val="Compact"/>
      </w:pPr>
      <w:r>
        <w:t xml:space="preserve">Trimble, C., Kojima, M., Perez Arroyo, I., &amp; Mohammadzadeh, F. (2016).</w:t>
      </w:r>
      <w:r>
        <w:t xml:space="preserve"> </w:t>
      </w:r>
      <w:r>
        <w:rPr>
          <w:iCs/>
          <w:i/>
        </w:rPr>
        <w:t xml:space="preserve">Financial Viability of Electricity Sectors in Sub-Saharan Africa: Quasi-Fiscal Deficits and Hidden Costs</w:t>
      </w:r>
      <w:r>
        <w:t xml:space="preserve">. Policy Research Working Paper 7788. World Bank. ✔ checked</w:t>
      </w:r>
    </w:p>
    <w:p>
      <w:pPr>
        <w:numPr>
          <w:ilvl w:val="0"/>
          <w:numId w:val="1018"/>
        </w:numPr>
        <w:pStyle w:val="Compact"/>
      </w:pPr>
      <w:r>
        <w:t xml:space="preserve">African Development Bank.</w:t>
      </w:r>
      <w:r>
        <w:t xml:space="preserve"> </w:t>
      </w:r>
      <w:r>
        <w:rPr>
          <w:iCs/>
          <w:i/>
        </w:rPr>
        <w:t xml:space="preserve">Electricity Regulatory Index for Africa</w:t>
      </w:r>
      <w:r>
        <w:t xml:space="preserve"> </w:t>
      </w:r>
      <w:r>
        <w:t xml:space="preserve">(annual since 2018; 2024 edition cited). ✔ checked (existence and 2024 rankings, via secondary reporting)</w:t>
      </w:r>
      <w:r>
        <w:t xml:space="preserve"> </w:t>
      </w:r>
      <w:r>
        <w:rPr>
          <w:bCs/>
          <w:b/>
        </w:rPr>
        <w:t xml:space="preserve">[verify against the AfDB report itself]</w:t>
      </w:r>
    </w:p>
    <w:p>
      <w:pPr>
        <w:numPr>
          <w:ilvl w:val="0"/>
          <w:numId w:val="1018"/>
        </w:numPr>
        <w:pStyle w:val="Compact"/>
      </w:pPr>
      <w:r>
        <w:t xml:space="preserve">World Bank &amp; African Development Bank.</w:t>
      </w:r>
      <w:r>
        <w:t xml:space="preserve"> </w:t>
      </w:r>
      <w:r>
        <w:rPr>
          <w:iCs/>
          <w:i/>
        </w:rPr>
        <w:t xml:space="preserve">Mission 300</w:t>
      </w:r>
      <w:r>
        <w:t xml:space="preserve"> </w:t>
      </w:r>
      <w:r>
        <w:t xml:space="preserve">(launched 2024; target of 300 million connections by 2030; national energy compacts). ✔ checked (secondary reporting and the World Bank overview document)</w:t>
      </w:r>
      <w:r>
        <w:t xml:space="preserve"> </w:t>
      </w:r>
      <w:r>
        <w:rPr>
          <w:bCs/>
          <w:b/>
        </w:rPr>
        <w:t xml:space="preserve">[cite the primary document]</w:t>
      </w:r>
    </w:p>
    <w:bookmarkStart w:id="39" w:name="Xd0c0124187d43da5505cbf160ae6386d49da060"/>
    <w:p>
      <w:pPr>
        <w:pStyle w:val="Heading3"/>
      </w:pPr>
      <w:r>
        <w:t xml:space="preserve">Suggested further reading to locate (not yet checked)</w:t>
      </w:r>
    </w:p>
    <w:p>
      <w:pPr>
        <w:numPr>
          <w:ilvl w:val="0"/>
          <w:numId w:val="1019"/>
        </w:numPr>
        <w:pStyle w:val="Compact"/>
      </w:pPr>
      <w:r>
        <w:t xml:space="preserve">IMF Article IV reports and programme documents for each case country (for compensation and arrears data).</w:t>
      </w:r>
    </w:p>
    <w:p>
      <w:pPr>
        <w:numPr>
          <w:ilvl w:val="0"/>
          <w:numId w:val="1019"/>
        </w:numPr>
        <w:pStyle w:val="Compact"/>
      </w:pPr>
      <w:r>
        <w:t xml:space="preserve">National regulators' tariff determinations and cost-of-service studies.</w:t>
      </w:r>
    </w:p>
    <w:p>
      <w:pPr>
        <w:numPr>
          <w:ilvl w:val="0"/>
          <w:numId w:val="1019"/>
        </w:numPr>
        <w:pStyle w:val="Compact"/>
      </w:pPr>
      <w:r>
        <w:t xml:space="preserve">ESMAP</w:t>
      </w:r>
      <w:r>
        <w:t xml:space="preserve"> </w:t>
      </w:r>
      <w:r>
        <w:rPr>
          <w:iCs/>
          <w:i/>
        </w:rPr>
        <w:t xml:space="preserve">Energy Subsidy Reform Assessment Framework</w:t>
      </w:r>
      <w:r>
        <w:t xml:space="preserve"> </w:t>
      </w:r>
      <w:r>
        <w:t xml:space="preserve">good-practice notes (one note on qualitative incidence methods was found in this review; the full series is unchecked).</w:t>
      </w:r>
    </w:p>
    <w:bookmarkEnd w:id="39"/>
    <w:bookmarkEnd w:id="40"/>
    <w:bookmarkEnd w:id="41"/>
    <w:sectPr>
      <w:footerReference w:type="default" r:id="rId9"/>
      <w:pgSz w:w="11906" w:h="16838"/>
      <w:pgMar w:left="1417" w:right="141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s="Calibri" w:eastAsia="Calibri"/>
      <w:sz w:val="22"/>
    </w:rPr>
  </w:style>
  <w:style w:styleId="BodyText" w:type="paragraph">
    <w:name w:val="Body Text"/>
    <w:basedOn w:val="Normal"/>
    <w:link w:val="BodyTextChar"/>
    <w:pPr>
      <w:spacing w:after="120" w:before="18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after="120" w:line="276" w:lineRule="auto"/>
    </w:pPr>
    <w:rPr>
      <w:rFonts w:ascii="Calibri" w:hAnsi="Calibri" w:cs="Calibri" w:eastAsia="Calibri"/>
      <w:sz w:val="22"/>
    </w:rPr>
  </w:style>
  <w:style w:customStyle="1" w:styleId="Compact" w:type="paragraph">
    <w:name w:val="Compact"/>
    <w:basedOn w:val="BodyText"/>
    <w:qFormat/>
    <w:pPr>
      <w:spacing w:after="120" w:before="36" w:line="276" w:lineRule="auto"/>
    </w:pPr>
    <w:rPr>
      <w:rFonts w:ascii="Calibri" w:hAnsi="Calibri" w:cs="Calibri" w:eastAsia="Calibri"/>
      <w:sz w:val="22"/>
    </w:rPr>
  </w:style>
  <w:style w:styleId="Title" w:type="paragraph">
    <w:name w:val="Title"/>
    <w:basedOn w:val="Normal"/>
    <w:next w:val="BodyText"/>
    <w:qFormat/>
    <w:pPr>
      <w:keepNext/>
      <w:keepLines/>
      <w:spacing w:after="120" w:before="280"/>
      <w:jc w:val="center"/>
    </w:pPr>
    <w:rPr>
      <w:rFonts w:ascii="Cambria" w:hAnsi="Cambria" w:cs="Cambria" w:eastAsia="Cambria"/>
      <w:b/>
      <w:bCs/>
      <w:color w:val="1F3A5F"/>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mbria" w:hAnsi="Cambria" w:cs="Cambria" w:eastAsia="Cambria"/>
      <w:b/>
      <w:bCs/>
      <w:color w:val="1F3A5F"/>
      <w:sz w:val="36"/>
      <w:szCs w:val="32"/>
    </w:rPr>
  </w:style>
  <w:style w:styleId="Heading2" w:type="paragraph">
    <w:name w:val="Heading 2"/>
    <w:basedOn w:val="Normal"/>
    <w:next w:val="BodyText"/>
    <w:uiPriority w:val="9"/>
    <w:unhideWhenUsed/>
    <w:qFormat/>
    <w:pPr>
      <w:keepNext/>
      <w:keepLines/>
      <w:spacing w:after="120" w:before="280"/>
      <w:outlineLvl w:val="1"/>
    </w:pPr>
    <w:rPr>
      <w:rFonts w:ascii="Cambria" w:hAnsi="Cambria" w:cs="Cambria" w:eastAsia="Cambria"/>
      <w:b/>
      <w:bCs/>
      <w:color w:val="1F3A5F"/>
      <w:sz w:val="30"/>
      <w:szCs w:val="28"/>
    </w:rPr>
  </w:style>
  <w:style w:styleId="Heading3" w:type="paragraph">
    <w:name w:val="Heading 3"/>
    <w:basedOn w:val="Normal"/>
    <w:next w:val="BodyText"/>
    <w:uiPriority w:val="9"/>
    <w:unhideWhenUsed/>
    <w:qFormat/>
    <w:pPr>
      <w:keepNext/>
      <w:keepLines/>
      <w:spacing w:after="120" w:before="280"/>
      <w:outlineLvl w:val="2"/>
    </w:pPr>
    <w:rPr>
      <w:rFonts w:ascii="Cambria" w:hAnsi="Cambria" w:cs="Cambria" w:eastAsia="Cambria"/>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00" w:line="276" w:lineRule="auto"/>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Paying for Power: Tariff Compensation, Distributional Equity and Industrial Electricity Costs in Sub-Saharan Africa</dc:title>
  <dc:creator/>
  <cp:keywords/>
  <dcterms:created xsi:type="dcterms:W3CDTF">2026-10-17T21:46:37Z</dcterms:created>
  <dcterms:modified xsi:type="dcterms:W3CDTF">2026-10-17T21:46:37Z</dcterms:modified>
</cp:coreProperties>
</file>

<file path=docProps/custom.xml><?xml version="1.0" encoding="utf-8"?>
<Properties xmlns="http://schemas.openxmlformats.org/officeDocument/2006/custom-properties" xmlns:vt="http://schemas.openxmlformats.org/officeDocument/2006/docPropsVTypes"/>
</file>