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Note au décideur — Diagnostic national du Cameroun, étape 1</w:t>
      </w:r>
    </w:p>
    <w:p>
      <w:pPr>
        <w:spacing w:after="120"/>
      </w:pPr>
      <w:r>
        <w:rPr>
          <w:b/>
          <w:bCs/>
        </w:rPr>
        <w:t xml:space="preserve">19 octobre 2026.</w:t>
      </w:r>
      <w:r>
        <w:t xml:space="preserve"> Analyse indépendante, sans mandat officiel ni donnée confidentielle. La note repose sur 223 sources publiques consignées dans un registre, dont 77 documents primaires lus. Le détail figure dans </w:t>
      </w:r>
      <w:r>
        <w:rPr>
          <w:rFonts w:ascii="Consolas" w:cs="Consolas" w:eastAsia="Consolas" w:hAnsi="Consolas"/>
          <w:sz w:val="18"/>
          <w:szCs w:val="18"/>
        </w:rPr>
        <w:t xml:space="preserve">analyses/registre_problemes.csv</w:t>
      </w:r>
      <w:r>
        <w:t xml:space="preserve"> (34 problèmes).</w:t>
      </w:r>
    </w:p>
    <w:p>
      <w:pPr>
        <w:pStyle w:val="Heading1"/>
      </w:pPr>
      <w:r>
        <w:t xml:space="preserve">1. Constats établis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 niveau de vie stagne.</w:t>
      </w:r>
      <w:r>
        <w:t xml:space="preserve"> Le PIB réel par habitant n'a progressé que d'environ 15 % en quinze ans (2010-2025). Depuis 2020, la croissance (≈3 % par an) suit à peine la démographie. La SND30 visait 8,1 % par an ; le pays fait 3,5 %.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pauvreté ne baisse pas.</w:t>
      </w:r>
      <w:r>
        <w:t xml:space="preserve"> Elle concerne 37,7 % de la population en 2022, avec un niveau pratiquement inchangé depuis 2001. Elle atteint 69 % dans l'Extrême-Nord, 67 % dans le Nord-Ouest et 61 % dans le Nord, contre 8 % à Douala.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L'emploi formel est marginal.</w:t>
      </w:r>
      <w:r>
        <w:t xml:space="preserve"> 86,6 % des emplois sont informels et le secteur privé formel n'en offre que 5,1 % (2021).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 contrainte financière se resserre.</w:t>
      </w:r>
      <w:r>
        <w:t xml:space="preserve"> Le risque de surendettement est jugé « élevé » par le FMI. Le service de la dette passe de 4,8 % à 8,5 % du PIB en 2026, soit environ 35 % du budget. L'Eurobond de janvier 2026 a été placé à environ 10 % de rendement. Aucun nouveau programme avec le FMI n'a été trouvé. Or le cadrage budgétaire 2027-2029 du ministère des Finances repose sur ce programme pour obtenir 300 Mds FCFA d'appuis budgétaires.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L'État paie de plus en plus tard.</w:t>
      </w:r>
      <w:r>
        <w:t xml:space="preserve"> Ses fournisseurs attendent plus de 200 jours en 2025, contre 120 jours en 2023. L'investissement public n'est exécuté qu'à 73 %, et à 57 % pour les projets financés de l'extérieur.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L'électricité freine la production.</w:t>
      </w:r>
      <w:r>
        <w:t xml:space="preserve"> Toutes les institutions consultées la citent comme contrainte. Les tarifs sont environ 18 % sous le coût et les pertes de distribution sont estimées à 27 %. Le barrage de Nachtigal est payé que sa production soit utilisée ou non. Le distributeur est redevenu public en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Trois crises humanitaires simultanées.</w:t>
      </w:r>
      <w:r>
        <w:t xml:space="preserve"> Elles touchent le Nord-Ouest et le Sud-Ouest, l'Extrême-Nord, et l'Est où vivent les réfugiés centrafricains. 2,9 millions de personnes sont dans le besoin. Le plan 2026 est financé à environ 32 % seulement, et 3,1 millions de personnes étaient en insécurité alimentaire grave fin 2025.</w:t>
      </w:r>
    </w:p>
    <w:p>
      <w:pPr>
        <w:pStyle w:val="Heading1"/>
      </w:pPr>
      <w:r>
        <w:t xml:space="preserve">2. Incertitudes qui comptent pour la décision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Données anciennes.</w:t>
      </w:r>
      <w:r>
        <w:t xml:space="preserve"> Le dernier recensement exploité date de 2005 ; le 4e recensement a été collecté entre avril et septembre 2026, avec des résultats attendus début 2027 (</w:t>
      </w:r>
      <w:r>
        <w:rPr>
          <w:i/>
          <w:iCs/>
        </w:rPr>
        <w:t xml:space="preserve">correctif du 20/10/2026</w:t>
      </w:r>
      <w:r>
        <w:t xml:space="preserve">). Les données de santé et de nutrition datent de 2018, celles de l'emploi de 2021. L'effet des chocs de 2023 à 2026 sur les ménages n'est </w:t>
      </w:r>
      <w:r>
        <w:rPr>
          <w:b/>
          <w:bCs/>
        </w:rPr>
        <w:t xml:space="preserve">pas mesuré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Chiffres incompatibles sur des sujets décisifs.</w:t>
      </w:r>
      <w:r>
        <w:t xml:space="preserve"> Le stock d'arriérés de l'État est estimé à 485, 752 ou 926 Mds FCFA selon la source. Les ratios dette/PIB divergent de 3 à 5 points. Les transferts aux collectivités sont de 292,7 Mds selon le MINFI et de 127,5 Mds selon la Chambre des comptes.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Documents clés non lus.</w:t>
      </w:r>
      <w:r>
        <w:t xml:space="preserve"> L'analyse complète de viabilité de la dette du FMI, les bulletins de la Caisse autonome d'amortissement et les rapports du régulateur de l'électricité étaient inaccessibles depuis cet environnement.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Environ un tiers des sources ne sont que des résumés de recherche.</w:t>
      </w:r>
      <w:r>
        <w:t xml:space="preserve"> Elles sont signalées dans le registre et aucune décision ne doit s'appuyer sur elles sans vérification.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Contexte institutionnel incertain.</w:t>
      </w:r>
      <w:r>
        <w:t xml:space="preserve"> Une révision constitutionnelle (avril 2026) a créé un poste de vice-président nommé ; selon des sources secondaires, il n'est pas pourvu à la mi-octobre. Le mandat des députés expire le 20/12/2026 et aucune date de scrutin n'a été trouvée. Ces points doivent être vérifiés au Journal officiel. Ils déterminent quelle autorité peut décider de chaque réforme.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Faits post-électoraux contestés.</w:t>
      </w:r>
      <w:r>
        <w:t xml:space="preserve"> Le bilan des violences de fin 2025 va de 16 morts selon le gouvernement à 48 au moins selon des sources onusiennes citées par Reuters. Aucun chiffre n'est retenu comme établi.</w:t>
      </w:r>
    </w:p>
    <w:p>
      <w:pPr>
        <w:pStyle w:val="Heading1"/>
      </w:pPr>
      <w:r>
        <w:t xml:space="preserve">3. Lecture d'ensemble (hypothèse de travail, à éprouver)</w:t>
      </w:r>
    </w:p>
    <w:p>
      <w:pPr>
        <w:spacing w:after="120"/>
      </w:pPr>
      <w:r>
        <w:t xml:space="preserve">Les difficultés sociales (pauvreté, malnutrition, sous-emploi) apparaissent surtout comme des </w:t>
      </w:r>
      <w:r>
        <w:rPr>
          <w:b/>
          <w:bCs/>
        </w:rPr>
        <w:t xml:space="preserve">symptômes</w:t>
      </w:r>
      <w:r>
        <w:t xml:space="preserve">. Trois nœuds semblent en commander plusieurs autres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 </w:t>
      </w:r>
      <w:r>
        <w:rPr>
          <w:b/>
          <w:bCs/>
        </w:rPr>
        <w:t xml:space="preserve">trésorerie de l'État</w:t>
      </w:r>
      <w:r>
        <w:t xml:space="preserve"> (dette, arriérés, subventions, entreprises publiques)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</w:t>
      </w:r>
      <w:r>
        <w:rPr>
          <w:b/>
          <w:bCs/>
        </w:rPr>
        <w:t xml:space="preserve">électricité</w:t>
      </w:r>
      <w:r>
        <w:t xml:space="preserve">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</w:t>
      </w:r>
      <w:r>
        <w:rPr>
          <w:b/>
          <w:bCs/>
        </w:rPr>
        <w:t xml:space="preserve">insécurité dans les régions les plus pauvres</w:t>
      </w:r>
      <w:r>
        <w:t xml:space="preserve">.</w:t>
      </w:r>
    </w:p>
    <w:p>
      <w:pPr>
        <w:spacing w:after="120"/>
      </w:pPr>
      <w:r>
        <w:t xml:space="preserve">Deux faiblesses de fond empêchent aujourd'hui de fixer des cibles vérifiables : l'</w:t>
      </w:r>
      <w:r>
        <w:rPr>
          <w:b/>
          <w:bCs/>
        </w:rPr>
        <w:t xml:space="preserve">appareil statistique</w:t>
      </w:r>
      <w:r>
        <w:t xml:space="preserve"> et la </w:t>
      </w:r>
      <w:r>
        <w:rPr>
          <w:b/>
          <w:bCs/>
        </w:rPr>
        <w:t xml:space="preserve">capacité d'exécution</w:t>
      </w:r>
      <w:r>
        <w:t xml:space="preserve">. Le lien est documenté pour l'électricité. Pour les autres liens, il s'agit de mécanismes plausibles, pas encore de causalités mesurées.</w:t>
      </w:r>
    </w:p>
    <w:p>
      <w:pPr>
        <w:pStyle w:val="Heading1"/>
      </w:pPr>
      <w:r>
        <w:t xml:space="preserve">4. Travaux suivants proposés</w:t>
      </w:r>
    </w:p>
    <w:p>
      <w:pPr>
        <w:spacing w:after="120"/>
      </w:pPr>
      <w:r>
        <w:rPr>
          <w:b/>
          <w:bCs/>
        </w:rPr>
        <w:t xml:space="preserve">Étape 2 : approfondissement des dix sujets prioritaires</w:t>
      </w:r>
      <w:r>
        <w:t xml:space="preserve"> (</w:t>
      </w:r>
      <w:r>
        <w:rPr>
          <w:rFonts w:ascii="Consolas" w:cs="Consolas" w:eastAsia="Consolas" w:hAnsi="Consolas"/>
          <w:sz w:val="18"/>
          <w:szCs w:val="18"/>
        </w:rPr>
        <w:t xml:space="preserve">outputs/sujets_prioritaires.md</w:t>
      </w:r>
      <w:r>
        <w:t xml:space="preserve">). On commencera par trois sujets budgétairement liés, à traiter ensemble pour éviter les doubles comptes 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la trésorerie de l'État et le plan de financement 2027 ;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une fiche complète sur l'électricité (pertes mesurées, recouvrement, dettes croisées, investissements réseau, trajectoire tarifaire, protection des petits consommateurs, résultats attendus) ;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les subventions carburant et la SONARA.</w:t>
      </w:r>
    </w:p>
    <w:p>
      <w:pPr>
        <w:spacing w:after="120"/>
      </w:pPr>
      <w:r>
        <w:rPr>
          <w:b/>
          <w:bCs/>
        </w:rPr>
        <w:t xml:space="preserve">Documents à demander en priorité</w:t>
      </w:r>
      <w:r>
        <w:t xml:space="preserve">, par voie institutionnelle 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l'analyse de viabilité de la dette FMI-BM 2026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l'état réconcilié des arriérés (MINFI/CAA)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les rapports 2022-2025 du régulateur de l'électricité (ARSEL) et l'inventaire des dettes croisées du secteur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coût officiel des subventions carburant 2022-2026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rapport de mi-parcours de la SND30 ;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 Journal officiel pour les textes institutionnels de 2026.</w:t>
      </w:r>
    </w:p>
    <w:p>
      <w:pPr>
        <w:spacing w:after="120"/>
      </w:pPr>
      <w:r>
        <w:rPr>
          <w:b/>
          <w:bCs/>
        </w:rPr>
        <w:t xml:space="preserve">Ce que cette note ne fait pas encore.</w:t>
      </w:r>
      <w:r>
        <w:t xml:space="preserve"> Elle ne recommande aucune mesure : le chiffrage (étape 3) doit précéder toute proposition. Le portefeuille final visé est limité, de l'ordre de 5 à 7 réformes. Chacune aura une fiche indiquant la décision, l'autorité compétente, le coût, le financement, l'indicateur de départ, la cible et la méthode de mesure.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Analyse indépendante — sans mandat officiel —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  <w:lvl w:ilvl="1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pBdr>
        <w:bottom w:val="single" w:color="1F3864" w:sz="8" w:space="4"/>
      </w:pBdr>
      <w:spacing w:after="160"/>
    </w:pPr>
    <w:rPr>
      <w:b/>
      <w:bCs/>
      <w:color w:val="1F3864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b/>
      <w:bCs/>
      <w:color w:val="1F3864"/>
      <w:sz w:val="24"/>
      <w:szCs w:val="24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 au décideur</dc:title>
  <dc:creator>Équipe d'analyse indépendante</dc:creator>
  <cp:lastModifiedBy>Un-named</cp:lastModifiedBy>
  <cp:revision>1</cp:revision>
  <dcterms:created xsi:type="dcterms:W3CDTF">2026-10-20T18:16:38.054Z</dcterms:created>
  <dcterms:modified xsi:type="dcterms:W3CDTF">2026-10-20T18:16:38.054Z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