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pPr>
      <w:r>
        <w:t xml:space="preserve">Programme pour un Cameroun Nouveau — Plan de redressement et de solidarité 2027-2029</w:t>
      </w:r>
    </w:p>
    <w:p>
      <w:pPr>
        <w:spacing w:after="120"/>
      </w:pPr>
      <w:r>
        <w:rPr>
          <w:b/>
          <w:bCs/>
        </w:rPr>
        <w:t xml:space="preserve">Version finale du 20 octobre 2026.</w:t>
      </w:r>
      <w:r>
        <w:t xml:space="preserve"> Elle fusionne le Plan stratégique 2027-2029, le Programme politique pour le Cameroun Nouveau et le livre « Le Libéralisme solidaire ». Elle intègre les arbitrages acceptés le 20/10/2026.</w:t>
      </w:r>
    </w:p>
    <w:p>
      <w:pPr>
        <w:spacing w:after="120"/>
      </w:pPr>
      <w:r>
        <w:rPr>
          <w:i/>
          <w:iCs/>
        </w:rPr>
        <w:t xml:space="preserve">Document d'analyse et de proposition, rédigé sans mandat officiel ni donnée confidentielle. Chaque chiffre renvoie au registre des sources du projet (`cameroun/sources/`). Les cibles marquées « proposée » sont des propositions à calibrer. Les autorités compétentes et les bases juridiques doivent être confirmées au Journal officiel avant tout acte.</w:t>
      </w:r>
    </w:p>
    <w:p>
      <w:pPr>
        <w:pStyle w:val="Heading1"/>
      </w:pPr>
      <w:r>
        <w:t xml:space="preserve">1. L'essentiel</w:t>
      </w:r>
    </w:p>
    <w:p>
      <w:pPr>
        <w:spacing w:after="120"/>
      </w:pPr>
      <w:r>
        <w:t xml:space="preserve">Le Cameroun n'est pas insolvable. Il est en </w:t>
      </w:r>
      <w:r>
        <w:rPr>
          <w:b/>
          <w:bCs/>
        </w:rPr>
        <w:t xml:space="preserve">crise de liquidité</w:t>
      </w:r>
      <w:r>
        <w:t xml:space="preserve">, et son modèle de croissance ne profite plus aux ménages :</w:t>
      </w:r>
    </w:p>
    <w:p>
      <w:pPr>
        <w:pStyle w:val="ListParagraph"/>
        <w:numPr>
          <w:ilvl w:val="0"/>
          <w:numId w:val="2"/>
        </w:numPr>
        <w:spacing w:after="60"/>
      </w:pPr>
      <w:r>
        <w:t xml:space="preserve">le revenu réel par habitant n'a progressé que d'environ 15 % en quinze ans ;</w:t>
      </w:r>
    </w:p>
    <w:p>
      <w:pPr>
        <w:pStyle w:val="ListParagraph"/>
        <w:numPr>
          <w:ilvl w:val="0"/>
          <w:numId w:val="2"/>
        </w:numPr>
        <w:spacing w:after="60"/>
      </w:pPr>
      <w:r>
        <w:t xml:space="preserve">la pauvreté stagne autour de 38 % depuis vingt ans ;</w:t>
      </w:r>
    </w:p>
    <w:p>
      <w:pPr>
        <w:pStyle w:val="ListParagraph"/>
        <w:numPr>
          <w:ilvl w:val="0"/>
          <w:numId w:val="2"/>
        </w:numPr>
        <w:spacing w:after="60"/>
      </w:pPr>
      <w:r>
        <w:t xml:space="preserve">l'État paie ses fournisseurs à plus de 200 jours ;</w:t>
      </w:r>
    </w:p>
    <w:p>
      <w:pPr>
        <w:pStyle w:val="ListParagraph"/>
        <w:numPr>
          <w:ilvl w:val="0"/>
          <w:numId w:val="2"/>
        </w:numPr>
        <w:spacing w:after="60"/>
      </w:pPr>
      <w:r>
        <w:t xml:space="preserve">sa note souveraine a été abaissée à B- le 16/10/2026 ;</w:t>
      </w:r>
    </w:p>
    <w:p>
      <w:pPr>
        <w:pStyle w:val="ListParagraph"/>
        <w:numPr>
          <w:ilvl w:val="0"/>
          <w:numId w:val="2"/>
        </w:numPr>
        <w:spacing w:after="60"/>
      </w:pPr>
      <w:r>
        <w:t xml:space="preserve">il emprunte à plus de 10 % sur les marchés.</w:t>
      </w:r>
    </w:p>
    <w:p>
      <w:pPr>
        <w:spacing w:after="120"/>
      </w:pPr>
      <w:r>
        <w:t xml:space="preserve">Le programme concentre l'action publique sur </w:t>
      </w:r>
      <w:r>
        <w:rPr>
          <w:b/>
          <w:bCs/>
        </w:rPr>
        <w:t xml:space="preserve">8 chantiers</w:t>
      </w:r>
      <w:r>
        <w:t xml:space="preserve"> pendant trois ans :</w:t>
      </w:r>
    </w:p>
    <w:p>
      <w:pPr>
        <w:pStyle w:val="ListParagraph"/>
        <w:numPr>
          <w:ilvl w:val="0"/>
          <w:numId w:val="3"/>
        </w:numPr>
        <w:spacing w:after="80"/>
      </w:pPr>
      <w:r>
        <w:t xml:space="preserve">stabilisation financière ;</w:t>
      </w:r>
    </w:p>
    <w:p>
      <w:pPr>
        <w:pStyle w:val="ListParagraph"/>
        <w:numPr>
          <w:ilvl w:val="0"/>
          <w:numId w:val="3"/>
        </w:numPr>
        <w:spacing w:after="80"/>
      </w:pPr>
      <w:r>
        <w:t xml:space="preserve">carburants et SONARA ;</w:t>
      </w:r>
    </w:p>
    <w:p>
      <w:pPr>
        <w:pStyle w:val="ListParagraph"/>
        <w:numPr>
          <w:ilvl w:val="0"/>
          <w:numId w:val="3"/>
        </w:numPr>
        <w:spacing w:after="80"/>
      </w:pPr>
      <w:r>
        <w:t xml:space="preserve">électricité ;</w:t>
      </w:r>
    </w:p>
    <w:p>
      <w:pPr>
        <w:pStyle w:val="ListParagraph"/>
        <w:numPr>
          <w:ilvl w:val="0"/>
          <w:numId w:val="3"/>
        </w:numPr>
        <w:spacing w:after="80"/>
      </w:pPr>
      <w:r>
        <w:t xml:space="preserve">gouvernance et redevabilité ;</w:t>
      </w:r>
    </w:p>
    <w:p>
      <w:pPr>
        <w:pStyle w:val="ListParagraph"/>
        <w:numPr>
          <w:ilvl w:val="0"/>
          <w:numId w:val="3"/>
        </w:numPr>
        <w:spacing w:after="80"/>
      </w:pPr>
      <w:r>
        <w:t xml:space="preserve">recettes et ressources naturelles ;</w:t>
      </w:r>
    </w:p>
    <w:p>
      <w:pPr>
        <w:pStyle w:val="ListParagraph"/>
        <w:numPr>
          <w:ilvl w:val="0"/>
          <w:numId w:val="3"/>
        </w:numPr>
        <w:spacing w:after="80"/>
      </w:pPr>
      <w:r>
        <w:t xml:space="preserve">souveraineté alimentaire programmée ;</w:t>
      </w:r>
    </w:p>
    <w:p>
      <w:pPr>
        <w:pStyle w:val="ListParagraph"/>
        <w:numPr>
          <w:ilvl w:val="0"/>
          <w:numId w:val="3"/>
        </w:numPr>
        <w:spacing w:after="80"/>
      </w:pPr>
      <w:r>
        <w:t xml:space="preserve">capital humain ;</w:t>
      </w:r>
    </w:p>
    <w:p>
      <w:pPr>
        <w:pStyle w:val="ListParagraph"/>
        <w:numPr>
          <w:ilvl w:val="0"/>
          <w:numId w:val="3"/>
        </w:numPr>
        <w:spacing w:after="80"/>
      </w:pPr>
      <w:r>
        <w:t xml:space="preserve">paix et territoires.</w:t>
      </w:r>
    </w:p>
    <w:p>
      <w:pPr>
        <w:spacing w:after="120"/>
      </w:pPr>
      <w:r>
        <w:rPr>
          <w:b/>
          <w:bCs/>
        </w:rPr>
        <w:t xml:space="preserve">Il ne repose sur aucune recette hypothétique.</w:t>
      </w:r>
      <w:r>
        <w:t xml:space="preserve"> Dans le scénario central, les mesures améliorent le solde budgétaire d'environ 1,5 point de PIB en 2029. Elles financent en même temps la protection des ménages pauvres, l'apurement des dettes dues aux enseignants et aux entreprises, la couverture santé et la reconstruction des régions en crise.</w:t>
      </w:r>
    </w:p>
    <w:p>
      <w:pPr>
        <w:pStyle w:val="Heading1"/>
      </w:pPr>
      <w:r>
        <w:t xml:space="preserve">2. Diagnostic vérifié : les chiffres de référence</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2353"/>
        <w:gridCol w:w="2353"/>
        <w:gridCol w:w="2353"/>
      </w:tblGrid>
      <w:tr>
        <w:trPr>
          <w:tblHeader/>
        </w:trPr>
        <w:tc>
          <w:tcPr>
            <w:tcW w:type="dxa" w:w="2353"/>
            <w:shd w:fill="DCE3EE" w:color="auto" w:val="clear"/>
            <w:tcMar>
              <w:top w:type="dxa" w:w="40"/>
              <w:left w:type="dxa" w:w="80"/>
              <w:bottom w:type="dxa" w:w="40"/>
              <w:right w:type="dxa" w:w="80"/>
            </w:tcMar>
          </w:tcPr>
          <w:p>
            <w:r>
              <w:rPr>
                <w:b/>
                <w:bCs/>
                <w:sz w:val="16"/>
                <w:szCs w:val="16"/>
              </w:rPr>
              <w:t xml:space="preserve">Indicateur</w:t>
            </w:r>
          </w:p>
        </w:tc>
        <w:tc>
          <w:tcPr>
            <w:tcW w:type="dxa" w:w="2353"/>
            <w:shd w:fill="DCE3EE" w:color="auto" w:val="clear"/>
            <w:tcMar>
              <w:top w:type="dxa" w:w="40"/>
              <w:left w:type="dxa" w:w="80"/>
              <w:bottom w:type="dxa" w:w="40"/>
              <w:right w:type="dxa" w:w="80"/>
            </w:tcMar>
          </w:tcPr>
          <w:p>
            <w:r>
              <w:rPr>
                <w:b/>
                <w:bCs/>
                <w:sz w:val="16"/>
                <w:szCs w:val="16"/>
              </w:rPr>
              <w:t xml:space="preserve">Valeur</w:t>
            </w:r>
          </w:p>
        </w:tc>
        <w:tc>
          <w:tcPr>
            <w:tcW w:type="dxa" w:w="2353"/>
            <w:shd w:fill="DCE3EE" w:color="auto" w:val="clear"/>
            <w:tcMar>
              <w:top w:type="dxa" w:w="40"/>
              <w:left w:type="dxa" w:w="80"/>
              <w:bottom w:type="dxa" w:w="40"/>
              <w:right w:type="dxa" w:w="80"/>
            </w:tcMar>
          </w:tcPr>
          <w:p>
            <w:r>
              <w:rPr>
                <w:b/>
                <w:bCs/>
                <w:sz w:val="16"/>
                <w:szCs w:val="16"/>
              </w:rPr>
              <w:t xml:space="preserve">Année</w:t>
            </w:r>
          </w:p>
        </w:tc>
        <w:tc>
          <w:tcPr>
            <w:tcW w:type="dxa" w:w="2353"/>
            <w:shd w:fill="DCE3EE" w:color="auto" w:val="clear"/>
            <w:tcMar>
              <w:top w:type="dxa" w:w="40"/>
              <w:left w:type="dxa" w:w="80"/>
              <w:bottom w:type="dxa" w:w="40"/>
              <w:right w:type="dxa" w:w="80"/>
            </w:tcMar>
          </w:tcPr>
          <w:p>
            <w:r>
              <w:rPr>
                <w:b/>
                <w:bCs/>
                <w:sz w:val="16"/>
                <w:szCs w:val="16"/>
              </w:rPr>
              <w:t xml:space="preserve">Source</w:t>
            </w:r>
          </w:p>
        </w:tc>
      </w:tr>
      <w:tr>
        <w:trPr>
          <w:tblHeader w:val="false"/>
        </w:trPr>
        <w:tc>
          <w:tcPr>
            <w:tcW w:type="dxa" w:w="2353"/>
            <w:tcMar>
              <w:top w:type="dxa" w:w="40"/>
              <w:left w:type="dxa" w:w="80"/>
              <w:bottom w:type="dxa" w:w="40"/>
              <w:right w:type="dxa" w:w="80"/>
            </w:tcMar>
          </w:tcPr>
          <w:p>
            <w:r>
              <w:rPr>
                <w:sz w:val="16"/>
                <w:szCs w:val="16"/>
              </w:rPr>
              <w:t xml:space="preserve">Croissance du PIB réel</w:t>
            </w:r>
          </w:p>
        </w:tc>
        <w:tc>
          <w:tcPr>
            <w:tcW w:type="dxa" w:w="2353"/>
            <w:tcMar>
              <w:top w:type="dxa" w:w="40"/>
              <w:left w:type="dxa" w:w="80"/>
              <w:bottom w:type="dxa" w:w="40"/>
              <w:right w:type="dxa" w:w="80"/>
            </w:tcMar>
          </w:tcPr>
          <w:p>
            <w:r>
              <w:rPr>
                <w:sz w:val="16"/>
                <w:szCs w:val="16"/>
              </w:rPr>
              <w:t xml:space="preserve">3,5 % (INS) ; 3,1 % (FMI)</w:t>
            </w:r>
          </w:p>
        </w:tc>
        <w:tc>
          <w:tcPr>
            <w:tcW w:type="dxa" w:w="2353"/>
            <w:tcMar>
              <w:top w:type="dxa" w:w="40"/>
              <w:left w:type="dxa" w:w="80"/>
              <w:bottom w:type="dxa" w:w="40"/>
              <w:right w:type="dxa" w:w="80"/>
            </w:tcMar>
          </w:tcPr>
          <w:p>
            <w:r>
              <w:rPr>
                <w:sz w:val="16"/>
                <w:szCs w:val="16"/>
              </w:rPr>
              <w:t xml:space="preserve">2025</w:t>
            </w:r>
          </w:p>
        </w:tc>
        <w:tc>
          <w:tcPr>
            <w:tcW w:type="dxa" w:w="2353"/>
            <w:tcMar>
              <w:top w:type="dxa" w:w="40"/>
              <w:left w:type="dxa" w:w="80"/>
              <w:bottom w:type="dxa" w:w="40"/>
              <w:right w:type="dxa" w:w="80"/>
            </w:tcMar>
          </w:tcPr>
          <w:p>
            <w:r>
              <w:rPr>
                <w:sz w:val="16"/>
                <w:szCs w:val="16"/>
              </w:rPr>
              <w:t xml:space="preserve">ECO-02 ; MAC-001</w:t>
            </w:r>
          </w:p>
        </w:tc>
      </w:tr>
      <w:tr>
        <w:trPr>
          <w:tblHeader w:val="false"/>
        </w:trPr>
        <w:tc>
          <w:tcPr>
            <w:tcW w:type="dxa" w:w="2353"/>
            <w:tcMar>
              <w:top w:type="dxa" w:w="40"/>
              <w:left w:type="dxa" w:w="80"/>
              <w:bottom w:type="dxa" w:w="40"/>
              <w:right w:type="dxa" w:w="80"/>
            </w:tcMar>
          </w:tcPr>
          <w:p>
            <w:r>
              <w:rPr>
                <w:sz w:val="16"/>
                <w:szCs w:val="16"/>
              </w:rPr>
              <w:t xml:space="preserve">PIB réel par habitant</w:t>
            </w:r>
          </w:p>
        </w:tc>
        <w:tc>
          <w:tcPr>
            <w:tcW w:type="dxa" w:w="2353"/>
            <w:tcMar>
              <w:top w:type="dxa" w:w="40"/>
              <w:left w:type="dxa" w:w="80"/>
              <w:bottom w:type="dxa" w:w="40"/>
              <w:right w:type="dxa" w:w="80"/>
            </w:tcMar>
          </w:tcPr>
          <w:p>
            <w:r>
              <w:rPr>
                <w:sz w:val="16"/>
                <w:szCs w:val="16"/>
              </w:rPr>
              <w:t xml:space="preserve">+15 % entre 2010 et 2025 (≈1 %/an)</w:t>
            </w:r>
          </w:p>
        </w:tc>
        <w:tc>
          <w:tcPr>
            <w:tcW w:type="dxa" w:w="2353"/>
            <w:tcMar>
              <w:top w:type="dxa" w:w="40"/>
              <w:left w:type="dxa" w:w="80"/>
              <w:bottom w:type="dxa" w:w="40"/>
              <w:right w:type="dxa" w:w="80"/>
            </w:tcMar>
          </w:tcPr>
          <w:p>
            <w:r>
              <w:rPr>
                <w:sz w:val="16"/>
                <w:szCs w:val="16"/>
              </w:rPr>
              <w:t xml:space="preserve">2010-2025</w:t>
            </w:r>
          </w:p>
        </w:tc>
        <w:tc>
          <w:tcPr>
            <w:tcW w:type="dxa" w:w="2353"/>
            <w:tcMar>
              <w:top w:type="dxa" w:w="40"/>
              <w:left w:type="dxa" w:w="80"/>
              <w:bottom w:type="dxa" w:w="40"/>
              <w:right w:type="dxa" w:w="80"/>
            </w:tcMar>
          </w:tcPr>
          <w:p>
            <w:r>
              <w:rPr>
                <w:sz w:val="16"/>
                <w:szCs w:val="16"/>
              </w:rPr>
              <w:t xml:space="preserve">Banque mondiale, calcul (</w:t>
            </w:r>
            <w:r>
              <w:rPr>
                <w:rFonts w:ascii="Consolas" w:cs="Consolas" w:eastAsia="Consolas" w:hAnsi="Consolas"/>
                <w:sz w:val="16"/>
                <w:szCs w:val="16"/>
              </w:rPr>
              <w:t xml:space="preserve">outputs/wdi_derives.csv</w:t>
            </w:r>
            <w:r>
              <w:rPr>
                <w:sz w:val="16"/>
                <w:szCs w:val="16"/>
              </w:rPr>
              <w:t xml:space="preserve">)</w:t>
            </w:r>
          </w:p>
        </w:tc>
      </w:tr>
      <w:tr>
        <w:trPr>
          <w:tblHeader w:val="false"/>
        </w:trPr>
        <w:tc>
          <w:tcPr>
            <w:tcW w:type="dxa" w:w="2353"/>
            <w:tcMar>
              <w:top w:type="dxa" w:w="40"/>
              <w:left w:type="dxa" w:w="80"/>
              <w:bottom w:type="dxa" w:w="40"/>
              <w:right w:type="dxa" w:w="80"/>
            </w:tcMar>
          </w:tcPr>
          <w:p>
            <w:r>
              <w:rPr>
                <w:sz w:val="16"/>
                <w:szCs w:val="16"/>
              </w:rPr>
              <w:t xml:space="preserve">Pauvreté monétaire</w:t>
            </w:r>
          </w:p>
        </w:tc>
        <w:tc>
          <w:tcPr>
            <w:tcW w:type="dxa" w:w="2353"/>
            <w:tcMar>
              <w:top w:type="dxa" w:w="40"/>
              <w:left w:type="dxa" w:w="80"/>
              <w:bottom w:type="dxa" w:w="40"/>
              <w:right w:type="dxa" w:w="80"/>
            </w:tcMar>
          </w:tcPr>
          <w:p>
            <w:r>
              <w:rPr>
                <w:sz w:val="16"/>
                <w:szCs w:val="16"/>
              </w:rPr>
              <w:t xml:space="preserve">37,7 % (10,1 M de personnes) ; rural 56,3 %</w:t>
            </w:r>
          </w:p>
        </w:tc>
        <w:tc>
          <w:tcPr>
            <w:tcW w:type="dxa" w:w="2353"/>
            <w:tcMar>
              <w:top w:type="dxa" w:w="40"/>
              <w:left w:type="dxa" w:w="80"/>
              <w:bottom w:type="dxa" w:w="40"/>
              <w:right w:type="dxa" w:w="80"/>
            </w:tcMar>
          </w:tcPr>
          <w:p>
            <w:r>
              <w:rPr>
                <w:sz w:val="16"/>
                <w:szCs w:val="16"/>
              </w:rPr>
              <w:t xml:space="preserve">2022</w:t>
            </w:r>
          </w:p>
        </w:tc>
        <w:tc>
          <w:tcPr>
            <w:tcW w:type="dxa" w:w="2353"/>
            <w:tcMar>
              <w:top w:type="dxa" w:w="40"/>
              <w:left w:type="dxa" w:w="80"/>
              <w:bottom w:type="dxa" w:w="40"/>
              <w:right w:type="dxa" w:w="80"/>
            </w:tcMar>
          </w:tcPr>
          <w:p>
            <w:r>
              <w:rPr>
                <w:sz w:val="16"/>
                <w:szCs w:val="16"/>
              </w:rPr>
              <w:t xml:space="preserve">ECAM5, INS (SOC-002)</w:t>
            </w:r>
          </w:p>
        </w:tc>
      </w:tr>
      <w:tr>
        <w:trPr>
          <w:tblHeader w:val="false"/>
        </w:trPr>
        <w:tc>
          <w:tcPr>
            <w:tcW w:type="dxa" w:w="2353"/>
            <w:tcMar>
              <w:top w:type="dxa" w:w="40"/>
              <w:left w:type="dxa" w:w="80"/>
              <w:bottom w:type="dxa" w:w="40"/>
              <w:right w:type="dxa" w:w="80"/>
            </w:tcMar>
          </w:tcPr>
          <w:p>
            <w:r>
              <w:rPr>
                <w:sz w:val="16"/>
                <w:szCs w:val="16"/>
              </w:rPr>
              <w:t xml:space="preserve">Pauvreté par région</w:t>
            </w:r>
          </w:p>
        </w:tc>
        <w:tc>
          <w:tcPr>
            <w:tcW w:type="dxa" w:w="2353"/>
            <w:tcMar>
              <w:top w:type="dxa" w:w="40"/>
              <w:left w:type="dxa" w:w="80"/>
              <w:bottom w:type="dxa" w:w="40"/>
              <w:right w:type="dxa" w:w="80"/>
            </w:tcMar>
          </w:tcPr>
          <w:p>
            <w:r>
              <w:rPr>
                <w:sz w:val="16"/>
                <w:szCs w:val="16"/>
              </w:rPr>
              <w:t xml:space="preserve">Extrême-Nord 69,2 ; Nord-Ouest 66,8 ; Nord 61,1 ; Adamaoua 45,1 ; Est 41,5 ; Ouest 30,4 ; Littoral hors Douala 23,8 ; Sud-Ouest 20,4* ; Centre hors Yaoundé 19,1 ; Sud 14,9 ; Yaoundé 10,8 ; Douala 8,3 (%)</w:t>
            </w:r>
          </w:p>
        </w:tc>
        <w:tc>
          <w:tcPr>
            <w:tcW w:type="dxa" w:w="2353"/>
            <w:tcMar>
              <w:top w:type="dxa" w:w="40"/>
              <w:left w:type="dxa" w:w="80"/>
              <w:bottom w:type="dxa" w:w="40"/>
              <w:right w:type="dxa" w:w="80"/>
            </w:tcMar>
          </w:tcPr>
          <w:p>
            <w:r>
              <w:rPr>
                <w:sz w:val="16"/>
                <w:szCs w:val="16"/>
              </w:rPr>
              <w:t xml:space="preserve">2022</w:t>
            </w:r>
          </w:p>
        </w:tc>
        <w:tc>
          <w:tcPr>
            <w:tcW w:type="dxa" w:w="2353"/>
            <w:tcMar>
              <w:top w:type="dxa" w:w="40"/>
              <w:left w:type="dxa" w:w="80"/>
              <w:bottom w:type="dxa" w:w="40"/>
              <w:right w:type="dxa" w:w="80"/>
            </w:tcMar>
          </w:tcPr>
          <w:p>
            <w:r>
              <w:rPr>
                <w:sz w:val="16"/>
                <w:szCs w:val="16"/>
              </w:rPr>
              <w:t xml:space="preserve">ECAM5, brochure p. 8 (VPL-25). *Nord-Ouest et Sud-Ouest non représentatifs</w:t>
            </w:r>
          </w:p>
        </w:tc>
      </w:tr>
      <w:tr>
        <w:trPr>
          <w:tblHeader w:val="false"/>
        </w:trPr>
        <w:tc>
          <w:tcPr>
            <w:tcW w:type="dxa" w:w="2353"/>
            <w:tcMar>
              <w:top w:type="dxa" w:w="40"/>
              <w:left w:type="dxa" w:w="80"/>
              <w:bottom w:type="dxa" w:w="40"/>
              <w:right w:type="dxa" w:w="80"/>
            </w:tcMar>
          </w:tcPr>
          <w:p>
            <w:r>
              <w:rPr>
                <w:sz w:val="16"/>
                <w:szCs w:val="16"/>
              </w:rPr>
              <w:t xml:space="preserve">Emplois informels</w:t>
            </w:r>
          </w:p>
        </w:tc>
        <w:tc>
          <w:tcPr>
            <w:tcW w:type="dxa" w:w="2353"/>
            <w:tcMar>
              <w:top w:type="dxa" w:w="40"/>
              <w:left w:type="dxa" w:w="80"/>
              <w:bottom w:type="dxa" w:w="40"/>
              <w:right w:type="dxa" w:w="80"/>
            </w:tcMar>
          </w:tcPr>
          <w:p>
            <w:r>
              <w:rPr>
                <w:sz w:val="16"/>
                <w:szCs w:val="16"/>
              </w:rPr>
              <w:t xml:space="preserve">86,6 % ; privé formel 5,1 % ; sous-emploi 56,4 %</w:t>
            </w:r>
          </w:p>
        </w:tc>
        <w:tc>
          <w:tcPr>
            <w:tcW w:type="dxa" w:w="2353"/>
            <w:tcMar>
              <w:top w:type="dxa" w:w="40"/>
              <w:left w:type="dxa" w:w="80"/>
              <w:bottom w:type="dxa" w:w="40"/>
              <w:right w:type="dxa" w:w="80"/>
            </w:tcMar>
          </w:tcPr>
          <w:p>
            <w:r>
              <w:rPr>
                <w:sz w:val="16"/>
                <w:szCs w:val="16"/>
              </w:rPr>
              <w:t xml:space="preserve">2021</w:t>
            </w:r>
          </w:p>
        </w:tc>
        <w:tc>
          <w:tcPr>
            <w:tcW w:type="dxa" w:w="2353"/>
            <w:tcMar>
              <w:top w:type="dxa" w:w="40"/>
              <w:left w:type="dxa" w:w="80"/>
              <w:bottom w:type="dxa" w:w="40"/>
              <w:right w:type="dxa" w:w="80"/>
            </w:tcMar>
          </w:tcPr>
          <w:p>
            <w:r>
              <w:rPr>
                <w:sz w:val="16"/>
                <w:szCs w:val="16"/>
              </w:rPr>
              <w:t xml:space="preserve">EESI3, INS (ECO-01)</w:t>
            </w:r>
          </w:p>
        </w:tc>
      </w:tr>
      <w:tr>
        <w:trPr>
          <w:tblHeader w:val="false"/>
        </w:trPr>
        <w:tc>
          <w:tcPr>
            <w:tcW w:type="dxa" w:w="2353"/>
            <w:tcMar>
              <w:top w:type="dxa" w:w="40"/>
              <w:left w:type="dxa" w:w="80"/>
              <w:bottom w:type="dxa" w:w="40"/>
              <w:right w:type="dxa" w:w="80"/>
            </w:tcMar>
          </w:tcPr>
          <w:p>
            <w:r>
              <w:rPr>
                <w:sz w:val="16"/>
                <w:szCs w:val="16"/>
              </w:rPr>
              <w:t xml:space="preserve">Dette publique</w:t>
            </w:r>
          </w:p>
        </w:tc>
        <w:tc>
          <w:tcPr>
            <w:tcW w:type="dxa" w:w="2353"/>
            <w:tcMar>
              <w:top w:type="dxa" w:w="40"/>
              <w:left w:type="dxa" w:w="80"/>
              <w:bottom w:type="dxa" w:w="40"/>
              <w:right w:type="dxa" w:w="80"/>
            </w:tcMar>
          </w:tcPr>
          <w:p>
            <w:r>
              <w:rPr>
                <w:sz w:val="16"/>
                <w:szCs w:val="16"/>
              </w:rPr>
              <w:t xml:space="preserve">15 607 Mds FCFA, 44,2 % du PIB</w:t>
            </w:r>
          </w:p>
        </w:tc>
        <w:tc>
          <w:tcPr>
            <w:tcW w:type="dxa" w:w="2353"/>
            <w:tcMar>
              <w:top w:type="dxa" w:w="40"/>
              <w:left w:type="dxa" w:w="80"/>
              <w:bottom w:type="dxa" w:w="40"/>
              <w:right w:type="dxa" w:w="80"/>
            </w:tcMar>
          </w:tcPr>
          <w:p>
            <w:r>
              <w:rPr>
                <w:sz w:val="16"/>
                <w:szCs w:val="16"/>
              </w:rPr>
              <w:t xml:space="preserve">30/06/2026</w:t>
            </w:r>
          </w:p>
        </w:tc>
        <w:tc>
          <w:tcPr>
            <w:tcW w:type="dxa" w:w="2353"/>
            <w:tcMar>
              <w:top w:type="dxa" w:w="40"/>
              <w:left w:type="dxa" w:w="80"/>
              <w:bottom w:type="dxa" w:w="40"/>
              <w:right w:type="dxa" w:w="80"/>
            </w:tcMar>
          </w:tcPr>
          <w:p>
            <w:r>
              <w:rPr>
                <w:sz w:val="16"/>
                <w:szCs w:val="16"/>
              </w:rPr>
              <w:t xml:space="preserve">CAA via presse (VPL-10)</w:t>
            </w:r>
          </w:p>
        </w:tc>
      </w:tr>
      <w:tr>
        <w:trPr>
          <w:tblHeader w:val="false"/>
        </w:trPr>
        <w:tc>
          <w:tcPr>
            <w:tcW w:type="dxa" w:w="2353"/>
            <w:tcMar>
              <w:top w:type="dxa" w:w="40"/>
              <w:left w:type="dxa" w:w="80"/>
              <w:bottom w:type="dxa" w:w="40"/>
              <w:right w:type="dxa" w:w="80"/>
            </w:tcMar>
          </w:tcPr>
          <w:p>
            <w:r>
              <w:rPr>
                <w:sz w:val="16"/>
                <w:szCs w:val="16"/>
              </w:rPr>
              <w:t xml:space="preserve">Arriérés de la dette publique (estimation provisoire)</w:t>
            </w:r>
          </w:p>
        </w:tc>
        <w:tc>
          <w:tcPr>
            <w:tcW w:type="dxa" w:w="2353"/>
            <w:tcMar>
              <w:top w:type="dxa" w:w="40"/>
              <w:left w:type="dxa" w:w="80"/>
              <w:bottom w:type="dxa" w:w="40"/>
              <w:right w:type="dxa" w:w="80"/>
            </w:tcMar>
          </w:tcPr>
          <w:p>
            <w:r>
              <w:rPr>
                <w:sz w:val="16"/>
                <w:szCs w:val="16"/>
              </w:rPr>
              <w:t xml:space="preserve">703,5 Mds FCFA</w:t>
            </w:r>
          </w:p>
        </w:tc>
        <w:tc>
          <w:tcPr>
            <w:tcW w:type="dxa" w:w="2353"/>
            <w:tcMar>
              <w:top w:type="dxa" w:w="40"/>
              <w:left w:type="dxa" w:w="80"/>
              <w:bottom w:type="dxa" w:w="40"/>
              <w:right w:type="dxa" w:w="80"/>
            </w:tcMar>
          </w:tcPr>
          <w:p>
            <w:r>
              <w:rPr>
                <w:sz w:val="16"/>
                <w:szCs w:val="16"/>
              </w:rPr>
              <w:t xml:space="preserve">Fin avril 2026, repris fin juin</w:t>
            </w:r>
          </w:p>
        </w:tc>
        <w:tc>
          <w:tcPr>
            <w:tcW w:type="dxa" w:w="2353"/>
            <w:tcMar>
              <w:top w:type="dxa" w:w="40"/>
              <w:left w:type="dxa" w:w="80"/>
              <w:bottom w:type="dxa" w:w="40"/>
              <w:right w:type="dxa" w:w="80"/>
            </w:tcMar>
          </w:tcPr>
          <w:p>
            <w:r>
              <w:rPr>
                <w:sz w:val="16"/>
                <w:szCs w:val="16"/>
              </w:rPr>
              <w:t xml:space="preserve">CAA via presse (VFF-001)</w:t>
            </w:r>
          </w:p>
        </w:tc>
      </w:tr>
      <w:tr>
        <w:trPr>
          <w:tblHeader w:val="false"/>
        </w:trPr>
        <w:tc>
          <w:tcPr>
            <w:tcW w:type="dxa" w:w="2353"/>
            <w:tcMar>
              <w:top w:type="dxa" w:w="40"/>
              <w:left w:type="dxa" w:w="80"/>
              <w:bottom w:type="dxa" w:w="40"/>
              <w:right w:type="dxa" w:w="80"/>
            </w:tcMar>
          </w:tcPr>
          <w:p>
            <w:r>
              <w:rPr>
                <w:sz w:val="16"/>
                <w:szCs w:val="16"/>
              </w:rPr>
              <w:t xml:space="preserve">Risque de surendettement</w:t>
            </w:r>
          </w:p>
        </w:tc>
        <w:tc>
          <w:tcPr>
            <w:tcW w:type="dxa" w:w="2353"/>
            <w:tcMar>
              <w:top w:type="dxa" w:w="40"/>
              <w:left w:type="dxa" w:w="80"/>
              <w:bottom w:type="dxa" w:w="40"/>
              <w:right w:type="dxa" w:w="80"/>
            </w:tcMar>
          </w:tcPr>
          <w:p>
            <w:r>
              <w:rPr>
                <w:sz w:val="16"/>
                <w:szCs w:val="16"/>
              </w:rPr>
              <w:t xml:space="preserve">« Élevé » (extérieur et global) ; dette jugée soutenable ; deux seuils de service de la dette dépassés</w:t>
            </w:r>
          </w:p>
        </w:tc>
        <w:tc>
          <w:tcPr>
            <w:tcW w:type="dxa" w:w="2353"/>
            <w:tcMar>
              <w:top w:type="dxa" w:w="40"/>
              <w:left w:type="dxa" w:w="80"/>
              <w:bottom w:type="dxa" w:w="40"/>
              <w:right w:type="dxa" w:w="80"/>
            </w:tcMar>
          </w:tcPr>
          <w:p>
            <w:r>
              <w:rPr>
                <w:sz w:val="16"/>
                <w:szCs w:val="16"/>
              </w:rPr>
              <w:t xml:space="preserve">Mars 2026</w:t>
            </w:r>
          </w:p>
        </w:tc>
        <w:tc>
          <w:tcPr>
            <w:tcW w:type="dxa" w:w="2353"/>
            <w:tcMar>
              <w:top w:type="dxa" w:w="40"/>
              <w:left w:type="dxa" w:w="80"/>
              <w:bottom w:type="dxa" w:w="40"/>
              <w:right w:type="dxa" w:w="80"/>
            </w:tcMar>
          </w:tcPr>
          <w:p>
            <w:r>
              <w:rPr>
                <w:sz w:val="16"/>
                <w:szCs w:val="16"/>
              </w:rPr>
              <w:t xml:space="preserve">Analyse de viabilité FMI-BM, CR 26/081 (VFF-022)</w:t>
            </w:r>
          </w:p>
        </w:tc>
      </w:tr>
      <w:tr>
        <w:trPr>
          <w:tblHeader w:val="false"/>
        </w:trPr>
        <w:tc>
          <w:tcPr>
            <w:tcW w:type="dxa" w:w="2353"/>
            <w:tcMar>
              <w:top w:type="dxa" w:w="40"/>
              <w:left w:type="dxa" w:w="80"/>
              <w:bottom w:type="dxa" w:w="40"/>
              <w:right w:type="dxa" w:w="80"/>
            </w:tcMar>
          </w:tcPr>
          <w:p>
            <w:r>
              <w:rPr>
                <w:sz w:val="16"/>
                <w:szCs w:val="16"/>
              </w:rPr>
              <w:t xml:space="preserve">Note souveraine</w:t>
            </w:r>
          </w:p>
        </w:tc>
        <w:tc>
          <w:tcPr>
            <w:tcW w:type="dxa" w:w="2353"/>
            <w:tcMar>
              <w:top w:type="dxa" w:w="40"/>
              <w:left w:type="dxa" w:w="80"/>
              <w:bottom w:type="dxa" w:w="40"/>
              <w:right w:type="dxa" w:w="80"/>
            </w:tcMar>
          </w:tcPr>
          <w:p>
            <w:r>
              <w:rPr>
                <w:sz w:val="16"/>
                <w:szCs w:val="16"/>
              </w:rPr>
              <w:t xml:space="preserve">B- (Fitch), perspective stable</w:t>
            </w:r>
          </w:p>
        </w:tc>
        <w:tc>
          <w:tcPr>
            <w:tcW w:type="dxa" w:w="2353"/>
            <w:tcMar>
              <w:top w:type="dxa" w:w="40"/>
              <w:left w:type="dxa" w:w="80"/>
              <w:bottom w:type="dxa" w:w="40"/>
              <w:right w:type="dxa" w:w="80"/>
            </w:tcMar>
          </w:tcPr>
          <w:p>
            <w:r>
              <w:rPr>
                <w:sz w:val="16"/>
                <w:szCs w:val="16"/>
              </w:rPr>
              <w:t xml:space="preserve">16/10/2026</w:t>
            </w:r>
          </w:p>
        </w:tc>
        <w:tc>
          <w:tcPr>
            <w:tcW w:type="dxa" w:w="2353"/>
            <w:tcMar>
              <w:top w:type="dxa" w:w="40"/>
              <w:left w:type="dxa" w:w="80"/>
              <w:bottom w:type="dxa" w:w="40"/>
              <w:right w:type="dxa" w:w="80"/>
            </w:tcMar>
          </w:tcPr>
          <w:p>
            <w:r>
              <w:rPr>
                <w:sz w:val="16"/>
                <w:szCs w:val="16"/>
              </w:rPr>
              <w:t xml:space="preserve">VPL-01</w:t>
            </w:r>
          </w:p>
        </w:tc>
      </w:tr>
      <w:tr>
        <w:trPr>
          <w:tblHeader w:val="false"/>
        </w:trPr>
        <w:tc>
          <w:tcPr>
            <w:tcW w:type="dxa" w:w="2353"/>
            <w:tcMar>
              <w:top w:type="dxa" w:w="40"/>
              <w:left w:type="dxa" w:w="80"/>
              <w:bottom w:type="dxa" w:w="40"/>
              <w:right w:type="dxa" w:w="80"/>
            </w:tcMar>
          </w:tcPr>
          <w:p>
            <w:r>
              <w:rPr>
                <w:sz w:val="16"/>
                <w:szCs w:val="16"/>
              </w:rPr>
              <w:t xml:space="preserve">Rendement Eurobond 2033</w:t>
            </w:r>
          </w:p>
        </w:tc>
        <w:tc>
          <w:tcPr>
            <w:tcW w:type="dxa" w:w="2353"/>
            <w:tcMar>
              <w:top w:type="dxa" w:w="40"/>
              <w:left w:type="dxa" w:w="80"/>
              <w:bottom w:type="dxa" w:w="40"/>
              <w:right w:type="dxa" w:w="80"/>
            </w:tcMar>
          </w:tcPr>
          <w:p>
            <w:r>
              <w:rPr>
                <w:sz w:val="16"/>
                <w:szCs w:val="16"/>
              </w:rPr>
              <w:t xml:space="preserve">10,65 %</w:t>
            </w:r>
          </w:p>
        </w:tc>
        <w:tc>
          <w:tcPr>
            <w:tcW w:type="dxa" w:w="2353"/>
            <w:tcMar>
              <w:top w:type="dxa" w:w="40"/>
              <w:left w:type="dxa" w:w="80"/>
              <w:bottom w:type="dxa" w:w="40"/>
              <w:right w:type="dxa" w:w="80"/>
            </w:tcMar>
          </w:tcPr>
          <w:p>
            <w:r>
              <w:rPr>
                <w:sz w:val="16"/>
                <w:szCs w:val="16"/>
              </w:rPr>
              <w:t xml:space="preserve">19/10/2026</w:t>
            </w:r>
          </w:p>
        </w:tc>
        <w:tc>
          <w:tcPr>
            <w:tcW w:type="dxa" w:w="2353"/>
            <w:tcMar>
              <w:top w:type="dxa" w:w="40"/>
              <w:left w:type="dxa" w:w="80"/>
              <w:bottom w:type="dxa" w:w="40"/>
              <w:right w:type="dxa" w:w="80"/>
            </w:tcMar>
          </w:tcPr>
          <w:p>
            <w:r>
              <w:rPr>
                <w:sz w:val="16"/>
                <w:szCs w:val="16"/>
              </w:rPr>
              <w:t xml:space="preserve">VPL-01, VPL-02</w:t>
            </w:r>
          </w:p>
        </w:tc>
      </w:tr>
      <w:tr>
        <w:trPr>
          <w:tblHeader w:val="false"/>
        </w:trPr>
        <w:tc>
          <w:tcPr>
            <w:tcW w:type="dxa" w:w="2353"/>
            <w:tcMar>
              <w:top w:type="dxa" w:w="40"/>
              <w:left w:type="dxa" w:w="80"/>
              <w:bottom w:type="dxa" w:w="40"/>
              <w:right w:type="dxa" w:w="80"/>
            </w:tcMar>
          </w:tcPr>
          <w:p>
            <w:r>
              <w:rPr>
                <w:sz w:val="16"/>
                <w:szCs w:val="16"/>
              </w:rPr>
              <w:t xml:space="preserve">Service de la dette</w:t>
            </w:r>
          </w:p>
        </w:tc>
        <w:tc>
          <w:tcPr>
            <w:tcW w:type="dxa" w:w="2353"/>
            <w:tcMar>
              <w:top w:type="dxa" w:w="40"/>
              <w:left w:type="dxa" w:w="80"/>
              <w:bottom w:type="dxa" w:w="40"/>
              <w:right w:type="dxa" w:w="80"/>
            </w:tcMar>
          </w:tcPr>
          <w:p>
            <w:r>
              <w:rPr>
                <w:sz w:val="16"/>
                <w:szCs w:val="16"/>
              </w:rPr>
              <w:t xml:space="preserve">4,8 % → 8,5 % du PIB</w:t>
            </w:r>
          </w:p>
        </w:tc>
        <w:tc>
          <w:tcPr>
            <w:tcW w:type="dxa" w:w="2353"/>
            <w:tcMar>
              <w:top w:type="dxa" w:w="40"/>
              <w:left w:type="dxa" w:w="80"/>
              <w:bottom w:type="dxa" w:w="40"/>
              <w:right w:type="dxa" w:w="80"/>
            </w:tcMar>
          </w:tcPr>
          <w:p>
            <w:r>
              <w:rPr>
                <w:sz w:val="16"/>
                <w:szCs w:val="16"/>
              </w:rPr>
              <w:t xml:space="preserve">2025 → 2026</w:t>
            </w:r>
          </w:p>
        </w:tc>
        <w:tc>
          <w:tcPr>
            <w:tcW w:type="dxa" w:w="2353"/>
            <w:tcMar>
              <w:top w:type="dxa" w:w="40"/>
              <w:left w:type="dxa" w:w="80"/>
              <w:bottom w:type="dxa" w:w="40"/>
              <w:right w:type="dxa" w:w="80"/>
            </w:tcMar>
          </w:tcPr>
          <w:p>
            <w:r>
              <w:rPr>
                <w:sz w:val="16"/>
                <w:szCs w:val="16"/>
              </w:rPr>
              <w:t xml:space="preserve">DPEB, MINFI (MAC-009)</w:t>
            </w:r>
          </w:p>
        </w:tc>
      </w:tr>
      <w:tr>
        <w:trPr>
          <w:tblHeader w:val="false"/>
        </w:trPr>
        <w:tc>
          <w:tcPr>
            <w:tcW w:type="dxa" w:w="2353"/>
            <w:tcMar>
              <w:top w:type="dxa" w:w="40"/>
              <w:left w:type="dxa" w:w="80"/>
              <w:bottom w:type="dxa" w:w="40"/>
              <w:right w:type="dxa" w:w="80"/>
            </w:tcMar>
          </w:tcPr>
          <w:p>
            <w:r>
              <w:rPr>
                <w:sz w:val="16"/>
                <w:szCs w:val="16"/>
              </w:rPr>
              <w:t xml:space="preserve">Délai de paiement des fournisseurs</w:t>
            </w:r>
          </w:p>
        </w:tc>
        <w:tc>
          <w:tcPr>
            <w:tcW w:type="dxa" w:w="2353"/>
            <w:tcMar>
              <w:top w:type="dxa" w:w="40"/>
              <w:left w:type="dxa" w:w="80"/>
              <w:bottom w:type="dxa" w:w="40"/>
              <w:right w:type="dxa" w:w="80"/>
            </w:tcMar>
          </w:tcPr>
          <w:p>
            <w:r>
              <w:rPr>
                <w:sz w:val="16"/>
                <w:szCs w:val="16"/>
              </w:rPr>
              <w:t xml:space="preserve">&gt; 200 jours</w:t>
            </w:r>
          </w:p>
        </w:tc>
        <w:tc>
          <w:tcPr>
            <w:tcW w:type="dxa" w:w="2353"/>
            <w:tcMar>
              <w:top w:type="dxa" w:w="40"/>
              <w:left w:type="dxa" w:w="80"/>
              <w:bottom w:type="dxa" w:w="40"/>
              <w:right w:type="dxa" w:w="80"/>
            </w:tcMar>
          </w:tcPr>
          <w:p>
            <w:r>
              <w:rPr>
                <w:sz w:val="16"/>
                <w:szCs w:val="16"/>
              </w:rPr>
              <w:t xml:space="preserve">2025</w:t>
            </w:r>
          </w:p>
        </w:tc>
        <w:tc>
          <w:tcPr>
            <w:tcW w:type="dxa" w:w="2353"/>
            <w:tcMar>
              <w:top w:type="dxa" w:w="40"/>
              <w:left w:type="dxa" w:w="80"/>
              <w:bottom w:type="dxa" w:w="40"/>
              <w:right w:type="dxa" w:w="80"/>
            </w:tcMar>
          </w:tcPr>
          <w:p>
            <w:r>
              <w:rPr>
                <w:sz w:val="16"/>
                <w:szCs w:val="16"/>
              </w:rPr>
              <w:t xml:space="preserve">MINFI via presse (MAC-024)</w:t>
            </w:r>
          </w:p>
        </w:tc>
      </w:tr>
      <w:tr>
        <w:trPr>
          <w:tblHeader w:val="false"/>
        </w:trPr>
        <w:tc>
          <w:tcPr>
            <w:tcW w:type="dxa" w:w="2353"/>
            <w:tcMar>
              <w:top w:type="dxa" w:w="40"/>
              <w:left w:type="dxa" w:w="80"/>
              <w:bottom w:type="dxa" w:w="40"/>
              <w:right w:type="dxa" w:w="80"/>
            </w:tcMar>
          </w:tcPr>
          <w:p>
            <w:r>
              <w:rPr>
                <w:sz w:val="16"/>
                <w:szCs w:val="16"/>
              </w:rPr>
              <w:t xml:space="preserve">Soutien aux prix des carburants</w:t>
            </w:r>
          </w:p>
        </w:tc>
        <w:tc>
          <w:tcPr>
            <w:tcW w:type="dxa" w:w="2353"/>
            <w:tcMar>
              <w:top w:type="dxa" w:w="40"/>
              <w:left w:type="dxa" w:w="80"/>
              <w:bottom w:type="dxa" w:w="40"/>
              <w:right w:type="dxa" w:w="80"/>
            </w:tcMar>
          </w:tcPr>
          <w:p>
            <w:r>
              <w:rPr>
                <w:sz w:val="16"/>
                <w:szCs w:val="16"/>
              </w:rPr>
              <w:t xml:space="preserve">57 Mds FCFA en un mois</w:t>
            </w:r>
          </w:p>
        </w:tc>
        <w:tc>
          <w:tcPr>
            <w:tcW w:type="dxa" w:w="2353"/>
            <w:tcMar>
              <w:top w:type="dxa" w:w="40"/>
              <w:left w:type="dxa" w:w="80"/>
              <w:bottom w:type="dxa" w:w="40"/>
              <w:right w:type="dxa" w:w="80"/>
            </w:tcMar>
          </w:tcPr>
          <w:p>
            <w:r>
              <w:rPr>
                <w:sz w:val="16"/>
                <w:szCs w:val="16"/>
              </w:rPr>
              <w:t xml:space="preserve">Septembre 2026</w:t>
            </w:r>
          </w:p>
        </w:tc>
        <w:tc>
          <w:tcPr>
            <w:tcW w:type="dxa" w:w="2353"/>
            <w:tcMar>
              <w:top w:type="dxa" w:w="40"/>
              <w:left w:type="dxa" w:w="80"/>
              <w:bottom w:type="dxa" w:w="40"/>
              <w:right w:type="dxa" w:w="80"/>
            </w:tcMar>
          </w:tcPr>
          <w:p>
            <w:r>
              <w:rPr>
                <w:sz w:val="16"/>
                <w:szCs w:val="16"/>
              </w:rPr>
              <w:t xml:space="preserve">Ministre des Finances (VPL-03)</w:t>
            </w:r>
          </w:p>
        </w:tc>
      </w:tr>
      <w:tr>
        <w:trPr>
          <w:tblHeader w:val="false"/>
        </w:trPr>
        <w:tc>
          <w:tcPr>
            <w:tcW w:type="dxa" w:w="2353"/>
            <w:tcMar>
              <w:top w:type="dxa" w:w="40"/>
              <w:left w:type="dxa" w:w="80"/>
              <w:bottom w:type="dxa" w:w="40"/>
              <w:right w:type="dxa" w:w="80"/>
            </w:tcMar>
          </w:tcPr>
          <w:p>
            <w:r>
              <w:rPr>
                <w:sz w:val="16"/>
                <w:szCs w:val="16"/>
              </w:rPr>
              <w:t xml:space="preserve">Rendement des participations publiques</w:t>
            </w:r>
          </w:p>
        </w:tc>
        <w:tc>
          <w:tcPr>
            <w:tcW w:type="dxa" w:w="2353"/>
            <w:tcMar>
              <w:top w:type="dxa" w:w="40"/>
              <w:left w:type="dxa" w:w="80"/>
              <w:bottom w:type="dxa" w:w="40"/>
              <w:right w:type="dxa" w:w="80"/>
            </w:tcMar>
          </w:tcPr>
          <w:p>
            <w:r>
              <w:rPr>
                <w:sz w:val="16"/>
                <w:szCs w:val="16"/>
              </w:rPr>
              <w:t xml:space="preserve">55,85 Mds de dividendes pour 1 911 Mds investis (2,92 %)</w:t>
            </w:r>
          </w:p>
        </w:tc>
        <w:tc>
          <w:tcPr>
            <w:tcW w:type="dxa" w:w="2353"/>
            <w:tcMar>
              <w:top w:type="dxa" w:w="40"/>
              <w:left w:type="dxa" w:w="80"/>
              <w:bottom w:type="dxa" w:w="40"/>
              <w:right w:type="dxa" w:w="80"/>
            </w:tcMar>
          </w:tcPr>
          <w:p>
            <w:r>
              <w:rPr>
                <w:sz w:val="16"/>
                <w:szCs w:val="16"/>
              </w:rPr>
              <w:t xml:space="preserve">2024</w:t>
            </w:r>
          </w:p>
        </w:tc>
        <w:tc>
          <w:tcPr>
            <w:tcW w:type="dxa" w:w="2353"/>
            <w:tcMar>
              <w:top w:type="dxa" w:w="40"/>
              <w:left w:type="dxa" w:w="80"/>
              <w:bottom w:type="dxa" w:w="40"/>
              <w:right w:type="dxa" w:w="80"/>
            </w:tcMar>
          </w:tcPr>
          <w:p>
            <w:r>
              <w:rPr>
                <w:sz w:val="16"/>
                <w:szCs w:val="16"/>
              </w:rPr>
              <w:t xml:space="preserve">Chambre des comptes via presse (VPL-06)</w:t>
            </w:r>
          </w:p>
        </w:tc>
      </w:tr>
      <w:tr>
        <w:trPr>
          <w:tblHeader w:val="false"/>
        </w:trPr>
        <w:tc>
          <w:tcPr>
            <w:tcW w:type="dxa" w:w="2353"/>
            <w:tcMar>
              <w:top w:type="dxa" w:w="40"/>
              <w:left w:type="dxa" w:w="80"/>
              <w:bottom w:type="dxa" w:w="40"/>
              <w:right w:type="dxa" w:w="80"/>
            </w:tcMar>
          </w:tcPr>
          <w:p>
            <w:r>
              <w:rPr>
                <w:sz w:val="16"/>
                <w:szCs w:val="16"/>
              </w:rPr>
              <w:t xml:space="preserve">Exécution de l'investissement public</w:t>
            </w:r>
          </w:p>
        </w:tc>
        <w:tc>
          <w:tcPr>
            <w:tcW w:type="dxa" w:w="2353"/>
            <w:tcMar>
              <w:top w:type="dxa" w:w="40"/>
              <w:left w:type="dxa" w:w="80"/>
              <w:bottom w:type="dxa" w:w="40"/>
              <w:right w:type="dxa" w:w="80"/>
            </w:tcMar>
          </w:tcPr>
          <w:p>
            <w:r>
              <w:rPr>
                <w:sz w:val="16"/>
                <w:szCs w:val="16"/>
              </w:rPr>
              <w:t xml:space="preserve">73 % (57 % sur financements extérieurs)</w:t>
            </w:r>
          </w:p>
        </w:tc>
        <w:tc>
          <w:tcPr>
            <w:tcW w:type="dxa" w:w="2353"/>
            <w:tcMar>
              <w:top w:type="dxa" w:w="40"/>
              <w:left w:type="dxa" w:w="80"/>
              <w:bottom w:type="dxa" w:w="40"/>
              <w:right w:type="dxa" w:w="80"/>
            </w:tcMar>
          </w:tcPr>
          <w:p>
            <w:r>
              <w:rPr>
                <w:sz w:val="16"/>
                <w:szCs w:val="16"/>
              </w:rPr>
              <w:t xml:space="preserve">2025</w:t>
            </w:r>
          </w:p>
        </w:tc>
        <w:tc>
          <w:tcPr>
            <w:tcW w:type="dxa" w:w="2353"/>
            <w:tcMar>
              <w:top w:type="dxa" w:w="40"/>
              <w:left w:type="dxa" w:w="80"/>
              <w:bottom w:type="dxa" w:w="40"/>
              <w:right w:type="dxa" w:w="80"/>
            </w:tcMar>
          </w:tcPr>
          <w:p>
            <w:r>
              <w:rPr>
                <w:sz w:val="16"/>
                <w:szCs w:val="16"/>
              </w:rPr>
              <w:t xml:space="preserve">MAC-009</w:t>
            </w:r>
          </w:p>
        </w:tc>
      </w:tr>
      <w:tr>
        <w:trPr>
          <w:tblHeader w:val="false"/>
        </w:trPr>
        <w:tc>
          <w:tcPr>
            <w:tcW w:type="dxa" w:w="2353"/>
            <w:tcMar>
              <w:top w:type="dxa" w:w="40"/>
              <w:left w:type="dxa" w:w="80"/>
              <w:bottom w:type="dxa" w:w="40"/>
              <w:right w:type="dxa" w:w="80"/>
            </w:tcMar>
          </w:tcPr>
          <w:p>
            <w:r>
              <w:rPr>
                <w:sz w:val="16"/>
                <w:szCs w:val="16"/>
              </w:rPr>
              <w:t xml:space="preserve">Électricité</w:t>
            </w:r>
          </w:p>
        </w:tc>
        <w:tc>
          <w:tcPr>
            <w:tcW w:type="dxa" w:w="2353"/>
            <w:tcMar>
              <w:top w:type="dxa" w:w="40"/>
              <w:left w:type="dxa" w:w="80"/>
              <w:bottom w:type="dxa" w:w="40"/>
              <w:right w:type="dxa" w:w="80"/>
            </w:tcMar>
          </w:tcPr>
          <w:p>
            <w:r>
              <w:rPr>
                <w:sz w:val="16"/>
                <w:szCs w:val="16"/>
              </w:rPr>
              <w:t xml:space="preserve">Pertes ≈30 % (Banque mondiale, 2026 ; 29 % selon le MINEE) ; recouvrement 72 à 77,5 % ; tarif moyen 83,46 FCFA/kWh pour un coût de 105,46 (≈80 % du coût) ; accès rural 23,3 % (2021)</w:t>
            </w:r>
          </w:p>
        </w:tc>
        <w:tc>
          <w:tcPr>
            <w:tcW w:type="dxa" w:w="2353"/>
            <w:tcMar>
              <w:top w:type="dxa" w:w="40"/>
              <w:left w:type="dxa" w:w="80"/>
              <w:bottom w:type="dxa" w:w="40"/>
              <w:right w:type="dxa" w:w="80"/>
            </w:tcMar>
          </w:tcPr>
          <w:p>
            <w:r>
              <w:rPr>
                <w:sz w:val="16"/>
                <w:szCs w:val="16"/>
              </w:rPr>
              <w:t xml:space="preserve">2021-2025</w:t>
            </w:r>
          </w:p>
        </w:tc>
        <w:tc>
          <w:tcPr>
            <w:tcW w:type="dxa" w:w="2353"/>
            <w:tcMar>
              <w:top w:type="dxa" w:w="40"/>
              <w:left w:type="dxa" w:w="80"/>
              <w:bottom w:type="dxa" w:w="40"/>
              <w:right w:type="dxa" w:w="80"/>
            </w:tcMar>
          </w:tcPr>
          <w:p>
            <w:r>
              <w:rPr>
                <w:sz w:val="16"/>
                <w:szCs w:val="16"/>
              </w:rPr>
              <w:t xml:space="preserve">VFF-015, VFF-017, ECO-01</w:t>
            </w:r>
          </w:p>
        </w:tc>
      </w:tr>
      <w:tr>
        <w:trPr>
          <w:tblHeader w:val="false"/>
        </w:trPr>
        <w:tc>
          <w:tcPr>
            <w:tcW w:type="dxa" w:w="2353"/>
            <w:tcMar>
              <w:top w:type="dxa" w:w="40"/>
              <w:left w:type="dxa" w:w="80"/>
              <w:bottom w:type="dxa" w:w="40"/>
              <w:right w:type="dxa" w:w="80"/>
            </w:tcMar>
          </w:tcPr>
          <w:p>
            <w:r>
              <w:rPr>
                <w:sz w:val="16"/>
                <w:szCs w:val="16"/>
              </w:rPr>
              <w:t xml:space="preserve">Importations alimentaires</w:t>
            </w:r>
          </w:p>
        </w:tc>
        <w:tc>
          <w:tcPr>
            <w:tcW w:type="dxa" w:w="2353"/>
            <w:tcMar>
              <w:top w:type="dxa" w:w="40"/>
              <w:left w:type="dxa" w:w="80"/>
              <w:bottom w:type="dxa" w:w="40"/>
              <w:right w:type="dxa" w:w="80"/>
            </w:tcMar>
          </w:tcPr>
          <w:p>
            <w:r>
              <w:rPr>
                <w:sz w:val="16"/>
                <w:szCs w:val="16"/>
              </w:rPr>
              <w:t xml:space="preserve">Riz 869 039 t ; blé 1 139 403 t ; poisson congelé 267 259 t</w:t>
            </w:r>
          </w:p>
        </w:tc>
        <w:tc>
          <w:tcPr>
            <w:tcW w:type="dxa" w:w="2353"/>
            <w:tcMar>
              <w:top w:type="dxa" w:w="40"/>
              <w:left w:type="dxa" w:w="80"/>
              <w:bottom w:type="dxa" w:w="40"/>
              <w:right w:type="dxa" w:w="80"/>
            </w:tcMar>
          </w:tcPr>
          <w:p>
            <w:r>
              <w:rPr>
                <w:sz w:val="16"/>
                <w:szCs w:val="16"/>
              </w:rPr>
              <w:t xml:space="preserve">2025</w:t>
            </w:r>
          </w:p>
        </w:tc>
        <w:tc>
          <w:tcPr>
            <w:tcW w:type="dxa" w:w="2353"/>
            <w:tcMar>
              <w:top w:type="dxa" w:w="40"/>
              <w:left w:type="dxa" w:w="80"/>
              <w:bottom w:type="dxa" w:w="40"/>
              <w:right w:type="dxa" w:w="80"/>
            </w:tcMar>
          </w:tcPr>
          <w:p>
            <w:r>
              <w:rPr>
                <w:sz w:val="16"/>
                <w:szCs w:val="16"/>
              </w:rPr>
              <w:t xml:space="preserve">INS (ECO-03)</w:t>
            </w:r>
          </w:p>
        </w:tc>
      </w:tr>
      <w:tr>
        <w:trPr>
          <w:tblHeader w:val="false"/>
        </w:trPr>
        <w:tc>
          <w:tcPr>
            <w:tcW w:type="dxa" w:w="2353"/>
            <w:tcMar>
              <w:top w:type="dxa" w:w="40"/>
              <w:left w:type="dxa" w:w="80"/>
              <w:bottom w:type="dxa" w:w="40"/>
              <w:right w:type="dxa" w:w="80"/>
            </w:tcMar>
          </w:tcPr>
          <w:p>
            <w:r>
              <w:rPr>
                <w:sz w:val="16"/>
                <w:szCs w:val="16"/>
              </w:rPr>
              <w:t xml:space="preserve">Paiements directs de santé</w:t>
            </w:r>
          </w:p>
        </w:tc>
        <w:tc>
          <w:tcPr>
            <w:tcW w:type="dxa" w:w="2353"/>
            <w:tcMar>
              <w:top w:type="dxa" w:w="40"/>
              <w:left w:type="dxa" w:w="80"/>
              <w:bottom w:type="dxa" w:w="40"/>
              <w:right w:type="dxa" w:w="80"/>
            </w:tcMar>
          </w:tcPr>
          <w:p>
            <w:r>
              <w:rPr>
                <w:sz w:val="16"/>
                <w:szCs w:val="16"/>
              </w:rPr>
              <w:t xml:space="preserve">67,7 % de la dépense courante de santé</w:t>
            </w:r>
          </w:p>
        </w:tc>
        <w:tc>
          <w:tcPr>
            <w:tcW w:type="dxa" w:w="2353"/>
            <w:tcMar>
              <w:top w:type="dxa" w:w="40"/>
              <w:left w:type="dxa" w:w="80"/>
              <w:bottom w:type="dxa" w:w="40"/>
              <w:right w:type="dxa" w:w="80"/>
            </w:tcMar>
          </w:tcPr>
          <w:p>
            <w:r>
              <w:rPr>
                <w:sz w:val="16"/>
                <w:szCs w:val="16"/>
              </w:rPr>
              <w:t xml:space="preserve">2023</w:t>
            </w:r>
          </w:p>
        </w:tc>
        <w:tc>
          <w:tcPr>
            <w:tcW w:type="dxa" w:w="2353"/>
            <w:tcMar>
              <w:top w:type="dxa" w:w="40"/>
              <w:left w:type="dxa" w:w="80"/>
              <w:bottom w:type="dxa" w:w="40"/>
              <w:right w:type="dxa" w:w="80"/>
            </w:tcMar>
          </w:tcPr>
          <w:p>
            <w:r>
              <w:rPr>
                <w:sz w:val="16"/>
                <w:szCs w:val="16"/>
              </w:rPr>
              <w:t xml:space="preserve">OMS-GHED (SOC-006)</w:t>
            </w:r>
          </w:p>
        </w:tc>
      </w:tr>
      <w:tr>
        <w:trPr>
          <w:tblHeader w:val="false"/>
        </w:trPr>
        <w:tc>
          <w:tcPr>
            <w:tcW w:type="dxa" w:w="2353"/>
            <w:tcMar>
              <w:top w:type="dxa" w:w="40"/>
              <w:left w:type="dxa" w:w="80"/>
              <w:bottom w:type="dxa" w:w="40"/>
              <w:right w:type="dxa" w:w="80"/>
            </w:tcMar>
          </w:tcPr>
          <w:p>
            <w:r>
              <w:rPr>
                <w:sz w:val="16"/>
                <w:szCs w:val="16"/>
              </w:rPr>
              <w:t xml:space="preserve">Personnes dans le besoin humanitaire</w:t>
            </w:r>
          </w:p>
        </w:tc>
        <w:tc>
          <w:tcPr>
            <w:tcW w:type="dxa" w:w="2353"/>
            <w:tcMar>
              <w:top w:type="dxa" w:w="40"/>
              <w:left w:type="dxa" w:w="80"/>
              <w:bottom w:type="dxa" w:w="40"/>
              <w:right w:type="dxa" w:w="80"/>
            </w:tcMar>
          </w:tcPr>
          <w:p>
            <w:r>
              <w:rPr>
                <w:sz w:val="16"/>
                <w:szCs w:val="16"/>
              </w:rPr>
              <w:t xml:space="preserve">2,9 millions ; plan financé à ≈32 %</w:t>
            </w:r>
          </w:p>
        </w:tc>
        <w:tc>
          <w:tcPr>
            <w:tcW w:type="dxa" w:w="2353"/>
            <w:tcMar>
              <w:top w:type="dxa" w:w="40"/>
              <w:left w:type="dxa" w:w="80"/>
              <w:bottom w:type="dxa" w:w="40"/>
              <w:right w:type="dxa" w:w="80"/>
            </w:tcMar>
          </w:tcPr>
          <w:p>
            <w:r>
              <w:rPr>
                <w:sz w:val="16"/>
                <w:szCs w:val="16"/>
              </w:rPr>
              <w:t xml:space="preserve">2026</w:t>
            </w:r>
          </w:p>
        </w:tc>
        <w:tc>
          <w:tcPr>
            <w:tcW w:type="dxa" w:w="2353"/>
            <w:tcMar>
              <w:top w:type="dxa" w:w="40"/>
              <w:left w:type="dxa" w:w="80"/>
              <w:bottom w:type="dxa" w:w="40"/>
              <w:right w:type="dxa" w:w="80"/>
            </w:tcMar>
          </w:tcPr>
          <w:p>
            <w:r>
              <w:rPr>
                <w:sz w:val="16"/>
                <w:szCs w:val="16"/>
              </w:rPr>
              <w:t xml:space="preserve">OCHA (GOV-001, GOV-002)</w:t>
            </w:r>
          </w:p>
        </w:tc>
      </w:tr>
      <w:tr>
        <w:trPr>
          <w:tblHeader w:val="false"/>
        </w:trPr>
        <w:tc>
          <w:tcPr>
            <w:tcW w:type="dxa" w:w="2353"/>
            <w:tcMar>
              <w:top w:type="dxa" w:w="40"/>
              <w:left w:type="dxa" w:w="80"/>
              <w:bottom w:type="dxa" w:w="40"/>
              <w:right w:type="dxa" w:w="80"/>
            </w:tcMar>
          </w:tcPr>
          <w:p>
            <w:r>
              <w:rPr>
                <w:sz w:val="16"/>
                <w:szCs w:val="16"/>
              </w:rPr>
              <w:t xml:space="preserve">Transferts aux collectivités (DGD)</w:t>
            </w:r>
          </w:p>
        </w:tc>
        <w:tc>
          <w:tcPr>
            <w:tcW w:type="dxa" w:w="2353"/>
            <w:tcMar>
              <w:top w:type="dxa" w:w="40"/>
              <w:left w:type="dxa" w:w="80"/>
              <w:bottom w:type="dxa" w:w="40"/>
              <w:right w:type="dxa" w:w="80"/>
            </w:tcMar>
          </w:tcPr>
          <w:p>
            <w:r>
              <w:rPr>
                <w:sz w:val="16"/>
                <w:szCs w:val="16"/>
              </w:rPr>
              <w:t xml:space="preserve">2,08 % des recettes, pour un plancher légal de 15 %</w:t>
            </w:r>
          </w:p>
        </w:tc>
        <w:tc>
          <w:tcPr>
            <w:tcW w:type="dxa" w:w="2353"/>
            <w:tcMar>
              <w:top w:type="dxa" w:w="40"/>
              <w:left w:type="dxa" w:w="80"/>
              <w:bottom w:type="dxa" w:w="40"/>
              <w:right w:type="dxa" w:w="80"/>
            </w:tcMar>
          </w:tcPr>
          <w:p>
            <w:r>
              <w:rPr>
                <w:sz w:val="16"/>
                <w:szCs w:val="16"/>
              </w:rPr>
              <w:t xml:space="preserve">2024</w:t>
            </w:r>
          </w:p>
        </w:tc>
        <w:tc>
          <w:tcPr>
            <w:tcW w:type="dxa" w:w="2353"/>
            <w:tcMar>
              <w:top w:type="dxa" w:w="40"/>
              <w:left w:type="dxa" w:w="80"/>
              <w:bottom w:type="dxa" w:w="40"/>
              <w:right w:type="dxa" w:w="80"/>
            </w:tcMar>
          </w:tcPr>
          <w:p>
            <w:r>
              <w:rPr>
                <w:sz w:val="16"/>
                <w:szCs w:val="16"/>
              </w:rPr>
              <w:t xml:space="preserve">Chambre des comptes via presse (GOV-025)</w:t>
            </w:r>
          </w:p>
        </w:tc>
      </w:tr>
      <w:tr>
        <w:trPr>
          <w:tblHeader w:val="false"/>
        </w:trPr>
        <w:tc>
          <w:tcPr>
            <w:tcW w:type="dxa" w:w="2353"/>
            <w:tcMar>
              <w:top w:type="dxa" w:w="40"/>
              <w:left w:type="dxa" w:w="80"/>
              <w:bottom w:type="dxa" w:w="40"/>
              <w:right w:type="dxa" w:w="80"/>
            </w:tcMar>
          </w:tcPr>
          <w:p>
            <w:r>
              <w:rPr>
                <w:sz w:val="16"/>
                <w:szCs w:val="16"/>
              </w:rPr>
              <w:t xml:space="preserve">Recensement (RGPH4)</w:t>
            </w:r>
          </w:p>
        </w:tc>
        <w:tc>
          <w:tcPr>
            <w:tcW w:type="dxa" w:w="2353"/>
            <w:tcMar>
              <w:top w:type="dxa" w:w="40"/>
              <w:left w:type="dxa" w:w="80"/>
              <w:bottom w:type="dxa" w:w="40"/>
              <w:right w:type="dxa" w:w="80"/>
            </w:tcMar>
          </w:tcPr>
          <w:p>
            <w:r>
              <w:rPr>
                <w:sz w:val="16"/>
                <w:szCs w:val="16"/>
              </w:rPr>
              <w:t xml:space="preserve">Collecte 24/04 → 15/09/2026 ; résultats début 2027</w:t>
            </w:r>
          </w:p>
        </w:tc>
        <w:tc>
          <w:tcPr>
            <w:tcW w:type="dxa" w:w="2353"/>
            <w:tcMar>
              <w:top w:type="dxa" w:w="40"/>
              <w:left w:type="dxa" w:w="80"/>
              <w:bottom w:type="dxa" w:w="40"/>
              <w:right w:type="dxa" w:w="80"/>
            </w:tcMar>
          </w:tcPr>
          <w:p>
            <w:r>
              <w:rPr>
                <w:sz w:val="16"/>
                <w:szCs w:val="16"/>
              </w:rPr>
              <w:t xml:space="preserve">2026</w:t>
            </w:r>
          </w:p>
        </w:tc>
        <w:tc>
          <w:tcPr>
            <w:tcW w:type="dxa" w:w="2353"/>
            <w:tcMar>
              <w:top w:type="dxa" w:w="40"/>
              <w:left w:type="dxa" w:w="80"/>
              <w:bottom w:type="dxa" w:w="40"/>
              <w:right w:type="dxa" w:w="80"/>
            </w:tcMar>
          </w:tcPr>
          <w:p>
            <w:r>
              <w:rPr>
                <w:sz w:val="16"/>
                <w:szCs w:val="16"/>
              </w:rPr>
              <w:t xml:space="preserve">PRP-49 à 51</w:t>
            </w:r>
          </w:p>
        </w:tc>
      </w:tr>
    </w:tbl>
    <w:p>
      <w:pPr>
        <w:spacing w:after="80"/>
      </w:pPr>
    </w:p>
    <w:p>
      <w:pPr>
        <w:pStyle w:val="Heading1"/>
      </w:pPr>
      <w:r>
        <w:t xml:space="preserve">3. Arbitrages adoptés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Question</w:t>
            </w:r>
          </w:p>
        </w:tc>
        <w:tc>
          <w:tcPr>
            <w:tcW w:type="dxa" w:w="3137"/>
            <w:shd w:fill="DCE3EE" w:color="auto" w:val="clear"/>
            <w:tcMar>
              <w:top w:type="dxa" w:w="40"/>
              <w:left w:type="dxa" w:w="80"/>
              <w:bottom w:type="dxa" w:w="40"/>
              <w:right w:type="dxa" w:w="80"/>
            </w:tcMar>
          </w:tcPr>
          <w:p>
            <w:r>
              <w:rPr>
                <w:b/>
                <w:bCs/>
                <w:sz w:val="16"/>
                <w:szCs w:val="16"/>
              </w:rPr>
              <w:t xml:space="preserve">Décision retenue</w:t>
            </w:r>
          </w:p>
        </w:tc>
        <w:tc>
          <w:tcPr>
            <w:tcW w:type="dxa" w:w="3137"/>
            <w:shd w:fill="DCE3EE" w:color="auto" w:val="clear"/>
            <w:tcMar>
              <w:top w:type="dxa" w:w="40"/>
              <w:left w:type="dxa" w:w="80"/>
              <w:bottom w:type="dxa" w:w="40"/>
              <w:right w:type="dxa" w:w="80"/>
            </w:tcMar>
          </w:tcPr>
          <w:p>
            <w:r>
              <w:rPr>
                <w:b/>
                <w:bCs/>
                <w:sz w:val="16"/>
                <w:szCs w:val="16"/>
              </w:rPr>
              <w:t xml:space="preserve">Décision écartée</w:t>
            </w:r>
          </w:p>
        </w:tc>
      </w:tr>
      <w:tr>
        <w:trPr>
          <w:tblHeader w:val="false"/>
        </w:trPr>
        <w:tc>
          <w:tcPr>
            <w:tcW w:type="dxa" w:w="3137"/>
            <w:tcMar>
              <w:top w:type="dxa" w:w="40"/>
              <w:left w:type="dxa" w:w="80"/>
              <w:bottom w:type="dxa" w:w="40"/>
              <w:right w:type="dxa" w:w="80"/>
            </w:tcMar>
          </w:tcPr>
          <w:p>
            <w:r>
              <w:rPr>
                <w:sz w:val="16"/>
                <w:szCs w:val="16"/>
              </w:rPr>
              <w:t xml:space="preserve">Financement à court terme</w:t>
            </w:r>
          </w:p>
        </w:tc>
        <w:tc>
          <w:tcPr>
            <w:tcW w:type="dxa" w:w="3137"/>
            <w:tcMar>
              <w:top w:type="dxa" w:w="40"/>
              <w:left w:type="dxa" w:w="80"/>
              <w:bottom w:type="dxa" w:w="40"/>
              <w:right w:type="dxa" w:w="80"/>
            </w:tcMar>
          </w:tcPr>
          <w:p>
            <w:r>
              <w:rPr>
                <w:sz w:val="16"/>
                <w:szCs w:val="16"/>
              </w:rPr>
              <w:t xml:space="preserve">Programme avec le FMI et appuis budgétaires multilatéraux</w:t>
            </w:r>
          </w:p>
        </w:tc>
        <w:tc>
          <w:tcPr>
            <w:tcW w:type="dxa" w:w="3137"/>
            <w:tcMar>
              <w:top w:type="dxa" w:w="40"/>
              <w:left w:type="dxa" w:w="80"/>
              <w:bottom w:type="dxa" w:w="40"/>
              <w:right w:type="dxa" w:w="80"/>
            </w:tcMar>
          </w:tcPr>
          <w:p>
            <w:r>
              <w:rPr>
                <w:sz w:val="16"/>
                <w:szCs w:val="16"/>
              </w:rPr>
              <w:t xml:space="preserve">Emprunts commerciaux à plus de 10 %</w:t>
            </w:r>
          </w:p>
        </w:tc>
      </w:tr>
      <w:tr>
        <w:trPr>
          <w:tblHeader w:val="false"/>
        </w:trPr>
        <w:tc>
          <w:tcPr>
            <w:tcW w:type="dxa" w:w="3137"/>
            <w:tcMar>
              <w:top w:type="dxa" w:w="40"/>
              <w:left w:type="dxa" w:w="80"/>
              <w:bottom w:type="dxa" w:w="40"/>
              <w:right w:type="dxa" w:w="80"/>
            </w:tcMar>
          </w:tcPr>
          <w:p>
            <w:r>
              <w:rPr>
                <w:sz w:val="16"/>
                <w:szCs w:val="16"/>
              </w:rPr>
              <w:t xml:space="preserve">Monnaie et capitaux</w:t>
            </w:r>
          </w:p>
        </w:tc>
        <w:tc>
          <w:tcPr>
            <w:tcW w:type="dxa" w:w="3137"/>
            <w:tcMar>
              <w:top w:type="dxa" w:w="40"/>
              <w:left w:type="dxa" w:w="80"/>
              <w:bottom w:type="dxa" w:w="40"/>
              <w:right w:type="dxa" w:w="80"/>
            </w:tcMar>
          </w:tcPr>
          <w:p>
            <w:r>
              <w:rPr>
                <w:sz w:val="16"/>
                <w:szCs w:val="16"/>
              </w:rPr>
              <w:t xml:space="preserve">Maintien dans la zone BEAC ; étude indépendante de long terme sur le régime monétaire ; lutte anti-blanchiment</w:t>
            </w:r>
          </w:p>
        </w:tc>
        <w:tc>
          <w:tcPr>
            <w:tcW w:type="dxa" w:w="3137"/>
            <w:tcMar>
              <w:top w:type="dxa" w:w="40"/>
              <w:left w:type="dxa" w:w="80"/>
              <w:bottom w:type="dxa" w:w="40"/>
              <w:right w:type="dxa" w:w="80"/>
            </w:tcMar>
          </w:tcPr>
          <w:p>
            <w:r>
              <w:rPr>
                <w:sz w:val="16"/>
                <w:szCs w:val="16"/>
              </w:rPr>
              <w:t xml:space="preserve">Monnaie nationale et contrôle des capitaux unilatéraux (compétence CEMAC)</w:t>
            </w:r>
          </w:p>
        </w:tc>
      </w:tr>
      <w:tr>
        <w:trPr>
          <w:tblHeader w:val="false"/>
        </w:trPr>
        <w:tc>
          <w:tcPr>
            <w:tcW w:type="dxa" w:w="3137"/>
            <w:tcMar>
              <w:top w:type="dxa" w:w="40"/>
              <w:left w:type="dxa" w:w="80"/>
              <w:bottom w:type="dxa" w:w="40"/>
              <w:right w:type="dxa" w:w="80"/>
            </w:tcMar>
          </w:tcPr>
          <w:p>
            <w:r>
              <w:rPr>
                <w:sz w:val="16"/>
                <w:szCs w:val="16"/>
              </w:rPr>
              <w:t xml:space="preserve">Carburants</w:t>
            </w:r>
          </w:p>
        </w:tc>
        <w:tc>
          <w:tcPr>
            <w:tcW w:type="dxa" w:w="3137"/>
            <w:tcMar>
              <w:top w:type="dxa" w:w="40"/>
              <w:left w:type="dxa" w:w="80"/>
              <w:bottom w:type="dxa" w:w="40"/>
              <w:right w:type="dxa" w:w="80"/>
            </w:tcMar>
          </w:tcPr>
          <w:p>
            <w:r>
              <w:rPr>
                <w:sz w:val="16"/>
                <w:szCs w:val="16"/>
              </w:rPr>
              <w:t xml:space="preserve">Fin progressive du soutien universel. Chaque hausse n'intervient qu'</w:t>
            </w:r>
            <w:r>
              <w:rPr>
                <w:b/>
                <w:bCs/>
                <w:sz w:val="16"/>
                <w:szCs w:val="16"/>
              </w:rPr>
              <w:t xml:space="preserve">après</w:t>
            </w:r>
            <w:r>
              <w:rPr>
                <w:sz w:val="16"/>
                <w:szCs w:val="16"/>
              </w:rPr>
              <w:t xml:space="preserve"> le versement des transferts aux ménages pauvres</w:t>
            </w:r>
          </w:p>
        </w:tc>
        <w:tc>
          <w:tcPr>
            <w:tcW w:type="dxa" w:w="3137"/>
            <w:tcMar>
              <w:top w:type="dxa" w:w="40"/>
              <w:left w:type="dxa" w:w="80"/>
              <w:bottom w:type="dxa" w:w="40"/>
              <w:right w:type="dxa" w:w="80"/>
            </w:tcMar>
          </w:tcPr>
          <w:p>
            <w:r>
              <w:rPr>
                <w:sz w:val="16"/>
                <w:szCs w:val="16"/>
              </w:rPr>
              <w:t xml:space="preserve">Gel indéfini des prix ; hausse brutale</w:t>
            </w:r>
          </w:p>
        </w:tc>
      </w:tr>
      <w:tr>
        <w:trPr>
          <w:tblHeader w:val="false"/>
        </w:trPr>
        <w:tc>
          <w:tcPr>
            <w:tcW w:type="dxa" w:w="3137"/>
            <w:tcMar>
              <w:top w:type="dxa" w:w="40"/>
              <w:left w:type="dxa" w:w="80"/>
              <w:bottom w:type="dxa" w:w="40"/>
              <w:right w:type="dxa" w:w="80"/>
            </w:tcMar>
          </w:tcPr>
          <w:p>
            <w:r>
              <w:rPr>
                <w:sz w:val="16"/>
                <w:szCs w:val="16"/>
              </w:rPr>
              <w:t xml:space="preserve">Dirigeants des entreprises et établissements publics</w:t>
            </w:r>
          </w:p>
        </w:tc>
        <w:tc>
          <w:tcPr>
            <w:tcW w:type="dxa" w:w="3137"/>
            <w:tcMar>
              <w:top w:type="dxa" w:w="40"/>
              <w:left w:type="dxa" w:w="80"/>
              <w:bottom w:type="dxa" w:w="40"/>
              <w:right w:type="dxa" w:w="80"/>
            </w:tcMar>
          </w:tcPr>
          <w:p>
            <w:r>
              <w:rPr>
                <w:sz w:val="16"/>
                <w:szCs w:val="16"/>
              </w:rPr>
              <w:t xml:space="preserve">Application immédiate de la limite légale de 9 ans ; recrutement sur appel public ; audit de passation</w:t>
            </w:r>
          </w:p>
        </w:tc>
        <w:tc>
          <w:tcPr>
            <w:tcW w:type="dxa" w:w="3137"/>
            <w:tcMar>
              <w:top w:type="dxa" w:w="40"/>
              <w:left w:type="dxa" w:w="80"/>
              <w:bottom w:type="dxa" w:w="40"/>
              <w:right w:type="dxa" w:w="80"/>
            </w:tcMar>
          </w:tcPr>
          <w:p>
            <w:r>
              <w:rPr>
                <w:sz w:val="16"/>
                <w:szCs w:val="16"/>
              </w:rPr>
              <w:t xml:space="preserve">Révocation en bloc sans procédure</w:t>
            </w:r>
          </w:p>
        </w:tc>
      </w:tr>
      <w:tr>
        <w:trPr>
          <w:tblHeader w:val="false"/>
        </w:trPr>
        <w:tc>
          <w:tcPr>
            <w:tcW w:type="dxa" w:w="3137"/>
            <w:tcMar>
              <w:top w:type="dxa" w:w="40"/>
              <w:left w:type="dxa" w:w="80"/>
              <w:bottom w:type="dxa" w:w="40"/>
              <w:right w:type="dxa" w:w="80"/>
            </w:tcMar>
          </w:tcPr>
          <w:p>
            <w:r>
              <w:rPr>
                <w:sz w:val="16"/>
                <w:szCs w:val="16"/>
              </w:rPr>
              <w:t xml:space="preserve">Biens mal acquis</w:t>
            </w:r>
          </w:p>
        </w:tc>
        <w:tc>
          <w:tcPr>
            <w:tcW w:type="dxa" w:w="3137"/>
            <w:tcMar>
              <w:top w:type="dxa" w:w="40"/>
              <w:left w:type="dxa" w:w="80"/>
              <w:bottom w:type="dxa" w:w="40"/>
              <w:right w:type="dxa" w:w="80"/>
            </w:tcMar>
          </w:tcPr>
          <w:p>
            <w:r>
              <w:rPr>
                <w:sz w:val="16"/>
                <w:szCs w:val="16"/>
              </w:rPr>
              <w:t xml:space="preserve">Cellule de recouvrement, loi de confiscation, coopération internationale ; aucune recette inscrite au budget</w:t>
            </w:r>
          </w:p>
        </w:tc>
        <w:tc>
          <w:tcPr>
            <w:tcW w:type="dxa" w:w="3137"/>
            <w:tcMar>
              <w:top w:type="dxa" w:w="40"/>
              <w:left w:type="dxa" w:w="80"/>
              <w:bottom w:type="dxa" w:w="40"/>
              <w:right w:type="dxa" w:w="80"/>
            </w:tcMar>
          </w:tcPr>
          <w:p>
            <w:r>
              <w:rPr>
                <w:sz w:val="16"/>
                <w:szCs w:val="16"/>
              </w:rPr>
              <w:t xml:space="preserve">Inscription de recettes de recouvrement au budget</w:t>
            </w:r>
          </w:p>
        </w:tc>
      </w:tr>
      <w:tr>
        <w:trPr>
          <w:tblHeader w:val="false"/>
        </w:trPr>
        <w:tc>
          <w:tcPr>
            <w:tcW w:type="dxa" w:w="3137"/>
            <w:tcMar>
              <w:top w:type="dxa" w:w="40"/>
              <w:left w:type="dxa" w:w="80"/>
              <w:bottom w:type="dxa" w:w="40"/>
              <w:right w:type="dxa" w:w="80"/>
            </w:tcMar>
          </w:tcPr>
          <w:p>
            <w:r>
              <w:rPr>
                <w:sz w:val="16"/>
                <w:szCs w:val="16"/>
              </w:rPr>
              <w:t xml:space="preserve">Sanction des crimes financiers</w:t>
            </w:r>
          </w:p>
        </w:tc>
        <w:tc>
          <w:tcPr>
            <w:tcW w:type="dxa" w:w="3137"/>
            <w:tcMar>
              <w:top w:type="dxa" w:w="40"/>
              <w:left w:type="dxa" w:w="80"/>
              <w:bottom w:type="dxa" w:w="40"/>
              <w:right w:type="dxa" w:w="80"/>
            </w:tcMar>
          </w:tcPr>
          <w:p>
            <w:r>
              <w:rPr>
                <w:sz w:val="16"/>
                <w:szCs w:val="16"/>
              </w:rPr>
              <w:t xml:space="preserve">Perpétuité effective, confiscation élargie, inéligibilité, délais de jugement</w:t>
            </w:r>
          </w:p>
        </w:tc>
        <w:tc>
          <w:tcPr>
            <w:tcW w:type="dxa" w:w="3137"/>
            <w:tcMar>
              <w:top w:type="dxa" w:w="40"/>
              <w:left w:type="dxa" w:w="80"/>
              <w:bottom w:type="dxa" w:w="40"/>
              <w:right w:type="dxa" w:w="80"/>
            </w:tcMar>
          </w:tcPr>
          <w:p>
            <w:r>
              <w:rPr>
                <w:b/>
                <w:bCs/>
                <w:sz w:val="16"/>
                <w:szCs w:val="16"/>
              </w:rPr>
              <w:t xml:space="preserve">Peine de mort</w:t>
            </w:r>
            <w:r>
              <w:rPr>
                <w:sz w:val="16"/>
                <w:szCs w:val="16"/>
              </w:rPr>
              <w:t xml:space="preserve"> : non prévue pour le détournement, sans effet démontré, et bloquante pour l'entraide internationale</w:t>
            </w:r>
          </w:p>
        </w:tc>
      </w:tr>
      <w:tr>
        <w:trPr>
          <w:tblHeader w:val="false"/>
        </w:trPr>
        <w:tc>
          <w:tcPr>
            <w:tcW w:type="dxa" w:w="3137"/>
            <w:tcMar>
              <w:top w:type="dxa" w:w="40"/>
              <w:left w:type="dxa" w:w="80"/>
              <w:bottom w:type="dxa" w:w="40"/>
              <w:right w:type="dxa" w:w="80"/>
            </w:tcMar>
          </w:tcPr>
          <w:p>
            <w:r>
              <w:rPr>
                <w:sz w:val="16"/>
                <w:szCs w:val="16"/>
              </w:rPr>
              <w:t xml:space="preserve">Importations alimentaires</w:t>
            </w:r>
          </w:p>
        </w:tc>
        <w:tc>
          <w:tcPr>
            <w:tcW w:type="dxa" w:w="3137"/>
            <w:tcMar>
              <w:top w:type="dxa" w:w="40"/>
              <w:left w:type="dxa" w:w="80"/>
              <w:bottom w:type="dxa" w:w="40"/>
              <w:right w:type="dxa" w:w="80"/>
            </w:tcMar>
          </w:tcPr>
          <w:p>
            <w:r>
              <w:rPr>
                <w:sz w:val="16"/>
                <w:szCs w:val="16"/>
              </w:rPr>
              <w:t xml:space="preserve">Substitution programmée par paliers, protection douanière légale, achats publics locaux</w:t>
            </w:r>
          </w:p>
        </w:tc>
        <w:tc>
          <w:tcPr>
            <w:tcW w:type="dxa" w:w="3137"/>
            <w:tcMar>
              <w:top w:type="dxa" w:w="40"/>
              <w:left w:type="dxa" w:w="80"/>
              <w:bottom w:type="dxa" w:w="40"/>
              <w:right w:type="dxa" w:w="80"/>
            </w:tcMar>
          </w:tcPr>
          <w:p>
            <w:r>
              <w:rPr>
                <w:sz w:val="16"/>
                <w:szCs w:val="16"/>
              </w:rPr>
              <w:t xml:space="preserve">Arrêt immédiat des importations</w:t>
            </w:r>
          </w:p>
        </w:tc>
      </w:tr>
      <w:tr>
        <w:trPr>
          <w:tblHeader w:val="false"/>
        </w:trPr>
        <w:tc>
          <w:tcPr>
            <w:tcW w:type="dxa" w:w="3137"/>
            <w:tcMar>
              <w:top w:type="dxa" w:w="40"/>
              <w:left w:type="dxa" w:w="80"/>
              <w:bottom w:type="dxa" w:w="40"/>
              <w:right w:type="dxa" w:w="80"/>
            </w:tcMar>
          </w:tcPr>
          <w:p>
            <w:r>
              <w:rPr>
                <w:sz w:val="16"/>
                <w:szCs w:val="16"/>
              </w:rPr>
              <w:t xml:space="preserve">Ressources naturelles</w:t>
            </w:r>
          </w:p>
        </w:tc>
        <w:tc>
          <w:tcPr>
            <w:tcW w:type="dxa" w:w="3137"/>
            <w:tcMar>
              <w:top w:type="dxa" w:w="40"/>
              <w:left w:type="dxa" w:w="80"/>
              <w:bottom w:type="dxa" w:w="40"/>
              <w:right w:type="dxa" w:w="80"/>
            </w:tcMar>
          </w:tcPr>
          <w:p>
            <w:r>
              <w:rPr>
                <w:sz w:val="16"/>
                <w:szCs w:val="16"/>
              </w:rPr>
              <w:t xml:space="preserve">Règle de prix de référence et fonds de stabilisation ; conventions publiées</w:t>
            </w:r>
          </w:p>
        </w:tc>
        <w:tc>
          <w:tcPr>
            <w:tcW w:type="dxa" w:w="3137"/>
            <w:tcMar>
              <w:top w:type="dxa" w:w="40"/>
              <w:left w:type="dxa" w:w="80"/>
              <w:bottom w:type="dxa" w:w="40"/>
              <w:right w:type="dxa" w:w="80"/>
            </w:tcMar>
          </w:tcPr>
          <w:p>
            <w:r>
              <w:rPr>
                <w:sz w:val="16"/>
                <w:szCs w:val="16"/>
              </w:rPr>
              <w:t xml:space="preserve">Fonds de 10 000 Mds/an ; budget « centré » sur la rente</w:t>
            </w:r>
          </w:p>
        </w:tc>
      </w:tr>
      <w:tr>
        <w:trPr>
          <w:tblHeader w:val="false"/>
        </w:trPr>
        <w:tc>
          <w:tcPr>
            <w:tcW w:type="dxa" w:w="3137"/>
            <w:tcMar>
              <w:top w:type="dxa" w:w="40"/>
              <w:left w:type="dxa" w:w="80"/>
              <w:bottom w:type="dxa" w:w="40"/>
              <w:right w:type="dxa" w:w="80"/>
            </w:tcMar>
          </w:tcPr>
          <w:p>
            <w:r>
              <w:rPr>
                <w:sz w:val="16"/>
                <w:szCs w:val="16"/>
              </w:rPr>
              <w:t xml:space="preserve">Salaires publics</w:t>
            </w:r>
          </w:p>
        </w:tc>
        <w:tc>
          <w:tcPr>
            <w:tcW w:type="dxa" w:w="3137"/>
            <w:tcMar>
              <w:top w:type="dxa" w:w="40"/>
              <w:left w:type="dxa" w:w="80"/>
              <w:bottom w:type="dxa" w:w="40"/>
              <w:right w:type="dxa" w:w="80"/>
            </w:tcMar>
          </w:tcPr>
          <w:p>
            <w:r>
              <w:rPr>
                <w:sz w:val="16"/>
                <w:szCs w:val="16"/>
              </w:rPr>
              <w:t xml:space="preserve">Paiement des arriérés dus ; revalorisations ciblées (enseignants et soignants ruraux)</w:t>
            </w:r>
          </w:p>
        </w:tc>
        <w:tc>
          <w:tcPr>
            <w:tcW w:type="dxa" w:w="3137"/>
            <w:tcMar>
              <w:top w:type="dxa" w:w="40"/>
              <w:left w:type="dxa" w:w="80"/>
              <w:bottom w:type="dxa" w:w="40"/>
              <w:right w:type="dxa" w:w="80"/>
            </w:tcMar>
          </w:tcPr>
          <w:p>
            <w:r>
              <w:rPr>
                <w:sz w:val="16"/>
                <w:szCs w:val="16"/>
              </w:rPr>
              <w:t xml:space="preserve">Hausse générale de 30 % (≈488 Mds/an)</w:t>
            </w:r>
          </w:p>
        </w:tc>
      </w:tr>
      <w:tr>
        <w:trPr>
          <w:tblHeader w:val="false"/>
        </w:trPr>
        <w:tc>
          <w:tcPr>
            <w:tcW w:type="dxa" w:w="3137"/>
            <w:tcMar>
              <w:top w:type="dxa" w:w="40"/>
              <w:left w:type="dxa" w:w="80"/>
              <w:bottom w:type="dxa" w:w="40"/>
              <w:right w:type="dxa" w:w="80"/>
            </w:tcMar>
          </w:tcPr>
          <w:p>
            <w:r>
              <w:rPr>
                <w:sz w:val="16"/>
                <w:szCs w:val="16"/>
              </w:rPr>
              <w:t xml:space="preserve">Énergie</w:t>
            </w:r>
          </w:p>
        </w:tc>
        <w:tc>
          <w:tcPr>
            <w:tcW w:type="dxa" w:w="3137"/>
            <w:tcMar>
              <w:top w:type="dxa" w:w="40"/>
              <w:left w:type="dxa" w:w="80"/>
              <w:bottom w:type="dxa" w:w="40"/>
              <w:right w:type="dxa" w:w="80"/>
            </w:tcMar>
          </w:tcPr>
          <w:p>
            <w:r>
              <w:rPr>
                <w:sz w:val="16"/>
                <w:szCs w:val="16"/>
              </w:rPr>
              <w:t xml:space="preserve">Réseau, pertes et recouvrement d'abord</w:t>
            </w:r>
          </w:p>
        </w:tc>
        <w:tc>
          <w:tcPr>
            <w:tcW w:type="dxa" w:w="3137"/>
            <w:tcMar>
              <w:top w:type="dxa" w:w="40"/>
              <w:left w:type="dxa" w:w="80"/>
              <w:bottom w:type="dxa" w:w="40"/>
              <w:right w:type="dxa" w:w="80"/>
            </w:tcMar>
          </w:tcPr>
          <w:p>
            <w:r>
              <w:rPr>
                <w:sz w:val="16"/>
                <w:szCs w:val="16"/>
              </w:rPr>
              <w:t xml:space="preserve">10 000 MW additionnels d'ici 2033</w:t>
            </w:r>
          </w:p>
        </w:tc>
      </w:tr>
      <w:tr>
        <w:trPr>
          <w:tblHeader w:val="false"/>
        </w:trPr>
        <w:tc>
          <w:tcPr>
            <w:tcW w:type="dxa" w:w="3137"/>
            <w:tcMar>
              <w:top w:type="dxa" w:w="40"/>
              <w:left w:type="dxa" w:w="80"/>
              <w:bottom w:type="dxa" w:w="40"/>
              <w:right w:type="dxa" w:w="80"/>
            </w:tcMar>
          </w:tcPr>
          <w:p>
            <w:r>
              <w:rPr>
                <w:sz w:val="16"/>
                <w:szCs w:val="16"/>
              </w:rPr>
              <w:t xml:space="preserve">Villes</w:t>
            </w:r>
          </w:p>
        </w:tc>
        <w:tc>
          <w:tcPr>
            <w:tcW w:type="dxa" w:w="3137"/>
            <w:tcMar>
              <w:top w:type="dxa" w:w="40"/>
              <w:left w:type="dxa" w:w="80"/>
              <w:bottom w:type="dxa" w:w="40"/>
              <w:right w:type="dxa" w:w="80"/>
            </w:tcMar>
          </w:tcPr>
          <w:p>
            <w:r>
              <w:rPr>
                <w:sz w:val="16"/>
                <w:szCs w:val="16"/>
              </w:rPr>
              <w:t xml:space="preserve">Aménagement des villes existantes ; une ville nouvelle pilote après étude de demande</w:t>
            </w:r>
          </w:p>
        </w:tc>
        <w:tc>
          <w:tcPr>
            <w:tcW w:type="dxa" w:w="3137"/>
            <w:tcMar>
              <w:top w:type="dxa" w:w="40"/>
              <w:left w:type="dxa" w:w="80"/>
              <w:bottom w:type="dxa" w:w="40"/>
              <w:right w:type="dxa" w:w="80"/>
            </w:tcMar>
          </w:tcPr>
          <w:p>
            <w:r>
              <w:rPr>
                <w:sz w:val="16"/>
                <w:szCs w:val="16"/>
              </w:rPr>
              <w:t xml:space="preserve">Programme de villes nouvelles dans chaque région</w:t>
            </w:r>
          </w:p>
        </w:tc>
      </w:tr>
      <w:tr>
        <w:trPr>
          <w:tblHeader w:val="false"/>
        </w:trPr>
        <w:tc>
          <w:tcPr>
            <w:tcW w:type="dxa" w:w="3137"/>
            <w:tcMar>
              <w:top w:type="dxa" w:w="40"/>
              <w:left w:type="dxa" w:w="80"/>
              <w:bottom w:type="dxa" w:w="40"/>
              <w:right w:type="dxa" w:w="80"/>
            </w:tcMar>
          </w:tcPr>
          <w:p>
            <w:r>
              <w:rPr>
                <w:sz w:val="16"/>
                <w:szCs w:val="16"/>
              </w:rPr>
              <w:t xml:space="preserve">Décentralisation</w:t>
            </w:r>
          </w:p>
        </w:tc>
        <w:tc>
          <w:tcPr>
            <w:tcW w:type="dxa" w:w="3137"/>
            <w:tcMar>
              <w:top w:type="dxa" w:w="40"/>
              <w:left w:type="dxa" w:w="80"/>
              <w:bottom w:type="dxa" w:w="40"/>
              <w:right w:type="dxa" w:w="80"/>
            </w:tcMar>
          </w:tcPr>
          <w:p>
            <w:r>
              <w:rPr>
                <w:sz w:val="16"/>
                <w:szCs w:val="16"/>
              </w:rPr>
              <w:t xml:space="preserve">Trajectoire vers le plancher légal de 15 % des recettes, conditionnée à des comptes certifiés</w:t>
            </w:r>
          </w:p>
        </w:tc>
        <w:tc>
          <w:tcPr>
            <w:tcW w:type="dxa" w:w="3137"/>
            <w:tcMar>
              <w:top w:type="dxa" w:w="40"/>
              <w:left w:type="dxa" w:w="80"/>
              <w:bottom w:type="dxa" w:w="40"/>
              <w:right w:type="dxa" w:w="80"/>
            </w:tcMar>
          </w:tcPr>
          <w:p>
            <w:r>
              <w:rPr>
                <w:sz w:val="16"/>
                <w:szCs w:val="16"/>
              </w:rPr>
              <w:t xml:space="preserve">Statu quo</w:t>
            </w:r>
          </w:p>
        </w:tc>
      </w:tr>
    </w:tbl>
    <w:p>
      <w:pPr>
        <w:spacing w:after="80"/>
      </w:pPr>
    </w:p>
    <w:p>
      <w:pPr>
        <w:pStyle w:val="Heading1"/>
      </w:pPr>
      <w:r>
        <w:t xml:space="preserve">4. Les huit chantiers</w:t>
      </w:r>
    </w:p>
    <w:p>
      <w:pPr>
        <w:pStyle w:val="Heading2"/>
      </w:pPr>
      <w:r>
        <w:t xml:space="preserve">Chantier 1 — Stabilisation financière et confiance</w:t>
      </w:r>
    </w:p>
    <w:p>
      <w:pPr>
        <w:spacing w:after="120"/>
      </w:pPr>
      <w:r>
        <w:rPr>
          <w:b/>
          <w:bCs/>
        </w:rPr>
        <w:t xml:space="preserve">Objectif.</w:t>
      </w:r>
      <w:r>
        <w:t xml:space="preserve"> Rétablir la liquidité de l'État, baisser le coût de la dette et payer les entreprises à temps.</w:t>
      </w:r>
    </w:p>
    <w:p>
      <w:pPr>
        <w:spacing w:after="120"/>
      </w:pPr>
      <w:r>
        <w:rPr>
          <w:b/>
          <w:bCs/>
        </w:rPr>
        <w:t xml:space="preserve">Décisions</w:t>
      </w:r>
    </w:p>
    <w:p>
      <w:pPr>
        <w:pStyle w:val="ListParagraph"/>
        <w:numPr>
          <w:ilvl w:val="0"/>
          <w:numId w:val="4"/>
        </w:numPr>
        <w:spacing w:after="80"/>
      </w:pPr>
      <w:r>
        <w:t xml:space="preserve">Mandat de négociation d'un programme FMI (FEC/MEDC avec volet résilience) et d'appuis Banque mondiale et BAD.</w:t>
      </w:r>
    </w:p>
    <w:p>
      <w:pPr>
        <w:pStyle w:val="ListParagraph"/>
        <w:numPr>
          <w:ilvl w:val="0"/>
          <w:numId w:val="4"/>
        </w:numPr>
        <w:spacing w:after="80"/>
      </w:pPr>
      <w:r>
        <w:t xml:space="preserve">Interdiction de tout nouvel emprunt ou crédit fournisseur sans visa de la CAA et du Comité national de la dette.</w:t>
      </w:r>
    </w:p>
    <w:p>
      <w:pPr>
        <w:pStyle w:val="ListParagraph"/>
        <w:numPr>
          <w:ilvl w:val="0"/>
          <w:numId w:val="4"/>
        </w:numPr>
        <w:spacing w:after="80"/>
      </w:pPr>
      <w:r>
        <w:t xml:space="preserve">Audit de certification des restes à payer par la Chambre des comptes et le CONSUPE :</w:t>
      </w:r>
    </w:p>
    <w:p>
      <w:pPr>
        <w:pStyle w:val="ListParagraph"/>
        <w:numPr>
          <w:ilvl w:val="1"/>
          <w:numId w:val="2"/>
        </w:numPr>
        <w:spacing w:after="60"/>
      </w:pPr>
      <w:r>
        <w:t xml:space="preserve">rejet des créances fictives ;</w:t>
      </w:r>
    </w:p>
    <w:p>
      <w:pPr>
        <w:pStyle w:val="ListParagraph"/>
        <w:numPr>
          <w:ilvl w:val="1"/>
          <w:numId w:val="2"/>
        </w:numPr>
        <w:spacing w:after="60"/>
      </w:pPr>
      <w:r>
        <w:t xml:space="preserve">paiement comptant des petites créances (moins de 50 M FCFA) ;</w:t>
      </w:r>
    </w:p>
    <w:p>
      <w:pPr>
        <w:pStyle w:val="ListParagraph"/>
        <w:numPr>
          <w:ilvl w:val="1"/>
          <w:numId w:val="2"/>
        </w:numPr>
        <w:spacing w:after="60"/>
      </w:pPr>
      <w:r>
        <w:t xml:space="preserve">titrisation du reste en obligations du Trésor de 3 à 7 ans, sur la BVMAC.</w:t>
      </w:r>
    </w:p>
    <w:p>
      <w:pPr>
        <w:pStyle w:val="ListParagraph"/>
        <w:numPr>
          <w:ilvl w:val="0"/>
          <w:numId w:val="4"/>
        </w:numPr>
        <w:spacing w:after="80"/>
      </w:pPr>
      <w:r>
        <w:t xml:space="preserve">Règle de paiement à 60 jours, avec publication mensuelle des délais.</w:t>
      </w:r>
    </w:p>
    <w:p>
      <w:pPr>
        <w:spacing w:after="120"/>
      </w:pPr>
      <w:r>
        <w:rPr>
          <w:b/>
          <w:bCs/>
        </w:rPr>
        <w:t xml:space="preserve">Autorité.</w:t>
      </w:r>
      <w:r>
        <w:t xml:space="preserve"> Président (mandat de négociation), ministre des Finances (MINFI), CAA. Parlement pour la loi de finances rectificative et les plafonds d'endettement.</w:t>
      </w:r>
    </w:p>
    <w:p>
      <w:pPr>
        <w:spacing w:after="120"/>
      </w:pPr>
      <w:r>
        <w:rPr>
          <w:b/>
          <w:bCs/>
        </w:rPr>
        <w:t xml:space="preserve">Calendrier</w:t>
      </w:r>
    </w:p>
    <w:p>
      <w:pPr>
        <w:pStyle w:val="ListParagraph"/>
        <w:numPr>
          <w:ilvl w:val="0"/>
          <w:numId w:val="2"/>
        </w:numPr>
        <w:spacing w:after="60"/>
      </w:pPr>
      <w:r>
        <w:t xml:space="preserve">100 jours : mission FMI, BM et BAD ; circulaire de visa CAA ; stock d'arriérés certifié publié.</w:t>
      </w:r>
    </w:p>
    <w:p>
      <w:pPr>
        <w:pStyle w:val="ListParagraph"/>
        <w:numPr>
          <w:ilvl w:val="0"/>
          <w:numId w:val="2"/>
        </w:numPr>
        <w:spacing w:after="60"/>
      </w:pPr>
      <w:r>
        <w:t xml:space="preserve">1 an : accord-programme ; première tranche titrisée.</w:t>
      </w:r>
    </w:p>
    <w:p>
      <w:pPr>
        <w:pStyle w:val="ListParagraph"/>
        <w:numPr>
          <w:ilvl w:val="0"/>
          <w:numId w:val="2"/>
        </w:numPr>
        <w:spacing w:after="60"/>
      </w:pPr>
      <w:r>
        <w:t xml:space="preserve">3 ans : délai de paiement inférieur à 60 jours.</w:t>
      </w:r>
    </w:p>
    <w:p>
      <w:pPr>
        <w:spacing w:after="120"/>
      </w:pPr>
      <w:r>
        <w:rPr>
          <w:b/>
          <w:bCs/>
        </w:rPr>
        <w:t xml:space="preserve">Coût et financement.</w:t>
      </w:r>
      <w:r>
        <w:t xml:space="preserve"> L'apurement comptant représente environ 150 Mds par an (hypothèse). Il est financé par les appuis budgétaires (300 Mds par an dans le scénario central) et la titrisation. Les restes à payer de plus de 3 mois figurent déjà dans l'encours de la dette : leur titrisation ne l'augmente pas.</w:t>
      </w:r>
    </w:p>
    <w:p>
      <w:pPr>
        <w:spacing w:after="120"/>
      </w:pPr>
      <w:r>
        <w:rPr>
          <w:b/>
          <w:bCs/>
        </w:rPr>
        <w:t xml:space="preserve">Indicateurs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Indicateur</w:t>
            </w:r>
          </w:p>
        </w:tc>
        <w:tc>
          <w:tcPr>
            <w:tcW w:type="dxa" w:w="3137"/>
            <w:shd w:fill="DCE3EE" w:color="auto" w:val="clear"/>
            <w:tcMar>
              <w:top w:type="dxa" w:w="40"/>
              <w:left w:type="dxa" w:w="80"/>
              <w:bottom w:type="dxa" w:w="40"/>
              <w:right w:type="dxa" w:w="80"/>
            </w:tcMar>
          </w:tcPr>
          <w:p>
            <w:r>
              <w:rPr>
                <w:b/>
                <w:bCs/>
                <w:sz w:val="16"/>
                <w:szCs w:val="16"/>
              </w:rPr>
              <w:t xml:space="preserve">Départ</w:t>
            </w:r>
          </w:p>
        </w:tc>
        <w:tc>
          <w:tcPr>
            <w:tcW w:type="dxa" w:w="3137"/>
            <w:shd w:fill="DCE3EE" w:color="auto" w:val="clear"/>
            <w:tcMar>
              <w:top w:type="dxa" w:w="40"/>
              <w:left w:type="dxa" w:w="80"/>
              <w:bottom w:type="dxa" w:w="40"/>
              <w:right w:type="dxa" w:w="80"/>
            </w:tcMar>
          </w:tcPr>
          <w:p>
            <w:r>
              <w:rPr>
                <w:b/>
                <w:bCs/>
                <w:sz w:val="16"/>
                <w:szCs w:val="16"/>
              </w:rPr>
              <w:t xml:space="preserve">Cible à 3 ans</w:t>
            </w:r>
          </w:p>
        </w:tc>
      </w:tr>
      <w:tr>
        <w:trPr>
          <w:tblHeader w:val="false"/>
        </w:trPr>
        <w:tc>
          <w:tcPr>
            <w:tcW w:type="dxa" w:w="3137"/>
            <w:tcMar>
              <w:top w:type="dxa" w:w="40"/>
              <w:left w:type="dxa" w:w="80"/>
              <w:bottom w:type="dxa" w:w="40"/>
              <w:right w:type="dxa" w:w="80"/>
            </w:tcMar>
          </w:tcPr>
          <w:p>
            <w:r>
              <w:rPr>
                <w:sz w:val="16"/>
                <w:szCs w:val="16"/>
              </w:rPr>
              <w:t xml:space="preserve">Délai de paiement</w:t>
            </w:r>
          </w:p>
        </w:tc>
        <w:tc>
          <w:tcPr>
            <w:tcW w:type="dxa" w:w="3137"/>
            <w:tcMar>
              <w:top w:type="dxa" w:w="40"/>
              <w:left w:type="dxa" w:w="80"/>
              <w:bottom w:type="dxa" w:w="40"/>
              <w:right w:type="dxa" w:w="80"/>
            </w:tcMar>
          </w:tcPr>
          <w:p>
            <w:r>
              <w:rPr>
                <w:sz w:val="16"/>
                <w:szCs w:val="16"/>
              </w:rPr>
              <w:t xml:space="preserve">Plus de 200 jours (2025)</w:t>
            </w:r>
          </w:p>
        </w:tc>
        <w:tc>
          <w:tcPr>
            <w:tcW w:type="dxa" w:w="3137"/>
            <w:tcMar>
              <w:top w:type="dxa" w:w="40"/>
              <w:left w:type="dxa" w:w="80"/>
              <w:bottom w:type="dxa" w:w="40"/>
              <w:right w:type="dxa" w:w="80"/>
            </w:tcMar>
          </w:tcPr>
          <w:p>
            <w:r>
              <w:rPr>
                <w:sz w:val="16"/>
                <w:szCs w:val="16"/>
              </w:rPr>
              <w:t xml:space="preserve">Moins de 60 jours</w:t>
            </w:r>
          </w:p>
        </w:tc>
      </w:tr>
      <w:tr>
        <w:trPr>
          <w:tblHeader w:val="false"/>
        </w:trPr>
        <w:tc>
          <w:tcPr>
            <w:tcW w:type="dxa" w:w="3137"/>
            <w:tcMar>
              <w:top w:type="dxa" w:w="40"/>
              <w:left w:type="dxa" w:w="80"/>
              <w:bottom w:type="dxa" w:w="40"/>
              <w:right w:type="dxa" w:w="80"/>
            </w:tcMar>
          </w:tcPr>
          <w:p>
            <w:r>
              <w:rPr>
                <w:sz w:val="16"/>
                <w:szCs w:val="16"/>
              </w:rPr>
              <w:t xml:space="preserve">Stock d'arriérés certifiés</w:t>
            </w:r>
          </w:p>
        </w:tc>
        <w:tc>
          <w:tcPr>
            <w:tcW w:type="dxa" w:w="3137"/>
            <w:tcMar>
              <w:top w:type="dxa" w:w="40"/>
              <w:left w:type="dxa" w:w="80"/>
              <w:bottom w:type="dxa" w:w="40"/>
              <w:right w:type="dxa" w:w="80"/>
            </w:tcMar>
          </w:tcPr>
          <w:p>
            <w:r>
              <w:rPr>
                <w:sz w:val="16"/>
                <w:szCs w:val="16"/>
              </w:rPr>
              <w:t xml:space="preserve">À établir en 100 jours</w:t>
            </w:r>
          </w:p>
        </w:tc>
        <w:tc>
          <w:tcPr>
            <w:tcW w:type="dxa" w:w="3137"/>
            <w:tcMar>
              <w:top w:type="dxa" w:w="40"/>
              <w:left w:type="dxa" w:w="80"/>
              <w:bottom w:type="dxa" w:w="40"/>
              <w:right w:type="dxa" w:w="80"/>
            </w:tcMar>
          </w:tcPr>
          <w:p>
            <w:r>
              <w:rPr>
                <w:sz w:val="16"/>
                <w:szCs w:val="16"/>
              </w:rPr>
              <w:t xml:space="preserve">−70 % (proposée)</w:t>
            </w:r>
          </w:p>
        </w:tc>
      </w:tr>
      <w:tr>
        <w:trPr>
          <w:tblHeader w:val="false"/>
        </w:trPr>
        <w:tc>
          <w:tcPr>
            <w:tcW w:type="dxa" w:w="3137"/>
            <w:tcMar>
              <w:top w:type="dxa" w:w="40"/>
              <w:left w:type="dxa" w:w="80"/>
              <w:bottom w:type="dxa" w:w="40"/>
              <w:right w:type="dxa" w:w="80"/>
            </w:tcMar>
          </w:tcPr>
          <w:p>
            <w:r>
              <w:rPr>
                <w:sz w:val="16"/>
                <w:szCs w:val="16"/>
              </w:rPr>
              <w:t xml:space="preserve">Rendement Eurobond</w:t>
            </w:r>
          </w:p>
        </w:tc>
        <w:tc>
          <w:tcPr>
            <w:tcW w:type="dxa" w:w="3137"/>
            <w:tcMar>
              <w:top w:type="dxa" w:w="40"/>
              <w:left w:type="dxa" w:w="80"/>
              <w:bottom w:type="dxa" w:w="40"/>
              <w:right w:type="dxa" w:w="80"/>
            </w:tcMar>
          </w:tcPr>
          <w:p>
            <w:r>
              <w:rPr>
                <w:sz w:val="16"/>
                <w:szCs w:val="16"/>
              </w:rPr>
              <w:t xml:space="preserve">10,65 %</w:t>
            </w:r>
          </w:p>
        </w:tc>
        <w:tc>
          <w:tcPr>
            <w:tcW w:type="dxa" w:w="3137"/>
            <w:tcMar>
              <w:top w:type="dxa" w:w="40"/>
              <w:left w:type="dxa" w:w="80"/>
              <w:bottom w:type="dxa" w:w="40"/>
              <w:right w:type="dxa" w:w="80"/>
            </w:tcMar>
          </w:tcPr>
          <w:p>
            <w:r>
              <w:rPr>
                <w:sz w:val="16"/>
                <w:szCs w:val="16"/>
              </w:rPr>
              <w:t xml:space="preserve">En baisse (sous 8 % : scénario favorable)</w:t>
            </w:r>
          </w:p>
        </w:tc>
      </w:tr>
    </w:tbl>
    <w:p>
      <w:pPr>
        <w:spacing w:after="80"/>
      </w:pPr>
    </w:p>
    <w:p>
      <w:pPr>
        <w:spacing w:after="120"/>
      </w:pPr>
      <w:r>
        <w:rPr>
          <w:b/>
          <w:bCs/>
        </w:rPr>
        <w:t xml:space="preserve">Risques.</w:t>
      </w:r>
      <w:r>
        <w:t xml:space="preserve"> Absence d'accord avec le FMI (scénario défavorable), créances fictives, résistances. </w:t>
      </w:r>
      <w:r>
        <w:rPr>
          <w:b/>
          <w:bCs/>
        </w:rPr>
        <w:t xml:space="preserve">Correctif :</w:t>
      </w:r>
      <w:r>
        <w:t xml:space="preserve"> publication systématique et audit tiers.</w:t>
      </w:r>
    </w:p>
    <w:p>
      <w:pPr>
        <w:pStyle w:val="Heading2"/>
      </w:pPr>
      <w:r>
        <w:t xml:space="preserve">Chantier 2 — Carburants et SONARA</w:t>
      </w:r>
    </w:p>
    <w:p>
      <w:pPr>
        <w:spacing w:after="120"/>
      </w:pPr>
      <w:r>
        <w:rPr>
          <w:b/>
          <w:bCs/>
        </w:rPr>
        <w:t xml:space="preserve">Objectif.</w:t>
      </w:r>
      <w:r>
        <w:t xml:space="preserve"> Supprimer en trois ans une dépense d'environ 576 Mds par an, au rythme de 2026, qui bénéficie surtout aux ménages aisés, tout en protégeant les plus pauvres.</w:t>
      </w:r>
    </w:p>
    <w:p>
      <w:pPr>
        <w:spacing w:after="120"/>
      </w:pPr>
      <w:r>
        <w:rPr>
          <w:b/>
          <w:bCs/>
        </w:rPr>
        <w:t xml:space="preserve">Décisions</w:t>
      </w:r>
    </w:p>
    <w:p>
      <w:pPr>
        <w:pStyle w:val="ListParagraph"/>
        <w:numPr>
          <w:ilvl w:val="0"/>
          <w:numId w:val="5"/>
        </w:numPr>
        <w:spacing w:after="80"/>
      </w:pPr>
      <w:r>
        <w:t xml:space="preserve">Mécanisme automatique de prix, avec paliers trimestriels plafonnés.</w:t>
      </w:r>
    </w:p>
    <w:p>
      <w:pPr>
        <w:pStyle w:val="ListParagraph"/>
        <w:numPr>
          <w:ilvl w:val="0"/>
          <w:numId w:val="5"/>
        </w:numPr>
        <w:spacing w:after="80"/>
      </w:pPr>
      <w:r>
        <w:rPr>
          <w:b/>
          <w:bCs/>
        </w:rPr>
        <w:t xml:space="preserve">Règle « transfert d'abord »</w:t>
      </w:r>
      <w:r>
        <w:t xml:space="preserve"> : aucun palier de hausse avant le versement effectif des transferts.</w:t>
      </w:r>
    </w:p>
    <w:p>
      <w:pPr>
        <w:pStyle w:val="ListParagraph"/>
        <w:numPr>
          <w:ilvl w:val="0"/>
          <w:numId w:val="5"/>
        </w:numPr>
        <w:spacing w:after="80"/>
      </w:pPr>
      <w:r>
        <w:t xml:space="preserve">Transferts monétaires de 25 000 FCFA par mois et par ménage via le mobile money :</w:t>
      </w:r>
    </w:p>
    <w:p>
      <w:pPr>
        <w:pStyle w:val="ListParagraph"/>
        <w:numPr>
          <w:ilvl w:val="1"/>
          <w:numId w:val="2"/>
        </w:numPr>
        <w:spacing w:after="60"/>
      </w:pPr>
      <w:r>
        <w:t xml:space="preserve">150 000 ménages en 2027 ;</w:t>
      </w:r>
    </w:p>
    <w:p>
      <w:pPr>
        <w:pStyle w:val="ListParagraph"/>
        <w:numPr>
          <w:ilvl w:val="1"/>
          <w:numId w:val="2"/>
        </w:numPr>
        <w:spacing w:after="60"/>
      </w:pPr>
      <w:r>
        <w:t xml:space="preserve">300 000 en 2029, ciblés sur les données du RGPH4 et du registre social.</w:t>
      </w:r>
    </w:p>
    <w:p>
      <w:pPr>
        <w:pStyle w:val="ListParagraph"/>
        <w:numPr>
          <w:ilvl w:val="0"/>
          <w:numId w:val="5"/>
        </w:numPr>
        <w:spacing w:after="80"/>
      </w:pPr>
      <w:r>
        <w:t xml:space="preserve">Tarif transporteur temporaire pour les transports publics enregistrés.</w:t>
      </w:r>
    </w:p>
    <w:p>
      <w:pPr>
        <w:pStyle w:val="ListParagraph"/>
        <w:numPr>
          <w:ilvl w:val="0"/>
          <w:numId w:val="5"/>
        </w:numPr>
        <w:spacing w:after="80"/>
      </w:pPr>
      <w:r>
        <w:t xml:space="preserve">Restructuration de la SONARA sur la base d'un audit : importateur régulé, ou relance partielle seulement si l'audit en démontre la rentabilité.</w:t>
      </w:r>
    </w:p>
    <w:p>
      <w:pPr>
        <w:spacing w:after="120"/>
      </w:pPr>
      <w:r>
        <w:rPr>
          <w:b/>
          <w:bCs/>
        </w:rPr>
        <w:t xml:space="preserve">Autorité.</w:t>
      </w:r>
      <w:r>
        <w:t xml:space="preserve"> Gouvernement (prix administrés, CSPH), MINFI, MINCOMMERCE, MINAS.</w:t>
      </w:r>
    </w:p>
    <w:p>
      <w:pPr>
        <w:spacing w:after="120"/>
      </w:pPr>
      <w:r>
        <w:rPr>
          <w:b/>
          <w:bCs/>
        </w:rPr>
        <w:t xml:space="preserve">Calendrier</w:t>
      </w:r>
    </w:p>
    <w:p>
      <w:pPr>
        <w:pStyle w:val="ListParagraph"/>
        <w:numPr>
          <w:ilvl w:val="0"/>
          <w:numId w:val="2"/>
        </w:numPr>
        <w:spacing w:after="60"/>
      </w:pPr>
      <w:r>
        <w:t xml:space="preserve">100 jours : registre des bénéficiaires dans l'Extrême-Nord, le Nord-Ouest et le Sud-Ouest ; premiers transferts ; premier palier si les transferts sont versés.</w:t>
      </w:r>
    </w:p>
    <w:p>
      <w:pPr>
        <w:pStyle w:val="ListParagraph"/>
        <w:numPr>
          <w:ilvl w:val="0"/>
          <w:numId w:val="2"/>
        </w:numPr>
        <w:spacing w:after="60"/>
      </w:pPr>
      <w:r>
        <w:t xml:space="preserve">1 an : 150 000 ménages servis.</w:t>
      </w:r>
    </w:p>
    <w:p>
      <w:pPr>
        <w:pStyle w:val="ListParagraph"/>
        <w:numPr>
          <w:ilvl w:val="0"/>
          <w:numId w:val="2"/>
        </w:numPr>
        <w:spacing w:after="60"/>
      </w:pPr>
      <w:r>
        <w:t xml:space="preserve">3 ans : soutien universel nul.</w:t>
      </w:r>
    </w:p>
    <w:p>
      <w:pPr>
        <w:spacing w:after="120"/>
      </w:pPr>
      <w:r>
        <w:rPr>
          <w:b/>
          <w:bCs/>
        </w:rPr>
        <w:t xml:space="preserve">Coût et effet net</w:t>
      </w:r>
      <w:r>
        <w:t xml:space="preserve"> (scénario central)</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2353"/>
        <w:gridCol w:w="2353"/>
        <w:gridCol w:w="2353"/>
      </w:tblGrid>
      <w:tr>
        <w:trPr>
          <w:tblHeader/>
        </w:trPr>
        <w:tc>
          <w:tcPr>
            <w:tcW w:type="dxa" w:w="2353"/>
            <w:shd w:fill="DCE3EE" w:color="auto" w:val="clear"/>
            <w:tcMar>
              <w:top w:type="dxa" w:w="40"/>
              <w:left w:type="dxa" w:w="80"/>
              <w:bottom w:type="dxa" w:w="40"/>
              <w:right w:type="dxa" w:w="80"/>
            </w:tcMar>
          </w:tcPr>
          <w:p/>
        </w:tc>
        <w:tc>
          <w:tcPr>
            <w:tcW w:type="dxa" w:w="2353"/>
            <w:shd w:fill="DCE3EE" w:color="auto" w:val="clear"/>
            <w:tcMar>
              <w:top w:type="dxa" w:w="40"/>
              <w:left w:type="dxa" w:w="80"/>
              <w:bottom w:type="dxa" w:w="40"/>
              <w:right w:type="dxa" w:w="80"/>
            </w:tcMar>
          </w:tcPr>
          <w:p>
            <w:r>
              <w:rPr>
                <w:b/>
                <w:bCs/>
                <w:sz w:val="16"/>
                <w:szCs w:val="16"/>
              </w:rPr>
              <w:t xml:space="preserve">2027</w:t>
            </w:r>
          </w:p>
        </w:tc>
        <w:tc>
          <w:tcPr>
            <w:tcW w:type="dxa" w:w="2353"/>
            <w:shd w:fill="DCE3EE" w:color="auto" w:val="clear"/>
            <w:tcMar>
              <w:top w:type="dxa" w:w="40"/>
              <w:left w:type="dxa" w:w="80"/>
              <w:bottom w:type="dxa" w:w="40"/>
              <w:right w:type="dxa" w:w="80"/>
            </w:tcMar>
          </w:tcPr>
          <w:p>
            <w:r>
              <w:rPr>
                <w:b/>
                <w:bCs/>
                <w:sz w:val="16"/>
                <w:szCs w:val="16"/>
              </w:rPr>
              <w:t xml:space="preserve">2028</w:t>
            </w:r>
          </w:p>
        </w:tc>
        <w:tc>
          <w:tcPr>
            <w:tcW w:type="dxa" w:w="2353"/>
            <w:shd w:fill="DCE3EE" w:color="auto" w:val="clear"/>
            <w:tcMar>
              <w:top w:type="dxa" w:w="40"/>
              <w:left w:type="dxa" w:w="80"/>
              <w:bottom w:type="dxa" w:w="40"/>
              <w:right w:type="dxa" w:w="80"/>
            </w:tcMar>
          </w:tcPr>
          <w:p>
            <w:r>
              <w:rPr>
                <w:b/>
                <w:bCs/>
                <w:sz w:val="16"/>
                <w:szCs w:val="16"/>
              </w:rPr>
              <w:t xml:space="preserve">2029</w:t>
            </w:r>
          </w:p>
        </w:tc>
      </w:tr>
      <w:tr>
        <w:trPr>
          <w:tblHeader w:val="false"/>
        </w:trPr>
        <w:tc>
          <w:tcPr>
            <w:tcW w:type="dxa" w:w="2353"/>
            <w:tcMar>
              <w:top w:type="dxa" w:w="40"/>
              <w:left w:type="dxa" w:w="80"/>
              <w:bottom w:type="dxa" w:w="40"/>
              <w:right w:type="dxa" w:w="80"/>
            </w:tcMar>
          </w:tcPr>
          <w:p>
            <w:r>
              <w:rPr>
                <w:sz w:val="16"/>
                <w:szCs w:val="16"/>
              </w:rPr>
              <w:t xml:space="preserve">Économie brute</w:t>
            </w:r>
          </w:p>
        </w:tc>
        <w:tc>
          <w:tcPr>
            <w:tcW w:type="dxa" w:w="2353"/>
            <w:tcMar>
              <w:top w:type="dxa" w:w="40"/>
              <w:left w:type="dxa" w:w="80"/>
              <w:bottom w:type="dxa" w:w="40"/>
              <w:right w:type="dxa" w:w="80"/>
            </w:tcMar>
          </w:tcPr>
          <w:p>
            <w:r>
              <w:rPr>
                <w:sz w:val="16"/>
                <w:szCs w:val="16"/>
              </w:rPr>
              <w:t xml:space="preserve">+202</w:t>
            </w:r>
          </w:p>
        </w:tc>
        <w:tc>
          <w:tcPr>
            <w:tcW w:type="dxa" w:w="2353"/>
            <w:tcMar>
              <w:top w:type="dxa" w:w="40"/>
              <w:left w:type="dxa" w:w="80"/>
              <w:bottom w:type="dxa" w:w="40"/>
              <w:right w:type="dxa" w:w="80"/>
            </w:tcMar>
          </w:tcPr>
          <w:p>
            <w:r>
              <w:rPr>
                <w:sz w:val="16"/>
                <w:szCs w:val="16"/>
              </w:rPr>
              <w:t xml:space="preserve">+432</w:t>
            </w:r>
          </w:p>
        </w:tc>
        <w:tc>
          <w:tcPr>
            <w:tcW w:type="dxa" w:w="2353"/>
            <w:tcMar>
              <w:top w:type="dxa" w:w="40"/>
              <w:left w:type="dxa" w:w="80"/>
              <w:bottom w:type="dxa" w:w="40"/>
              <w:right w:type="dxa" w:w="80"/>
            </w:tcMar>
          </w:tcPr>
          <w:p>
            <w:r>
              <w:rPr>
                <w:sz w:val="16"/>
                <w:szCs w:val="16"/>
              </w:rPr>
              <w:t xml:space="preserve">+576</w:t>
            </w:r>
          </w:p>
        </w:tc>
      </w:tr>
      <w:tr>
        <w:trPr>
          <w:tblHeader w:val="false"/>
        </w:trPr>
        <w:tc>
          <w:tcPr>
            <w:tcW w:type="dxa" w:w="2353"/>
            <w:tcMar>
              <w:top w:type="dxa" w:w="40"/>
              <w:left w:type="dxa" w:w="80"/>
              <w:bottom w:type="dxa" w:w="40"/>
              <w:right w:type="dxa" w:w="80"/>
            </w:tcMar>
          </w:tcPr>
          <w:p>
            <w:r>
              <w:rPr>
                <w:sz w:val="16"/>
                <w:szCs w:val="16"/>
              </w:rPr>
              <w:t xml:space="preserve">Transferts</w:t>
            </w:r>
          </w:p>
        </w:tc>
        <w:tc>
          <w:tcPr>
            <w:tcW w:type="dxa" w:w="2353"/>
            <w:tcMar>
              <w:top w:type="dxa" w:w="40"/>
              <w:left w:type="dxa" w:w="80"/>
              <w:bottom w:type="dxa" w:w="40"/>
              <w:right w:type="dxa" w:w="80"/>
            </w:tcMar>
          </w:tcPr>
          <w:p>
            <w:r>
              <w:rPr>
                <w:sz w:val="16"/>
                <w:szCs w:val="16"/>
              </w:rPr>
              <w:t xml:space="preserve">−45</w:t>
            </w:r>
          </w:p>
        </w:tc>
        <w:tc>
          <w:tcPr>
            <w:tcW w:type="dxa" w:w="2353"/>
            <w:tcMar>
              <w:top w:type="dxa" w:w="40"/>
              <w:left w:type="dxa" w:w="80"/>
              <w:bottom w:type="dxa" w:w="40"/>
              <w:right w:type="dxa" w:w="80"/>
            </w:tcMar>
          </w:tcPr>
          <w:p>
            <w:r>
              <w:rPr>
                <w:sz w:val="16"/>
                <w:szCs w:val="16"/>
              </w:rPr>
              <w:t xml:space="preserve">−75</w:t>
            </w:r>
          </w:p>
        </w:tc>
        <w:tc>
          <w:tcPr>
            <w:tcW w:type="dxa" w:w="2353"/>
            <w:tcMar>
              <w:top w:type="dxa" w:w="40"/>
              <w:left w:type="dxa" w:w="80"/>
              <w:bottom w:type="dxa" w:w="40"/>
              <w:right w:type="dxa" w:w="80"/>
            </w:tcMar>
          </w:tcPr>
          <w:p>
            <w:r>
              <w:rPr>
                <w:sz w:val="16"/>
                <w:szCs w:val="16"/>
              </w:rPr>
              <w:t xml:space="preserve">−90</w:t>
            </w:r>
          </w:p>
        </w:tc>
      </w:tr>
      <w:tr>
        <w:trPr>
          <w:tblHeader w:val="false"/>
        </w:trPr>
        <w:tc>
          <w:tcPr>
            <w:tcW w:type="dxa" w:w="2353"/>
            <w:tcMar>
              <w:top w:type="dxa" w:w="40"/>
              <w:left w:type="dxa" w:w="80"/>
              <w:bottom w:type="dxa" w:w="40"/>
              <w:right w:type="dxa" w:w="80"/>
            </w:tcMar>
          </w:tcPr>
          <w:p>
            <w:r>
              <w:rPr>
                <w:sz w:val="16"/>
                <w:szCs w:val="16"/>
              </w:rPr>
              <w:t xml:space="preserve">Compensation transport</w:t>
            </w:r>
          </w:p>
        </w:tc>
        <w:tc>
          <w:tcPr>
            <w:tcW w:type="dxa" w:w="2353"/>
            <w:tcMar>
              <w:top w:type="dxa" w:w="40"/>
              <w:left w:type="dxa" w:w="80"/>
              <w:bottom w:type="dxa" w:w="40"/>
              <w:right w:type="dxa" w:w="80"/>
            </w:tcMar>
          </w:tcPr>
          <w:p>
            <w:r>
              <w:rPr>
                <w:sz w:val="16"/>
                <w:szCs w:val="16"/>
              </w:rPr>
              <w:t xml:space="preserve">−30</w:t>
            </w:r>
          </w:p>
        </w:tc>
        <w:tc>
          <w:tcPr>
            <w:tcW w:type="dxa" w:w="2353"/>
            <w:tcMar>
              <w:top w:type="dxa" w:w="40"/>
              <w:left w:type="dxa" w:w="80"/>
              <w:bottom w:type="dxa" w:w="40"/>
              <w:right w:type="dxa" w:w="80"/>
            </w:tcMar>
          </w:tcPr>
          <w:p>
            <w:r>
              <w:rPr>
                <w:sz w:val="16"/>
                <w:szCs w:val="16"/>
              </w:rPr>
              <w:t xml:space="preserve">−20</w:t>
            </w:r>
          </w:p>
        </w:tc>
        <w:tc>
          <w:tcPr>
            <w:tcW w:type="dxa" w:w="2353"/>
            <w:tcMar>
              <w:top w:type="dxa" w:w="40"/>
              <w:left w:type="dxa" w:w="80"/>
              <w:bottom w:type="dxa" w:w="40"/>
              <w:right w:type="dxa" w:w="80"/>
            </w:tcMar>
          </w:tcPr>
          <w:p>
            <w:r>
              <w:rPr>
                <w:sz w:val="16"/>
                <w:szCs w:val="16"/>
              </w:rPr>
              <w:t xml:space="preserve">−10</w:t>
            </w:r>
          </w:p>
        </w:tc>
      </w:tr>
    </w:tbl>
    <w:p>
      <w:pPr>
        <w:spacing w:after="80"/>
      </w:pPr>
    </w:p>
    <w:p>
      <w:pPr>
        <w:spacing w:after="120"/>
      </w:pPr>
      <w:r>
        <w:t xml:space="preserve">Montants en Mds FCFA (</w:t>
      </w:r>
      <w:r>
        <w:rPr>
          <w:rFonts w:ascii="Consolas" w:cs="Consolas" w:eastAsia="Consolas" w:hAnsi="Consolas"/>
          <w:sz w:val="18"/>
          <w:szCs w:val="18"/>
        </w:rPr>
        <w:t xml:space="preserve">outputs/cadre_financier_2027_2029.csv</w:t>
      </w:r>
      <w:r>
        <w:t xml:space="preserve">).</w:t>
      </w:r>
    </w:p>
    <w:p>
      <w:pPr>
        <w:spacing w:after="120"/>
      </w:pPr>
      <w:r>
        <w:rPr>
          <w:b/>
          <w:bCs/>
        </w:rPr>
        <w:t xml:space="preserve">Indicateurs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Indicateur</w:t>
            </w:r>
          </w:p>
        </w:tc>
        <w:tc>
          <w:tcPr>
            <w:tcW w:type="dxa" w:w="3137"/>
            <w:shd w:fill="DCE3EE" w:color="auto" w:val="clear"/>
            <w:tcMar>
              <w:top w:type="dxa" w:w="40"/>
              <w:left w:type="dxa" w:w="80"/>
              <w:bottom w:type="dxa" w:w="40"/>
              <w:right w:type="dxa" w:w="80"/>
            </w:tcMar>
          </w:tcPr>
          <w:p>
            <w:r>
              <w:rPr>
                <w:b/>
                <w:bCs/>
                <w:sz w:val="16"/>
                <w:szCs w:val="16"/>
              </w:rPr>
              <w:t xml:space="preserve">Départ</w:t>
            </w:r>
          </w:p>
        </w:tc>
        <w:tc>
          <w:tcPr>
            <w:tcW w:type="dxa" w:w="3137"/>
            <w:shd w:fill="DCE3EE" w:color="auto" w:val="clear"/>
            <w:tcMar>
              <w:top w:type="dxa" w:w="40"/>
              <w:left w:type="dxa" w:w="80"/>
              <w:bottom w:type="dxa" w:w="40"/>
              <w:right w:type="dxa" w:w="80"/>
            </w:tcMar>
          </w:tcPr>
          <w:p>
            <w:r>
              <w:rPr>
                <w:b/>
                <w:bCs/>
                <w:sz w:val="16"/>
                <w:szCs w:val="16"/>
              </w:rPr>
              <w:t xml:space="preserve">Cible à 3 ans</w:t>
            </w:r>
          </w:p>
        </w:tc>
      </w:tr>
      <w:tr>
        <w:trPr>
          <w:tblHeader w:val="false"/>
        </w:trPr>
        <w:tc>
          <w:tcPr>
            <w:tcW w:type="dxa" w:w="3137"/>
            <w:tcMar>
              <w:top w:type="dxa" w:w="40"/>
              <w:left w:type="dxa" w:w="80"/>
              <w:bottom w:type="dxa" w:w="40"/>
              <w:right w:type="dxa" w:w="80"/>
            </w:tcMar>
          </w:tcPr>
          <w:p>
            <w:r>
              <w:rPr>
                <w:sz w:val="16"/>
                <w:szCs w:val="16"/>
              </w:rPr>
              <w:t xml:space="preserve">Soutien mensuel</w:t>
            </w:r>
          </w:p>
        </w:tc>
        <w:tc>
          <w:tcPr>
            <w:tcW w:type="dxa" w:w="3137"/>
            <w:tcMar>
              <w:top w:type="dxa" w:w="40"/>
              <w:left w:type="dxa" w:w="80"/>
              <w:bottom w:type="dxa" w:w="40"/>
              <w:right w:type="dxa" w:w="80"/>
            </w:tcMar>
          </w:tcPr>
          <w:p>
            <w:r>
              <w:rPr>
                <w:sz w:val="16"/>
                <w:szCs w:val="16"/>
              </w:rPr>
              <w:t xml:space="preserve">57 Mds (septembre 2026)</w:t>
            </w:r>
          </w:p>
        </w:tc>
        <w:tc>
          <w:tcPr>
            <w:tcW w:type="dxa" w:w="3137"/>
            <w:tcMar>
              <w:top w:type="dxa" w:w="40"/>
              <w:left w:type="dxa" w:w="80"/>
              <w:bottom w:type="dxa" w:w="40"/>
              <w:right w:type="dxa" w:w="80"/>
            </w:tcMar>
          </w:tcPr>
          <w:p>
            <w:r>
              <w:rPr>
                <w:sz w:val="16"/>
                <w:szCs w:val="16"/>
              </w:rPr>
              <w:t xml:space="preserve">0</w:t>
            </w:r>
          </w:p>
        </w:tc>
      </w:tr>
      <w:tr>
        <w:trPr>
          <w:tblHeader w:val="false"/>
        </w:trPr>
        <w:tc>
          <w:tcPr>
            <w:tcW w:type="dxa" w:w="3137"/>
            <w:tcMar>
              <w:top w:type="dxa" w:w="40"/>
              <w:left w:type="dxa" w:w="80"/>
              <w:bottom w:type="dxa" w:w="40"/>
              <w:right w:type="dxa" w:w="80"/>
            </w:tcMar>
          </w:tcPr>
          <w:p>
            <w:r>
              <w:rPr>
                <w:sz w:val="16"/>
                <w:szCs w:val="16"/>
              </w:rPr>
              <w:t xml:space="preserve">Ménages compensés</w:t>
            </w:r>
          </w:p>
        </w:tc>
        <w:tc>
          <w:tcPr>
            <w:tcW w:type="dxa" w:w="3137"/>
            <w:tcMar>
              <w:top w:type="dxa" w:w="40"/>
              <w:left w:type="dxa" w:w="80"/>
              <w:bottom w:type="dxa" w:w="40"/>
              <w:right w:type="dxa" w:w="80"/>
            </w:tcMar>
          </w:tcPr>
          <w:p>
            <w:r>
              <w:rPr>
                <w:sz w:val="16"/>
                <w:szCs w:val="16"/>
              </w:rPr>
              <w:t xml:space="preserve">44 500 servis par les filets sociaux (2024)</w:t>
            </w:r>
          </w:p>
        </w:tc>
        <w:tc>
          <w:tcPr>
            <w:tcW w:type="dxa" w:w="3137"/>
            <w:tcMar>
              <w:top w:type="dxa" w:w="40"/>
              <w:left w:type="dxa" w:w="80"/>
              <w:bottom w:type="dxa" w:w="40"/>
              <w:right w:type="dxa" w:w="80"/>
            </w:tcMar>
          </w:tcPr>
          <w:p>
            <w:r>
              <w:rPr>
                <w:sz w:val="16"/>
                <w:szCs w:val="16"/>
              </w:rPr>
              <w:t xml:space="preserve">300 000 (proposée)</w:t>
            </w:r>
          </w:p>
        </w:tc>
      </w:tr>
    </w:tbl>
    <w:p>
      <w:pPr>
        <w:spacing w:after="80"/>
      </w:pPr>
    </w:p>
    <w:p>
      <w:pPr>
        <w:spacing w:after="120"/>
      </w:pPr>
      <w:r>
        <w:rPr>
          <w:b/>
          <w:bCs/>
        </w:rPr>
        <w:t xml:space="preserve">Risques.</w:t>
      </w:r>
      <w:r>
        <w:t xml:space="preserve"> Contestation sociale, retard de ciblage. </w:t>
      </w:r>
      <w:r>
        <w:rPr>
          <w:b/>
          <w:bCs/>
        </w:rPr>
        <w:t xml:space="preserve">Correctif :</w:t>
      </w:r>
      <w:r>
        <w:t xml:space="preserve"> suspendre un palier si les transferts ne sont pas versés ; concertation avec les syndicats de transport dès le premier mois.</w:t>
      </w:r>
    </w:p>
    <w:p>
      <w:pPr>
        <w:pStyle w:val="Heading2"/>
      </w:pPr>
      <w:r>
        <w:t xml:space="preserve">Chantier 3 — Électricité</w:t>
      </w:r>
    </w:p>
    <w:p>
      <w:pPr>
        <w:spacing w:after="120"/>
      </w:pPr>
      <w:r>
        <w:rPr>
          <w:b/>
          <w:bCs/>
        </w:rPr>
        <w:t xml:space="preserve">Objectif.</w:t>
      </w:r>
      <w:r>
        <w:t xml:space="preserve"> Livrer l'électricité produite, réduire les pertes et assainir les finances du secteur sans pénaliser les petits consommateurs.</w:t>
      </w:r>
    </w:p>
    <w:p>
      <w:pPr>
        <w:spacing w:after="120"/>
      </w:pPr>
      <w:r>
        <w:rPr>
          <w:b/>
          <w:bCs/>
        </w:rPr>
        <w:t xml:space="preserve">Ce que l'on sait déjà</w:t>
      </w:r>
      <w:r>
        <w:t xml:space="preserve"> (VFF-015 à 021) :</w:t>
      </w:r>
    </w:p>
    <w:p>
      <w:pPr>
        <w:pStyle w:val="ListParagraph"/>
        <w:numPr>
          <w:ilvl w:val="0"/>
          <w:numId w:val="2"/>
        </w:numPr>
        <w:spacing w:after="60"/>
      </w:pPr>
      <w:r>
        <w:t xml:space="preserve">pertes d'environ 30 % ;</w:t>
      </w:r>
    </w:p>
    <w:p>
      <w:pPr>
        <w:pStyle w:val="ListParagraph"/>
        <w:numPr>
          <w:ilvl w:val="0"/>
          <w:numId w:val="2"/>
        </w:numPr>
        <w:spacing w:after="60"/>
      </w:pPr>
      <w:r>
        <w:t xml:space="preserve">recouvrement de 72 % (Banque mondiale) à 77,5 % (MINEE) ;</w:t>
      </w:r>
    </w:p>
    <w:p>
      <w:pPr>
        <w:pStyle w:val="ListParagraph"/>
        <w:numPr>
          <w:ilvl w:val="0"/>
          <w:numId w:val="2"/>
        </w:numPr>
        <w:spacing w:after="60"/>
      </w:pPr>
      <w:r>
        <w:t xml:space="preserve">tarif moyen couvrant environ 80 % du coût ;</w:t>
      </w:r>
    </w:p>
    <w:p>
      <w:pPr>
        <w:pStyle w:val="ListParagraph"/>
        <w:numPr>
          <w:ilvl w:val="0"/>
          <w:numId w:val="2"/>
        </w:numPr>
        <w:spacing w:after="60"/>
      </w:pPr>
      <w:r>
        <w:t xml:space="preserve">dette fournisseurs de la SOCADEL de 639,6 Mds (11/2025), dont 273 Mds dus à la SONATREL ;</w:t>
      </w:r>
    </w:p>
    <w:p>
      <w:pPr>
        <w:pStyle w:val="ListParagraph"/>
        <w:numPr>
          <w:ilvl w:val="0"/>
          <w:numId w:val="2"/>
        </w:numPr>
        <w:spacing w:after="60"/>
      </w:pPr>
      <w:r>
        <w:t xml:space="preserve">impayés de l'État envers le producteur de Nachtigal proches de 70 Mds ;</w:t>
      </w:r>
    </w:p>
    <w:p>
      <w:pPr>
        <w:pStyle w:val="ListParagraph"/>
        <w:numPr>
          <w:ilvl w:val="0"/>
          <w:numId w:val="2"/>
        </w:numPr>
        <w:spacing w:after="60"/>
      </w:pPr>
      <w:r>
        <w:t xml:space="preserve">ligne 400 kV d'évacuation annoncée pour novembre 2026, raccordement 225 kV vers Douala début 2027.</w:t>
      </w:r>
    </w:p>
    <w:p>
      <w:pPr>
        <w:spacing w:after="120"/>
      </w:pPr>
      <w:r>
        <w:rPr>
          <w:b/>
          <w:bCs/>
        </w:rPr>
        <w:t xml:space="preserve">Grandeurs à mesurer dès les 100 premiers jours</w:t>
      </w:r>
      <w:r>
        <w:t xml:space="preserve">, par un audit indépendant commandé par l'ARSEL :</w:t>
      </w:r>
    </w:p>
    <w:p>
      <w:pPr>
        <w:pStyle w:val="ListParagraph"/>
        <w:numPr>
          <w:ilvl w:val="0"/>
          <w:numId w:val="2"/>
        </w:numPr>
        <w:spacing w:after="60"/>
      </w:pPr>
      <w:r>
        <w:t xml:space="preserve">pertes techniques et commerciales par réseau ;</w:t>
      </w:r>
    </w:p>
    <w:p>
      <w:pPr>
        <w:pStyle w:val="ListParagraph"/>
        <w:numPr>
          <w:ilvl w:val="0"/>
          <w:numId w:val="2"/>
        </w:numPr>
        <w:spacing w:after="60"/>
      </w:pPr>
      <w:r>
        <w:t xml:space="preserve">taux de recouvrement par catégorie de clients, administrations comprises ;</w:t>
      </w:r>
    </w:p>
    <w:p>
      <w:pPr>
        <w:pStyle w:val="ListParagraph"/>
        <w:numPr>
          <w:ilvl w:val="0"/>
          <w:numId w:val="2"/>
        </w:numPr>
        <w:spacing w:after="60"/>
      </w:pPr>
      <w:r>
        <w:t xml:space="preserve">durée et fréquence des coupures (SAIDI/SAIFI) ;</w:t>
      </w:r>
    </w:p>
    <w:p>
      <w:pPr>
        <w:pStyle w:val="ListParagraph"/>
        <w:numPr>
          <w:ilvl w:val="0"/>
          <w:numId w:val="2"/>
        </w:numPr>
        <w:spacing w:after="60"/>
      </w:pPr>
      <w:r>
        <w:t xml:space="preserve">énergie non distribuée ;</w:t>
      </w:r>
    </w:p>
    <w:p>
      <w:pPr>
        <w:pStyle w:val="ListParagraph"/>
        <w:numPr>
          <w:ilvl w:val="0"/>
          <w:numId w:val="2"/>
        </w:numPr>
        <w:spacing w:after="60"/>
      </w:pPr>
      <w:r>
        <w:t xml:space="preserve">inventaire certifié des dettes croisées entre l'État, SOCADEL, SONATREL et les producteurs ;</w:t>
      </w:r>
    </w:p>
    <w:p>
      <w:pPr>
        <w:pStyle w:val="ListParagraph"/>
        <w:numPr>
          <w:ilvl w:val="0"/>
          <w:numId w:val="2"/>
        </w:numPr>
        <w:spacing w:after="60"/>
      </w:pPr>
      <w:r>
        <w:t xml:space="preserve">paiements dus au titre du contrat Nachtigal.</w:t>
      </w:r>
    </w:p>
    <w:p>
      <w:pPr>
        <w:spacing w:after="120"/>
      </w:pPr>
      <w:r>
        <w:rPr>
          <w:b/>
          <w:bCs/>
        </w:rPr>
        <w:t xml:space="preserve">Décisions</w:t>
      </w:r>
    </w:p>
    <w:p>
      <w:pPr>
        <w:pStyle w:val="ListParagraph"/>
        <w:numPr>
          <w:ilvl w:val="0"/>
          <w:numId w:val="6"/>
        </w:numPr>
        <w:spacing w:after="80"/>
      </w:pPr>
      <w:r>
        <w:t xml:space="preserve">Compensation certifiée des dettes croisées, l'État payant d'abord ses propres factures.</w:t>
      </w:r>
    </w:p>
    <w:p>
      <w:pPr>
        <w:pStyle w:val="ListParagraph"/>
        <w:numPr>
          <w:ilvl w:val="0"/>
          <w:numId w:val="6"/>
        </w:numPr>
        <w:spacing w:after="80"/>
      </w:pPr>
      <w:r>
        <w:t xml:space="preserve">Mise en service de la ligne 400 kV (annoncée pour novembre 2026) et du raccordement 225 kV vers Douala (début 2027) ; maintenance du réseau.</w:t>
      </w:r>
    </w:p>
    <w:p>
      <w:pPr>
        <w:pStyle w:val="ListParagraph"/>
        <w:numPr>
          <w:ilvl w:val="0"/>
          <w:numId w:val="6"/>
        </w:numPr>
        <w:spacing w:after="80"/>
      </w:pPr>
      <w:r>
        <w:t xml:space="preserve">Contrats de performance SOCADEL et SONATREL (pertes, recouvrement, coupures).</w:t>
      </w:r>
    </w:p>
    <w:p>
      <w:pPr>
        <w:pStyle w:val="ListParagraph"/>
        <w:numPr>
          <w:ilvl w:val="0"/>
          <w:numId w:val="6"/>
        </w:numPr>
        <w:spacing w:after="80"/>
      </w:pPr>
      <w:r>
        <w:t xml:space="preserve">Trajectoire tarifaire pluriannuelle publiée, avec un </w:t>
      </w:r>
      <w:r>
        <w:rPr>
          <w:b/>
          <w:bCs/>
        </w:rPr>
        <w:t xml:space="preserve">tarif social</w:t>
      </w:r>
      <w:r>
        <w:t xml:space="preserve"> pour les petites consommations.</w:t>
      </w:r>
    </w:p>
    <w:p>
      <w:pPr>
        <w:pStyle w:val="ListParagraph"/>
        <w:numPr>
          <w:ilvl w:val="0"/>
          <w:numId w:val="6"/>
        </w:numPr>
        <w:spacing w:after="80"/>
      </w:pPr>
      <w:r>
        <w:t xml:space="preserve">Électrification rurale décentralisée (solaire) dans le cadre du compact énergie et du programme « Mission 300 ».</w:t>
      </w:r>
    </w:p>
    <w:p>
      <w:pPr>
        <w:spacing w:after="120"/>
      </w:pPr>
      <w:r>
        <w:rPr>
          <w:b/>
          <w:bCs/>
        </w:rPr>
        <w:t xml:space="preserve">Autorité.</w:t>
      </w:r>
      <w:r>
        <w:t xml:space="preserve"> MINEE, ARSEL, conseils d'administration de SOCADEL et SONATREL, MINFI.</w:t>
      </w:r>
    </w:p>
    <w:p>
      <w:pPr>
        <w:spacing w:after="120"/>
      </w:pPr>
      <w:r>
        <w:rPr>
          <w:b/>
          <w:bCs/>
        </w:rPr>
        <w:t xml:space="preserve">Investissements.</w:t>
      </w:r>
      <w:r>
        <w:t xml:space="preserve"> Environ 945 M USD de besoins sur 2024-2028 selon le FMI (ECO-05). Ils sont financés par des prêts-projets concessionnels, pas par le budget courant.</w:t>
      </w:r>
    </w:p>
    <w:p>
      <w:pPr>
        <w:spacing w:after="120"/>
      </w:pPr>
      <w:r>
        <w:rPr>
          <w:b/>
          <w:bCs/>
        </w:rPr>
        <w:t xml:space="preserve">Effet budgétaire</w:t>
      </w:r>
      <w:r>
        <w:t xml:space="preserve"> (scénario central). Réduction du soutien au secteur de 0, puis 40, puis 80 Mds ; tarif social de −15, puis −20, puis −20 Mds.</w:t>
      </w:r>
    </w:p>
    <w:p>
      <w:pPr>
        <w:spacing w:after="120"/>
      </w:pPr>
      <w:r>
        <w:rPr>
          <w:b/>
          <w:bCs/>
        </w:rPr>
        <w:t xml:space="preserve">Indicateurs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Indicateur</w:t>
            </w:r>
          </w:p>
        </w:tc>
        <w:tc>
          <w:tcPr>
            <w:tcW w:type="dxa" w:w="3137"/>
            <w:shd w:fill="DCE3EE" w:color="auto" w:val="clear"/>
            <w:tcMar>
              <w:top w:type="dxa" w:w="40"/>
              <w:left w:type="dxa" w:w="80"/>
              <w:bottom w:type="dxa" w:w="40"/>
              <w:right w:type="dxa" w:w="80"/>
            </w:tcMar>
          </w:tcPr>
          <w:p>
            <w:r>
              <w:rPr>
                <w:b/>
                <w:bCs/>
                <w:sz w:val="16"/>
                <w:szCs w:val="16"/>
              </w:rPr>
              <w:t xml:space="preserve">Départ</w:t>
            </w:r>
          </w:p>
        </w:tc>
        <w:tc>
          <w:tcPr>
            <w:tcW w:type="dxa" w:w="3137"/>
            <w:shd w:fill="DCE3EE" w:color="auto" w:val="clear"/>
            <w:tcMar>
              <w:top w:type="dxa" w:w="40"/>
              <w:left w:type="dxa" w:w="80"/>
              <w:bottom w:type="dxa" w:w="40"/>
              <w:right w:type="dxa" w:w="80"/>
            </w:tcMar>
          </w:tcPr>
          <w:p>
            <w:r>
              <w:rPr>
                <w:b/>
                <w:bCs/>
                <w:sz w:val="16"/>
                <w:szCs w:val="16"/>
              </w:rPr>
              <w:t xml:space="preserve">Cible à 3 ans</w:t>
            </w:r>
          </w:p>
        </w:tc>
      </w:tr>
      <w:tr>
        <w:trPr>
          <w:tblHeader w:val="false"/>
        </w:trPr>
        <w:tc>
          <w:tcPr>
            <w:tcW w:type="dxa" w:w="3137"/>
            <w:tcMar>
              <w:top w:type="dxa" w:w="40"/>
              <w:left w:type="dxa" w:w="80"/>
              <w:bottom w:type="dxa" w:w="40"/>
              <w:right w:type="dxa" w:w="80"/>
            </w:tcMar>
          </w:tcPr>
          <w:p>
            <w:r>
              <w:rPr>
                <w:sz w:val="16"/>
                <w:szCs w:val="16"/>
              </w:rPr>
              <w:t xml:space="preserve">Pertes</w:t>
            </w:r>
          </w:p>
        </w:tc>
        <w:tc>
          <w:tcPr>
            <w:tcW w:type="dxa" w:w="3137"/>
            <w:tcMar>
              <w:top w:type="dxa" w:w="40"/>
              <w:left w:type="dxa" w:w="80"/>
              <w:bottom w:type="dxa" w:w="40"/>
              <w:right w:type="dxa" w:w="80"/>
            </w:tcMar>
          </w:tcPr>
          <w:p>
            <w:r>
              <w:rPr>
                <w:sz w:val="16"/>
                <w:szCs w:val="16"/>
              </w:rPr>
              <w:t xml:space="preserve">≈30 %</w:t>
            </w:r>
          </w:p>
        </w:tc>
        <w:tc>
          <w:tcPr>
            <w:tcW w:type="dxa" w:w="3137"/>
            <w:tcMar>
              <w:top w:type="dxa" w:w="40"/>
              <w:left w:type="dxa" w:w="80"/>
              <w:bottom w:type="dxa" w:w="40"/>
              <w:right w:type="dxa" w:w="80"/>
            </w:tcMar>
          </w:tcPr>
          <w:p>
            <w:r>
              <w:rPr>
                <w:sz w:val="16"/>
                <w:szCs w:val="16"/>
              </w:rPr>
              <w:t xml:space="preserve">20 % (proposée)</w:t>
            </w:r>
          </w:p>
        </w:tc>
      </w:tr>
      <w:tr>
        <w:trPr>
          <w:tblHeader w:val="false"/>
        </w:trPr>
        <w:tc>
          <w:tcPr>
            <w:tcW w:type="dxa" w:w="3137"/>
            <w:tcMar>
              <w:top w:type="dxa" w:w="40"/>
              <w:left w:type="dxa" w:w="80"/>
              <w:bottom w:type="dxa" w:w="40"/>
              <w:right w:type="dxa" w:w="80"/>
            </w:tcMar>
          </w:tcPr>
          <w:p>
            <w:r>
              <w:rPr>
                <w:sz w:val="16"/>
                <w:szCs w:val="16"/>
              </w:rPr>
              <w:t xml:space="preserve">Couverture du coût par le tarif</w:t>
            </w:r>
          </w:p>
        </w:tc>
        <w:tc>
          <w:tcPr>
            <w:tcW w:type="dxa" w:w="3137"/>
            <w:tcMar>
              <w:top w:type="dxa" w:w="40"/>
              <w:left w:type="dxa" w:w="80"/>
              <w:bottom w:type="dxa" w:w="40"/>
              <w:right w:type="dxa" w:w="80"/>
            </w:tcMar>
          </w:tcPr>
          <w:p>
            <w:r>
              <w:rPr>
                <w:sz w:val="16"/>
                <w:szCs w:val="16"/>
              </w:rPr>
              <w:t xml:space="preserve">≈80 %</w:t>
            </w:r>
          </w:p>
        </w:tc>
        <w:tc>
          <w:tcPr>
            <w:tcW w:type="dxa" w:w="3137"/>
            <w:tcMar>
              <w:top w:type="dxa" w:w="40"/>
              <w:left w:type="dxa" w:w="80"/>
              <w:bottom w:type="dxa" w:w="40"/>
              <w:right w:type="dxa" w:w="80"/>
            </w:tcMar>
          </w:tcPr>
          <w:p>
            <w:r>
              <w:rPr>
                <w:sz w:val="16"/>
                <w:szCs w:val="16"/>
              </w:rPr>
              <w:t xml:space="preserve">Au moins 95 %</w:t>
            </w:r>
          </w:p>
        </w:tc>
      </w:tr>
      <w:tr>
        <w:trPr>
          <w:tblHeader w:val="false"/>
        </w:trPr>
        <w:tc>
          <w:tcPr>
            <w:tcW w:type="dxa" w:w="3137"/>
            <w:tcMar>
              <w:top w:type="dxa" w:w="40"/>
              <w:left w:type="dxa" w:w="80"/>
              <w:bottom w:type="dxa" w:w="40"/>
              <w:right w:type="dxa" w:w="80"/>
            </w:tcMar>
          </w:tcPr>
          <w:p>
            <w:r>
              <w:rPr>
                <w:sz w:val="16"/>
                <w:szCs w:val="16"/>
              </w:rPr>
              <w:t xml:space="preserve">Recouvrement des factures</w:t>
            </w:r>
          </w:p>
        </w:tc>
        <w:tc>
          <w:tcPr>
            <w:tcW w:type="dxa" w:w="3137"/>
            <w:tcMar>
              <w:top w:type="dxa" w:w="40"/>
              <w:left w:type="dxa" w:w="80"/>
              <w:bottom w:type="dxa" w:w="40"/>
              <w:right w:type="dxa" w:w="80"/>
            </w:tcMar>
          </w:tcPr>
          <w:p>
            <w:r>
              <w:rPr>
                <w:sz w:val="16"/>
                <w:szCs w:val="16"/>
              </w:rPr>
              <w:t xml:space="preserve">72 à 77,5 %</w:t>
            </w:r>
          </w:p>
        </w:tc>
        <w:tc>
          <w:tcPr>
            <w:tcW w:type="dxa" w:w="3137"/>
            <w:tcMar>
              <w:top w:type="dxa" w:w="40"/>
              <w:left w:type="dxa" w:w="80"/>
              <w:bottom w:type="dxa" w:w="40"/>
              <w:right w:type="dxa" w:w="80"/>
            </w:tcMar>
          </w:tcPr>
          <w:p>
            <w:r>
              <w:rPr>
                <w:sz w:val="16"/>
                <w:szCs w:val="16"/>
              </w:rPr>
              <w:t xml:space="preserve">95 % (proposée)</w:t>
            </w:r>
          </w:p>
        </w:tc>
      </w:tr>
      <w:tr>
        <w:trPr>
          <w:tblHeader w:val="false"/>
        </w:trPr>
        <w:tc>
          <w:tcPr>
            <w:tcW w:type="dxa" w:w="3137"/>
            <w:tcMar>
              <w:top w:type="dxa" w:w="40"/>
              <w:left w:type="dxa" w:w="80"/>
              <w:bottom w:type="dxa" w:w="40"/>
              <w:right w:type="dxa" w:w="80"/>
            </w:tcMar>
          </w:tcPr>
          <w:p>
            <w:r>
              <w:rPr>
                <w:sz w:val="16"/>
                <w:szCs w:val="16"/>
              </w:rPr>
              <w:t xml:space="preserve">Coupures</w:t>
            </w:r>
          </w:p>
        </w:tc>
        <w:tc>
          <w:tcPr>
            <w:tcW w:type="dxa" w:w="3137"/>
            <w:tcMar>
              <w:top w:type="dxa" w:w="40"/>
              <w:left w:type="dxa" w:w="80"/>
              <w:bottom w:type="dxa" w:w="40"/>
              <w:right w:type="dxa" w:w="80"/>
            </w:tcMar>
          </w:tcPr>
          <w:p>
            <w:r>
              <w:rPr>
                <w:sz w:val="16"/>
                <w:szCs w:val="16"/>
              </w:rPr>
              <w:t xml:space="preserve">À mesurer</w:t>
            </w:r>
          </w:p>
        </w:tc>
        <w:tc>
          <w:tcPr>
            <w:tcW w:type="dxa" w:w="3137"/>
            <w:tcMar>
              <w:top w:type="dxa" w:w="40"/>
              <w:left w:type="dxa" w:w="80"/>
              <w:bottom w:type="dxa" w:w="40"/>
              <w:right w:type="dxa" w:w="80"/>
            </w:tcMar>
          </w:tcPr>
          <w:p>
            <w:r>
              <w:rPr>
                <w:sz w:val="16"/>
                <w:szCs w:val="16"/>
              </w:rPr>
              <w:t xml:space="preserve">−50 % (proposée)</w:t>
            </w:r>
          </w:p>
        </w:tc>
      </w:tr>
      <w:tr>
        <w:trPr>
          <w:tblHeader w:val="false"/>
        </w:trPr>
        <w:tc>
          <w:tcPr>
            <w:tcW w:type="dxa" w:w="3137"/>
            <w:tcMar>
              <w:top w:type="dxa" w:w="40"/>
              <w:left w:type="dxa" w:w="80"/>
              <w:bottom w:type="dxa" w:w="40"/>
              <w:right w:type="dxa" w:w="80"/>
            </w:tcMar>
          </w:tcPr>
          <w:p>
            <w:r>
              <w:rPr>
                <w:sz w:val="16"/>
                <w:szCs w:val="16"/>
              </w:rPr>
              <w:t xml:space="preserve">Accès rural</w:t>
            </w:r>
          </w:p>
        </w:tc>
        <w:tc>
          <w:tcPr>
            <w:tcW w:type="dxa" w:w="3137"/>
            <w:tcMar>
              <w:top w:type="dxa" w:w="40"/>
              <w:left w:type="dxa" w:w="80"/>
              <w:bottom w:type="dxa" w:w="40"/>
              <w:right w:type="dxa" w:w="80"/>
            </w:tcMar>
          </w:tcPr>
          <w:p>
            <w:r>
              <w:rPr>
                <w:sz w:val="16"/>
                <w:szCs w:val="16"/>
              </w:rPr>
              <w:t xml:space="preserve">23,3 % (2021)</w:t>
            </w:r>
          </w:p>
        </w:tc>
        <w:tc>
          <w:tcPr>
            <w:tcW w:type="dxa" w:w="3137"/>
            <w:tcMar>
              <w:top w:type="dxa" w:w="40"/>
              <w:left w:type="dxa" w:w="80"/>
              <w:bottom w:type="dxa" w:w="40"/>
              <w:right w:type="dxa" w:w="80"/>
            </w:tcMar>
          </w:tcPr>
          <w:p>
            <w:r>
              <w:rPr>
                <w:sz w:val="16"/>
                <w:szCs w:val="16"/>
              </w:rPr>
              <w:t xml:space="preserve">+15 points (proposée)</w:t>
            </w:r>
          </w:p>
        </w:tc>
      </w:tr>
    </w:tbl>
    <w:p>
      <w:pPr>
        <w:spacing w:after="80"/>
      </w:pPr>
    </w:p>
    <w:p>
      <w:pPr>
        <w:pStyle w:val="Heading2"/>
      </w:pPr>
      <w:r>
        <w:t xml:space="preserve">Chantier 4 — Gouvernance publique et redevabilité</w:t>
      </w:r>
    </w:p>
    <w:p>
      <w:pPr>
        <w:spacing w:after="120"/>
      </w:pPr>
      <w:r>
        <w:rPr>
          <w:b/>
          <w:bCs/>
        </w:rPr>
        <w:t xml:space="preserve">Décisions</w:t>
      </w:r>
    </w:p>
    <w:p>
      <w:pPr>
        <w:pStyle w:val="ListParagraph"/>
        <w:numPr>
          <w:ilvl w:val="0"/>
          <w:numId w:val="7"/>
        </w:numPr>
        <w:spacing w:after="80"/>
      </w:pPr>
      <w:r>
        <w:rPr>
          <w:b/>
          <w:bCs/>
        </w:rPr>
        <w:t xml:space="preserve">Entreprises et établissements publics.</w:t>
      </w:r>
    </w:p>
    <w:p>
      <w:pPr>
        <w:pStyle w:val="ListParagraph"/>
        <w:numPr>
          <w:ilvl w:val="1"/>
          <w:numId w:val="2"/>
        </w:numPr>
        <w:spacing w:after="60"/>
      </w:pPr>
      <w:r>
        <w:t xml:space="preserve">Constat immédiat de la caducité des mandats de plus de 9 ans (lois 2017/010, art. 36, et 2017/011, art. 70) et intérims.</w:t>
      </w:r>
    </w:p>
    <w:p>
      <w:pPr>
        <w:pStyle w:val="ListParagraph"/>
        <w:numPr>
          <w:ilvl w:val="1"/>
          <w:numId w:val="2"/>
        </w:numPr>
        <w:spacing w:after="60"/>
      </w:pPr>
      <w:r>
        <w:t xml:space="preserve">Publication de la liste des mandats et de leurs échéances.</w:t>
      </w:r>
    </w:p>
    <w:p>
      <w:pPr>
        <w:pStyle w:val="ListParagraph"/>
        <w:numPr>
          <w:ilvl w:val="1"/>
          <w:numId w:val="2"/>
        </w:numPr>
        <w:spacing w:after="60"/>
      </w:pPr>
      <w:r>
        <w:t xml:space="preserve">Recrutement par appel public et cabinet indépendant, avec une liste restreinte de trois candidats. Pour les établissements publics, la nomination se fait par décret présidentiel (loi 2017/010, art. 35). Pour les entreprises publiques, la loi 2017/011 (art. 70) confie la nomination au conseil d'administration, mais des directeurs généraux ont été nommés par décret dans la pratique (CAMTEL, par exemple). </w:t>
      </w:r>
      <w:r>
        <w:rPr>
          <w:b/>
          <w:bCs/>
        </w:rPr>
        <w:t xml:space="preserve">L'autorité compétente doit être confirmée entité par entité</w:t>
      </w:r>
      <w:r>
        <w:t xml:space="preserve"> (VPL-27, VFJ).</w:t>
      </w:r>
    </w:p>
    <w:p>
      <w:pPr>
        <w:pStyle w:val="ListParagraph"/>
        <w:numPr>
          <w:ilvl w:val="1"/>
          <w:numId w:val="2"/>
        </w:numPr>
        <w:spacing w:after="60"/>
      </w:pPr>
      <w:r>
        <w:t xml:space="preserve">Déclaration de patrimoine, contrat de performance publié, audit de passation à chaque départ.</w:t>
      </w:r>
    </w:p>
    <w:p>
      <w:pPr>
        <w:pStyle w:val="ListParagraph"/>
        <w:numPr>
          <w:ilvl w:val="0"/>
          <w:numId w:val="7"/>
        </w:numPr>
        <w:spacing w:after="80"/>
      </w:pPr>
      <w:r>
        <w:rPr>
          <w:b/>
          <w:bCs/>
        </w:rPr>
        <w:t xml:space="preserve">Audits flash publiés</w:t>
      </w:r>
      <w:r>
        <w:t xml:space="preserve"> des 15 entités au risque budgétaire le plus élevé : SONARA, SOCADEL, SONATREL, CAMWATER, CAMTEL, SNH, CAMAIR-CO, ports, entre autres.</w:t>
      </w:r>
    </w:p>
    <w:p>
      <w:pPr>
        <w:pStyle w:val="ListParagraph"/>
        <w:numPr>
          <w:ilvl w:val="0"/>
          <w:numId w:val="7"/>
        </w:numPr>
        <w:spacing w:after="80"/>
      </w:pPr>
      <w:r>
        <w:rPr>
          <w:b/>
          <w:bCs/>
        </w:rPr>
        <w:t xml:space="preserve">Covid</w:t>
      </w:r>
      <w:r>
        <w:t xml:space="preserve"> : état public, sous 30 jours, des 12 dossiers transmis à la Justice en 2021 ; saisine du Tribunal criminel spécial (TCS) des dossiers recevables ; recouvrement des 21,6 Mds de surcoûts relevés par la Chambre des comptes.</w:t>
      </w:r>
    </w:p>
    <w:p>
      <w:pPr>
        <w:pStyle w:val="ListParagraph"/>
        <w:numPr>
          <w:ilvl w:val="0"/>
          <w:numId w:val="7"/>
        </w:numPr>
        <w:spacing w:after="80"/>
      </w:pPr>
      <w:r>
        <w:rPr>
          <w:b/>
          <w:bCs/>
        </w:rPr>
        <w:t xml:space="preserve">CAN</w:t>
      </w:r>
      <w:r>
        <w:t xml:space="preserve"> : audit de la Chambre des comptes sur les marchés 2019-2021 ; négociation ou exécution de la sentence CIRDI du 04/09/2026 pour éviter des saisies d'actifs.</w:t>
      </w:r>
    </w:p>
    <w:p>
      <w:pPr>
        <w:pStyle w:val="ListParagraph"/>
        <w:numPr>
          <w:ilvl w:val="0"/>
          <w:numId w:val="7"/>
        </w:numPr>
        <w:spacing w:after="80"/>
      </w:pPr>
      <w:r>
        <w:rPr>
          <w:b/>
          <w:bCs/>
        </w:rPr>
        <w:t xml:space="preserve">Biens mal acquis</w:t>
      </w:r>
    </w:p>
    <w:p>
      <w:pPr>
        <w:pStyle w:val="ListParagraph"/>
        <w:numPr>
          <w:ilvl w:val="1"/>
          <w:numId w:val="2"/>
        </w:numPr>
        <w:spacing w:after="60"/>
      </w:pPr>
      <w:r>
        <w:t xml:space="preserve">Cellule nationale de recouvrement (TCS, ANIF, appui StAR).</w:t>
      </w:r>
    </w:p>
    <w:p>
      <w:pPr>
        <w:pStyle w:val="ListParagraph"/>
        <w:numPr>
          <w:ilvl w:val="1"/>
          <w:numId w:val="2"/>
        </w:numPr>
        <w:spacing w:after="60"/>
      </w:pPr>
      <w:r>
        <w:t xml:space="preserve">Projet de loi sur la confiscation sans condamnation préalable, avec garanties.</w:t>
      </w:r>
    </w:p>
    <w:p>
      <w:pPr>
        <w:pStyle w:val="ListParagraph"/>
        <w:numPr>
          <w:ilvl w:val="1"/>
          <w:numId w:val="2"/>
        </w:numPr>
        <w:spacing w:after="60"/>
      </w:pPr>
      <w:r>
        <w:t xml:space="preserve">Accords d'entraide avec les pays de destination des fonds.</w:t>
      </w:r>
    </w:p>
    <w:p>
      <w:pPr>
        <w:pStyle w:val="ListParagraph"/>
        <w:numPr>
          <w:ilvl w:val="1"/>
          <w:numId w:val="2"/>
        </w:numPr>
        <w:spacing w:after="60"/>
      </w:pPr>
      <w:r>
        <w:t xml:space="preserve">Restitution affectée à des programmes sociaux publiés.</w:t>
      </w:r>
    </w:p>
    <w:p>
      <w:pPr>
        <w:pStyle w:val="ListParagraph"/>
        <w:numPr>
          <w:ilvl w:val="0"/>
          <w:numId w:val="7"/>
        </w:numPr>
        <w:spacing w:after="80"/>
      </w:pPr>
      <w:r>
        <w:rPr>
          <w:b/>
          <w:bCs/>
        </w:rPr>
        <w:t xml:space="preserve">Sanctions</w:t>
      </w:r>
    </w:p>
    <w:p>
      <w:pPr>
        <w:pStyle w:val="ListParagraph"/>
        <w:numPr>
          <w:ilvl w:val="1"/>
          <w:numId w:val="2"/>
        </w:numPr>
        <w:spacing w:after="60"/>
      </w:pPr>
      <w:r>
        <w:t xml:space="preserve">Perpétuité effective pour les détournements les plus graves, sans réduction de peine sans restitution.</w:t>
      </w:r>
    </w:p>
    <w:p>
      <w:pPr>
        <w:pStyle w:val="ListParagraph"/>
        <w:numPr>
          <w:ilvl w:val="1"/>
          <w:numId w:val="2"/>
        </w:numPr>
        <w:spacing w:after="60"/>
      </w:pPr>
      <w:r>
        <w:t xml:space="preserve">Inéligibilité.</w:t>
      </w:r>
    </w:p>
    <w:p>
      <w:pPr>
        <w:pStyle w:val="ListParagraph"/>
        <w:numPr>
          <w:ilvl w:val="1"/>
          <w:numId w:val="2"/>
        </w:numPr>
        <w:spacing w:after="60"/>
      </w:pPr>
      <w:r>
        <w:t xml:space="preserve">Publication des jugements.</w:t>
      </w:r>
    </w:p>
    <w:p>
      <w:pPr>
        <w:pStyle w:val="ListParagraph"/>
        <w:numPr>
          <w:ilvl w:val="1"/>
          <w:numId w:val="2"/>
        </w:numPr>
        <w:spacing w:after="60"/>
      </w:pPr>
      <w:r>
        <w:t xml:space="preserve">Délais de jugement tenus.</w:t>
      </w:r>
    </w:p>
    <w:p>
      <w:pPr>
        <w:pStyle w:val="ListParagraph"/>
        <w:numPr>
          <w:ilvl w:val="0"/>
          <w:numId w:val="7"/>
        </w:numPr>
        <w:spacing w:after="80"/>
      </w:pPr>
      <w:r>
        <w:rPr>
          <w:b/>
          <w:bCs/>
        </w:rPr>
        <w:t xml:space="preserve">Liste grise du GAFI</w:t>
      </w:r>
      <w:r>
        <w:t xml:space="preserve"> : registre des bénéficiaires effectifs interconnecté avec l'administration fiscale, sanctions effectives.</w:t>
      </w:r>
    </w:p>
    <w:p>
      <w:pPr>
        <w:spacing w:after="120"/>
      </w:pPr>
      <w:r>
        <w:rPr>
          <w:b/>
          <w:bCs/>
        </w:rPr>
        <w:t xml:space="preserve">Autorité.</w:t>
      </w:r>
      <w:r>
        <w:t xml:space="preserve"> Président, conseils d'administration, Chambre des comptes, CONSUPE, ministère de la Justice, TCS, ANIF. Parlement pour les lois.</w:t>
      </w:r>
    </w:p>
    <w:p>
      <w:pPr>
        <w:spacing w:after="120"/>
      </w:pPr>
      <w:r>
        <w:rPr>
          <w:b/>
          <w:bCs/>
        </w:rPr>
        <w:t xml:space="preserve">Indicateurs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Indicateur</w:t>
            </w:r>
          </w:p>
        </w:tc>
        <w:tc>
          <w:tcPr>
            <w:tcW w:type="dxa" w:w="3137"/>
            <w:shd w:fill="DCE3EE" w:color="auto" w:val="clear"/>
            <w:tcMar>
              <w:top w:type="dxa" w:w="40"/>
              <w:left w:type="dxa" w:w="80"/>
              <w:bottom w:type="dxa" w:w="40"/>
              <w:right w:type="dxa" w:w="80"/>
            </w:tcMar>
          </w:tcPr>
          <w:p>
            <w:r>
              <w:rPr>
                <w:b/>
                <w:bCs/>
                <w:sz w:val="16"/>
                <w:szCs w:val="16"/>
              </w:rPr>
              <w:t xml:space="preserve">Départ</w:t>
            </w:r>
          </w:p>
        </w:tc>
        <w:tc>
          <w:tcPr>
            <w:tcW w:type="dxa" w:w="3137"/>
            <w:shd w:fill="DCE3EE" w:color="auto" w:val="clear"/>
            <w:tcMar>
              <w:top w:type="dxa" w:w="40"/>
              <w:left w:type="dxa" w:w="80"/>
              <w:bottom w:type="dxa" w:w="40"/>
              <w:right w:type="dxa" w:w="80"/>
            </w:tcMar>
          </w:tcPr>
          <w:p>
            <w:r>
              <w:rPr>
                <w:b/>
                <w:bCs/>
                <w:sz w:val="16"/>
                <w:szCs w:val="16"/>
              </w:rPr>
              <w:t xml:space="preserve">Cible à 3 ans</w:t>
            </w:r>
          </w:p>
        </w:tc>
      </w:tr>
      <w:tr>
        <w:trPr>
          <w:tblHeader w:val="false"/>
        </w:trPr>
        <w:tc>
          <w:tcPr>
            <w:tcW w:type="dxa" w:w="3137"/>
            <w:tcMar>
              <w:top w:type="dxa" w:w="40"/>
              <w:left w:type="dxa" w:w="80"/>
              <w:bottom w:type="dxa" w:w="40"/>
              <w:right w:type="dxa" w:w="80"/>
            </w:tcMar>
          </w:tcPr>
          <w:p>
            <w:r>
              <w:rPr>
                <w:sz w:val="16"/>
                <w:szCs w:val="16"/>
              </w:rPr>
              <w:t xml:space="preserve">Dirigeants en poste dans les délais légaux et recrutés sur appel public</w:t>
            </w:r>
          </w:p>
        </w:tc>
        <w:tc>
          <w:tcPr>
            <w:tcW w:type="dxa" w:w="3137"/>
            <w:tcMar>
              <w:top w:type="dxa" w:w="40"/>
              <w:left w:type="dxa" w:w="80"/>
              <w:bottom w:type="dxa" w:w="40"/>
              <w:right w:type="dxa" w:w="80"/>
            </w:tcMar>
          </w:tcPr>
          <w:p>
            <w:r>
              <w:rPr>
                <w:sz w:val="16"/>
                <w:szCs w:val="16"/>
              </w:rPr>
              <w:t xml:space="preserve">À établir</w:t>
            </w:r>
          </w:p>
        </w:tc>
        <w:tc>
          <w:tcPr>
            <w:tcW w:type="dxa" w:w="3137"/>
            <w:tcMar>
              <w:top w:type="dxa" w:w="40"/>
              <w:left w:type="dxa" w:w="80"/>
              <w:bottom w:type="dxa" w:w="40"/>
              <w:right w:type="dxa" w:w="80"/>
            </w:tcMar>
          </w:tcPr>
          <w:p>
            <w:r>
              <w:rPr>
                <w:sz w:val="16"/>
                <w:szCs w:val="16"/>
              </w:rPr>
              <w:t xml:space="preserve">100 % à 12 mois</w:t>
            </w:r>
          </w:p>
        </w:tc>
      </w:tr>
      <w:tr>
        <w:trPr>
          <w:tblHeader w:val="false"/>
        </w:trPr>
        <w:tc>
          <w:tcPr>
            <w:tcW w:type="dxa" w:w="3137"/>
            <w:tcMar>
              <w:top w:type="dxa" w:w="40"/>
              <w:left w:type="dxa" w:w="80"/>
              <w:bottom w:type="dxa" w:w="40"/>
              <w:right w:type="dxa" w:w="80"/>
            </w:tcMar>
          </w:tcPr>
          <w:p>
            <w:r>
              <w:rPr>
                <w:sz w:val="16"/>
                <w:szCs w:val="16"/>
              </w:rPr>
              <w:t xml:space="preserve">Dossiers Covid</w:t>
            </w:r>
          </w:p>
        </w:tc>
        <w:tc>
          <w:tcPr>
            <w:tcW w:type="dxa" w:w="3137"/>
            <w:tcMar>
              <w:top w:type="dxa" w:w="40"/>
              <w:left w:type="dxa" w:w="80"/>
              <w:bottom w:type="dxa" w:w="40"/>
              <w:right w:type="dxa" w:w="80"/>
            </w:tcMar>
          </w:tcPr>
          <w:p>
            <w:r>
              <w:rPr>
                <w:sz w:val="16"/>
                <w:szCs w:val="16"/>
              </w:rPr>
              <w:t xml:space="preserve">12 transmis, aucune condamnation retrouvée</w:t>
            </w:r>
          </w:p>
        </w:tc>
        <w:tc>
          <w:tcPr>
            <w:tcW w:type="dxa" w:w="3137"/>
            <w:tcMar>
              <w:top w:type="dxa" w:w="40"/>
              <w:left w:type="dxa" w:w="80"/>
              <w:bottom w:type="dxa" w:w="40"/>
              <w:right w:type="dxa" w:w="80"/>
            </w:tcMar>
          </w:tcPr>
          <w:p>
            <w:r>
              <w:rPr>
                <w:sz w:val="16"/>
                <w:szCs w:val="16"/>
              </w:rPr>
              <w:t xml:space="preserve">12 dossiers instruits et jugés</w:t>
            </w:r>
          </w:p>
        </w:tc>
      </w:tr>
      <w:tr>
        <w:trPr>
          <w:tblHeader w:val="false"/>
        </w:trPr>
        <w:tc>
          <w:tcPr>
            <w:tcW w:type="dxa" w:w="3137"/>
            <w:tcMar>
              <w:top w:type="dxa" w:w="40"/>
              <w:left w:type="dxa" w:w="80"/>
              <w:bottom w:type="dxa" w:w="40"/>
              <w:right w:type="dxa" w:w="80"/>
            </w:tcMar>
          </w:tcPr>
          <w:p>
            <w:r>
              <w:rPr>
                <w:sz w:val="16"/>
                <w:szCs w:val="16"/>
              </w:rPr>
              <w:t xml:space="preserve">Rapports d'audit publiés</w:t>
            </w:r>
          </w:p>
        </w:tc>
        <w:tc>
          <w:tcPr>
            <w:tcW w:type="dxa" w:w="3137"/>
            <w:tcMar>
              <w:top w:type="dxa" w:w="40"/>
              <w:left w:type="dxa" w:w="80"/>
              <w:bottom w:type="dxa" w:w="40"/>
              <w:right w:type="dxa" w:w="80"/>
            </w:tcMar>
          </w:tcPr>
          <w:p>
            <w:r>
              <w:rPr>
                <w:sz w:val="16"/>
                <w:szCs w:val="16"/>
              </w:rPr>
              <w:t xml:space="preserve">—</w:t>
            </w:r>
          </w:p>
        </w:tc>
        <w:tc>
          <w:tcPr>
            <w:tcW w:type="dxa" w:w="3137"/>
            <w:tcMar>
              <w:top w:type="dxa" w:w="40"/>
              <w:left w:type="dxa" w:w="80"/>
              <w:bottom w:type="dxa" w:w="40"/>
              <w:right w:type="dxa" w:w="80"/>
            </w:tcMar>
          </w:tcPr>
          <w:p>
            <w:r>
              <w:rPr>
                <w:sz w:val="16"/>
                <w:szCs w:val="16"/>
              </w:rPr>
              <w:t xml:space="preserve">15 en 100 jours</w:t>
            </w:r>
          </w:p>
        </w:tc>
      </w:tr>
    </w:tbl>
    <w:p>
      <w:pPr>
        <w:spacing w:after="80"/>
      </w:pPr>
    </w:p>
    <w:p>
      <w:pPr>
        <w:spacing w:after="120"/>
      </w:pPr>
      <w:r>
        <w:rPr>
          <w:b/>
          <w:bCs/>
        </w:rPr>
        <w:t xml:space="preserve">Coût.</w:t>
      </w:r>
      <w:r>
        <w:t xml:space="preserve"> Environ 6 à 8 Mds par an (hypothèse).</w:t>
      </w:r>
    </w:p>
    <w:p>
      <w:pPr>
        <w:pStyle w:val="Heading2"/>
      </w:pPr>
      <w:r>
        <w:t xml:space="preserve">Chantier 5 — Recettes et ressources naturelles</w:t>
      </w:r>
    </w:p>
    <w:p>
      <w:pPr>
        <w:spacing w:after="120"/>
      </w:pPr>
      <w:r>
        <w:rPr>
          <w:b/>
          <w:bCs/>
        </w:rPr>
        <w:t xml:space="preserve">Décisions</w:t>
      </w:r>
    </w:p>
    <w:p>
      <w:pPr>
        <w:pStyle w:val="ListParagraph"/>
        <w:numPr>
          <w:ilvl w:val="0"/>
          <w:numId w:val="8"/>
        </w:numPr>
        <w:spacing w:after="80"/>
      </w:pPr>
      <w:r>
        <w:t xml:space="preserve">Revue et réduction des dépenses fiscales, notamment les incitations de la loi de 2013.</w:t>
      </w:r>
    </w:p>
    <w:p>
      <w:pPr>
        <w:pStyle w:val="ListParagraph"/>
        <w:numPr>
          <w:ilvl w:val="0"/>
          <w:numId w:val="8"/>
        </w:numPr>
        <w:spacing w:after="80"/>
      </w:pPr>
      <w:r>
        <w:t xml:space="preserve">Numérisation de l'impôt et du cadastre.</w:t>
      </w:r>
    </w:p>
    <w:p>
      <w:pPr>
        <w:pStyle w:val="ListParagraph"/>
        <w:numPr>
          <w:ilvl w:val="0"/>
          <w:numId w:val="8"/>
        </w:numPr>
        <w:spacing w:after="80"/>
      </w:pPr>
      <w:r>
        <w:rPr>
          <w:b/>
          <w:bCs/>
        </w:rPr>
        <w:t xml:space="preserve">Règle de gestion des recettes extractives.</w:t>
      </w:r>
      <w:r>
        <w:t xml:space="preserve"> Le budget n'intègre que les recettes calculées à un prix de référence prudent. L'excédent alimente un </w:t>
      </w:r>
      <w:r>
        <w:rPr>
          <w:b/>
          <w:bCs/>
        </w:rPr>
        <w:t xml:space="preserve">Fonds de stabilisation et d'investissement Ernest Ouandié</w:t>
      </w:r>
      <w:r>
        <w:t xml:space="preserve"> (gouvernance séparée, publication trimestrielle, principes de Santiago).</w:t>
      </w:r>
    </w:p>
    <w:p>
      <w:pPr>
        <w:pStyle w:val="ListParagraph"/>
        <w:numPr>
          <w:ilvl w:val="0"/>
          <w:numId w:val="8"/>
        </w:numPr>
        <w:spacing w:after="80"/>
      </w:pPr>
      <w:r>
        <w:t xml:space="preserve">Publication des conventions minières (norme ITIE). Clauses de transformation locale réalistes pour Minim-Martap, Mbalam et Lobé.</w:t>
      </w:r>
    </w:p>
    <w:p>
      <w:pPr>
        <w:pStyle w:val="ListParagraph"/>
        <w:numPr>
          <w:ilvl w:val="0"/>
          <w:numId w:val="8"/>
        </w:numPr>
        <w:spacing w:after="80"/>
      </w:pPr>
      <w:r>
        <w:t xml:space="preserve">Traçabilité de l'or artisanal ; contrôle des exportations de la SNH par les statistiques miroir.</w:t>
      </w:r>
    </w:p>
    <w:p>
      <w:pPr>
        <w:spacing w:after="120"/>
      </w:pPr>
      <w:r>
        <w:rPr>
          <w:b/>
          <w:bCs/>
        </w:rPr>
        <w:t xml:space="preserve">Autorité.</w:t>
      </w:r>
      <w:r>
        <w:t xml:space="preserve"> MINFI, MINMIDT ; Parlement (loi de finances, loi sur le fonds).</w:t>
      </w:r>
    </w:p>
    <w:p>
      <w:pPr>
        <w:spacing w:after="120"/>
      </w:pPr>
      <w:r>
        <w:rPr>
          <w:b/>
          <w:bCs/>
        </w:rPr>
        <w:t xml:space="preserve">Effet</w:t>
      </w:r>
      <w:r>
        <w:t xml:space="preserve"> (scénario central). Dépenses fiscales : +80, puis +150, puis +200 Mds. Administration fiscale : +0,1, puis +0,2, puis +0,3 point de PIB.</w:t>
      </w:r>
    </w:p>
    <w:p>
      <w:pPr>
        <w:spacing w:after="120"/>
      </w:pPr>
      <w:r>
        <w:rPr>
          <w:b/>
          <w:bCs/>
        </w:rPr>
        <w:t xml:space="preserve">Indicateurs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Indicateur</w:t>
            </w:r>
          </w:p>
        </w:tc>
        <w:tc>
          <w:tcPr>
            <w:tcW w:type="dxa" w:w="3137"/>
            <w:shd w:fill="DCE3EE" w:color="auto" w:val="clear"/>
            <w:tcMar>
              <w:top w:type="dxa" w:w="40"/>
              <w:left w:type="dxa" w:w="80"/>
              <w:bottom w:type="dxa" w:w="40"/>
              <w:right w:type="dxa" w:w="80"/>
            </w:tcMar>
          </w:tcPr>
          <w:p>
            <w:r>
              <w:rPr>
                <w:b/>
                <w:bCs/>
                <w:sz w:val="16"/>
                <w:szCs w:val="16"/>
              </w:rPr>
              <w:t xml:space="preserve">Départ</w:t>
            </w:r>
          </w:p>
        </w:tc>
        <w:tc>
          <w:tcPr>
            <w:tcW w:type="dxa" w:w="3137"/>
            <w:shd w:fill="DCE3EE" w:color="auto" w:val="clear"/>
            <w:tcMar>
              <w:top w:type="dxa" w:w="40"/>
              <w:left w:type="dxa" w:w="80"/>
              <w:bottom w:type="dxa" w:w="40"/>
              <w:right w:type="dxa" w:w="80"/>
            </w:tcMar>
          </w:tcPr>
          <w:p>
            <w:r>
              <w:rPr>
                <w:b/>
                <w:bCs/>
                <w:sz w:val="16"/>
                <w:szCs w:val="16"/>
              </w:rPr>
              <w:t xml:space="preserve">Cible à 3 ans</w:t>
            </w:r>
          </w:p>
        </w:tc>
      </w:tr>
      <w:tr>
        <w:trPr>
          <w:tblHeader w:val="false"/>
        </w:trPr>
        <w:tc>
          <w:tcPr>
            <w:tcW w:type="dxa" w:w="3137"/>
            <w:tcMar>
              <w:top w:type="dxa" w:w="40"/>
              <w:left w:type="dxa" w:w="80"/>
              <w:bottom w:type="dxa" w:w="40"/>
              <w:right w:type="dxa" w:w="80"/>
            </w:tcMar>
          </w:tcPr>
          <w:p>
            <w:r>
              <w:rPr>
                <w:sz w:val="16"/>
                <w:szCs w:val="16"/>
              </w:rPr>
              <w:t xml:space="preserve">Pression fiscale non pétrolière</w:t>
            </w:r>
          </w:p>
        </w:tc>
        <w:tc>
          <w:tcPr>
            <w:tcW w:type="dxa" w:w="3137"/>
            <w:tcMar>
              <w:top w:type="dxa" w:w="40"/>
              <w:left w:type="dxa" w:w="80"/>
              <w:bottom w:type="dxa" w:w="40"/>
              <w:right w:type="dxa" w:w="80"/>
            </w:tcMar>
          </w:tcPr>
          <w:p>
            <w:r>
              <w:rPr>
                <w:sz w:val="16"/>
                <w:szCs w:val="16"/>
              </w:rPr>
              <w:t xml:space="preserve">12,9 % du PIB (2025)</w:t>
            </w:r>
          </w:p>
        </w:tc>
        <w:tc>
          <w:tcPr>
            <w:tcW w:type="dxa" w:w="3137"/>
            <w:tcMar>
              <w:top w:type="dxa" w:w="40"/>
              <w:left w:type="dxa" w:w="80"/>
              <w:bottom w:type="dxa" w:w="40"/>
              <w:right w:type="dxa" w:w="80"/>
            </w:tcMar>
          </w:tcPr>
          <w:p>
            <w:r>
              <w:rPr>
                <w:sz w:val="16"/>
                <w:szCs w:val="16"/>
              </w:rPr>
              <w:t xml:space="preserve">14,5 % (proposée)</w:t>
            </w:r>
          </w:p>
        </w:tc>
      </w:tr>
      <w:tr>
        <w:trPr>
          <w:tblHeader w:val="false"/>
        </w:trPr>
        <w:tc>
          <w:tcPr>
            <w:tcW w:type="dxa" w:w="3137"/>
            <w:tcMar>
              <w:top w:type="dxa" w:w="40"/>
              <w:left w:type="dxa" w:w="80"/>
              <w:bottom w:type="dxa" w:w="40"/>
              <w:right w:type="dxa" w:w="80"/>
            </w:tcMar>
          </w:tcPr>
          <w:p>
            <w:r>
              <w:rPr>
                <w:sz w:val="16"/>
                <w:szCs w:val="16"/>
              </w:rPr>
              <w:t xml:space="preserve">Conventions extractives publiées</w:t>
            </w:r>
          </w:p>
        </w:tc>
        <w:tc>
          <w:tcPr>
            <w:tcW w:type="dxa" w:w="3137"/>
            <w:tcMar>
              <w:top w:type="dxa" w:w="40"/>
              <w:left w:type="dxa" w:w="80"/>
              <w:bottom w:type="dxa" w:w="40"/>
              <w:right w:type="dxa" w:w="80"/>
            </w:tcMar>
          </w:tcPr>
          <w:p>
            <w:r>
              <w:rPr>
                <w:sz w:val="16"/>
                <w:szCs w:val="16"/>
              </w:rPr>
              <w:t xml:space="preserve">À établir</w:t>
            </w:r>
          </w:p>
        </w:tc>
        <w:tc>
          <w:tcPr>
            <w:tcW w:type="dxa" w:w="3137"/>
            <w:tcMar>
              <w:top w:type="dxa" w:w="40"/>
              <w:left w:type="dxa" w:w="80"/>
              <w:bottom w:type="dxa" w:w="40"/>
              <w:right w:type="dxa" w:w="80"/>
            </w:tcMar>
          </w:tcPr>
          <w:p>
            <w:r>
              <w:rPr>
                <w:sz w:val="16"/>
                <w:szCs w:val="16"/>
              </w:rPr>
              <w:t xml:space="preserve">100 %</w:t>
            </w:r>
          </w:p>
        </w:tc>
      </w:tr>
    </w:tbl>
    <w:p>
      <w:pPr>
        <w:spacing w:after="80"/>
      </w:pPr>
    </w:p>
    <w:p>
      <w:pPr>
        <w:pStyle w:val="Heading2"/>
      </w:pPr>
      <w:r>
        <w:t xml:space="preserve">Chantier 6 — Souveraineté alimentaire programmée</w:t>
      </w:r>
    </w:p>
    <w:p>
      <w:pPr>
        <w:spacing w:after="120"/>
      </w:pPr>
      <w:r>
        <w:rPr>
          <w:b/>
          <w:bCs/>
        </w:rPr>
        <w:t xml:space="preserve">Décisions</w:t>
      </w:r>
    </w:p>
    <w:p>
      <w:pPr>
        <w:pStyle w:val="ListParagraph"/>
        <w:numPr>
          <w:ilvl w:val="0"/>
          <w:numId w:val="9"/>
        </w:numPr>
        <w:spacing w:after="80"/>
      </w:pPr>
      <w:r>
        <w:t xml:space="preserve">Objectifs de production vérifiés par filière :</w:t>
      </w:r>
    </w:p>
    <w:p>
      <w:pPr>
        <w:pStyle w:val="ListParagraph"/>
        <w:numPr>
          <w:ilvl w:val="1"/>
          <w:numId w:val="2"/>
        </w:numPr>
        <w:spacing w:after="60"/>
      </w:pPr>
      <w:r>
        <w:t xml:space="preserve">riz : réhabilitation des périmètres SEMRY, semences IRAD ;</w:t>
      </w:r>
    </w:p>
    <w:p>
      <w:pPr>
        <w:pStyle w:val="ListParagraph"/>
        <w:numPr>
          <w:ilvl w:val="1"/>
          <w:numId w:val="2"/>
        </w:numPr>
        <w:spacing w:after="60"/>
      </w:pPr>
      <w:r>
        <w:t xml:space="preserve">poisson : aquaculture et pêche artisanale ;</w:t>
      </w:r>
    </w:p>
    <w:p>
      <w:pPr>
        <w:pStyle w:val="ListParagraph"/>
        <w:numPr>
          <w:ilvl w:val="1"/>
          <w:numId w:val="2"/>
        </w:numPr>
        <w:spacing w:after="60"/>
      </w:pPr>
      <w:r>
        <w:t xml:space="preserve">maïs et manioc : farines locales incorporées au pain.</w:t>
      </w:r>
    </w:p>
    <w:p>
      <w:pPr>
        <w:pStyle w:val="ListParagraph"/>
        <w:numPr>
          <w:ilvl w:val="0"/>
          <w:numId w:val="9"/>
        </w:numPr>
        <w:spacing w:after="80"/>
      </w:pPr>
      <w:r>
        <w:t xml:space="preserve">Protection progressive compatible avec les engagements :</w:t>
      </w:r>
    </w:p>
    <w:p>
      <w:pPr>
        <w:pStyle w:val="ListParagraph"/>
        <w:numPr>
          <w:ilvl w:val="1"/>
          <w:numId w:val="2"/>
        </w:numPr>
        <w:spacing w:after="60"/>
      </w:pPr>
      <w:r>
        <w:t xml:space="preserve">droits de douane relevés par paliers dans la limite des taux consolidés à l'OMC (50 à 80 %, environ 80 % pour les produits agricoles). Taux appliqués actuels : riz de grande consommation 5 %, blé 10 %, poisson congelé 20 %. Taux du nouveau tarif commun CEEAC-CEMAC (2026) à confirmer (VFJ) ;</w:t>
      </w:r>
    </w:p>
    <w:p>
      <w:pPr>
        <w:pStyle w:val="ListParagraph"/>
        <w:numPr>
          <w:ilvl w:val="1"/>
          <w:numId w:val="2"/>
        </w:numPr>
        <w:spacing w:after="60"/>
      </w:pPr>
      <w:r>
        <w:t xml:space="preserve">clauses de sauvegarde de l'APE avec l'UE.</w:t>
      </w:r>
    </w:p>
    <w:p>
      <w:pPr>
        <w:pStyle w:val="ListParagraph"/>
        <w:numPr>
          <w:ilvl w:val="0"/>
          <w:numId w:val="9"/>
        </w:numPr>
        <w:spacing w:after="80"/>
      </w:pPr>
      <w:r>
        <w:t xml:space="preserve">Achats publics locaux : cantines, armée, hôpitaux.</w:t>
      </w:r>
    </w:p>
    <w:p>
      <w:pPr>
        <w:pStyle w:val="ListParagraph"/>
        <w:numPr>
          <w:ilvl w:val="0"/>
          <w:numId w:val="9"/>
        </w:numPr>
        <w:spacing w:after="80"/>
      </w:pPr>
      <w:r>
        <w:rPr>
          <w:b/>
          <w:bCs/>
        </w:rPr>
        <w:t xml:space="preserve">Réduction des importations par paliers</w:t>
      </w:r>
      <w:r>
        <w:t xml:space="preserve">, déclenchée lorsque la production vérifiée atteint les seuils.</w:t>
      </w:r>
    </w:p>
    <w:p>
      <w:pPr>
        <w:pStyle w:val="ListParagraph"/>
        <w:numPr>
          <w:ilvl w:val="0"/>
          <w:numId w:val="9"/>
        </w:numPr>
        <w:spacing w:after="80"/>
      </w:pPr>
      <w:r>
        <w:t xml:space="preserve">Stock alimentaire de sécurité.</w:t>
      </w:r>
    </w:p>
    <w:p>
      <w:pPr>
        <w:spacing w:after="120"/>
      </w:pPr>
      <w:r>
        <w:rPr>
          <w:b/>
          <w:bCs/>
        </w:rPr>
        <w:t xml:space="preserve">Autorité.</w:t>
      </w:r>
      <w:r>
        <w:t xml:space="preserve"> MINADER, MINEPIA, MINCOMMERCE, MINFI (douanes).</w:t>
      </w:r>
    </w:p>
    <w:p>
      <w:pPr>
        <w:spacing w:after="120"/>
      </w:pPr>
      <w:r>
        <w:rPr>
          <w:b/>
          <w:bCs/>
        </w:rPr>
        <w:t xml:space="preserve">Coût</w:t>
      </w:r>
      <w:r>
        <w:t xml:space="preserve"> (scénario central). 40, puis 60, puis 60 Mds par an, par redéploiement partiel du PIISAH.</w:t>
      </w:r>
    </w:p>
    <w:p>
      <w:pPr>
        <w:spacing w:after="120"/>
      </w:pPr>
      <w:r>
        <w:rPr>
          <w:b/>
          <w:bCs/>
        </w:rPr>
        <w:t xml:space="preserve">Indicateurs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Indicateur</w:t>
            </w:r>
          </w:p>
        </w:tc>
        <w:tc>
          <w:tcPr>
            <w:tcW w:type="dxa" w:w="3137"/>
            <w:shd w:fill="DCE3EE" w:color="auto" w:val="clear"/>
            <w:tcMar>
              <w:top w:type="dxa" w:w="40"/>
              <w:left w:type="dxa" w:w="80"/>
              <w:bottom w:type="dxa" w:w="40"/>
              <w:right w:type="dxa" w:w="80"/>
            </w:tcMar>
          </w:tcPr>
          <w:p>
            <w:r>
              <w:rPr>
                <w:b/>
                <w:bCs/>
                <w:sz w:val="16"/>
                <w:szCs w:val="16"/>
              </w:rPr>
              <w:t xml:space="preserve">Départ</w:t>
            </w:r>
          </w:p>
        </w:tc>
        <w:tc>
          <w:tcPr>
            <w:tcW w:type="dxa" w:w="3137"/>
            <w:shd w:fill="DCE3EE" w:color="auto" w:val="clear"/>
            <w:tcMar>
              <w:top w:type="dxa" w:w="40"/>
              <w:left w:type="dxa" w:w="80"/>
              <w:bottom w:type="dxa" w:w="40"/>
              <w:right w:type="dxa" w:w="80"/>
            </w:tcMar>
          </w:tcPr>
          <w:p>
            <w:r>
              <w:rPr>
                <w:b/>
                <w:bCs/>
                <w:sz w:val="16"/>
                <w:szCs w:val="16"/>
              </w:rPr>
              <w:t xml:space="preserve">Cible à 3 ans</w:t>
            </w:r>
          </w:p>
        </w:tc>
      </w:tr>
      <w:tr>
        <w:trPr>
          <w:tblHeader w:val="false"/>
        </w:trPr>
        <w:tc>
          <w:tcPr>
            <w:tcW w:type="dxa" w:w="3137"/>
            <w:tcMar>
              <w:top w:type="dxa" w:w="40"/>
              <w:left w:type="dxa" w:w="80"/>
              <w:bottom w:type="dxa" w:w="40"/>
              <w:right w:type="dxa" w:w="80"/>
            </w:tcMar>
          </w:tcPr>
          <w:p>
            <w:r>
              <w:rPr>
                <w:sz w:val="16"/>
                <w:szCs w:val="16"/>
              </w:rPr>
              <w:t xml:space="preserve">Part locale dans la consommation de riz</w:t>
            </w:r>
          </w:p>
        </w:tc>
        <w:tc>
          <w:tcPr>
            <w:tcW w:type="dxa" w:w="3137"/>
            <w:tcMar>
              <w:top w:type="dxa" w:w="40"/>
              <w:left w:type="dxa" w:w="80"/>
              <w:bottom w:type="dxa" w:w="40"/>
              <w:right w:type="dxa" w:w="80"/>
            </w:tcMar>
          </w:tcPr>
          <w:p>
            <w:r>
              <w:rPr>
                <w:sz w:val="16"/>
                <w:szCs w:val="16"/>
              </w:rPr>
              <w:t xml:space="preserve">À établir : 14 % à 30 % selon les sources (paddy 410 000 t en 2024 selon le MINFI ; importations 869 039 t en 2025)</w:t>
            </w:r>
          </w:p>
        </w:tc>
        <w:tc>
          <w:tcPr>
            <w:tcW w:type="dxa" w:w="3137"/>
            <w:tcMar>
              <w:top w:type="dxa" w:w="40"/>
              <w:left w:type="dxa" w:w="80"/>
              <w:bottom w:type="dxa" w:w="40"/>
              <w:right w:type="dxa" w:w="80"/>
            </w:tcMar>
          </w:tcPr>
          <w:p>
            <w:r>
              <w:rPr>
                <w:sz w:val="16"/>
                <w:szCs w:val="16"/>
              </w:rPr>
              <w:t xml:space="preserve">+15 points (proposée)</w:t>
            </w:r>
          </w:p>
        </w:tc>
      </w:tr>
      <w:tr>
        <w:trPr>
          <w:tblHeader w:val="false"/>
        </w:trPr>
        <w:tc>
          <w:tcPr>
            <w:tcW w:type="dxa" w:w="3137"/>
            <w:tcMar>
              <w:top w:type="dxa" w:w="40"/>
              <w:left w:type="dxa" w:w="80"/>
              <w:bottom w:type="dxa" w:w="40"/>
              <w:right w:type="dxa" w:w="80"/>
            </w:tcMar>
          </w:tcPr>
          <w:p>
            <w:r>
              <w:rPr>
                <w:sz w:val="16"/>
                <w:szCs w:val="16"/>
              </w:rPr>
              <w:t xml:space="preserve">Importations de poisson</w:t>
            </w:r>
          </w:p>
        </w:tc>
        <w:tc>
          <w:tcPr>
            <w:tcW w:type="dxa" w:w="3137"/>
            <w:tcMar>
              <w:top w:type="dxa" w:w="40"/>
              <w:left w:type="dxa" w:w="80"/>
              <w:bottom w:type="dxa" w:w="40"/>
              <w:right w:type="dxa" w:w="80"/>
            </w:tcMar>
          </w:tcPr>
          <w:p>
            <w:r>
              <w:rPr>
                <w:sz w:val="16"/>
                <w:szCs w:val="16"/>
              </w:rPr>
              <w:t xml:space="preserve">267 259 t (2025) ; production nationale 254 000 t (2024, MINFI)</w:t>
            </w:r>
          </w:p>
        </w:tc>
        <w:tc>
          <w:tcPr>
            <w:tcW w:type="dxa" w:w="3137"/>
            <w:tcMar>
              <w:top w:type="dxa" w:w="40"/>
              <w:left w:type="dxa" w:w="80"/>
              <w:bottom w:type="dxa" w:w="40"/>
              <w:right w:type="dxa" w:w="80"/>
            </w:tcMar>
          </w:tcPr>
          <w:p>
            <w:r>
              <w:rPr>
                <w:sz w:val="16"/>
                <w:szCs w:val="16"/>
              </w:rPr>
              <w:t xml:space="preserve">−25 % (proposée)</w:t>
            </w:r>
          </w:p>
        </w:tc>
      </w:tr>
    </w:tbl>
    <w:p>
      <w:pPr>
        <w:spacing w:after="80"/>
      </w:pPr>
    </w:p>
    <w:p>
      <w:pPr>
        <w:pStyle w:val="Heading2"/>
      </w:pPr>
      <w:r>
        <w:t xml:space="preserve">Chantier 7 — Capital humain : éducation et santé</w:t>
      </w:r>
    </w:p>
    <w:p>
      <w:pPr>
        <w:spacing w:after="120"/>
      </w:pPr>
      <w:r>
        <w:rPr>
          <w:b/>
          <w:bCs/>
        </w:rPr>
        <w:t xml:space="preserve">Éducation</w:t>
      </w:r>
    </w:p>
    <w:p>
      <w:pPr>
        <w:pStyle w:val="ListParagraph"/>
        <w:numPr>
          <w:ilvl w:val="0"/>
          <w:numId w:val="10"/>
        </w:numPr>
        <w:spacing w:after="80"/>
      </w:pPr>
      <w:r>
        <w:t xml:space="preserve">Calendrier publié d'apurement de la dette due aux enseignants : 105 Mds restaient dus en 2023 selon l'État, montant à actualiser par audit.</w:t>
      </w:r>
    </w:p>
    <w:p>
      <w:pPr>
        <w:pStyle w:val="ListParagraph"/>
        <w:numPr>
          <w:ilvl w:val="0"/>
          <w:numId w:val="10"/>
        </w:numPr>
        <w:spacing w:after="80"/>
      </w:pPr>
      <w:r>
        <w:t xml:space="preserve">Salaire complet dès la première affectation.</w:t>
      </w:r>
    </w:p>
    <w:p>
      <w:pPr>
        <w:pStyle w:val="ListParagraph"/>
        <w:numPr>
          <w:ilvl w:val="0"/>
          <w:numId w:val="10"/>
        </w:numPr>
        <w:spacing w:after="80"/>
      </w:pPr>
      <w:r>
        <w:t xml:space="preserve">Statut particulier des enseignants.</w:t>
      </w:r>
    </w:p>
    <w:p>
      <w:pPr>
        <w:pStyle w:val="ListParagraph"/>
        <w:numPr>
          <w:ilvl w:val="0"/>
          <w:numId w:val="10"/>
        </w:numPr>
        <w:spacing w:after="80"/>
      </w:pPr>
      <w:r>
        <w:t xml:space="preserve">Évaluation nationale des apprentissages et participation au PASEC.</w:t>
      </w:r>
    </w:p>
    <w:p>
      <w:pPr>
        <w:pStyle w:val="ListParagraph"/>
        <w:numPr>
          <w:ilvl w:val="0"/>
          <w:numId w:val="10"/>
        </w:numPr>
        <w:spacing w:after="80"/>
      </w:pPr>
      <w:r>
        <w:t xml:space="preserve">Réouverture sécurisée des écoles du Nord-Ouest et du Sud-Ouest (environ 45 % non fonctionnelles).</w:t>
      </w:r>
    </w:p>
    <w:p>
      <w:pPr>
        <w:spacing w:after="120"/>
      </w:pPr>
      <w:r>
        <w:rPr>
          <w:b/>
          <w:bCs/>
        </w:rPr>
        <w:t xml:space="preserve">Santé</w:t>
      </w:r>
    </w:p>
    <w:p>
      <w:pPr>
        <w:pStyle w:val="ListParagraph"/>
        <w:numPr>
          <w:ilvl w:val="0"/>
          <w:numId w:val="11"/>
        </w:numPr>
        <w:spacing w:after="80"/>
      </w:pPr>
      <w:r>
        <w:t xml:space="preserve">Financement de la couverture santé universelle (CSU) par des accises dédiées (tabac, alcool, boissons sucrées).</w:t>
      </w:r>
    </w:p>
    <w:p>
      <w:pPr>
        <w:pStyle w:val="ListParagraph"/>
        <w:numPr>
          <w:ilvl w:val="0"/>
          <w:numId w:val="11"/>
        </w:numPr>
        <w:spacing w:after="80"/>
      </w:pPr>
      <w:r>
        <w:t xml:space="preserve">Paiement des formations sanitaires à 60 jours.</w:t>
      </w:r>
    </w:p>
    <w:p>
      <w:pPr>
        <w:pStyle w:val="ListParagraph"/>
        <w:numPr>
          <w:ilvl w:val="0"/>
          <w:numId w:val="11"/>
        </w:numPr>
        <w:spacing w:after="80"/>
      </w:pPr>
      <w:r>
        <w:t xml:space="preserve">Gratuité effective des soins maternels et infantiles.</w:t>
      </w:r>
    </w:p>
    <w:p>
      <w:pPr>
        <w:pStyle w:val="ListParagraph"/>
        <w:numPr>
          <w:ilvl w:val="0"/>
          <w:numId w:val="11"/>
        </w:numPr>
        <w:spacing w:after="80"/>
      </w:pPr>
      <w:r>
        <w:t xml:space="preserve">Primes et logements pour les personnels en zone rurale.</w:t>
      </w:r>
    </w:p>
    <w:p>
      <w:pPr>
        <w:pStyle w:val="ListParagraph"/>
        <w:numPr>
          <w:ilvl w:val="0"/>
          <w:numId w:val="11"/>
        </w:numPr>
        <w:spacing w:after="80"/>
      </w:pPr>
      <w:r>
        <w:t xml:space="preserve">Santé numérique (dossier patient, télémédecine) après les soins primaires.</w:t>
      </w:r>
    </w:p>
    <w:p>
      <w:pPr>
        <w:spacing w:after="120"/>
      </w:pPr>
      <w:r>
        <w:rPr>
          <w:b/>
          <w:bCs/>
        </w:rPr>
        <w:t xml:space="preserve">Autorité.</w:t>
      </w:r>
      <w:r>
        <w:t xml:space="preserve"> MINEDUB, MINESEC, MINSANTE, MINFI ; Parlement pour les accises.</w:t>
      </w:r>
    </w:p>
    <w:p>
      <w:pPr>
        <w:spacing w:after="120"/>
      </w:pPr>
      <w:r>
        <w:rPr>
          <w:b/>
          <w:bCs/>
        </w:rPr>
        <w:t xml:space="preserve">Coût</w:t>
      </w:r>
      <w:r>
        <w:t xml:space="preserve"> (scénario central)</w:t>
      </w:r>
    </w:p>
    <w:p>
      <w:pPr>
        <w:pStyle w:val="ListParagraph"/>
        <w:numPr>
          <w:ilvl w:val="0"/>
          <w:numId w:val="2"/>
        </w:numPr>
        <w:spacing w:after="60"/>
      </w:pPr>
      <w:r>
        <w:t xml:space="preserve">Dette enseignante : 40, puis 35, puis 30 Mds.</w:t>
      </w:r>
    </w:p>
    <w:p>
      <w:pPr>
        <w:pStyle w:val="ListParagraph"/>
        <w:numPr>
          <w:ilvl w:val="0"/>
          <w:numId w:val="2"/>
        </w:numPr>
        <w:spacing w:after="60"/>
      </w:pPr>
      <w:r>
        <w:t xml:space="preserve">CSU : 40, puis 60, puis 70 Mds, financés par des accises équivalentes.</w:t>
      </w:r>
    </w:p>
    <w:p>
      <w:pPr>
        <w:spacing w:after="120"/>
      </w:pPr>
      <w:r>
        <w:rPr>
          <w:b/>
          <w:bCs/>
        </w:rPr>
        <w:t xml:space="preserve">Indicateurs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Indicateur</w:t>
            </w:r>
          </w:p>
        </w:tc>
        <w:tc>
          <w:tcPr>
            <w:tcW w:type="dxa" w:w="3137"/>
            <w:shd w:fill="DCE3EE" w:color="auto" w:val="clear"/>
            <w:tcMar>
              <w:top w:type="dxa" w:w="40"/>
              <w:left w:type="dxa" w:w="80"/>
              <w:bottom w:type="dxa" w:w="40"/>
              <w:right w:type="dxa" w:w="80"/>
            </w:tcMar>
          </w:tcPr>
          <w:p>
            <w:r>
              <w:rPr>
                <w:b/>
                <w:bCs/>
                <w:sz w:val="16"/>
                <w:szCs w:val="16"/>
              </w:rPr>
              <w:t xml:space="preserve">Départ</w:t>
            </w:r>
          </w:p>
        </w:tc>
        <w:tc>
          <w:tcPr>
            <w:tcW w:type="dxa" w:w="3137"/>
            <w:shd w:fill="DCE3EE" w:color="auto" w:val="clear"/>
            <w:tcMar>
              <w:top w:type="dxa" w:w="40"/>
              <w:left w:type="dxa" w:w="80"/>
              <w:bottom w:type="dxa" w:w="40"/>
              <w:right w:type="dxa" w:w="80"/>
            </w:tcMar>
          </w:tcPr>
          <w:p>
            <w:r>
              <w:rPr>
                <w:b/>
                <w:bCs/>
                <w:sz w:val="16"/>
                <w:szCs w:val="16"/>
              </w:rPr>
              <w:t xml:space="preserve">Cible à 3 ans</w:t>
            </w:r>
          </w:p>
        </w:tc>
      </w:tr>
      <w:tr>
        <w:trPr>
          <w:tblHeader w:val="false"/>
        </w:trPr>
        <w:tc>
          <w:tcPr>
            <w:tcW w:type="dxa" w:w="3137"/>
            <w:tcMar>
              <w:top w:type="dxa" w:w="40"/>
              <w:left w:type="dxa" w:w="80"/>
              <w:bottom w:type="dxa" w:w="40"/>
              <w:right w:type="dxa" w:w="80"/>
            </w:tcMar>
          </w:tcPr>
          <w:p>
            <w:r>
              <w:rPr>
                <w:sz w:val="16"/>
                <w:szCs w:val="16"/>
              </w:rPr>
              <w:t xml:space="preserve">Paiements directs de santé</w:t>
            </w:r>
          </w:p>
        </w:tc>
        <w:tc>
          <w:tcPr>
            <w:tcW w:type="dxa" w:w="3137"/>
            <w:tcMar>
              <w:top w:type="dxa" w:w="40"/>
              <w:left w:type="dxa" w:w="80"/>
              <w:bottom w:type="dxa" w:w="40"/>
              <w:right w:type="dxa" w:w="80"/>
            </w:tcMar>
          </w:tcPr>
          <w:p>
            <w:r>
              <w:rPr>
                <w:sz w:val="16"/>
                <w:szCs w:val="16"/>
              </w:rPr>
              <w:t xml:space="preserve">67,7 %</w:t>
            </w:r>
          </w:p>
        </w:tc>
        <w:tc>
          <w:tcPr>
            <w:tcW w:type="dxa" w:w="3137"/>
            <w:tcMar>
              <w:top w:type="dxa" w:w="40"/>
              <w:left w:type="dxa" w:w="80"/>
              <w:bottom w:type="dxa" w:w="40"/>
              <w:right w:type="dxa" w:w="80"/>
            </w:tcMar>
          </w:tcPr>
          <w:p>
            <w:r>
              <w:rPr>
                <w:sz w:val="16"/>
                <w:szCs w:val="16"/>
              </w:rPr>
              <w:t xml:space="preserve">55 % (proposée)</w:t>
            </w:r>
          </w:p>
        </w:tc>
      </w:tr>
      <w:tr>
        <w:trPr>
          <w:tblHeader w:val="false"/>
        </w:trPr>
        <w:tc>
          <w:tcPr>
            <w:tcW w:type="dxa" w:w="3137"/>
            <w:tcMar>
              <w:top w:type="dxa" w:w="40"/>
              <w:left w:type="dxa" w:w="80"/>
              <w:bottom w:type="dxa" w:w="40"/>
              <w:right w:type="dxa" w:w="80"/>
            </w:tcMar>
          </w:tcPr>
          <w:p>
            <w:r>
              <w:rPr>
                <w:sz w:val="16"/>
                <w:szCs w:val="16"/>
              </w:rPr>
              <w:t xml:space="preserve">Délai d'intégration des enseignants</w:t>
            </w:r>
          </w:p>
        </w:tc>
        <w:tc>
          <w:tcPr>
            <w:tcW w:type="dxa" w:w="3137"/>
            <w:tcMar>
              <w:top w:type="dxa" w:w="40"/>
              <w:left w:type="dxa" w:w="80"/>
              <w:bottom w:type="dxa" w:w="40"/>
              <w:right w:type="dxa" w:w="80"/>
            </w:tcMar>
          </w:tcPr>
          <w:p>
            <w:r>
              <w:rPr>
                <w:sz w:val="16"/>
                <w:szCs w:val="16"/>
              </w:rPr>
              <w:t xml:space="preserve">À mesurer</w:t>
            </w:r>
          </w:p>
        </w:tc>
        <w:tc>
          <w:tcPr>
            <w:tcW w:type="dxa" w:w="3137"/>
            <w:tcMar>
              <w:top w:type="dxa" w:w="40"/>
              <w:left w:type="dxa" w:w="80"/>
              <w:bottom w:type="dxa" w:w="40"/>
              <w:right w:type="dxa" w:w="80"/>
            </w:tcMar>
          </w:tcPr>
          <w:p>
            <w:r>
              <w:rPr>
                <w:sz w:val="16"/>
                <w:szCs w:val="16"/>
              </w:rPr>
              <w:t xml:space="preserve">0 mois</w:t>
            </w:r>
          </w:p>
        </w:tc>
      </w:tr>
      <w:tr>
        <w:trPr>
          <w:tblHeader w:val="false"/>
        </w:trPr>
        <w:tc>
          <w:tcPr>
            <w:tcW w:type="dxa" w:w="3137"/>
            <w:tcMar>
              <w:top w:type="dxa" w:w="40"/>
              <w:left w:type="dxa" w:w="80"/>
              <w:bottom w:type="dxa" w:w="40"/>
              <w:right w:type="dxa" w:w="80"/>
            </w:tcMar>
          </w:tcPr>
          <w:p>
            <w:r>
              <w:rPr>
                <w:sz w:val="16"/>
                <w:szCs w:val="16"/>
              </w:rPr>
              <w:t xml:space="preserve">Achèvement du 1er cycle du secondaire</w:t>
            </w:r>
          </w:p>
        </w:tc>
        <w:tc>
          <w:tcPr>
            <w:tcW w:type="dxa" w:w="3137"/>
            <w:tcMar>
              <w:top w:type="dxa" w:w="40"/>
              <w:left w:type="dxa" w:w="80"/>
              <w:bottom w:type="dxa" w:w="40"/>
              <w:right w:type="dxa" w:w="80"/>
            </w:tcMar>
          </w:tcPr>
          <w:p>
            <w:r>
              <w:rPr>
                <w:sz w:val="16"/>
                <w:szCs w:val="16"/>
              </w:rPr>
              <w:t xml:space="preserve">35 % (2023)</w:t>
            </w:r>
          </w:p>
        </w:tc>
        <w:tc>
          <w:tcPr>
            <w:tcW w:type="dxa" w:w="3137"/>
            <w:tcMar>
              <w:top w:type="dxa" w:w="40"/>
              <w:left w:type="dxa" w:w="80"/>
              <w:bottom w:type="dxa" w:w="40"/>
              <w:right w:type="dxa" w:w="80"/>
            </w:tcMar>
          </w:tcPr>
          <w:p>
            <w:r>
              <w:rPr>
                <w:sz w:val="16"/>
                <w:szCs w:val="16"/>
              </w:rPr>
              <w:t xml:space="preserve">45 % (proposée)</w:t>
            </w:r>
          </w:p>
        </w:tc>
      </w:tr>
    </w:tbl>
    <w:p>
      <w:pPr>
        <w:spacing w:after="80"/>
      </w:pPr>
    </w:p>
    <w:p>
      <w:pPr>
        <w:pStyle w:val="Heading2"/>
      </w:pPr>
      <w:r>
        <w:t xml:space="preserve">Chantier 8 — Paix, territoires et mémoire</w:t>
      </w:r>
    </w:p>
    <w:p>
      <w:pPr>
        <w:spacing w:after="120"/>
      </w:pPr>
      <w:r>
        <w:rPr>
          <w:b/>
          <w:bCs/>
        </w:rPr>
        <w:t xml:space="preserve">Décisions</w:t>
      </w:r>
    </w:p>
    <w:p>
      <w:pPr>
        <w:pStyle w:val="ListParagraph"/>
        <w:numPr>
          <w:ilvl w:val="0"/>
          <w:numId w:val="12"/>
        </w:numPr>
        <w:spacing w:after="80"/>
      </w:pPr>
      <w:r>
        <w:rPr>
          <w:b/>
          <w:bCs/>
        </w:rPr>
        <w:t xml:space="preserve">Nord-Ouest et Sud-Ouest</w:t>
      </w:r>
    </w:p>
    <w:p>
      <w:pPr>
        <w:pStyle w:val="ListParagraph"/>
        <w:numPr>
          <w:ilvl w:val="1"/>
          <w:numId w:val="2"/>
        </w:numPr>
        <w:spacing w:after="60"/>
      </w:pPr>
      <w:r>
        <w:t xml:space="preserve">Forum national de réconciliation.</w:t>
      </w:r>
    </w:p>
    <w:p>
      <w:pPr>
        <w:pStyle w:val="ListParagraph"/>
        <w:numPr>
          <w:ilvl w:val="1"/>
          <w:numId w:val="2"/>
        </w:numPr>
        <w:spacing w:after="60"/>
      </w:pPr>
      <w:r>
        <w:t xml:space="preserve">Commission Vérité, Justice et Réconciliation au mandat élargi aux droits économiques et fonciers.</w:t>
      </w:r>
    </w:p>
    <w:p>
      <w:pPr>
        <w:pStyle w:val="ListParagraph"/>
        <w:numPr>
          <w:ilvl w:val="1"/>
          <w:numId w:val="2"/>
        </w:numPr>
        <w:spacing w:after="60"/>
      </w:pPr>
      <w:r>
        <w:t xml:space="preserve">Programme de désarmement, démobilisation et réintégration (DDR) centré sur la réintégration.</w:t>
      </w:r>
    </w:p>
    <w:p>
      <w:pPr>
        <w:pStyle w:val="ListParagraph"/>
        <w:numPr>
          <w:ilvl w:val="1"/>
          <w:numId w:val="2"/>
        </w:numPr>
        <w:spacing w:after="60"/>
      </w:pPr>
      <w:r>
        <w:t xml:space="preserve">Réparations aux victimes.</w:t>
      </w:r>
    </w:p>
    <w:p>
      <w:pPr>
        <w:pStyle w:val="ListParagraph"/>
        <w:numPr>
          <w:ilvl w:val="1"/>
          <w:numId w:val="2"/>
        </w:numPr>
        <w:spacing w:after="60"/>
      </w:pPr>
      <w:r>
        <w:t xml:space="preserve">Plan Um de reconstruction, sous condition de sécurité.</w:t>
      </w:r>
    </w:p>
    <w:p>
      <w:pPr>
        <w:pStyle w:val="ListParagraph"/>
        <w:numPr>
          <w:ilvl w:val="0"/>
          <w:numId w:val="12"/>
        </w:numPr>
        <w:spacing w:after="80"/>
      </w:pPr>
      <w:r>
        <w:rPr>
          <w:b/>
          <w:bCs/>
        </w:rPr>
        <w:t xml:space="preserve">Extrême-Nord</w:t>
      </w:r>
      <w:r>
        <w:t xml:space="preserve"> : sécurité, résilience climatique, eau et santé, dont la riposte au choléra.</w:t>
      </w:r>
    </w:p>
    <w:p>
      <w:pPr>
        <w:pStyle w:val="ListParagraph"/>
        <w:numPr>
          <w:ilvl w:val="0"/>
          <w:numId w:val="12"/>
        </w:numPr>
        <w:spacing w:after="80"/>
      </w:pPr>
      <w:r>
        <w:rPr>
          <w:b/>
          <w:bCs/>
        </w:rPr>
        <w:t xml:space="preserve">Décentralisation</w:t>
      </w:r>
      <w:r>
        <w:t xml:space="preserve"> : trajectoire de la dotation générale (DGD) vers le plancher légal de 15 % des recettes, versements conditionnés à des comptes certifiés.</w:t>
      </w:r>
    </w:p>
    <w:p>
      <w:pPr>
        <w:pStyle w:val="ListParagraph"/>
        <w:numPr>
          <w:ilvl w:val="0"/>
          <w:numId w:val="12"/>
        </w:numPr>
        <w:spacing w:after="80"/>
      </w:pPr>
      <w:r>
        <w:rPr>
          <w:b/>
          <w:bCs/>
        </w:rPr>
        <w:t xml:space="preserve">Recensement</w:t>
      </w:r>
      <w:r>
        <w:t xml:space="preserve"> : publication des résultats du RGPH4 avec les taux de couverture et une enquête post-censitaire ; réutilisation pour le ciblage, la carte scolaire et sanitaire et la répartition de la DGD.</w:t>
      </w:r>
    </w:p>
    <w:p>
      <w:pPr>
        <w:pStyle w:val="ListParagraph"/>
        <w:numPr>
          <w:ilvl w:val="0"/>
          <w:numId w:val="12"/>
        </w:numPr>
        <w:spacing w:after="80"/>
      </w:pPr>
      <w:r>
        <w:rPr>
          <w:b/>
          <w:bCs/>
        </w:rPr>
        <w:t xml:space="preserve">Mémoire</w:t>
      </w:r>
    </w:p>
    <w:p>
      <w:pPr>
        <w:pStyle w:val="ListParagraph"/>
        <w:numPr>
          <w:ilvl w:val="1"/>
          <w:numId w:val="2"/>
        </w:numPr>
        <w:spacing w:after="60"/>
      </w:pPr>
      <w:r>
        <w:t xml:space="preserve">Loi instituant une Journée nationale des héros.</w:t>
      </w:r>
    </w:p>
    <w:p>
      <w:pPr>
        <w:pStyle w:val="ListParagraph"/>
        <w:numPr>
          <w:ilvl w:val="1"/>
          <w:numId w:val="2"/>
        </w:numPr>
        <w:spacing w:after="60"/>
      </w:pPr>
      <w:r>
        <w:t xml:space="preserve">Commission d'historiens indépendante et inclusive.</w:t>
      </w:r>
    </w:p>
    <w:p>
      <w:pPr>
        <w:pStyle w:val="ListParagraph"/>
        <w:numPr>
          <w:ilvl w:val="1"/>
          <w:numId w:val="2"/>
        </w:numPr>
        <w:spacing w:after="60"/>
      </w:pPr>
      <w:r>
        <w:t xml:space="preserve">Mémorial national.</w:t>
      </w:r>
    </w:p>
    <w:p>
      <w:pPr>
        <w:pStyle w:val="ListParagraph"/>
        <w:numPr>
          <w:ilvl w:val="1"/>
          <w:numId w:val="2"/>
        </w:numPr>
        <w:spacing w:after="60"/>
      </w:pPr>
      <w:r>
        <w:t xml:space="preserve">Réponse officielle au rapport franco-camerounais de janvier 2025 (archives, lieux de mémoire).</w:t>
      </w:r>
    </w:p>
    <w:p>
      <w:pPr>
        <w:spacing w:after="120"/>
      </w:pPr>
      <w:r>
        <w:rPr>
          <w:b/>
          <w:bCs/>
        </w:rPr>
        <w:t xml:space="preserve">Autorité.</w:t>
      </w:r>
      <w:r>
        <w:t xml:space="preserve"> Président, Parlement, MINDDEVEL, MINAT, collectivités territoriales décentralisées (CTD), BUCREP/INS.</w:t>
      </w:r>
    </w:p>
    <w:p>
      <w:pPr>
        <w:spacing w:after="120"/>
      </w:pPr>
      <w:r>
        <w:rPr>
          <w:b/>
          <w:bCs/>
        </w:rPr>
        <w:t xml:space="preserve">Coût</w:t>
      </w:r>
      <w:r>
        <w:t xml:space="preserve"> (scénario central, part du budget national)</w:t>
      </w:r>
    </w:p>
    <w:p>
      <w:pPr>
        <w:pStyle w:val="ListParagraph"/>
        <w:numPr>
          <w:ilvl w:val="0"/>
          <w:numId w:val="2"/>
        </w:numPr>
        <w:spacing w:after="60"/>
      </w:pPr>
      <w:r>
        <w:t xml:space="preserve">DGD : 50, puis 100, puis 150 Mds.</w:t>
      </w:r>
    </w:p>
    <w:p>
      <w:pPr>
        <w:pStyle w:val="ListParagraph"/>
        <w:numPr>
          <w:ilvl w:val="0"/>
          <w:numId w:val="2"/>
        </w:numPr>
        <w:spacing w:after="60"/>
      </w:pPr>
      <w:r>
        <w:t xml:space="preserve">Reconstruction : 60, puis 80, puis 80 Mds.</w:t>
      </w:r>
    </w:p>
    <w:p>
      <w:pPr>
        <w:pStyle w:val="ListParagraph"/>
        <w:numPr>
          <w:ilvl w:val="0"/>
          <w:numId w:val="2"/>
        </w:numPr>
        <w:spacing w:after="60"/>
      </w:pPr>
      <w:r>
        <w:t xml:space="preserve">Statistique et mémoire : 12, puis 10, puis 8 Mds.</w:t>
      </w:r>
    </w:p>
    <w:p>
      <w:pPr>
        <w:spacing w:after="120"/>
      </w:pPr>
      <w:r>
        <w:rPr>
          <w:b/>
          <w:bCs/>
        </w:rPr>
        <w:t xml:space="preserve">Indicateurs</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Indicateur</w:t>
            </w:r>
          </w:p>
        </w:tc>
        <w:tc>
          <w:tcPr>
            <w:tcW w:type="dxa" w:w="3137"/>
            <w:shd w:fill="DCE3EE" w:color="auto" w:val="clear"/>
            <w:tcMar>
              <w:top w:type="dxa" w:w="40"/>
              <w:left w:type="dxa" w:w="80"/>
              <w:bottom w:type="dxa" w:w="40"/>
              <w:right w:type="dxa" w:w="80"/>
            </w:tcMar>
          </w:tcPr>
          <w:p>
            <w:r>
              <w:rPr>
                <w:b/>
                <w:bCs/>
                <w:sz w:val="16"/>
                <w:szCs w:val="16"/>
              </w:rPr>
              <w:t xml:space="preserve">Départ</w:t>
            </w:r>
          </w:p>
        </w:tc>
        <w:tc>
          <w:tcPr>
            <w:tcW w:type="dxa" w:w="3137"/>
            <w:shd w:fill="DCE3EE" w:color="auto" w:val="clear"/>
            <w:tcMar>
              <w:top w:type="dxa" w:w="40"/>
              <w:left w:type="dxa" w:w="80"/>
              <w:bottom w:type="dxa" w:w="40"/>
              <w:right w:type="dxa" w:w="80"/>
            </w:tcMar>
          </w:tcPr>
          <w:p>
            <w:r>
              <w:rPr>
                <w:b/>
                <w:bCs/>
                <w:sz w:val="16"/>
                <w:szCs w:val="16"/>
              </w:rPr>
              <w:t xml:space="preserve">Cible à 3 ans</w:t>
            </w:r>
          </w:p>
        </w:tc>
      </w:tr>
      <w:tr>
        <w:trPr>
          <w:tblHeader w:val="false"/>
        </w:trPr>
        <w:tc>
          <w:tcPr>
            <w:tcW w:type="dxa" w:w="3137"/>
            <w:tcMar>
              <w:top w:type="dxa" w:w="40"/>
              <w:left w:type="dxa" w:w="80"/>
              <w:bottom w:type="dxa" w:w="40"/>
              <w:right w:type="dxa" w:w="80"/>
            </w:tcMar>
          </w:tcPr>
          <w:p>
            <w:r>
              <w:rPr>
                <w:sz w:val="16"/>
                <w:szCs w:val="16"/>
              </w:rPr>
              <w:t xml:space="preserve">DGD rapportée aux recettes</w:t>
            </w:r>
          </w:p>
        </w:tc>
        <w:tc>
          <w:tcPr>
            <w:tcW w:type="dxa" w:w="3137"/>
            <w:tcMar>
              <w:top w:type="dxa" w:w="40"/>
              <w:left w:type="dxa" w:w="80"/>
              <w:bottom w:type="dxa" w:w="40"/>
              <w:right w:type="dxa" w:w="80"/>
            </w:tcMar>
          </w:tcPr>
          <w:p>
            <w:r>
              <w:rPr>
                <w:sz w:val="16"/>
                <w:szCs w:val="16"/>
              </w:rPr>
              <w:t xml:space="preserve">2,08 % (2024)</w:t>
            </w:r>
          </w:p>
        </w:tc>
        <w:tc>
          <w:tcPr>
            <w:tcW w:type="dxa" w:w="3137"/>
            <w:tcMar>
              <w:top w:type="dxa" w:w="40"/>
              <w:left w:type="dxa" w:w="80"/>
              <w:bottom w:type="dxa" w:w="40"/>
              <w:right w:type="dxa" w:w="80"/>
            </w:tcMar>
          </w:tcPr>
          <w:p>
            <w:r>
              <w:rPr>
                <w:sz w:val="16"/>
                <w:szCs w:val="16"/>
              </w:rPr>
              <w:t xml:space="preserve">Trajectoire vers 15 %</w:t>
            </w:r>
          </w:p>
        </w:tc>
      </w:tr>
      <w:tr>
        <w:trPr>
          <w:tblHeader w:val="false"/>
        </w:trPr>
        <w:tc>
          <w:tcPr>
            <w:tcW w:type="dxa" w:w="3137"/>
            <w:tcMar>
              <w:top w:type="dxa" w:w="40"/>
              <w:left w:type="dxa" w:w="80"/>
              <w:bottom w:type="dxa" w:w="40"/>
              <w:right w:type="dxa" w:w="80"/>
            </w:tcMar>
          </w:tcPr>
          <w:p>
            <w:r>
              <w:rPr>
                <w:sz w:val="16"/>
                <w:szCs w:val="16"/>
              </w:rPr>
              <w:t xml:space="preserve">Écoles rouvertes au Nord-Ouest et au Sud-Ouest</w:t>
            </w:r>
          </w:p>
        </w:tc>
        <w:tc>
          <w:tcPr>
            <w:tcW w:type="dxa" w:w="3137"/>
            <w:tcMar>
              <w:top w:type="dxa" w:w="40"/>
              <w:left w:type="dxa" w:w="80"/>
              <w:bottom w:type="dxa" w:w="40"/>
              <w:right w:type="dxa" w:w="80"/>
            </w:tcMar>
          </w:tcPr>
          <w:p>
            <w:r>
              <w:rPr>
                <w:sz w:val="16"/>
                <w:szCs w:val="16"/>
              </w:rPr>
              <w:t xml:space="preserve">≈45 % non fonctionnelles</w:t>
            </w:r>
          </w:p>
        </w:tc>
        <w:tc>
          <w:tcPr>
            <w:tcW w:type="dxa" w:w="3137"/>
            <w:tcMar>
              <w:top w:type="dxa" w:w="40"/>
              <w:left w:type="dxa" w:w="80"/>
              <w:bottom w:type="dxa" w:w="40"/>
              <w:right w:type="dxa" w:w="80"/>
            </w:tcMar>
          </w:tcPr>
          <w:p>
            <w:r>
              <w:rPr>
                <w:sz w:val="16"/>
                <w:szCs w:val="16"/>
              </w:rPr>
              <w:t xml:space="preserve">+50 % d'écoles rouvertes (proposée)</w:t>
            </w:r>
          </w:p>
        </w:tc>
      </w:tr>
      <w:tr>
        <w:trPr>
          <w:tblHeader w:val="false"/>
        </w:trPr>
        <w:tc>
          <w:tcPr>
            <w:tcW w:type="dxa" w:w="3137"/>
            <w:tcMar>
              <w:top w:type="dxa" w:w="40"/>
              <w:left w:type="dxa" w:w="80"/>
              <w:bottom w:type="dxa" w:w="40"/>
              <w:right w:type="dxa" w:w="80"/>
            </w:tcMar>
          </w:tcPr>
          <w:p>
            <w:r>
              <w:rPr>
                <w:sz w:val="16"/>
                <w:szCs w:val="16"/>
              </w:rPr>
              <w:t xml:space="preserve">Personnes dans le besoin</w:t>
            </w:r>
          </w:p>
        </w:tc>
        <w:tc>
          <w:tcPr>
            <w:tcW w:type="dxa" w:w="3137"/>
            <w:tcMar>
              <w:top w:type="dxa" w:w="40"/>
              <w:left w:type="dxa" w:w="80"/>
              <w:bottom w:type="dxa" w:w="40"/>
              <w:right w:type="dxa" w:w="80"/>
            </w:tcMar>
          </w:tcPr>
          <w:p>
            <w:r>
              <w:rPr>
                <w:sz w:val="16"/>
                <w:szCs w:val="16"/>
              </w:rPr>
              <w:t xml:space="preserve">2,9 M</w:t>
            </w:r>
          </w:p>
        </w:tc>
        <w:tc>
          <w:tcPr>
            <w:tcW w:type="dxa" w:w="3137"/>
            <w:tcMar>
              <w:top w:type="dxa" w:w="40"/>
              <w:left w:type="dxa" w:w="80"/>
              <w:bottom w:type="dxa" w:w="40"/>
              <w:right w:type="dxa" w:w="80"/>
            </w:tcMar>
          </w:tcPr>
          <w:p>
            <w:r>
              <w:rPr>
                <w:sz w:val="16"/>
                <w:szCs w:val="16"/>
              </w:rPr>
              <w:t xml:space="preserve">En baisse</w:t>
            </w:r>
          </w:p>
        </w:tc>
      </w:tr>
    </w:tbl>
    <w:p>
      <w:pPr>
        <w:spacing w:after="80"/>
      </w:pPr>
    </w:p>
    <w:p>
      <w:pPr>
        <w:pStyle w:val="Heading1"/>
      </w:pPr>
      <w:r>
        <w:t xml:space="preserve">5. Les 100 premiers jours</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4706"/>
        <w:gridCol w:w="4706"/>
      </w:tblGrid>
      <w:tr>
        <w:trPr>
          <w:tblHeader/>
        </w:trPr>
        <w:tc>
          <w:tcPr>
            <w:tcW w:type="dxa" w:w="4706"/>
            <w:shd w:fill="DCE3EE" w:color="auto" w:val="clear"/>
            <w:tcMar>
              <w:top w:type="dxa" w:w="40"/>
              <w:left w:type="dxa" w:w="80"/>
              <w:bottom w:type="dxa" w:w="40"/>
              <w:right w:type="dxa" w:w="80"/>
            </w:tcMar>
          </w:tcPr>
          <w:p>
            <w:r>
              <w:rPr>
                <w:b/>
                <w:bCs/>
                <w:sz w:val="16"/>
                <w:szCs w:val="16"/>
              </w:rPr>
              <w:t xml:space="preserve">Période</w:t>
            </w:r>
          </w:p>
        </w:tc>
        <w:tc>
          <w:tcPr>
            <w:tcW w:type="dxa" w:w="4706"/>
            <w:shd w:fill="DCE3EE" w:color="auto" w:val="clear"/>
            <w:tcMar>
              <w:top w:type="dxa" w:w="40"/>
              <w:left w:type="dxa" w:w="80"/>
              <w:bottom w:type="dxa" w:w="40"/>
              <w:right w:type="dxa" w:w="80"/>
            </w:tcMar>
          </w:tcPr>
          <w:p>
            <w:r>
              <w:rPr>
                <w:b/>
                <w:bCs/>
                <w:sz w:val="16"/>
                <w:szCs w:val="16"/>
              </w:rPr>
              <w:t xml:space="preserve">Actions</w:t>
            </w:r>
          </w:p>
        </w:tc>
      </w:tr>
      <w:tr>
        <w:trPr>
          <w:tblHeader w:val="false"/>
        </w:trPr>
        <w:tc>
          <w:tcPr>
            <w:tcW w:type="dxa" w:w="4706"/>
            <w:tcMar>
              <w:top w:type="dxa" w:w="40"/>
              <w:left w:type="dxa" w:w="80"/>
              <w:bottom w:type="dxa" w:w="40"/>
              <w:right w:type="dxa" w:w="80"/>
            </w:tcMar>
          </w:tcPr>
          <w:p>
            <w:r>
              <w:rPr>
                <w:sz w:val="16"/>
                <w:szCs w:val="16"/>
              </w:rPr>
              <w:t xml:space="preserve">Jours 1-30</w:t>
            </w:r>
          </w:p>
        </w:tc>
        <w:tc>
          <w:tcPr>
            <w:tcW w:type="dxa" w:w="4706"/>
            <w:tcMar>
              <w:top w:type="dxa" w:w="40"/>
              <w:left w:type="dxa" w:w="80"/>
              <w:bottom w:type="dxa" w:w="40"/>
              <w:right w:type="dxa" w:w="80"/>
            </w:tcMar>
          </w:tcPr>
          <w:p>
            <w:r>
              <w:rPr>
                <w:sz w:val="16"/>
                <w:szCs w:val="16"/>
              </w:rPr>
              <w:t xml:space="preserve">Discours à la Nation et publication du programme ; constat de caducité des mandats échus et intérims ; ordres de mission des 15 audits flash ; circulaire de visa CAA ; demande à la Justice de l'état des dossiers Covid ; saisine du FMI ; concertation avec les syndicats (transport, enseignants)</w:t>
            </w:r>
          </w:p>
        </w:tc>
      </w:tr>
      <w:tr>
        <w:trPr>
          <w:tblHeader w:val="false"/>
        </w:trPr>
        <w:tc>
          <w:tcPr>
            <w:tcW w:type="dxa" w:w="4706"/>
            <w:tcMar>
              <w:top w:type="dxa" w:w="40"/>
              <w:left w:type="dxa" w:w="80"/>
              <w:bottom w:type="dxa" w:w="40"/>
              <w:right w:type="dxa" w:w="80"/>
            </w:tcMar>
          </w:tcPr>
          <w:p>
            <w:r>
              <w:rPr>
                <w:sz w:val="16"/>
                <w:szCs w:val="16"/>
              </w:rPr>
              <w:t xml:space="preserve">Jours 31-60</w:t>
            </w:r>
          </w:p>
        </w:tc>
        <w:tc>
          <w:tcPr>
            <w:tcW w:type="dxa" w:w="4706"/>
            <w:tcMar>
              <w:top w:type="dxa" w:w="40"/>
              <w:left w:type="dxa" w:w="80"/>
              <w:bottom w:type="dxa" w:w="40"/>
              <w:right w:type="dxa" w:w="80"/>
            </w:tcMar>
          </w:tcPr>
          <w:p>
            <w:r>
              <w:rPr>
                <w:sz w:val="16"/>
                <w:szCs w:val="16"/>
              </w:rPr>
              <w:t xml:space="preserve">Mission conjointe FMI, BM et BAD ; premiers transferts monétaires (Extrême-Nord, Nord-Ouest, Sud-Ouest) ; audit électricité lancé par l'ARSEL ; mandat de négociation de la sentence CIRDI ; installation de l'unité de suivi</w:t>
            </w:r>
          </w:p>
        </w:tc>
      </w:tr>
      <w:tr>
        <w:trPr>
          <w:tblHeader w:val="false"/>
        </w:trPr>
        <w:tc>
          <w:tcPr>
            <w:tcW w:type="dxa" w:w="4706"/>
            <w:tcMar>
              <w:top w:type="dxa" w:w="40"/>
              <w:left w:type="dxa" w:w="80"/>
              <w:bottom w:type="dxa" w:w="40"/>
              <w:right w:type="dxa" w:w="80"/>
            </w:tcMar>
          </w:tcPr>
          <w:p>
            <w:r>
              <w:rPr>
                <w:sz w:val="16"/>
                <w:szCs w:val="16"/>
              </w:rPr>
              <w:t xml:space="preserve">Jours 61-100</w:t>
            </w:r>
          </w:p>
        </w:tc>
        <w:tc>
          <w:tcPr>
            <w:tcW w:type="dxa" w:w="4706"/>
            <w:tcMar>
              <w:top w:type="dxa" w:w="40"/>
              <w:left w:type="dxa" w:w="80"/>
              <w:bottom w:type="dxa" w:w="40"/>
              <w:right w:type="dxa" w:w="80"/>
            </w:tcMar>
          </w:tcPr>
          <w:p>
            <w:r>
              <w:rPr>
                <w:sz w:val="16"/>
                <w:szCs w:val="16"/>
              </w:rPr>
              <w:t xml:space="preserve">Publication du stock certifié d'arriérés et de la première tranche de titrisation ; premier palier de prix des carburants (si les transferts sont versés) ; dépôt des projets de loi (confiscation des avoirs, accises santé, Journée des héros) ; appels à candidatures pour les dirigeants ; publication des premiers audits ; tableau de bord public</w:t>
            </w:r>
          </w:p>
        </w:tc>
      </w:tr>
    </w:tbl>
    <w:p>
      <w:pPr>
        <w:spacing w:after="80"/>
      </w:pPr>
    </w:p>
    <w:p>
      <w:pPr>
        <w:pStyle w:val="Heading1"/>
      </w:pPr>
      <w:r>
        <w:t xml:space="preserve">6. Cadre financier 2027-2029</w:t>
      </w:r>
    </w:p>
    <w:p>
      <w:pPr>
        <w:spacing w:after="120"/>
      </w:pPr>
      <w:r>
        <w:t xml:space="preserve">Le modèle est reproductible : </w:t>
      </w:r>
      <w:r>
        <w:rPr>
          <w:rFonts w:ascii="Consolas" w:cs="Consolas" w:eastAsia="Consolas" w:hAnsi="Consolas"/>
          <w:sz w:val="18"/>
          <w:szCs w:val="18"/>
        </w:rPr>
        <w:t xml:space="preserve">models/cadre_financier_2027_2029.py</w:t>
      </w:r>
      <w:r>
        <w:t xml:space="preserve">. Il chiffre l'</w:t>
      </w:r>
      <w:r>
        <w:rPr>
          <w:b/>
          <w:bCs/>
        </w:rPr>
        <w:t xml:space="preserve">effet incrémental</w:t>
      </w:r>
      <w:r>
        <w:t xml:space="preserve"> du programme par rapport à la tendance. Ce n'est pas un tableau des opérations financières de l'État (TOFE) complet. Il doit être intégré au cadrage du MINFI et à l'analyse de viabilité de la dette.</w:t>
      </w:r>
    </w:p>
    <w:p>
      <w:pPr>
        <w:spacing w:after="120"/>
      </w:pPr>
      <w:r>
        <w:rPr>
          <w:b/>
          <w:bCs/>
        </w:rPr>
        <w:t xml:space="preserve">Effet net du programme sur le solde budgétaire, en Mds FCFA (en % du PIB)</w:t>
      </w:r>
    </w:p>
    <w:tbl>
      <w:tblPr>
        <w:tblW w:type="dxa" w:w="9412"/>
        <w:tblBorders>
          <w:top w:val="single" w:color="auto" w:sz="4"/>
          <w:left w:val="single" w:color="auto" w:sz="4"/>
          <w:bottom w:val="single" w:color="auto" w:sz="4"/>
          <w:right w:val="single" w:color="auto" w:sz="4"/>
          <w:insideH w:val="single" w:color="auto" w:sz="4"/>
          <w:insideV w:val="single" w:color="auto" w:sz="4"/>
        </w:tblBorders>
      </w:tblPr>
      <w:tblGrid>
        <w:gridCol w:w="2353"/>
        <w:gridCol w:w="2353"/>
        <w:gridCol w:w="2353"/>
        <w:gridCol w:w="2353"/>
      </w:tblGrid>
      <w:tr>
        <w:trPr>
          <w:tblHeader/>
        </w:trPr>
        <w:tc>
          <w:tcPr>
            <w:tcW w:type="dxa" w:w="2353"/>
            <w:shd w:fill="DCE3EE" w:color="auto" w:val="clear"/>
            <w:tcMar>
              <w:top w:type="dxa" w:w="40"/>
              <w:left w:type="dxa" w:w="80"/>
              <w:bottom w:type="dxa" w:w="40"/>
              <w:right w:type="dxa" w:w="80"/>
            </w:tcMar>
          </w:tcPr>
          <w:p>
            <w:r>
              <w:rPr>
                <w:b/>
                <w:bCs/>
                <w:sz w:val="16"/>
                <w:szCs w:val="16"/>
              </w:rPr>
              <w:t xml:space="preserve">Scénario</w:t>
            </w:r>
          </w:p>
        </w:tc>
        <w:tc>
          <w:tcPr>
            <w:tcW w:type="dxa" w:w="2353"/>
            <w:shd w:fill="DCE3EE" w:color="auto" w:val="clear"/>
            <w:tcMar>
              <w:top w:type="dxa" w:w="40"/>
              <w:left w:type="dxa" w:w="80"/>
              <w:bottom w:type="dxa" w:w="40"/>
              <w:right w:type="dxa" w:w="80"/>
            </w:tcMar>
          </w:tcPr>
          <w:p>
            <w:r>
              <w:rPr>
                <w:b/>
                <w:bCs/>
                <w:sz w:val="16"/>
                <w:szCs w:val="16"/>
              </w:rPr>
              <w:t xml:space="preserve">2027</w:t>
            </w:r>
          </w:p>
        </w:tc>
        <w:tc>
          <w:tcPr>
            <w:tcW w:type="dxa" w:w="2353"/>
            <w:shd w:fill="DCE3EE" w:color="auto" w:val="clear"/>
            <w:tcMar>
              <w:top w:type="dxa" w:w="40"/>
              <w:left w:type="dxa" w:w="80"/>
              <w:bottom w:type="dxa" w:w="40"/>
              <w:right w:type="dxa" w:w="80"/>
            </w:tcMar>
          </w:tcPr>
          <w:p>
            <w:r>
              <w:rPr>
                <w:b/>
                <w:bCs/>
                <w:sz w:val="16"/>
                <w:szCs w:val="16"/>
              </w:rPr>
              <w:t xml:space="preserve">2028</w:t>
            </w:r>
          </w:p>
        </w:tc>
        <w:tc>
          <w:tcPr>
            <w:tcW w:type="dxa" w:w="2353"/>
            <w:shd w:fill="DCE3EE" w:color="auto" w:val="clear"/>
            <w:tcMar>
              <w:top w:type="dxa" w:w="40"/>
              <w:left w:type="dxa" w:w="80"/>
              <w:bottom w:type="dxa" w:w="40"/>
              <w:right w:type="dxa" w:w="80"/>
            </w:tcMar>
          </w:tcPr>
          <w:p>
            <w:r>
              <w:rPr>
                <w:b/>
                <w:bCs/>
                <w:sz w:val="16"/>
                <w:szCs w:val="16"/>
              </w:rPr>
              <w:t xml:space="preserve">2029</w:t>
            </w:r>
          </w:p>
        </w:tc>
      </w:tr>
      <w:tr>
        <w:trPr>
          <w:tblHeader w:val="false"/>
        </w:trPr>
        <w:tc>
          <w:tcPr>
            <w:tcW w:type="dxa" w:w="2353"/>
            <w:tcMar>
              <w:top w:type="dxa" w:w="40"/>
              <w:left w:type="dxa" w:w="80"/>
              <w:bottom w:type="dxa" w:w="40"/>
              <w:right w:type="dxa" w:w="80"/>
            </w:tcMar>
          </w:tcPr>
          <w:p>
            <w:r>
              <w:rPr>
                <w:sz w:val="16"/>
                <w:szCs w:val="16"/>
              </w:rPr>
              <w:t xml:space="preserve">Central</w:t>
            </w:r>
          </w:p>
        </w:tc>
        <w:tc>
          <w:tcPr>
            <w:tcW w:type="dxa" w:w="2353"/>
            <w:tcMar>
              <w:top w:type="dxa" w:w="40"/>
              <w:left w:type="dxa" w:w="80"/>
              <w:bottom w:type="dxa" w:w="40"/>
              <w:right w:type="dxa" w:w="80"/>
            </w:tcMar>
          </w:tcPr>
          <w:p>
            <w:r>
              <w:rPr>
                <w:sz w:val="16"/>
                <w:szCs w:val="16"/>
              </w:rPr>
              <w:t xml:space="preserve">+51 (0,1 %)</w:t>
            </w:r>
          </w:p>
        </w:tc>
        <w:tc>
          <w:tcPr>
            <w:tcW w:type="dxa" w:w="2353"/>
            <w:tcMar>
              <w:top w:type="dxa" w:w="40"/>
              <w:left w:type="dxa" w:w="80"/>
              <w:bottom w:type="dxa" w:w="40"/>
              <w:right w:type="dxa" w:w="80"/>
            </w:tcMar>
          </w:tcPr>
          <w:p>
            <w:r>
              <w:rPr>
                <w:sz w:val="16"/>
                <w:szCs w:val="16"/>
              </w:rPr>
              <w:t xml:space="preserve">+380 (0,9 %)</w:t>
            </w:r>
          </w:p>
        </w:tc>
        <w:tc>
          <w:tcPr>
            <w:tcW w:type="dxa" w:w="2353"/>
            <w:tcMar>
              <w:top w:type="dxa" w:w="40"/>
              <w:left w:type="dxa" w:w="80"/>
              <w:bottom w:type="dxa" w:w="40"/>
              <w:right w:type="dxa" w:w="80"/>
            </w:tcMar>
          </w:tcPr>
          <w:p>
            <w:r>
              <w:rPr>
                <w:sz w:val="16"/>
                <w:szCs w:val="16"/>
              </w:rPr>
              <w:t xml:space="preserve">+657 (1,5 %)</w:t>
            </w:r>
          </w:p>
        </w:tc>
      </w:tr>
      <w:tr>
        <w:trPr>
          <w:tblHeader w:val="false"/>
        </w:trPr>
        <w:tc>
          <w:tcPr>
            <w:tcW w:type="dxa" w:w="2353"/>
            <w:tcMar>
              <w:top w:type="dxa" w:w="40"/>
              <w:left w:type="dxa" w:w="80"/>
              <w:bottom w:type="dxa" w:w="40"/>
              <w:right w:type="dxa" w:w="80"/>
            </w:tcMar>
          </w:tcPr>
          <w:p>
            <w:r>
              <w:rPr>
                <w:sz w:val="16"/>
                <w:szCs w:val="16"/>
              </w:rPr>
              <w:t xml:space="preserve">Défavorable : pétrole cher, réformes plus lentes, sans programme FMI</w:t>
            </w:r>
          </w:p>
        </w:tc>
        <w:tc>
          <w:tcPr>
            <w:tcW w:type="dxa" w:w="2353"/>
            <w:tcMar>
              <w:top w:type="dxa" w:w="40"/>
              <w:left w:type="dxa" w:w="80"/>
              <w:bottom w:type="dxa" w:w="40"/>
              <w:right w:type="dxa" w:w="80"/>
            </w:tcMar>
          </w:tcPr>
          <w:p>
            <w:r>
              <w:rPr>
                <w:sz w:val="16"/>
                <w:szCs w:val="16"/>
              </w:rPr>
              <w:t xml:space="preserve">−91 (−0,2 %)</w:t>
            </w:r>
          </w:p>
        </w:tc>
        <w:tc>
          <w:tcPr>
            <w:tcW w:type="dxa" w:w="2353"/>
            <w:tcMar>
              <w:top w:type="dxa" w:w="40"/>
              <w:left w:type="dxa" w:w="80"/>
              <w:bottom w:type="dxa" w:w="40"/>
              <w:right w:type="dxa" w:w="80"/>
            </w:tcMar>
          </w:tcPr>
          <w:p>
            <w:r>
              <w:rPr>
                <w:sz w:val="16"/>
                <w:szCs w:val="16"/>
              </w:rPr>
              <w:t xml:space="preserve">+184 (0,5 %)</w:t>
            </w:r>
          </w:p>
        </w:tc>
        <w:tc>
          <w:tcPr>
            <w:tcW w:type="dxa" w:w="2353"/>
            <w:tcMar>
              <w:top w:type="dxa" w:w="40"/>
              <w:left w:type="dxa" w:w="80"/>
              <w:bottom w:type="dxa" w:w="40"/>
              <w:right w:type="dxa" w:w="80"/>
            </w:tcMar>
          </w:tcPr>
          <w:p>
            <w:r>
              <w:rPr>
                <w:sz w:val="16"/>
                <w:szCs w:val="16"/>
              </w:rPr>
              <w:t xml:space="preserve">+439 (1,0 %)</w:t>
            </w:r>
          </w:p>
        </w:tc>
      </w:tr>
      <w:tr>
        <w:trPr>
          <w:tblHeader w:val="false"/>
        </w:trPr>
        <w:tc>
          <w:tcPr>
            <w:tcW w:type="dxa" w:w="2353"/>
            <w:tcMar>
              <w:top w:type="dxa" w:w="40"/>
              <w:left w:type="dxa" w:w="80"/>
              <w:bottom w:type="dxa" w:w="40"/>
              <w:right w:type="dxa" w:w="80"/>
            </w:tcMar>
          </w:tcPr>
          <w:p>
            <w:r>
              <w:rPr>
                <w:sz w:val="16"/>
                <w:szCs w:val="16"/>
              </w:rPr>
              <w:t xml:space="preserve">Favorable</w:t>
            </w:r>
          </w:p>
        </w:tc>
        <w:tc>
          <w:tcPr>
            <w:tcW w:type="dxa" w:w="2353"/>
            <w:tcMar>
              <w:top w:type="dxa" w:w="40"/>
              <w:left w:type="dxa" w:w="80"/>
              <w:bottom w:type="dxa" w:w="40"/>
              <w:right w:type="dxa" w:w="80"/>
            </w:tcMar>
          </w:tcPr>
          <w:p>
            <w:r>
              <w:rPr>
                <w:sz w:val="16"/>
                <w:szCs w:val="16"/>
              </w:rPr>
              <w:t xml:space="preserve">+131 (0,3 %)</w:t>
            </w:r>
          </w:p>
        </w:tc>
        <w:tc>
          <w:tcPr>
            <w:tcW w:type="dxa" w:w="2353"/>
            <w:tcMar>
              <w:top w:type="dxa" w:w="40"/>
              <w:left w:type="dxa" w:w="80"/>
              <w:bottom w:type="dxa" w:w="40"/>
              <w:right w:type="dxa" w:w="80"/>
            </w:tcMar>
          </w:tcPr>
          <w:p>
            <w:r>
              <w:rPr>
                <w:sz w:val="16"/>
                <w:szCs w:val="16"/>
              </w:rPr>
              <w:t xml:space="preserve">+426 (1,0 %)</w:t>
            </w:r>
          </w:p>
        </w:tc>
        <w:tc>
          <w:tcPr>
            <w:tcW w:type="dxa" w:w="2353"/>
            <w:tcMar>
              <w:top w:type="dxa" w:w="40"/>
              <w:left w:type="dxa" w:w="80"/>
              <w:bottom w:type="dxa" w:w="40"/>
              <w:right w:type="dxa" w:w="80"/>
            </w:tcMar>
          </w:tcPr>
          <w:p>
            <w:r>
              <w:rPr>
                <w:sz w:val="16"/>
                <w:szCs w:val="16"/>
              </w:rPr>
              <w:t xml:space="preserve">+650 (1,4 %)</w:t>
            </w:r>
          </w:p>
        </w:tc>
      </w:tr>
    </w:tbl>
    <w:p>
      <w:pPr>
        <w:spacing w:after="80"/>
      </w:pPr>
    </w:p>
    <w:p>
      <w:pPr>
        <w:spacing w:after="120"/>
      </w:pPr>
      <w:r>
        <w:rPr>
          <w:b/>
          <w:bCs/>
        </w:rPr>
        <w:t xml:space="preserve">Ressources de financement</w:t>
      </w:r>
      <w:r>
        <w:t xml:space="preserve">, hors économies, en Mds FCFA</w:t>
      </w:r>
    </w:p>
    <w:tbl>
      <w:tblPr>
        <w:tblW w:type="dxa" w:w="9411"/>
        <w:tblBorders>
          <w:top w:val="single" w:color="auto" w:sz="4"/>
          <w:left w:val="single" w:color="auto" w:sz="4"/>
          <w:bottom w:val="single" w:color="auto" w:sz="4"/>
          <w:right w:val="single" w:color="auto" w:sz="4"/>
          <w:insideH w:val="single" w:color="auto" w:sz="4"/>
          <w:insideV w:val="single" w:color="auto" w:sz="4"/>
        </w:tblBorders>
      </w:tblPr>
      <w:tblGrid>
        <w:gridCol w:w="3137"/>
        <w:gridCol w:w="3137"/>
        <w:gridCol w:w="3137"/>
      </w:tblGrid>
      <w:tr>
        <w:trPr>
          <w:tblHeader/>
        </w:trPr>
        <w:tc>
          <w:tcPr>
            <w:tcW w:type="dxa" w:w="3137"/>
            <w:shd w:fill="DCE3EE" w:color="auto" w:val="clear"/>
            <w:tcMar>
              <w:top w:type="dxa" w:w="40"/>
              <w:left w:type="dxa" w:w="80"/>
              <w:bottom w:type="dxa" w:w="40"/>
              <w:right w:type="dxa" w:w="80"/>
            </w:tcMar>
          </w:tcPr>
          <w:p>
            <w:r>
              <w:rPr>
                <w:b/>
                <w:bCs/>
                <w:sz w:val="16"/>
                <w:szCs w:val="16"/>
              </w:rPr>
              <w:t xml:space="preserve">Scénario</w:t>
            </w:r>
          </w:p>
        </w:tc>
        <w:tc>
          <w:tcPr>
            <w:tcW w:type="dxa" w:w="3137"/>
            <w:shd w:fill="DCE3EE" w:color="auto" w:val="clear"/>
            <w:tcMar>
              <w:top w:type="dxa" w:w="40"/>
              <w:left w:type="dxa" w:w="80"/>
              <w:bottom w:type="dxa" w:w="40"/>
              <w:right w:type="dxa" w:w="80"/>
            </w:tcMar>
          </w:tcPr>
          <w:p>
            <w:r>
              <w:rPr>
                <w:b/>
                <w:bCs/>
                <w:sz w:val="16"/>
                <w:szCs w:val="16"/>
              </w:rPr>
              <w:t xml:space="preserve">Appuis budgétaires (par an)</w:t>
            </w:r>
          </w:p>
        </w:tc>
        <w:tc>
          <w:tcPr>
            <w:tcW w:type="dxa" w:w="3137"/>
            <w:shd w:fill="DCE3EE" w:color="auto" w:val="clear"/>
            <w:tcMar>
              <w:top w:type="dxa" w:w="40"/>
              <w:left w:type="dxa" w:w="80"/>
              <w:bottom w:type="dxa" w:w="40"/>
              <w:right w:type="dxa" w:w="80"/>
            </w:tcMar>
          </w:tcPr>
          <w:p>
            <w:r>
              <w:rPr>
                <w:b/>
                <w:bCs/>
                <w:sz w:val="16"/>
                <w:szCs w:val="16"/>
              </w:rPr>
              <w:t xml:space="preserve">Titrisation d'arriérés</w:t>
            </w:r>
          </w:p>
        </w:tc>
      </w:tr>
      <w:tr>
        <w:trPr>
          <w:tblHeader w:val="false"/>
        </w:trPr>
        <w:tc>
          <w:tcPr>
            <w:tcW w:type="dxa" w:w="3137"/>
            <w:tcMar>
              <w:top w:type="dxa" w:w="40"/>
              <w:left w:type="dxa" w:w="80"/>
              <w:bottom w:type="dxa" w:w="40"/>
              <w:right w:type="dxa" w:w="80"/>
            </w:tcMar>
          </w:tcPr>
          <w:p>
            <w:r>
              <w:rPr>
                <w:sz w:val="16"/>
                <w:szCs w:val="16"/>
              </w:rPr>
              <w:t xml:space="preserve">Central</w:t>
            </w:r>
          </w:p>
        </w:tc>
        <w:tc>
          <w:tcPr>
            <w:tcW w:type="dxa" w:w="3137"/>
            <w:tcMar>
              <w:top w:type="dxa" w:w="40"/>
              <w:left w:type="dxa" w:w="80"/>
              <w:bottom w:type="dxa" w:w="40"/>
              <w:right w:type="dxa" w:w="80"/>
            </w:tcMar>
          </w:tcPr>
          <w:p>
            <w:r>
              <w:rPr>
                <w:sz w:val="16"/>
                <w:szCs w:val="16"/>
              </w:rPr>
              <w:t xml:space="preserve">300</w:t>
            </w:r>
          </w:p>
        </w:tc>
        <w:tc>
          <w:tcPr>
            <w:tcW w:type="dxa" w:w="3137"/>
            <w:tcMar>
              <w:top w:type="dxa" w:w="40"/>
              <w:left w:type="dxa" w:w="80"/>
              <w:bottom w:type="dxa" w:w="40"/>
              <w:right w:type="dxa" w:w="80"/>
            </w:tcMar>
          </w:tcPr>
          <w:p>
            <w:r>
              <w:rPr>
                <w:sz w:val="16"/>
                <w:szCs w:val="16"/>
              </w:rPr>
              <w:t xml:space="preserve">150 en 2027, 150 en 2028</w:t>
            </w:r>
          </w:p>
        </w:tc>
      </w:tr>
      <w:tr>
        <w:trPr>
          <w:tblHeader w:val="false"/>
        </w:trPr>
        <w:tc>
          <w:tcPr>
            <w:tcW w:type="dxa" w:w="3137"/>
            <w:tcMar>
              <w:top w:type="dxa" w:w="40"/>
              <w:left w:type="dxa" w:w="80"/>
              <w:bottom w:type="dxa" w:w="40"/>
              <w:right w:type="dxa" w:w="80"/>
            </w:tcMar>
          </w:tcPr>
          <w:p>
            <w:r>
              <w:rPr>
                <w:sz w:val="16"/>
                <w:szCs w:val="16"/>
              </w:rPr>
              <w:t xml:space="preserve">Défavorable</w:t>
            </w:r>
          </w:p>
        </w:tc>
        <w:tc>
          <w:tcPr>
            <w:tcW w:type="dxa" w:w="3137"/>
            <w:tcMar>
              <w:top w:type="dxa" w:w="40"/>
              <w:left w:type="dxa" w:w="80"/>
              <w:bottom w:type="dxa" w:w="40"/>
              <w:right w:type="dxa" w:w="80"/>
            </w:tcMar>
          </w:tcPr>
          <w:p>
            <w:r>
              <w:rPr>
                <w:sz w:val="16"/>
                <w:szCs w:val="16"/>
              </w:rPr>
              <w:t xml:space="preserve">0</w:t>
            </w:r>
          </w:p>
        </w:tc>
        <w:tc>
          <w:tcPr>
            <w:tcW w:type="dxa" w:w="3137"/>
            <w:tcMar>
              <w:top w:type="dxa" w:w="40"/>
              <w:left w:type="dxa" w:w="80"/>
              <w:bottom w:type="dxa" w:w="40"/>
              <w:right w:type="dxa" w:w="80"/>
            </w:tcMar>
          </w:tcPr>
          <w:p>
            <w:r>
              <w:rPr>
                <w:sz w:val="16"/>
                <w:szCs w:val="16"/>
              </w:rPr>
              <w:t xml:space="preserve">100 en 2027, 100 en 2028</w:t>
            </w:r>
          </w:p>
        </w:tc>
      </w:tr>
      <w:tr>
        <w:trPr>
          <w:tblHeader w:val="false"/>
        </w:trPr>
        <w:tc>
          <w:tcPr>
            <w:tcW w:type="dxa" w:w="3137"/>
            <w:tcMar>
              <w:top w:type="dxa" w:w="40"/>
              <w:left w:type="dxa" w:w="80"/>
              <w:bottom w:type="dxa" w:w="40"/>
              <w:right w:type="dxa" w:w="80"/>
            </w:tcMar>
          </w:tcPr>
          <w:p>
            <w:r>
              <w:rPr>
                <w:sz w:val="16"/>
                <w:szCs w:val="16"/>
              </w:rPr>
              <w:t xml:space="preserve">Favorable</w:t>
            </w:r>
          </w:p>
        </w:tc>
        <w:tc>
          <w:tcPr>
            <w:tcW w:type="dxa" w:w="3137"/>
            <w:tcMar>
              <w:top w:type="dxa" w:w="40"/>
              <w:left w:type="dxa" w:w="80"/>
              <w:bottom w:type="dxa" w:w="40"/>
              <w:right w:type="dxa" w:w="80"/>
            </w:tcMar>
          </w:tcPr>
          <w:p>
            <w:r>
              <w:rPr>
                <w:sz w:val="16"/>
                <w:szCs w:val="16"/>
              </w:rPr>
              <w:t xml:space="preserve">450</w:t>
            </w:r>
          </w:p>
        </w:tc>
        <w:tc>
          <w:tcPr>
            <w:tcW w:type="dxa" w:w="3137"/>
            <w:tcMar>
              <w:top w:type="dxa" w:w="40"/>
              <w:left w:type="dxa" w:w="80"/>
              <w:bottom w:type="dxa" w:w="40"/>
              <w:right w:type="dxa" w:w="80"/>
            </w:tcMar>
          </w:tcPr>
          <w:p>
            <w:r>
              <w:rPr>
                <w:sz w:val="16"/>
                <w:szCs w:val="16"/>
              </w:rPr>
              <w:t xml:space="preserve">200 en 2027, 100 en 2028</w:t>
            </w:r>
          </w:p>
        </w:tc>
      </w:tr>
    </w:tbl>
    <w:p>
      <w:pPr>
        <w:spacing w:after="80"/>
      </w:pPr>
    </w:p>
    <w:p>
      <w:pPr>
        <w:spacing w:after="120"/>
      </w:pPr>
      <w:r>
        <w:rPr>
          <w:b/>
          <w:bCs/>
        </w:rPr>
        <w:t xml:space="preserve">Règles appliquées</w:t>
      </w:r>
    </w:p>
    <w:p>
      <w:pPr>
        <w:pStyle w:val="ListParagraph"/>
        <w:numPr>
          <w:ilvl w:val="0"/>
          <w:numId w:val="13"/>
        </w:numPr>
        <w:spacing w:after="80"/>
      </w:pPr>
      <w:r>
        <w:t xml:space="preserve">Chaque économie n'est comptée qu'une fois, dans le solde, jamais comme ressource.</w:t>
      </w:r>
    </w:p>
    <w:p>
      <w:pPr>
        <w:pStyle w:val="ListParagraph"/>
        <w:numPr>
          <w:ilvl w:val="0"/>
          <w:numId w:val="13"/>
        </w:numPr>
        <w:spacing w:after="80"/>
      </w:pPr>
      <w:r>
        <w:t xml:space="preserve">Aucune recette hypothétique : les avoirs recouvrés et la bauxite avant la première exportation sont exclus, et toute somme recouvrée réduit la dette.</w:t>
      </w:r>
    </w:p>
    <w:p>
      <w:pPr>
        <w:pStyle w:val="ListParagraph"/>
        <w:numPr>
          <w:ilvl w:val="0"/>
          <w:numId w:val="13"/>
        </w:numPr>
        <w:spacing w:after="80"/>
      </w:pPr>
      <w:r>
        <w:t xml:space="preserve">Les partenariats public-privé (PPP) ne sont signés qu'avec le chiffrage des paiements futurs et des garanties, sous un plafond voté par le Parlement. Les passifs conditionnels atteignent déjà 14 % du PIB.</w:t>
      </w:r>
    </w:p>
    <w:p>
      <w:pPr>
        <w:pStyle w:val="ListParagraph"/>
        <w:numPr>
          <w:ilvl w:val="0"/>
          <w:numId w:val="13"/>
        </w:numPr>
        <w:spacing w:after="80"/>
      </w:pPr>
      <w:r>
        <w:rPr>
          <w:b/>
          <w:bCs/>
        </w:rPr>
        <w:t xml:space="preserve">Mesures écartées faute de financement :</w:t>
      </w:r>
      <w:r>
        <w:t xml:space="preserve"> hausse générale de 30 % des salaires, fonds de 10 000 Mds par an, 10 000 MW d'ici 2033, programme de villes nouvelles. Elles pourront revenir après un test de financement.</w:t>
      </w:r>
    </w:p>
    <w:p>
      <w:pPr>
        <w:spacing w:after="120"/>
      </w:pPr>
      <w:r>
        <w:rPr>
          <w:b/>
          <w:bCs/>
        </w:rPr>
        <w:t xml:space="preserve">Lecture du scénario défavorable.</w:t>
      </w:r>
      <w:r>
        <w:t xml:space="preserve"> Sans programme FMI, 2027 devient une année de tension. Le programme reste exécutable si le rythme des paliers carburants est maintenu. Les dépenses nouvelles doivent alors être séquencées : la DGD et la reconstruction sont décalées d'un an, la protection sociale et la santé sont préservées.</w:t>
      </w:r>
    </w:p>
    <w:p>
      <w:pPr>
        <w:pStyle w:val="Heading1"/>
      </w:pPr>
      <w:r>
        <w:t xml:space="preserve">7. Pilotage et redevabilité</w:t>
      </w:r>
    </w:p>
    <w:p>
      <w:pPr>
        <w:pStyle w:val="ListParagraph"/>
        <w:numPr>
          <w:ilvl w:val="0"/>
          <w:numId w:val="2"/>
        </w:numPr>
        <w:spacing w:after="60"/>
      </w:pPr>
      <w:r>
        <w:rPr>
          <w:b/>
          <w:bCs/>
        </w:rPr>
        <w:t xml:space="preserve">Comité stratégique de pilotage</w:t>
      </w:r>
      <w:r>
        <w:t xml:space="preserve">, présidé par le chef de l'État (mensuel), et </w:t>
      </w:r>
      <w:r>
        <w:rPr>
          <w:b/>
          <w:bCs/>
        </w:rPr>
        <w:t xml:space="preserve">unité de suivi</w:t>
      </w:r>
      <w:r>
        <w:t xml:space="preserve"> légère auprès du Premier ministre (bimensuelle).</w:t>
      </w:r>
    </w:p>
    <w:p>
      <w:pPr>
        <w:pStyle w:val="ListParagraph"/>
        <w:numPr>
          <w:ilvl w:val="0"/>
          <w:numId w:val="2"/>
        </w:numPr>
        <w:spacing w:after="60"/>
      </w:pPr>
      <w:r>
        <w:rPr>
          <w:b/>
          <w:bCs/>
        </w:rPr>
        <w:t xml:space="preserve">Tableau de bord public trimestriel</w:t>
      </w:r>
      <w:r>
        <w:t xml:space="preserve">, comprenant au minimum :</w:t>
      </w:r>
    </w:p>
    <w:p>
      <w:pPr>
        <w:pStyle w:val="ListParagraph"/>
        <w:numPr>
          <w:ilvl w:val="1"/>
          <w:numId w:val="2"/>
        </w:numPr>
        <w:spacing w:after="60"/>
      </w:pPr>
      <w:r>
        <w:t xml:space="preserve">délai de paiement ;</w:t>
      </w:r>
    </w:p>
    <w:p>
      <w:pPr>
        <w:pStyle w:val="ListParagraph"/>
        <w:numPr>
          <w:ilvl w:val="1"/>
          <w:numId w:val="2"/>
        </w:numPr>
        <w:spacing w:after="60"/>
      </w:pPr>
      <w:r>
        <w:t xml:space="preserve">stock d'arriérés ;</w:t>
      </w:r>
    </w:p>
    <w:p>
      <w:pPr>
        <w:pStyle w:val="ListParagraph"/>
        <w:numPr>
          <w:ilvl w:val="1"/>
          <w:numId w:val="2"/>
        </w:numPr>
        <w:spacing w:after="60"/>
      </w:pPr>
      <w:r>
        <w:t xml:space="preserve">soutien aux carburants ;</w:t>
      </w:r>
    </w:p>
    <w:p>
      <w:pPr>
        <w:pStyle w:val="ListParagraph"/>
        <w:numPr>
          <w:ilvl w:val="1"/>
          <w:numId w:val="2"/>
        </w:numPr>
        <w:spacing w:after="60"/>
      </w:pPr>
      <w:r>
        <w:t xml:space="preserve">ménages compensés ;</w:t>
      </w:r>
    </w:p>
    <w:p>
      <w:pPr>
        <w:pStyle w:val="ListParagraph"/>
        <w:numPr>
          <w:ilvl w:val="1"/>
          <w:numId w:val="2"/>
        </w:numPr>
        <w:spacing w:after="60"/>
      </w:pPr>
      <w:r>
        <w:t xml:space="preserve">pertes électriques ;</w:t>
      </w:r>
    </w:p>
    <w:p>
      <w:pPr>
        <w:pStyle w:val="ListParagraph"/>
        <w:numPr>
          <w:ilvl w:val="1"/>
          <w:numId w:val="2"/>
        </w:numPr>
        <w:spacing w:after="60"/>
      </w:pPr>
      <w:r>
        <w:t xml:space="preserve">coupures ;</w:t>
      </w:r>
    </w:p>
    <w:p>
      <w:pPr>
        <w:pStyle w:val="ListParagraph"/>
        <w:numPr>
          <w:ilvl w:val="1"/>
          <w:numId w:val="2"/>
        </w:numPr>
        <w:spacing w:after="60"/>
      </w:pPr>
      <w:r>
        <w:t xml:space="preserve">dirigeants dans les délais légaux ;</w:t>
      </w:r>
    </w:p>
    <w:p>
      <w:pPr>
        <w:pStyle w:val="ListParagraph"/>
        <w:numPr>
          <w:ilvl w:val="1"/>
          <w:numId w:val="2"/>
        </w:numPr>
        <w:spacing w:after="60"/>
      </w:pPr>
      <w:r>
        <w:t xml:space="preserve">audits publiés ;</w:t>
      </w:r>
    </w:p>
    <w:p>
      <w:pPr>
        <w:pStyle w:val="ListParagraph"/>
        <w:numPr>
          <w:ilvl w:val="1"/>
          <w:numId w:val="2"/>
        </w:numPr>
        <w:spacing w:after="60"/>
      </w:pPr>
      <w:r>
        <w:t xml:space="preserve">dossiers judiciaires ;</w:t>
      </w:r>
    </w:p>
    <w:p>
      <w:pPr>
        <w:pStyle w:val="ListParagraph"/>
        <w:numPr>
          <w:ilvl w:val="1"/>
          <w:numId w:val="2"/>
        </w:numPr>
        <w:spacing w:after="60"/>
      </w:pPr>
      <w:r>
        <w:t xml:space="preserve">DGD rapportée aux recettes ;</w:t>
      </w:r>
    </w:p>
    <w:p>
      <w:pPr>
        <w:pStyle w:val="ListParagraph"/>
        <w:numPr>
          <w:ilvl w:val="1"/>
          <w:numId w:val="2"/>
        </w:numPr>
        <w:spacing w:after="60"/>
      </w:pPr>
      <w:r>
        <w:t xml:space="preserve">écoles rouvertes ;</w:t>
      </w:r>
    </w:p>
    <w:p>
      <w:pPr>
        <w:pStyle w:val="ListParagraph"/>
        <w:numPr>
          <w:ilvl w:val="1"/>
          <w:numId w:val="2"/>
        </w:numPr>
        <w:spacing w:after="60"/>
      </w:pPr>
      <w:r>
        <w:t xml:space="preserve">paiements directs de santé.</w:t>
      </w:r>
    </w:p>
    <w:p>
      <w:pPr>
        <w:pStyle w:val="ListParagraph"/>
        <w:numPr>
          <w:ilvl w:val="0"/>
          <w:numId w:val="2"/>
        </w:numPr>
        <w:spacing w:after="60"/>
      </w:pPr>
      <w:r>
        <w:t xml:space="preserve">Rapport annuel de la Chambre des comptes sur l'exécution du programme ; débat au Parlement.</w:t>
      </w:r>
    </w:p>
    <w:p>
      <w:pPr>
        <w:pStyle w:val="ListParagraph"/>
        <w:numPr>
          <w:ilvl w:val="0"/>
          <w:numId w:val="2"/>
        </w:numPr>
        <w:spacing w:after="60"/>
      </w:pPr>
      <w:r>
        <w:t xml:space="preserve">Consultation de la société civile et de la diaspora : comité de suivi indépendant, comme le propose le Livre.</w:t>
      </w:r>
    </w:p>
    <w:p>
      <w:pPr>
        <w:pStyle w:val="Heading1"/>
      </w:pPr>
      <w:r>
        <w:t xml:space="preserve">8. Vision 2035-2043 : ce qui est retenu des documents politiques</w:t>
      </w:r>
    </w:p>
    <w:p>
      <w:pPr>
        <w:spacing w:after="120"/>
      </w:pPr>
      <w:r>
        <w:t xml:space="preserve">Sont retenus comme </w:t>
      </w:r>
      <w:r>
        <w:rPr>
          <w:b/>
          <w:bCs/>
        </w:rPr>
        <w:t xml:space="preserve">orientations de long terme</w:t>
      </w:r>
      <w:r>
        <w:t xml:space="preserve">, chacune soumise à un test de financement :</w:t>
      </w:r>
    </w:p>
    <w:p>
      <w:pPr>
        <w:pStyle w:val="ListParagraph"/>
        <w:numPr>
          <w:ilvl w:val="0"/>
          <w:numId w:val="2"/>
        </w:numPr>
        <w:spacing w:after="60"/>
      </w:pPr>
      <w:r>
        <w:t xml:space="preserve">réconciliation et unité dans la diversité ;</w:t>
      </w:r>
    </w:p>
    <w:p>
      <w:pPr>
        <w:pStyle w:val="ListParagraph"/>
        <w:numPr>
          <w:ilvl w:val="0"/>
          <w:numId w:val="2"/>
        </w:numPr>
        <w:spacing w:after="60"/>
      </w:pPr>
      <w:r>
        <w:t xml:space="preserve">langues et cultures nationales ;</w:t>
      </w:r>
    </w:p>
    <w:p>
      <w:pPr>
        <w:pStyle w:val="ListParagraph"/>
        <w:numPr>
          <w:ilvl w:val="0"/>
          <w:numId w:val="2"/>
        </w:numPr>
        <w:spacing w:after="60"/>
      </w:pPr>
      <w:r>
        <w:t xml:space="preserve">double nationalité et place de la diaspora ;</w:t>
      </w:r>
    </w:p>
    <w:p>
      <w:pPr>
        <w:pStyle w:val="ListParagraph"/>
        <w:numPr>
          <w:ilvl w:val="0"/>
          <w:numId w:val="2"/>
        </w:numPr>
        <w:spacing w:after="60"/>
      </w:pPr>
      <w:r>
        <w:t xml:space="preserve">numérisation complète des services publics ;</w:t>
      </w:r>
    </w:p>
    <w:p>
      <w:pPr>
        <w:pStyle w:val="ListParagraph"/>
        <w:numPr>
          <w:ilvl w:val="0"/>
          <w:numId w:val="2"/>
        </w:numPr>
        <w:spacing w:after="60"/>
      </w:pPr>
      <w:r>
        <w:t xml:space="preserve">hub logistique régional (Kribi, Douala, corridors) ;</w:t>
      </w:r>
    </w:p>
    <w:p>
      <w:pPr>
        <w:pStyle w:val="ListParagraph"/>
        <w:numPr>
          <w:ilvl w:val="0"/>
          <w:numId w:val="2"/>
        </w:numPr>
        <w:spacing w:after="60"/>
      </w:pPr>
      <w:r>
        <w:t xml:space="preserve">transformation locale du bois et des minerais ;</w:t>
      </w:r>
    </w:p>
    <w:p>
      <w:pPr>
        <w:pStyle w:val="ListParagraph"/>
        <w:numPr>
          <w:ilvl w:val="0"/>
          <w:numId w:val="2"/>
        </w:numPr>
        <w:spacing w:after="60"/>
      </w:pPr>
      <w:r>
        <w:t xml:space="preserve">capacité électrique durable alignée sur la demande et le réseau ;</w:t>
      </w:r>
    </w:p>
    <w:p>
      <w:pPr>
        <w:pStyle w:val="ListParagraph"/>
        <w:numPr>
          <w:ilvl w:val="0"/>
          <w:numId w:val="2"/>
        </w:numPr>
        <w:spacing w:after="60"/>
      </w:pPr>
      <w:r>
        <w:t xml:space="preserve">recherche médicale et industrie pharmaceutique ;</w:t>
      </w:r>
    </w:p>
    <w:p>
      <w:pPr>
        <w:pStyle w:val="ListParagraph"/>
        <w:numPr>
          <w:ilvl w:val="0"/>
          <w:numId w:val="2"/>
        </w:numPr>
        <w:spacing w:after="60"/>
      </w:pPr>
      <w:r>
        <w:t xml:space="preserve">tourisme et industries culturelles.</w:t>
      </w:r>
    </w:p>
    <w:p>
      <w:pPr>
        <w:spacing w:after="120"/>
      </w:pPr>
      <w:r>
        <w:t xml:space="preserve">La question monétaire fera l'objet d'une étude indépendante, menée avec les partenaires de la CEMAC.</w:t>
      </w:r>
    </w:p>
    <w:p>
      <w:pPr>
        <w:pStyle w:val="Heading1"/>
      </w:pPr>
      <w:r>
        <w:t xml:space="preserve">9. Risques et conditions de réussite</w:t>
      </w:r>
    </w:p>
    <w:p>
      <w:pPr>
        <w:pStyle w:val="ListParagraph"/>
        <w:numPr>
          <w:ilvl w:val="0"/>
          <w:numId w:val="2"/>
        </w:numPr>
        <w:spacing w:after="60"/>
      </w:pPr>
      <w:r>
        <w:rPr>
          <w:b/>
          <w:bCs/>
        </w:rPr>
        <w:t xml:space="preserve">Contexte institutionnel.</w:t>
      </w:r>
    </w:p>
    <w:p>
      <w:pPr>
        <w:pStyle w:val="ListParagraph"/>
        <w:numPr>
          <w:ilvl w:val="1"/>
          <w:numId w:val="2"/>
        </w:numPr>
        <w:spacing w:after="60"/>
      </w:pPr>
      <w:r>
        <w:t xml:space="preserve">Le poste de vice-président a été créé en avril 2026 ; il n'est pas pourvu selon les sources disponibles.</w:t>
      </w:r>
    </w:p>
    <w:p>
      <w:pPr>
        <w:pStyle w:val="ListParagraph"/>
        <w:numPr>
          <w:ilvl w:val="1"/>
          <w:numId w:val="2"/>
        </w:numPr>
        <w:spacing w:after="60"/>
      </w:pPr>
      <w:r>
        <w:t xml:space="preserve">Le mandat des députés est prorogé au 20/12/2026.</w:t>
      </w:r>
    </w:p>
    <w:p>
      <w:pPr>
        <w:spacing w:after="120"/>
      </w:pPr>
      <w:r>
        <w:t xml:space="preserve">Les lois nécessaires (finances rectificative, confiscation, accises, mémoire) doivent être votées tôt.</w:t>
      </w:r>
    </w:p>
    <w:p>
      <w:pPr>
        <w:pStyle w:val="ListParagraph"/>
        <w:numPr>
          <w:ilvl w:val="0"/>
          <w:numId w:val="2"/>
        </w:numPr>
        <w:spacing w:after="60"/>
      </w:pPr>
      <w:r>
        <w:rPr>
          <w:b/>
          <w:bCs/>
        </w:rPr>
        <w:t xml:space="preserve">Acceptabilité sociale.</w:t>
      </w:r>
      <w:r>
        <w:t xml:space="preserve"> La règle « transfert d'abord » est la condition de la réforme des carburants.</w:t>
      </w:r>
    </w:p>
    <w:p>
      <w:pPr>
        <w:pStyle w:val="ListParagraph"/>
        <w:numPr>
          <w:ilvl w:val="0"/>
          <w:numId w:val="2"/>
        </w:numPr>
        <w:spacing w:after="60"/>
      </w:pPr>
      <w:r>
        <w:rPr>
          <w:b/>
          <w:bCs/>
        </w:rPr>
        <w:t xml:space="preserve">Capacité d'exécution.</w:t>
      </w:r>
      <w:r>
        <w:t xml:space="preserve"> Huit chantiers seulement, une unité de suivi, des indicateurs publics.</w:t>
      </w:r>
    </w:p>
    <w:p>
      <w:pPr>
        <w:pStyle w:val="ListParagraph"/>
        <w:numPr>
          <w:ilvl w:val="0"/>
          <w:numId w:val="2"/>
        </w:numPr>
        <w:spacing w:after="60"/>
      </w:pPr>
      <w:r>
        <w:rPr>
          <w:b/>
          <w:bCs/>
        </w:rPr>
        <w:t xml:space="preserve">Données.</w:t>
      </w:r>
      <w:r>
        <w:t xml:space="preserve"> Plusieurs points de départ sont encore inconnus : arriérés certifiés, pertes électriques officielles, registre social. Ils doivent être mesurés dans les 100 jours, avant de fixer les cibles définitives.</w:t>
      </w:r>
    </w:p>
    <w:p>
      <w:pPr>
        <w:pStyle w:val="Heading1"/>
      </w:pPr>
      <w:r>
        <w:t xml:space="preserve">10. Vérifications complémentaires du 20/10/2026</w:t>
      </w:r>
    </w:p>
    <w:p>
      <w:pPr>
        <w:spacing w:after="120"/>
      </w:pPr>
      <w:r>
        <w:t xml:space="preserve">Le détail figure dans </w:t>
      </w:r>
      <w:r>
        <w:rPr>
          <w:rFonts w:ascii="Consolas" w:cs="Consolas" w:eastAsia="Consolas" w:hAnsi="Consolas"/>
          <w:sz w:val="18"/>
          <w:szCs w:val="18"/>
        </w:rPr>
        <w:t xml:space="preserve">analyses/verification_finale_finances.md</w:t>
      </w:r>
      <w:r>
        <w:t xml:space="preserve"> et </w:t>
      </w:r>
      <w:r>
        <w:rPr>
          <w:rFonts w:ascii="Consolas" w:cs="Consolas" w:eastAsia="Consolas" w:hAnsi="Consolas"/>
          <w:sz w:val="18"/>
          <w:szCs w:val="18"/>
        </w:rPr>
        <w:t xml:space="preserve">analyses/verification_finale_juridique.md</w:t>
      </w:r>
      <w:r>
        <w:t xml:space="preserve">.</w:t>
      </w:r>
    </w:p>
    <w:p>
      <w:pPr>
        <w:spacing w:after="120"/>
      </w:pPr>
      <w:r>
        <w:rPr>
          <w:b/>
          <w:bCs/>
        </w:rPr>
        <w:t xml:space="preserve">Confirmé</w:t>
      </w:r>
    </w:p>
    <w:p>
      <w:pPr>
        <w:pStyle w:val="ListParagraph"/>
        <w:numPr>
          <w:ilvl w:val="0"/>
          <w:numId w:val="2"/>
        </w:numPr>
        <w:spacing w:after="60"/>
      </w:pPr>
      <w:r>
        <w:t xml:space="preserve">Loi de finances 2026 (loi n° 2025/012 du 17/12/2025) : 8 816,4 Mds, déficit de 631 Mds.</w:t>
      </w:r>
    </w:p>
    <w:p>
      <w:pPr>
        <w:pStyle w:val="ListParagraph"/>
        <w:numPr>
          <w:ilvl w:val="0"/>
          <w:numId w:val="2"/>
        </w:numPr>
        <w:spacing w:after="60"/>
      </w:pPr>
      <w:r>
        <w:t xml:space="preserve">Masse salariale de 1 626,2 Mds pour 401 460 agents (fin 2025) ; SMIG de 60 000 FCFA (décret de mars 2023).</w:t>
      </w:r>
    </w:p>
    <w:p>
      <w:pPr>
        <w:pStyle w:val="ListParagraph"/>
        <w:numPr>
          <w:ilvl w:val="0"/>
          <w:numId w:val="2"/>
        </w:numPr>
        <w:spacing w:after="60"/>
      </w:pPr>
      <w:r>
        <w:t xml:space="preserve">Analyse de viabilité de la dette FMI-BM : risque élevé, extérieur et global.</w:t>
      </w:r>
    </w:p>
    <w:p>
      <w:pPr>
        <w:pStyle w:val="ListParagraph"/>
        <w:numPr>
          <w:ilvl w:val="0"/>
          <w:numId w:val="2"/>
        </w:numPr>
        <w:spacing w:after="60"/>
      </w:pPr>
      <w:r>
        <w:t xml:space="preserve">Prix à la pompe inchangés depuis février 2024 : super 840, gasoil 828, pétrole lampant 350 FCFA/l.</w:t>
      </w:r>
    </w:p>
    <w:p>
      <w:pPr>
        <w:pStyle w:val="ListParagraph"/>
        <w:numPr>
          <w:ilvl w:val="0"/>
          <w:numId w:val="2"/>
        </w:numPr>
        <w:spacing w:after="60"/>
      </w:pPr>
      <w:r>
        <w:t xml:space="preserve">Constats de la Chambre des comptes sur le Fonds Covid ; 12 dossiers transmis, aucune décision judiciaire retrouvée.</w:t>
      </w:r>
    </w:p>
    <w:p>
      <w:pPr>
        <w:pStyle w:val="ListParagraph"/>
        <w:numPr>
          <w:ilvl w:val="0"/>
          <w:numId w:val="2"/>
        </w:numPr>
        <w:spacing w:after="60"/>
      </w:pPr>
      <w:r>
        <w:t xml:space="preserve">Sentence CIRDI du 04/09/2026 ; montant connu seulement par la presse : 78,5 M€ plus intérêts.</w:t>
      </w:r>
    </w:p>
    <w:p>
      <w:pPr>
        <w:pStyle w:val="ListParagraph"/>
        <w:numPr>
          <w:ilvl w:val="0"/>
          <w:numId w:val="2"/>
        </w:numPr>
        <w:spacing w:after="60"/>
      </w:pPr>
      <w:r>
        <w:t xml:space="preserve">Transferts aux collectivités 2024 : 127,554 Mds, soit 2,08 % des recettes (Chambre des comptes, p. 41).</w:t>
      </w:r>
    </w:p>
    <w:p>
      <w:pPr>
        <w:pStyle w:val="ListParagraph"/>
        <w:numPr>
          <w:ilvl w:val="0"/>
          <w:numId w:val="2"/>
        </w:numPr>
        <w:spacing w:after="60"/>
      </w:pPr>
      <w:r>
        <w:t xml:space="preserve">68 entreprises publiques et 85 établissements publics (31/12/2022).</w:t>
      </w:r>
    </w:p>
    <w:p>
      <w:pPr>
        <w:pStyle w:val="ListParagraph"/>
        <w:numPr>
          <w:ilvl w:val="0"/>
          <w:numId w:val="2"/>
        </w:numPr>
        <w:spacing w:after="60"/>
      </w:pPr>
      <w:r>
        <w:t xml:space="preserve">Déplacés internes au 30/09/2026 : 493 402 (Nord-Ouest et Sud-Ouest) et 510 855 (Extrême-Nord).</w:t>
      </w:r>
    </w:p>
    <w:p>
      <w:pPr>
        <w:pStyle w:val="ListParagraph"/>
        <w:numPr>
          <w:ilvl w:val="0"/>
          <w:numId w:val="2"/>
        </w:numPr>
        <w:spacing w:after="60"/>
      </w:pPr>
      <w:r>
        <w:t xml:space="preserve">Plan humanitaire financé à 32,2 %.</w:t>
      </w:r>
    </w:p>
    <w:p>
      <w:pPr>
        <w:pStyle w:val="ListParagraph"/>
        <w:numPr>
          <w:ilvl w:val="0"/>
          <w:numId w:val="2"/>
        </w:numPr>
        <w:spacing w:after="60"/>
      </w:pPr>
      <w:r>
        <w:t xml:space="preserve">Nouveau président du Conseil constitutionnel nommé par décret du 16/10/2026.</w:t>
      </w:r>
    </w:p>
    <w:p>
      <w:pPr>
        <w:spacing w:after="120"/>
      </w:pPr>
      <w:r>
        <w:rPr>
          <w:b/>
          <w:bCs/>
        </w:rPr>
        <w:t xml:space="preserve">Non trouvé au 20/10/2026</w:t>
      </w:r>
    </w:p>
    <w:p>
      <w:pPr>
        <w:pStyle w:val="ListParagraph"/>
        <w:numPr>
          <w:ilvl w:val="0"/>
          <w:numId w:val="2"/>
        </w:numPr>
        <w:spacing w:after="60"/>
      </w:pPr>
      <w:r>
        <w:t xml:space="preserve">Nomination d'un vice-président.</w:t>
      </w:r>
    </w:p>
    <w:p>
      <w:pPr>
        <w:pStyle w:val="ListParagraph"/>
        <w:numPr>
          <w:ilvl w:val="0"/>
          <w:numId w:val="2"/>
        </w:numPr>
        <w:spacing w:after="60"/>
      </w:pPr>
      <w:r>
        <w:t xml:space="preserve">Convocation du corps électoral pour les législatives et municipales.</w:t>
      </w:r>
    </w:p>
    <w:p>
      <w:pPr>
        <w:pStyle w:val="ListParagraph"/>
        <w:numPr>
          <w:ilvl w:val="0"/>
          <w:numId w:val="2"/>
        </w:numPr>
        <w:spacing w:after="60"/>
      </w:pPr>
      <w:r>
        <w:t xml:space="preserve">Nouveau gouvernement.</w:t>
      </w:r>
    </w:p>
    <w:p>
      <w:pPr>
        <w:pStyle w:val="ListParagraph"/>
        <w:numPr>
          <w:ilvl w:val="0"/>
          <w:numId w:val="2"/>
        </w:numPr>
        <w:spacing w:after="60"/>
      </w:pPr>
      <w:r>
        <w:t xml:space="preserve">Nouveau programme FMI.</w:t>
      </w:r>
    </w:p>
    <w:p>
      <w:pPr>
        <w:pStyle w:val="ListParagraph"/>
        <w:numPr>
          <w:ilvl w:val="0"/>
          <w:numId w:val="2"/>
        </w:numPr>
        <w:spacing w:after="60"/>
      </w:pPr>
      <w:r>
        <w:t xml:space="preserve">Loi de finances rectificative 2026.</w:t>
      </w:r>
    </w:p>
    <w:p>
      <w:pPr>
        <w:pStyle w:val="ListParagraph"/>
        <w:numPr>
          <w:ilvl w:val="0"/>
          <w:numId w:val="2"/>
        </w:numPr>
        <w:spacing w:after="60"/>
      </w:pPr>
      <w:r>
        <w:t xml:space="preserve">Texte de la sentence CIRDI.</w:t>
      </w:r>
    </w:p>
    <w:p>
      <w:pPr>
        <w:pStyle w:val="ListParagraph"/>
        <w:numPr>
          <w:ilvl w:val="0"/>
          <w:numId w:val="2"/>
        </w:numPr>
        <w:spacing w:after="60"/>
      </w:pPr>
      <w:r>
        <w:t xml:space="preserve">Cadre Harmonisé d'octobre-novembre 2026.</w:t>
      </w:r>
    </w:p>
    <w:p>
      <w:pPr>
        <w:spacing w:after="120"/>
      </w:pPr>
      <w:r>
        <w:rPr>
          <w:b/>
          <w:bCs/>
        </w:rPr>
        <w:t xml:space="preserve">Points à trancher avant tout acte</w:t>
      </w:r>
    </w:p>
    <w:p>
      <w:pPr>
        <w:pStyle w:val="ListParagraph"/>
        <w:numPr>
          <w:ilvl w:val="0"/>
          <w:numId w:val="2"/>
        </w:numPr>
        <w:spacing w:after="60"/>
      </w:pPr>
      <w:r>
        <w:t xml:space="preserve">Autorité de nomination des directeurs généraux d'entreprises publiques : texte de la loi ou pratique du décret.</w:t>
      </w:r>
    </w:p>
    <w:p>
      <w:pPr>
        <w:pStyle w:val="ListParagraph"/>
        <w:numPr>
          <w:ilvl w:val="0"/>
          <w:numId w:val="2"/>
        </w:numPr>
        <w:spacing w:after="60"/>
      </w:pPr>
      <w:r>
        <w:t xml:space="preserve">Taux du nouveau tarif commun CEEAC-CEMAC.</w:t>
      </w:r>
    </w:p>
    <w:p>
      <w:pPr>
        <w:pStyle w:val="ListParagraph"/>
        <w:numPr>
          <w:ilvl w:val="0"/>
          <w:numId w:val="2"/>
        </w:numPr>
        <w:spacing w:after="60"/>
      </w:pPr>
      <w:r>
        <w:t xml:space="preserve">Production nationale de riz usiné, les sources étant incompatibles.</w:t>
      </w:r>
    </w:p>
    <w:sectPr>
      <w:footerReference w:type="default" r:id="rId7"/>
      <w:pgSz w:w="11906" w:h="16838" w:orient="portrait"/>
      <w:pgMar w:top="1134" w:right="1247" w:bottom="1134" w:left="1247"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t xml:space="preserve">Analyse indépendante — sans mandat officiel — page </w:t>
    </w: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360" w:hanging="360"/>
      </w:pPr>
    </w:lvl>
  </w:abstractNum>
  <w:abstractNum w:abstractNumId="3" w15:restartNumberingAfterBreak="0">
    <w:multiLevelType w:val="hybridMultilevel"/>
    <w:lvl w:ilvl="0" w15:tentative="1">
      <w:start w:val="1"/>
      <w:numFmt w:val="bullet"/>
      <w:lvlText w:val="•"/>
      <w:lvlJc w:val="left"/>
      <w:pPr>
        <w:ind w:left="360" w:hanging="360"/>
      </w:pPr>
    </w:lvl>
    <w:lvl w:ilvl="1" w15:tentative="1">
      <w:start w:val="1"/>
      <w:numFmt w:val="bullet"/>
      <w:lvlText w:val="–"/>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2"/>
    <w:lvlOverride w:ilvl="0">
      <w:startOverride w:val="1"/>
    </w:lvlOverride>
  </w:num>
  <w:num w:numId="5">
    <w:abstractNumId w:val="2"/>
    <w:lvlOverride w:ilvl="0">
      <w:startOverride w:val="1"/>
    </w:lvlOverride>
  </w:num>
  <w:num w:numId="6">
    <w:abstractNumId w:val="2"/>
    <w:lvlOverride w:ilvl="0">
      <w:startOverride w:val="1"/>
    </w:lvlOverride>
  </w:num>
  <w:num w:numId="7">
    <w:abstractNumId w:val="2"/>
    <w:lvlOverride w:ilvl="0">
      <w:startOverride w:val="1"/>
    </w:lvlOverride>
  </w:num>
  <w:num w:numId="8">
    <w:abstractNumId w:val="2"/>
    <w:lvlOverride w:ilvl="0">
      <w:startOverride w:val="1"/>
    </w:lvlOverride>
  </w:num>
  <w:num w:numId="9">
    <w:abstractNumId w:val="2"/>
    <w:lvlOverride w:ilvl="0">
      <w:startOverride w:val="1"/>
    </w:lvlOverride>
  </w:num>
  <w:num w:numId="10">
    <w:abstractNumId w:val="2"/>
    <w:lvlOverride w:ilvl="0">
      <w:startOverride w:val="1"/>
    </w:lvlOverride>
  </w:num>
  <w:num w:numId="11">
    <w:abstractNumId w:val="2"/>
    <w:lvlOverride w:ilvl="0">
      <w:startOverride w:val="1"/>
    </w:lvlOverride>
  </w:num>
  <w:num w:numId="12">
    <w:abstractNumId w:val="2"/>
    <w:lvlOverride w:ilvl="0">
      <w:startOverride w:val="1"/>
    </w:lvlOverride>
  </w:num>
  <w:num w:numId="1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pPr>
      <w:pBdr>
        <w:bottom w:val="single" w:color="1F3864" w:sz="8" w:space="4"/>
      </w:pBdr>
      <w:spacing w:after="160"/>
    </w:pPr>
    <w:rPr>
      <w:b/>
      <w:bCs/>
      <w:color w:val="1F3864"/>
      <w:sz w:val="32"/>
      <w:szCs w:val="32"/>
    </w:rPr>
  </w:style>
  <w:style w:type="paragraph" w:styleId="Heading1">
    <w:name w:val="Heading 1"/>
    <w:basedOn w:val="Normal"/>
    <w:next w:val="Normal"/>
    <w:qFormat/>
    <w:pPr>
      <w:spacing w:after="100" w:before="200"/>
      <w:outlineLvl w:val="0"/>
    </w:pPr>
    <w:rPr>
      <w:b/>
      <w:bCs/>
      <w:color w:val="1F3864"/>
      <w:sz w:val="24"/>
      <w:szCs w:val="24"/>
    </w:rPr>
  </w:style>
  <w:style w:type="paragraph" w:styleId="Heading2">
    <w:name w:val="Heading 2"/>
    <w:basedOn w:val="Normal"/>
    <w:next w:val="Normal"/>
    <w:qFormat/>
    <w:pPr>
      <w:spacing w:after="80" w:before="160"/>
      <w:outlineLvl w:val="1"/>
    </w:pPr>
    <w:rPr>
      <w:b/>
      <w:bCs/>
      <w:color w:val="2E5496"/>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Programme pour un Cameroun Nouveau 2027-2029</dc:title>
  <dc:creator>Équipe d'analyse indépendante</dc:creator>
  <cp:lastModifiedBy>Un-named</cp:lastModifiedBy>
  <cp:revision>1</cp:revision>
  <dcterms:created xsi:type="dcterms:W3CDTF">2026-10-20T18:16:37.461Z</dcterms:created>
  <dcterms:modified xsi:type="dcterms:W3CDTF">2026-10-20T18:16:37.461Z</dcterms:modified>
</cp:coreProperties>
</file>

<file path=docProps/custom.xml><?xml version="1.0" encoding="utf-8"?>
<Properties xmlns="http://schemas.openxmlformats.org/officeDocument/2006/custom-properties" xmlns:vt="http://schemas.openxmlformats.org/officeDocument/2006/docPropsVTypes"/>
</file>