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0B3020"/>
          </w:tcPr>
          <w:p>
            <w:r>
              <w:rPr>
                <w:b/>
                <w:color w:val="E3C27A"/>
                <w:sz w:val="18"/>
              </w:rPr>
              <w:t>BOOK 2  |  TEMPLATE T03</w:t>
            </w:r>
          </w:p>
          <w:p>
            <w:r>
              <w:rPr>
                <w:b/>
                <w:color w:val="FFFFFF"/>
                <w:sz w:val="44"/>
              </w:rPr>
              <w:t>Customer credit policy</w:t>
            </w:r>
          </w:p>
          <w:p>
            <w:r>
              <w:rPr>
                <w:color w:val="E8E8E8"/>
                <w:sz w:val="24"/>
              </w:rPr>
              <w:t>PAYGo solar home systems</w:t>
            </w:r>
          </w:p>
          <w:p>
            <w:r>
              <w:rPr>
                <w:b/>
                <w:color w:val="E3C27A"/>
                <w:sz w:val="16"/>
              </w:rPr>
              <w:t xml:space="preserve">AUTHOR &amp; IDEATION   </w:t>
            </w:r>
            <w:r>
              <w:rPr>
                <w:b/>
                <w:color w:val="FFFFFF"/>
                <w:sz w:val="20"/>
              </w:rPr>
              <w:t>Emmanuel Boujieka Kamga</w:t>
            </w:r>
          </w:p>
        </w:tc>
      </w:tr>
    </w:tbl>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shd w:val="clear" w:color="auto" w:fill="0B3020"/>
          </w:tcPr>
          <w:p>
            <w:r/>
            <w:r>
              <w:rPr>
                <w:b/>
                <w:color w:val="FFFFFF"/>
                <w:sz w:val="18"/>
              </w:rPr>
              <w:t>Item</w:t>
            </w:r>
          </w:p>
        </w:tc>
        <w:tc>
          <w:tcPr>
            <w:tcW w:type="dxa" w:w="6236"/>
            <w:shd w:val="clear" w:color="auto" w:fill="0B3020"/>
          </w:tcPr>
          <w:p>
            <w:r/>
            <w:r>
              <w:rPr>
                <w:b/>
                <w:color w:val="FFFFFF"/>
                <w:sz w:val="18"/>
              </w:rPr>
              <w:t>Entry</w:t>
            </w:r>
          </w:p>
        </w:tc>
      </w:tr>
      <w:tr>
        <w:tc>
          <w:tcPr>
            <w:tcW w:type="dxa" w:w="3118"/>
          </w:tcPr>
          <w:p>
            <w:r/>
            <w:r>
              <w:rPr>
                <w:b/>
                <w:sz w:val="18"/>
              </w:rPr>
              <w:t>Company</w:t>
            </w:r>
          </w:p>
        </w:tc>
        <w:tc>
          <w:tcPr>
            <w:tcW w:type="dxa" w:w="6236"/>
          </w:tcPr>
          <w:p>
            <w:r/>
            <w:r>
              <w:rPr>
                <w:color w:val="0000FF"/>
                <w:sz w:val="18"/>
              </w:rPr>
              <w:t>[Company name]</w:t>
            </w:r>
          </w:p>
        </w:tc>
      </w:tr>
      <w:tr>
        <w:tc>
          <w:tcPr>
            <w:tcW w:type="dxa" w:w="3118"/>
          </w:tcPr>
          <w:p>
            <w:r/>
            <w:r>
              <w:rPr>
                <w:b/>
                <w:sz w:val="18"/>
              </w:rPr>
              <w:t>Countries covered</w:t>
            </w:r>
          </w:p>
        </w:tc>
        <w:tc>
          <w:tcPr>
            <w:tcW w:type="dxa" w:w="6236"/>
          </w:tcPr>
          <w:p>
            <w:r/>
            <w:r>
              <w:rPr>
                <w:color w:val="0000FF"/>
                <w:sz w:val="18"/>
              </w:rPr>
              <w:t>[Country or countries]</w:t>
            </w:r>
          </w:p>
        </w:tc>
      </w:tr>
      <w:tr>
        <w:tc>
          <w:tcPr>
            <w:tcW w:type="dxa" w:w="3118"/>
          </w:tcPr>
          <w:p>
            <w:r/>
            <w:r>
              <w:rPr>
                <w:b/>
                <w:sz w:val="18"/>
              </w:rPr>
              <w:t>Policy owner</w:t>
            </w:r>
          </w:p>
        </w:tc>
        <w:tc>
          <w:tcPr>
            <w:tcW w:type="dxa" w:w="6236"/>
          </w:tcPr>
          <w:p>
            <w:r/>
            <w:r>
              <w:rPr>
                <w:color w:val="0000FF"/>
                <w:sz w:val="18"/>
              </w:rPr>
              <w:t>[Chief Risk Officer or CFO]</w:t>
            </w:r>
          </w:p>
        </w:tc>
      </w:tr>
      <w:tr>
        <w:tc>
          <w:tcPr>
            <w:tcW w:type="dxa" w:w="3118"/>
          </w:tcPr>
          <w:p>
            <w:r/>
            <w:r>
              <w:rPr>
                <w:b/>
                <w:sz w:val="18"/>
              </w:rPr>
              <w:t>Approved by</w:t>
            </w:r>
          </w:p>
        </w:tc>
        <w:tc>
          <w:tcPr>
            <w:tcW w:type="dxa" w:w="6236"/>
          </w:tcPr>
          <w:p>
            <w:r/>
            <w:r>
              <w:rPr>
                <w:color w:val="0000FF"/>
                <w:sz w:val="18"/>
              </w:rPr>
              <w:t>[Credit Committee / Board], [date]</w:t>
            </w:r>
          </w:p>
        </w:tc>
      </w:tr>
      <w:tr>
        <w:tc>
          <w:tcPr>
            <w:tcW w:type="dxa" w:w="3118"/>
          </w:tcPr>
          <w:p>
            <w:r/>
            <w:r>
              <w:rPr>
                <w:b/>
                <w:sz w:val="18"/>
              </w:rPr>
              <w:t>Effective date</w:t>
            </w:r>
          </w:p>
        </w:tc>
        <w:tc>
          <w:tcPr>
            <w:tcW w:type="dxa" w:w="6236"/>
          </w:tcPr>
          <w:p>
            <w:r/>
            <w:r>
              <w:rPr>
                <w:color w:val="0000FF"/>
                <w:sz w:val="18"/>
              </w:rPr>
              <w:t>[Date]</w:t>
            </w:r>
          </w:p>
        </w:tc>
      </w:tr>
      <w:tr>
        <w:tc>
          <w:tcPr>
            <w:tcW w:type="dxa" w:w="3118"/>
          </w:tcPr>
          <w:p>
            <w:r/>
            <w:r>
              <w:rPr>
                <w:b/>
                <w:sz w:val="18"/>
              </w:rPr>
              <w:t>Next review</w:t>
            </w:r>
          </w:p>
        </w:tc>
        <w:tc>
          <w:tcPr>
            <w:tcW w:type="dxa" w:w="6236"/>
          </w:tcPr>
          <w:p>
            <w:r/>
            <w:r>
              <w:rPr>
                <w:color w:val="0000FF"/>
                <w:sz w:val="18"/>
              </w:rPr>
              <w:t>[Date, at least annually]</w:t>
            </w:r>
          </w:p>
        </w:tc>
      </w:tr>
    </w:tbl>
    <w:p/>
    <w:p/>
    <w:p>
      <w:r>
        <w:rPr>
          <w:i/>
          <w:color w:val="666666"/>
          <w:sz w:val="18"/>
        </w:rPr>
        <w:t>Text in square brackets is to be replaced. Grey italic paragraphs are guidance and should be deleted before the document is issued. The contents list and page numbers refresh when the document is opened in Word; if they do not, select the contents and press F9.</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0B3020"/>
          </w:tcPr>
          <w:p>
            <w:r/>
            <w:r>
              <w:rPr>
                <w:b/>
                <w:color w:val="FFFFFF"/>
                <w:sz w:val="18"/>
              </w:rPr>
              <w:t>Version</w:t>
            </w:r>
          </w:p>
        </w:tc>
        <w:tc>
          <w:tcPr>
            <w:tcW w:type="dxa" w:w="2409"/>
            <w:shd w:val="clear" w:color="auto" w:fill="0B3020"/>
          </w:tcPr>
          <w:p>
            <w:r/>
            <w:r>
              <w:rPr>
                <w:b/>
                <w:color w:val="FFFFFF"/>
                <w:sz w:val="18"/>
              </w:rPr>
              <w:t>Date</w:t>
            </w:r>
          </w:p>
        </w:tc>
        <w:tc>
          <w:tcPr>
            <w:tcW w:type="dxa" w:w="2409"/>
            <w:shd w:val="clear" w:color="auto" w:fill="0B3020"/>
          </w:tcPr>
          <w:p>
            <w:r/>
            <w:r>
              <w:rPr>
                <w:b/>
                <w:color w:val="FFFFFF"/>
                <w:sz w:val="18"/>
              </w:rPr>
              <w:t>Changes</w:t>
            </w:r>
          </w:p>
        </w:tc>
        <w:tc>
          <w:tcPr>
            <w:tcW w:type="dxa" w:w="2409"/>
            <w:shd w:val="clear" w:color="auto" w:fill="0B3020"/>
          </w:tcPr>
          <w:p>
            <w:r/>
            <w:r>
              <w:rPr>
                <w:b/>
                <w:color w:val="FFFFFF"/>
                <w:sz w:val="18"/>
              </w:rPr>
              <w:t>Approved by</w:t>
            </w:r>
          </w:p>
        </w:tc>
      </w:tr>
      <w:tr>
        <w:tc>
          <w:tcPr>
            <w:tcW w:type="dxa" w:w="2409"/>
          </w:tcPr>
          <w:p>
            <w:r/>
            <w:r>
              <w:rPr>
                <w:color w:val="0000FF"/>
                <w:sz w:val="18"/>
              </w:rPr>
              <w:t>[0.1]</w:t>
            </w:r>
          </w:p>
        </w:tc>
        <w:tc>
          <w:tcPr>
            <w:tcW w:type="dxa" w:w="2409"/>
          </w:tcPr>
          <w:p>
            <w:r/>
            <w:r>
              <w:rPr>
                <w:color w:val="0000FF"/>
                <w:sz w:val="18"/>
              </w:rPr>
              <w:t>[date]</w:t>
            </w:r>
          </w:p>
        </w:tc>
        <w:tc>
          <w:tcPr>
            <w:tcW w:type="dxa" w:w="2409"/>
          </w:tcPr>
          <w:p>
            <w:r/>
            <w:r>
              <w:rPr>
                <w:color w:val="0000FF"/>
                <w:sz w:val="18"/>
              </w:rPr>
              <w:t>[First issue]</w:t>
            </w:r>
          </w:p>
        </w:tc>
        <w:tc>
          <w:tcPr>
            <w:tcW w:type="dxa" w:w="2409"/>
          </w:tcPr>
          <w:p>
            <w:r/>
            <w:r>
              <w:rPr>
                <w:color w:val="0000FF"/>
                <w:sz w:val="18"/>
              </w:rPr>
              <w:t>[Credit Committee]</w:t>
            </w:r>
          </w:p>
        </w:tc>
      </w:tr>
      <w:tr>
        <w:tc>
          <w:tcPr>
            <w:tcW w:type="dxa" w:w="2409"/>
          </w:tcPr>
          <w:p>
            <w:r/>
            <w:r>
              <w:rPr>
                <w:sz w:val="18"/>
              </w:rPr>
            </w:r>
          </w:p>
        </w:tc>
        <w:tc>
          <w:tcPr>
            <w:tcW w:type="dxa" w:w="2409"/>
          </w:tcPr>
          <w:p>
            <w:r/>
            <w:r>
              <w:rPr>
                <w:sz w:val="18"/>
              </w:rPr>
            </w:r>
          </w:p>
        </w:tc>
        <w:tc>
          <w:tcPr>
            <w:tcW w:type="dxa" w:w="2409"/>
          </w:tcPr>
          <w:p>
            <w:r/>
            <w:r>
              <w:rPr>
                <w:sz w:val="18"/>
              </w:rPr>
            </w:r>
          </w:p>
        </w:tc>
        <w:tc>
          <w:tcPr>
            <w:tcW w:type="dxa" w:w="2409"/>
          </w:tcPr>
          <w:p>
            <w:r/>
            <w:r>
              <w:rPr>
                <w:sz w:val="18"/>
              </w:rPr>
            </w:r>
          </w:p>
        </w:tc>
      </w:tr>
      <w:tr>
        <w:tc>
          <w:tcPr>
            <w:tcW w:type="dxa" w:w="2409"/>
          </w:tcPr>
          <w:p>
            <w:r/>
            <w:r>
              <w:rPr>
                <w:sz w:val="18"/>
              </w:rPr>
            </w:r>
          </w:p>
        </w:tc>
        <w:tc>
          <w:tcPr>
            <w:tcW w:type="dxa" w:w="2409"/>
          </w:tcPr>
          <w:p>
            <w:r/>
            <w:r>
              <w:rPr>
                <w:sz w:val="18"/>
              </w:rPr>
            </w:r>
          </w:p>
        </w:tc>
        <w:tc>
          <w:tcPr>
            <w:tcW w:type="dxa" w:w="2409"/>
          </w:tcPr>
          <w:p>
            <w:r/>
            <w:r>
              <w:rPr>
                <w:sz w:val="18"/>
              </w:rPr>
            </w:r>
          </w:p>
        </w:tc>
        <w:tc>
          <w:tcPr>
            <w:tcW w:type="dxa" w:w="2409"/>
          </w:tcPr>
          <w:p>
            <w:r/>
            <w:r>
              <w:rPr>
                <w:sz w:val="18"/>
              </w:rPr>
            </w:r>
          </w:p>
        </w:tc>
      </w:tr>
    </w:tbl>
    <w:p/>
    <w:p>
      <w:r>
        <w:br w:type="page"/>
      </w:r>
    </w:p>
    <w:p>
      <w:r>
        <w:rPr>
          <w:b/>
          <w:color w:val="0B3020"/>
          <w:sz w:val="30"/>
        </w:rPr>
        <w:t>Contents</w:t>
      </w:r>
    </w:p>
    <w:p>
      <w:r>
        <w:fldChar w:fldCharType="begin"/>
      </w:r>
      <w:r>
        <w:instrText xml:space="preserve"> TOC \o "1-2" \h \z \u </w:instrText>
      </w:r>
      <w:r>
        <w:fldChar w:fldCharType="separate"/>
      </w:r>
      <w:r>
        <w:rPr>
          <w:i/>
        </w:rPr>
        <w:t>Word builds the contents list with page numbers when the document is opened.</w:t>
      </w:r>
      <w:r>
        <w:fldChar w:fldCharType="end"/>
      </w:r>
    </w:p>
    <w:p>
      <w:r>
        <w:br w:type="page"/>
      </w:r>
    </w:p>
    <w:p>
      <w:pPr>
        <w:pStyle w:val="Heading1"/>
      </w:pPr>
      <w:r>
        <w:t>1. Scope and governance</w:t>
      </w:r>
    </w:p>
    <w:p>
      <w:pPr>
        <w:jc w:val="both"/>
      </w:pPr>
      <w:r>
        <w:t>This policy applies to every PAYGo contract originated, serviced or collected by [Company] in [countries], whatever the sales channel. It sets the rules for eligibility, affordability, approval, pricing, servicing, collections, default, repossession and write off, and the monitoring that tells management whether the rules work.</w:t>
      </w:r>
    </w:p>
    <w:p>
      <w:pPr>
        <w:jc w:val="both"/>
      </w:pPr>
      <w:r>
        <w:t>The Credit Committee, chaired by [title], approves this policy and every change to it. Its members are [titles]. Sales management may attend but does not vote on credit matters. The Committee meets at least [monthly] and reviews the KPIs in Section 9 at each meeting.</w:t>
      </w:r>
    </w:p>
    <w:p>
      <w:pPr>
        <w:jc w:val="both"/>
      </w:pPr>
      <w:r>
        <w:t>Any exception to this policy is approved by [title] and recorded in the exceptions log with the reason, the account and the approver. The log is reported to the Credit Committee every month. Exceptions above [x]% of monthly originations trigger a review of the policy.</w:t>
      </w:r>
    </w:p>
    <w:p>
      <w:pPr>
        <w:jc w:val="both"/>
      </w:pPr>
      <w:r>
        <w:t>The policy is reviewed at least once a year, and earlier when cohort repayment at month 6 or month 12 deviates from plan by more than [5] percentage points for two consecutive cohorts.</w:t>
      </w:r>
    </w:p>
    <w:p>
      <w:pPr>
        <w:pStyle w:val="Heading1"/>
      </w:pPr>
      <w:r>
        <w:t>2. Eligibility</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268"/>
            <w:shd w:val="clear" w:color="auto" w:fill="0B3020"/>
          </w:tcPr>
          <w:p>
            <w:r/>
            <w:r>
              <w:rPr>
                <w:b/>
                <w:color w:val="FFFFFF"/>
                <w:sz w:val="18"/>
              </w:rPr>
              <w:t>Criterion</w:t>
            </w:r>
          </w:p>
        </w:tc>
        <w:tc>
          <w:tcPr>
            <w:tcW w:type="dxa" w:w="3969"/>
            <w:shd w:val="clear" w:color="auto" w:fill="0B3020"/>
          </w:tcPr>
          <w:p>
            <w:r/>
            <w:r>
              <w:rPr>
                <w:b/>
                <w:color w:val="FFFFFF"/>
                <w:sz w:val="18"/>
              </w:rPr>
              <w:t>Rule</w:t>
            </w:r>
          </w:p>
        </w:tc>
        <w:tc>
          <w:tcPr>
            <w:tcW w:type="dxa" w:w="3118"/>
            <w:shd w:val="clear" w:color="auto" w:fill="0B3020"/>
          </w:tcPr>
          <w:p>
            <w:r/>
            <w:r>
              <w:rPr>
                <w:b/>
                <w:color w:val="FFFFFF"/>
                <w:sz w:val="18"/>
              </w:rPr>
              <w:t>Evidence</w:t>
            </w:r>
          </w:p>
        </w:tc>
      </w:tr>
      <w:tr>
        <w:tc>
          <w:tcPr>
            <w:tcW w:type="dxa" w:w="2268"/>
          </w:tcPr>
          <w:p>
            <w:r/>
            <w:r>
              <w:rPr>
                <w:b/>
                <w:sz w:val="18"/>
              </w:rPr>
              <w:t>Identification</w:t>
            </w:r>
          </w:p>
        </w:tc>
        <w:tc>
          <w:tcPr>
            <w:tcW w:type="dxa" w:w="3969"/>
          </w:tcPr>
          <w:p>
            <w:r/>
            <w:r>
              <w:rPr>
                <w:color w:val="0000FF"/>
                <w:sz w:val="18"/>
              </w:rPr>
              <w:t>[National ID or accepted alternative]</w:t>
            </w:r>
          </w:p>
        </w:tc>
        <w:tc>
          <w:tcPr>
            <w:tcW w:type="dxa" w:w="3118"/>
          </w:tcPr>
          <w:p>
            <w:r/>
            <w:r>
              <w:rPr>
                <w:color w:val="0000FF"/>
                <w:sz w:val="18"/>
              </w:rPr>
              <w:t>[Copy or reference number verified]</w:t>
            </w:r>
          </w:p>
        </w:tc>
      </w:tr>
      <w:tr>
        <w:tc>
          <w:tcPr>
            <w:tcW w:type="dxa" w:w="2268"/>
          </w:tcPr>
          <w:p>
            <w:r/>
            <w:r>
              <w:rPr>
                <w:b/>
                <w:sz w:val="18"/>
              </w:rPr>
              <w:t>Age</w:t>
            </w:r>
          </w:p>
        </w:tc>
        <w:tc>
          <w:tcPr>
            <w:tcW w:type="dxa" w:w="3969"/>
          </w:tcPr>
          <w:p>
            <w:r/>
            <w:r>
              <w:rPr>
                <w:color w:val="0000FF"/>
                <w:sz w:val="18"/>
              </w:rPr>
              <w:t>[18 years or older]</w:t>
            </w:r>
          </w:p>
        </w:tc>
        <w:tc>
          <w:tcPr>
            <w:tcW w:type="dxa" w:w="3118"/>
          </w:tcPr>
          <w:p>
            <w:r/>
            <w:r>
              <w:rPr>
                <w:color w:val="0000FF"/>
                <w:sz w:val="18"/>
              </w:rPr>
              <w:t>[ID]</w:t>
            </w:r>
          </w:p>
        </w:tc>
      </w:tr>
      <w:tr>
        <w:tc>
          <w:tcPr>
            <w:tcW w:type="dxa" w:w="2268"/>
          </w:tcPr>
          <w:p>
            <w:r/>
            <w:r>
              <w:rPr>
                <w:b/>
                <w:sz w:val="18"/>
              </w:rPr>
              <w:t>Location</w:t>
            </w:r>
          </w:p>
        </w:tc>
        <w:tc>
          <w:tcPr>
            <w:tcW w:type="dxa" w:w="3969"/>
          </w:tcPr>
          <w:p>
            <w:r/>
            <w:r>
              <w:rPr>
                <w:color w:val="0000FF"/>
                <w:sz w:val="18"/>
              </w:rPr>
              <w:t>[Within an active service area]</w:t>
            </w:r>
          </w:p>
        </w:tc>
        <w:tc>
          <w:tcPr>
            <w:tcW w:type="dxa" w:w="3118"/>
          </w:tcPr>
          <w:p>
            <w:r/>
            <w:r>
              <w:rPr>
                <w:color w:val="0000FF"/>
                <w:sz w:val="18"/>
              </w:rPr>
              <w:t>[GPS tag at installation]</w:t>
            </w:r>
          </w:p>
        </w:tc>
      </w:tr>
      <w:tr>
        <w:tc>
          <w:tcPr>
            <w:tcW w:type="dxa" w:w="2268"/>
          </w:tcPr>
          <w:p>
            <w:r/>
            <w:r>
              <w:rPr>
                <w:b/>
                <w:sz w:val="18"/>
              </w:rPr>
              <w:t>Payment channel</w:t>
            </w:r>
          </w:p>
        </w:tc>
        <w:tc>
          <w:tcPr>
            <w:tcW w:type="dxa" w:w="3969"/>
          </w:tcPr>
          <w:p>
            <w:r/>
            <w:r>
              <w:rPr>
                <w:color w:val="0000FF"/>
                <w:sz w:val="18"/>
              </w:rPr>
              <w:t>[Active mobile money account in the customer's name]</w:t>
            </w:r>
          </w:p>
        </w:tc>
        <w:tc>
          <w:tcPr>
            <w:tcW w:type="dxa" w:w="3118"/>
          </w:tcPr>
          <w:p>
            <w:r/>
            <w:r>
              <w:rPr>
                <w:color w:val="0000FF"/>
                <w:sz w:val="18"/>
              </w:rPr>
              <w:t>[Wallet number verified]</w:t>
            </w:r>
          </w:p>
        </w:tc>
      </w:tr>
      <w:tr>
        <w:tc>
          <w:tcPr>
            <w:tcW w:type="dxa" w:w="2268"/>
          </w:tcPr>
          <w:p>
            <w:r/>
            <w:r>
              <w:rPr>
                <w:b/>
                <w:sz w:val="18"/>
              </w:rPr>
              <w:t>Existing PAYGo contracts</w:t>
            </w:r>
          </w:p>
        </w:tc>
        <w:tc>
          <w:tcPr>
            <w:tcW w:type="dxa" w:w="3969"/>
          </w:tcPr>
          <w:p>
            <w:r/>
            <w:r>
              <w:rPr>
                <w:color w:val="0000FF"/>
                <w:sz w:val="18"/>
              </w:rPr>
              <w:t>[No account with the company more than 30 DPD]</w:t>
            </w:r>
          </w:p>
        </w:tc>
        <w:tc>
          <w:tcPr>
            <w:tcW w:type="dxa" w:w="3118"/>
          </w:tcPr>
          <w:p>
            <w:r/>
            <w:r>
              <w:rPr>
                <w:color w:val="0000FF"/>
                <w:sz w:val="18"/>
              </w:rPr>
              <w:t>[Platform check]</w:t>
            </w:r>
          </w:p>
        </w:tc>
      </w:tr>
      <w:tr>
        <w:tc>
          <w:tcPr>
            <w:tcW w:type="dxa" w:w="2268"/>
          </w:tcPr>
          <w:p>
            <w:r/>
            <w:r>
              <w:rPr>
                <w:b/>
                <w:sz w:val="18"/>
              </w:rPr>
              <w:t>Prohibited segments</w:t>
            </w:r>
          </w:p>
        </w:tc>
        <w:tc>
          <w:tcPr>
            <w:tcW w:type="dxa" w:w="3969"/>
          </w:tcPr>
          <w:p>
            <w:r/>
            <w:r>
              <w:rPr>
                <w:color w:val="0000FF"/>
                <w:sz w:val="18"/>
              </w:rPr>
              <w:t>[List]</w:t>
            </w:r>
          </w:p>
        </w:tc>
        <w:tc>
          <w:tcPr>
            <w:tcW w:type="dxa" w:w="3118"/>
          </w:tcPr>
          <w:p>
            <w:r/>
            <w:r>
              <w:rPr>
                <w:sz w:val="18"/>
              </w:rPr>
            </w:r>
          </w:p>
        </w:tc>
      </w:tr>
    </w:tbl>
    <w:p/>
    <w:p>
      <w:pPr>
        <w:pStyle w:val="Heading1"/>
      </w:pPr>
      <w:r>
        <w:t>3. Affordability assessment</w:t>
      </w:r>
    </w:p>
    <w:p>
      <w:pPr>
        <w:jc w:val="both"/>
      </w:pPr>
      <w:r>
        <w:t>The monthly instalment must not exceed the maximum payment burden for the tier, measured on the household's income in a lean month where seasonality applies. The maximum is a policy choice approved by the Credit Committee and is reviewed against repayment outcomes.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B3020"/>
          </w:tcPr>
          <w:p>
            <w:r/>
            <w:r>
              <w:rPr>
                <w:b/>
                <w:color w:val="FFFFFF"/>
                <w:sz w:val="17"/>
              </w:rPr>
              <w:t>Tier</w:t>
            </w:r>
          </w:p>
        </w:tc>
        <w:tc>
          <w:tcPr>
            <w:tcW w:type="dxa" w:w="1928"/>
            <w:shd w:val="clear" w:color="auto" w:fill="0B3020"/>
          </w:tcPr>
          <w:p>
            <w:r/>
            <w:r>
              <w:rPr>
                <w:b/>
                <w:color w:val="FFFFFF"/>
                <w:sz w:val="17"/>
              </w:rPr>
              <w:t>Target segment</w:t>
            </w:r>
          </w:p>
        </w:tc>
        <w:tc>
          <w:tcPr>
            <w:tcW w:type="dxa" w:w="1928"/>
            <w:shd w:val="clear" w:color="auto" w:fill="0B3020"/>
          </w:tcPr>
          <w:p>
            <w:r/>
            <w:r>
              <w:rPr>
                <w:b/>
                <w:color w:val="FFFFFF"/>
                <w:sz w:val="17"/>
              </w:rPr>
              <w:t>Maximum payment burden</w:t>
            </w:r>
          </w:p>
        </w:tc>
        <w:tc>
          <w:tcPr>
            <w:tcW w:type="dxa" w:w="1928"/>
            <w:shd w:val="clear" w:color="auto" w:fill="0B3020"/>
          </w:tcPr>
          <w:p>
            <w:r/>
            <w:r>
              <w:rPr>
                <w:b/>
                <w:color w:val="FFFFFF"/>
                <w:sz w:val="17"/>
              </w:rPr>
              <w:t>Minimum deposit</w:t>
            </w:r>
          </w:p>
        </w:tc>
        <w:tc>
          <w:tcPr>
            <w:tcW w:type="dxa" w:w="1928"/>
            <w:shd w:val="clear" w:color="auto" w:fill="0B3020"/>
          </w:tcPr>
          <w:p>
            <w:r/>
            <w:r>
              <w:rPr>
                <w:b/>
                <w:color w:val="FFFFFF"/>
                <w:sz w:val="17"/>
              </w:rPr>
              <w:t>Maximum tenor</w:t>
            </w:r>
          </w:p>
        </w:tc>
      </w:tr>
      <w:tr>
        <w:tc>
          <w:tcPr>
            <w:tcW w:type="dxa" w:w="1928"/>
          </w:tcPr>
          <w:p>
            <w:r/>
            <w:r>
              <w:rPr>
                <w:sz w:val="17"/>
              </w:rPr>
              <w:t>1</w:t>
            </w:r>
          </w:p>
        </w:tc>
        <w:tc>
          <w:tcPr>
            <w:tcW w:type="dxa" w:w="1928"/>
          </w:tcPr>
          <w:p>
            <w:r/>
            <w:r>
              <w:rPr>
                <w:color w:val="0000FF"/>
                <w:sz w:val="17"/>
              </w:rPr>
              <w:t>[Rural, first time customers]</w:t>
            </w:r>
          </w:p>
        </w:tc>
        <w:tc>
          <w:tcPr>
            <w:tcW w:type="dxa" w:w="1928"/>
          </w:tcPr>
          <w:p>
            <w:r/>
            <w:r>
              <w:rPr>
                <w:color w:val="0000FF"/>
                <w:sz w:val="17"/>
              </w:rPr>
              <w:t>[10%]</w:t>
            </w:r>
          </w:p>
        </w:tc>
        <w:tc>
          <w:tcPr>
            <w:tcW w:type="dxa" w:w="1928"/>
          </w:tcPr>
          <w:p>
            <w:r/>
            <w:r>
              <w:rPr>
                <w:color w:val="0000FF"/>
                <w:sz w:val="17"/>
              </w:rPr>
              <w:t>[x% of cash price]</w:t>
            </w:r>
          </w:p>
        </w:tc>
        <w:tc>
          <w:tcPr>
            <w:tcW w:type="dxa" w:w="1928"/>
          </w:tcPr>
          <w:p>
            <w:r/>
            <w:r>
              <w:rPr>
                <w:color w:val="0000FF"/>
                <w:sz w:val="17"/>
              </w:rPr>
              <w:t>[12 months]</w:t>
            </w:r>
          </w:p>
        </w:tc>
      </w:tr>
      <w:tr>
        <w:tc>
          <w:tcPr>
            <w:tcW w:type="dxa" w:w="1928"/>
          </w:tcPr>
          <w:p>
            <w:r/>
            <w:r>
              <w:rPr>
                <w:sz w:val="17"/>
              </w:rPr>
              <w:t>2</w:t>
            </w:r>
          </w:p>
        </w:tc>
        <w:tc>
          <w:tcPr>
            <w:tcW w:type="dxa" w:w="1928"/>
          </w:tcPr>
          <w:p>
            <w:r/>
            <w:r>
              <w:rPr>
                <w:sz w:val="17"/>
              </w:rPr>
            </w:r>
          </w:p>
        </w:tc>
        <w:tc>
          <w:tcPr>
            <w:tcW w:type="dxa" w:w="1928"/>
          </w:tcPr>
          <w:p>
            <w:r/>
            <w:r>
              <w:rPr>
                <w:color w:val="0000FF"/>
                <w:sz w:val="17"/>
              </w:rPr>
              <w:t>[10%]</w:t>
            </w:r>
          </w:p>
        </w:tc>
        <w:tc>
          <w:tcPr>
            <w:tcW w:type="dxa" w:w="1928"/>
          </w:tcPr>
          <w:p>
            <w:r/>
            <w:r>
              <w:rPr>
                <w:sz w:val="17"/>
              </w:rPr>
            </w:r>
          </w:p>
        </w:tc>
        <w:tc>
          <w:tcPr>
            <w:tcW w:type="dxa" w:w="1928"/>
          </w:tcPr>
          <w:p>
            <w:r/>
            <w:r>
              <w:rPr>
                <w:color w:val="0000FF"/>
                <w:sz w:val="17"/>
              </w:rPr>
              <w:t>[24 months]</w:t>
            </w:r>
          </w:p>
        </w:tc>
      </w:tr>
      <w:tr>
        <w:tc>
          <w:tcPr>
            <w:tcW w:type="dxa" w:w="1928"/>
          </w:tcPr>
          <w:p>
            <w:r/>
            <w:r>
              <w:rPr>
                <w:sz w:val="17"/>
              </w:rPr>
              <w:t>3</w:t>
            </w:r>
          </w:p>
        </w:tc>
        <w:tc>
          <w:tcPr>
            <w:tcW w:type="dxa" w:w="1928"/>
          </w:tcPr>
          <w:p>
            <w:r/>
            <w:r>
              <w:rPr>
                <w:sz w:val="17"/>
              </w:rPr>
            </w:r>
          </w:p>
        </w:tc>
        <w:tc>
          <w:tcPr>
            <w:tcW w:type="dxa" w:w="1928"/>
          </w:tcPr>
          <w:p>
            <w:r/>
            <w:r>
              <w:rPr>
                <w:color w:val="0000FF"/>
                <w:sz w:val="17"/>
              </w:rPr>
              <w:t>[10%]</w:t>
            </w:r>
          </w:p>
        </w:tc>
        <w:tc>
          <w:tcPr>
            <w:tcW w:type="dxa" w:w="1928"/>
          </w:tcPr>
          <w:p>
            <w:r/>
            <w:r>
              <w:rPr>
                <w:sz w:val="17"/>
              </w:rPr>
            </w:r>
          </w:p>
        </w:tc>
        <w:tc>
          <w:tcPr>
            <w:tcW w:type="dxa" w:w="1928"/>
          </w:tcPr>
          <w:p>
            <w:r/>
            <w:r>
              <w:rPr>
                <w:color w:val="0000FF"/>
                <w:sz w:val="17"/>
              </w:rPr>
              <w:t>[30 months]</w:t>
            </w:r>
          </w:p>
        </w:tc>
      </w:tr>
      <w:tr>
        <w:tc>
          <w:tcPr>
            <w:tcW w:type="dxa" w:w="1928"/>
          </w:tcPr>
          <w:p>
            <w:r/>
            <w:r>
              <w:rPr>
                <w:sz w:val="17"/>
              </w:rPr>
              <w:t>4</w:t>
            </w:r>
          </w:p>
        </w:tc>
        <w:tc>
          <w:tcPr>
            <w:tcW w:type="dxa" w:w="1928"/>
          </w:tcPr>
          <w:p>
            <w:r/>
            <w:r>
              <w:rPr>
                <w:sz w:val="17"/>
              </w:rPr>
            </w:r>
          </w:p>
        </w:tc>
        <w:tc>
          <w:tcPr>
            <w:tcW w:type="dxa" w:w="1928"/>
          </w:tcPr>
          <w:p>
            <w:r/>
            <w:r>
              <w:rPr>
                <w:color w:val="0000FF"/>
                <w:sz w:val="17"/>
              </w:rPr>
              <w:t>[10%]</w:t>
            </w:r>
          </w:p>
        </w:tc>
        <w:tc>
          <w:tcPr>
            <w:tcW w:type="dxa" w:w="1928"/>
          </w:tcPr>
          <w:p>
            <w:r/>
            <w:r>
              <w:rPr>
                <w:sz w:val="17"/>
              </w:rPr>
            </w:r>
          </w:p>
        </w:tc>
        <w:tc>
          <w:tcPr>
            <w:tcW w:type="dxa" w:w="1928"/>
          </w:tcPr>
          <w:p>
            <w:r/>
            <w:r>
              <w:rPr>
                <w:color w:val="0000FF"/>
                <w:sz w:val="17"/>
              </w:rPr>
              <w:t>[36 months]</w:t>
            </w:r>
          </w:p>
        </w:tc>
      </w:tr>
      <w:tr>
        <w:tc>
          <w:tcPr>
            <w:tcW w:type="dxa" w:w="1928"/>
          </w:tcPr>
          <w:p>
            <w:r/>
            <w:r>
              <w:rPr>
                <w:sz w:val="17"/>
              </w:rPr>
              <w:t>5</w:t>
            </w:r>
          </w:p>
        </w:tc>
        <w:tc>
          <w:tcPr>
            <w:tcW w:type="dxa" w:w="1928"/>
          </w:tcPr>
          <w:p>
            <w:r/>
            <w:r>
              <w:rPr>
                <w:sz w:val="17"/>
              </w:rPr>
            </w:r>
          </w:p>
        </w:tc>
        <w:tc>
          <w:tcPr>
            <w:tcW w:type="dxa" w:w="1928"/>
          </w:tcPr>
          <w:p>
            <w:r/>
            <w:r>
              <w:rPr>
                <w:color w:val="0000FF"/>
                <w:sz w:val="17"/>
              </w:rPr>
              <w:t>[10%]</w:t>
            </w:r>
          </w:p>
        </w:tc>
        <w:tc>
          <w:tcPr>
            <w:tcW w:type="dxa" w:w="1928"/>
          </w:tcPr>
          <w:p>
            <w:r/>
            <w:r>
              <w:rPr>
                <w:sz w:val="17"/>
              </w:rPr>
            </w:r>
          </w:p>
        </w:tc>
        <w:tc>
          <w:tcPr>
            <w:tcW w:type="dxa" w:w="1928"/>
          </w:tcPr>
          <w:p>
            <w:r/>
            <w:r>
              <w:rPr>
                <w:color w:val="0000FF"/>
                <w:sz w:val="17"/>
              </w:rPr>
              <w:t>[48 months]</w:t>
            </w:r>
          </w:p>
        </w:tc>
      </w:tr>
    </w:tbl>
    <w:p/>
    <w:p>
      <w:pPr>
        <w:jc w:val="both"/>
      </w:pPr>
      <w:r>
        <w:t>Income evidence accepted: [mobile money inflows over at least three months; employer letter; agent assessment verified by a call centre interview]. Outstanding PAYGo or digital loan instalments are deducted from income before the burden is computed.</w:t>
      </w:r>
    </w:p>
    <w:p>
      <w:pPr>
        <w:pStyle w:val="Heading1"/>
      </w:pPr>
      <w:r>
        <w:t>4. Scoring and approval</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0B3020"/>
          </w:tcPr>
          <w:p>
            <w:r/>
            <w:r>
              <w:rPr>
                <w:b/>
                <w:color w:val="FFFFFF"/>
                <w:sz w:val="18"/>
              </w:rPr>
              <w:t>Score band</w:t>
            </w:r>
          </w:p>
        </w:tc>
        <w:tc>
          <w:tcPr>
            <w:tcW w:type="dxa" w:w="2409"/>
            <w:shd w:val="clear" w:color="auto" w:fill="0B3020"/>
          </w:tcPr>
          <w:p>
            <w:r/>
            <w:r>
              <w:rPr>
                <w:b/>
                <w:color w:val="FFFFFF"/>
                <w:sz w:val="18"/>
              </w:rPr>
              <w:t>Decision</w:t>
            </w:r>
          </w:p>
        </w:tc>
        <w:tc>
          <w:tcPr>
            <w:tcW w:type="dxa" w:w="2409"/>
            <w:shd w:val="clear" w:color="auto" w:fill="0B3020"/>
          </w:tcPr>
          <w:p>
            <w:r/>
            <w:r>
              <w:rPr>
                <w:b/>
                <w:color w:val="FFFFFF"/>
                <w:sz w:val="18"/>
              </w:rPr>
              <w:t>Highest tier available</w:t>
            </w:r>
          </w:p>
        </w:tc>
        <w:tc>
          <w:tcPr>
            <w:tcW w:type="dxa" w:w="2409"/>
            <w:shd w:val="clear" w:color="auto" w:fill="0B3020"/>
          </w:tcPr>
          <w:p>
            <w:r/>
            <w:r>
              <w:rPr>
                <w:b/>
                <w:color w:val="FFFFFF"/>
                <w:sz w:val="18"/>
              </w:rPr>
              <w:t>Conditions</w:t>
            </w:r>
          </w:p>
        </w:tc>
      </w:tr>
      <w:tr>
        <w:tc>
          <w:tcPr>
            <w:tcW w:type="dxa" w:w="2409"/>
          </w:tcPr>
          <w:p>
            <w:r/>
            <w:r>
              <w:rPr>
                <w:b/>
                <w:color w:val="0000FF"/>
                <w:sz w:val="18"/>
              </w:rPr>
              <w:t>[A]</w:t>
            </w:r>
          </w:p>
        </w:tc>
        <w:tc>
          <w:tcPr>
            <w:tcW w:type="dxa" w:w="2409"/>
          </w:tcPr>
          <w:p>
            <w:r/>
            <w:r>
              <w:rPr>
                <w:color w:val="0000FF"/>
                <w:sz w:val="18"/>
              </w:rPr>
              <w:t>[Approve]</w:t>
            </w:r>
          </w:p>
        </w:tc>
        <w:tc>
          <w:tcPr>
            <w:tcW w:type="dxa" w:w="2409"/>
          </w:tcPr>
          <w:p>
            <w:r/>
            <w:r>
              <w:rPr>
                <w:color w:val="0000FF"/>
                <w:sz w:val="18"/>
              </w:rPr>
              <w:t>[Tier 5]</w:t>
            </w:r>
          </w:p>
        </w:tc>
        <w:tc>
          <w:tcPr>
            <w:tcW w:type="dxa" w:w="2409"/>
          </w:tcPr>
          <w:p>
            <w:r/>
            <w:r>
              <w:rPr>
                <w:sz w:val="18"/>
              </w:rPr>
            </w:r>
          </w:p>
        </w:tc>
      </w:tr>
      <w:tr>
        <w:tc>
          <w:tcPr>
            <w:tcW w:type="dxa" w:w="2409"/>
          </w:tcPr>
          <w:p>
            <w:r/>
            <w:r>
              <w:rPr>
                <w:b/>
                <w:color w:val="0000FF"/>
                <w:sz w:val="18"/>
              </w:rPr>
              <w:t>[B]</w:t>
            </w:r>
          </w:p>
        </w:tc>
        <w:tc>
          <w:tcPr>
            <w:tcW w:type="dxa" w:w="2409"/>
          </w:tcPr>
          <w:p>
            <w:r/>
            <w:r>
              <w:rPr>
                <w:color w:val="0000FF"/>
                <w:sz w:val="18"/>
              </w:rPr>
              <w:t>[Approve]</w:t>
            </w:r>
          </w:p>
        </w:tc>
        <w:tc>
          <w:tcPr>
            <w:tcW w:type="dxa" w:w="2409"/>
          </w:tcPr>
          <w:p>
            <w:r/>
            <w:r>
              <w:rPr>
                <w:color w:val="0000FF"/>
                <w:sz w:val="18"/>
              </w:rPr>
              <w:t>[Tier 3]</w:t>
            </w:r>
          </w:p>
        </w:tc>
        <w:tc>
          <w:tcPr>
            <w:tcW w:type="dxa" w:w="2409"/>
          </w:tcPr>
          <w:p>
            <w:r/>
            <w:r>
              <w:rPr>
                <w:color w:val="0000FF"/>
                <w:sz w:val="18"/>
              </w:rPr>
              <w:t>[Higher deposit for Tier 3]</w:t>
            </w:r>
          </w:p>
        </w:tc>
      </w:tr>
      <w:tr>
        <w:tc>
          <w:tcPr>
            <w:tcW w:type="dxa" w:w="2409"/>
          </w:tcPr>
          <w:p>
            <w:r/>
            <w:r>
              <w:rPr>
                <w:b/>
                <w:color w:val="0000FF"/>
                <w:sz w:val="18"/>
              </w:rPr>
              <w:t>[C]</w:t>
            </w:r>
          </w:p>
        </w:tc>
        <w:tc>
          <w:tcPr>
            <w:tcW w:type="dxa" w:w="2409"/>
          </w:tcPr>
          <w:p>
            <w:r/>
            <w:r>
              <w:rPr>
                <w:color w:val="0000FF"/>
                <w:sz w:val="18"/>
              </w:rPr>
              <w:t>[Refer to credit desk]</w:t>
            </w:r>
          </w:p>
        </w:tc>
        <w:tc>
          <w:tcPr>
            <w:tcW w:type="dxa" w:w="2409"/>
          </w:tcPr>
          <w:p>
            <w:r/>
            <w:r>
              <w:rPr>
                <w:color w:val="0000FF"/>
                <w:sz w:val="18"/>
              </w:rPr>
              <w:t>[Tier 2]</w:t>
            </w:r>
          </w:p>
        </w:tc>
        <w:tc>
          <w:tcPr>
            <w:tcW w:type="dxa" w:w="2409"/>
          </w:tcPr>
          <w:p>
            <w:r/>
            <w:r>
              <w:rPr>
                <w:sz w:val="18"/>
              </w:rPr>
            </w:r>
          </w:p>
        </w:tc>
      </w:tr>
      <w:tr>
        <w:tc>
          <w:tcPr>
            <w:tcW w:type="dxa" w:w="2409"/>
          </w:tcPr>
          <w:p>
            <w:r/>
            <w:r>
              <w:rPr>
                <w:b/>
                <w:color w:val="0000FF"/>
                <w:sz w:val="18"/>
              </w:rPr>
              <w:t>[D]</w:t>
            </w:r>
          </w:p>
        </w:tc>
        <w:tc>
          <w:tcPr>
            <w:tcW w:type="dxa" w:w="2409"/>
          </w:tcPr>
          <w:p>
            <w:r/>
            <w:r>
              <w:rPr>
                <w:color w:val="0000FF"/>
                <w:sz w:val="18"/>
              </w:rPr>
              <w:t>[Decline]</w:t>
            </w:r>
          </w:p>
        </w:tc>
        <w:tc>
          <w:tcPr>
            <w:tcW w:type="dxa" w:w="2409"/>
          </w:tcPr>
          <w:p>
            <w:r/>
            <w:r>
              <w:rPr>
                <w:sz w:val="18"/>
              </w:rPr>
            </w:r>
          </w:p>
        </w:tc>
        <w:tc>
          <w:tcPr>
            <w:tcW w:type="dxa" w:w="2409"/>
          </w:tcPr>
          <w:p>
            <w:r/>
            <w:r>
              <w:rPr>
                <w:sz w:val="18"/>
              </w:rPr>
            </w:r>
          </w:p>
        </w:tc>
      </w:tr>
    </w:tbl>
    <w:p/>
    <w:p>
      <w:pPr>
        <w:jc w:val="both"/>
      </w:pPr>
      <w:r>
        <w:t>Manual review is required when [identity or location data do not match; the applicant has a restructured account; the agent has a flagged cohort quality ranking]. Agents cannot override a decline. Referred applications are decided by the credit desk within [two] working days.</w:t>
      </w:r>
    </w:p>
    <w:p>
      <w:pPr>
        <w:pStyle w:val="Heading1"/>
      </w:pPr>
      <w:r>
        <w:t>5. Pricing and disclosure</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val="true"/>
        </w:trPr>
        <w:tc>
          <w:tcPr>
            <w:tcW w:type="dxa" w:w="1205"/>
            <w:shd w:val="clear" w:color="auto" w:fill="0B3020"/>
          </w:tcPr>
          <w:p>
            <w:r/>
            <w:r>
              <w:rPr>
                <w:b/>
                <w:color w:val="FFFFFF"/>
                <w:sz w:val="16"/>
              </w:rPr>
              <w:t>Tier</w:t>
            </w:r>
          </w:p>
        </w:tc>
        <w:tc>
          <w:tcPr>
            <w:tcW w:type="dxa" w:w="1205"/>
            <w:shd w:val="clear" w:color="auto" w:fill="0B3020"/>
          </w:tcPr>
          <w:p>
            <w:r/>
            <w:r>
              <w:rPr>
                <w:b/>
                <w:color w:val="FFFFFF"/>
                <w:sz w:val="16"/>
              </w:rPr>
              <w:t>Cash price</w:t>
            </w:r>
          </w:p>
        </w:tc>
        <w:tc>
          <w:tcPr>
            <w:tcW w:type="dxa" w:w="1205"/>
            <w:shd w:val="clear" w:color="auto" w:fill="0B3020"/>
          </w:tcPr>
          <w:p>
            <w:r/>
            <w:r>
              <w:rPr>
                <w:b/>
                <w:color w:val="FFFFFF"/>
                <w:sz w:val="16"/>
              </w:rPr>
              <w:t>Deposit</w:t>
            </w:r>
          </w:p>
        </w:tc>
        <w:tc>
          <w:tcPr>
            <w:tcW w:type="dxa" w:w="1205"/>
            <w:shd w:val="clear" w:color="auto" w:fill="0B3020"/>
          </w:tcPr>
          <w:p>
            <w:r/>
            <w:r>
              <w:rPr>
                <w:b/>
                <w:color w:val="FFFFFF"/>
                <w:sz w:val="16"/>
              </w:rPr>
              <w:t>Daily rate</w:t>
            </w:r>
          </w:p>
        </w:tc>
        <w:tc>
          <w:tcPr>
            <w:tcW w:type="dxa" w:w="1205"/>
            <w:shd w:val="clear" w:color="auto" w:fill="0B3020"/>
          </w:tcPr>
          <w:p>
            <w:r/>
            <w:r>
              <w:rPr>
                <w:b/>
                <w:color w:val="FFFFFF"/>
                <w:sz w:val="16"/>
              </w:rPr>
              <w:t>Tenor</w:t>
            </w:r>
          </w:p>
        </w:tc>
        <w:tc>
          <w:tcPr>
            <w:tcW w:type="dxa" w:w="1205"/>
            <w:shd w:val="clear" w:color="auto" w:fill="0B3020"/>
          </w:tcPr>
          <w:p>
            <w:r/>
            <w:r>
              <w:rPr>
                <w:b/>
                <w:color w:val="FFFFFF"/>
                <w:sz w:val="16"/>
              </w:rPr>
              <w:t>Total contract value</w:t>
            </w:r>
          </w:p>
        </w:tc>
        <w:tc>
          <w:tcPr>
            <w:tcW w:type="dxa" w:w="1205"/>
            <w:shd w:val="clear" w:color="auto" w:fill="0B3020"/>
          </w:tcPr>
          <w:p>
            <w:r/>
            <w:r>
              <w:rPr>
                <w:b/>
                <w:color w:val="FFFFFF"/>
                <w:sz w:val="16"/>
              </w:rPr>
              <w:t>Nominal APR</w:t>
            </w:r>
          </w:p>
        </w:tc>
        <w:tc>
          <w:tcPr>
            <w:tcW w:type="dxa" w:w="1205"/>
            <w:shd w:val="clear" w:color="auto" w:fill="0B3020"/>
          </w:tcPr>
          <w:p>
            <w:r/>
            <w:r>
              <w:rPr>
                <w:b/>
                <w:color w:val="FFFFFF"/>
                <w:sz w:val="16"/>
              </w:rPr>
              <w:t>Effective annual rate</w:t>
            </w:r>
          </w:p>
        </w:tc>
      </w:tr>
      <w:tr>
        <w:tc>
          <w:tcPr>
            <w:tcW w:type="dxa" w:w="1205"/>
          </w:tcPr>
          <w:p>
            <w:r/>
            <w:r>
              <w:rPr>
                <w:sz w:val="16"/>
              </w:rPr>
              <w:t>1</w:t>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r>
      <w:tr>
        <w:tc>
          <w:tcPr>
            <w:tcW w:type="dxa" w:w="1205"/>
          </w:tcPr>
          <w:p>
            <w:r/>
            <w:r>
              <w:rPr>
                <w:sz w:val="16"/>
              </w:rPr>
              <w:t>2</w:t>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r>
      <w:tr>
        <w:tc>
          <w:tcPr>
            <w:tcW w:type="dxa" w:w="1205"/>
          </w:tcPr>
          <w:p>
            <w:r/>
            <w:r>
              <w:rPr>
                <w:sz w:val="16"/>
              </w:rPr>
              <w:t>3</w:t>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r>
      <w:tr>
        <w:tc>
          <w:tcPr>
            <w:tcW w:type="dxa" w:w="1205"/>
          </w:tcPr>
          <w:p>
            <w:r/>
            <w:r>
              <w:rPr>
                <w:sz w:val="16"/>
              </w:rPr>
              <w:t>4</w:t>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r>
      <w:tr>
        <w:tc>
          <w:tcPr>
            <w:tcW w:type="dxa" w:w="1205"/>
          </w:tcPr>
          <w:p>
            <w:r/>
            <w:r>
              <w:rPr>
                <w:sz w:val="16"/>
              </w:rPr>
              <w:t>5</w:t>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c>
          <w:tcPr>
            <w:tcW w:type="dxa" w:w="1205"/>
          </w:tcPr>
          <w:p>
            <w:r/>
            <w:r>
              <w:rPr>
                <w:sz w:val="16"/>
              </w:rPr>
            </w:r>
          </w:p>
        </w:tc>
      </w:tr>
    </w:tbl>
    <w:p/>
    <w:p>
      <w:pPr>
        <w:jc w:val="both"/>
      </w:pPr>
      <w:r>
        <w:t>Before activation the customer receives, in [language], the cash price, the deposit, the daily rate, the number of days, the total amount payable, the implied annual rate on the basis required by [applicable rule], the lockout rules and the complaints channel. Early repayment of the full balance is allowed at any time [without penalty].</w:t>
      </w:r>
    </w:p>
    <w:p>
      <w:pPr>
        <w:pStyle w:val="Heading1"/>
      </w:pPr>
      <w:r>
        <w:t>6. Servicing and lockout</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0B3020"/>
          </w:tcPr>
          <w:p>
            <w:r/>
            <w:r>
              <w:rPr>
                <w:b/>
                <w:color w:val="FFFFFF"/>
                <w:sz w:val="18"/>
              </w:rPr>
              <w:t>Event</w:t>
            </w:r>
          </w:p>
        </w:tc>
        <w:tc>
          <w:tcPr>
            <w:tcW w:type="dxa" w:w="2409"/>
            <w:shd w:val="clear" w:color="auto" w:fill="0B3020"/>
          </w:tcPr>
          <w:p>
            <w:r/>
            <w:r>
              <w:rPr>
                <w:b/>
                <w:color w:val="FFFFFF"/>
                <w:sz w:val="18"/>
              </w:rPr>
              <w:t>Action</w:t>
            </w:r>
          </w:p>
        </w:tc>
        <w:tc>
          <w:tcPr>
            <w:tcW w:type="dxa" w:w="2409"/>
            <w:shd w:val="clear" w:color="auto" w:fill="0B3020"/>
          </w:tcPr>
          <w:p>
            <w:r/>
            <w:r>
              <w:rPr>
                <w:b/>
                <w:color w:val="FFFFFF"/>
                <w:sz w:val="18"/>
              </w:rPr>
              <w:t>Channel</w:t>
            </w:r>
          </w:p>
        </w:tc>
        <w:tc>
          <w:tcPr>
            <w:tcW w:type="dxa" w:w="2409"/>
            <w:shd w:val="clear" w:color="auto" w:fill="0B3020"/>
          </w:tcPr>
          <w:p>
            <w:r/>
            <w:r>
              <w:rPr>
                <w:b/>
                <w:color w:val="FFFFFF"/>
                <w:sz w:val="18"/>
              </w:rPr>
              <w:t>Timing</w:t>
            </w:r>
          </w:p>
        </w:tc>
      </w:tr>
      <w:tr>
        <w:tc>
          <w:tcPr>
            <w:tcW w:type="dxa" w:w="2409"/>
          </w:tcPr>
          <w:p>
            <w:r/>
            <w:r>
              <w:rPr>
                <w:b/>
                <w:sz w:val="18"/>
              </w:rPr>
              <w:t>Credit about to expire</w:t>
            </w:r>
          </w:p>
        </w:tc>
        <w:tc>
          <w:tcPr>
            <w:tcW w:type="dxa" w:w="2409"/>
          </w:tcPr>
          <w:p>
            <w:r/>
            <w:r>
              <w:rPr>
                <w:color w:val="0000FF"/>
                <w:sz w:val="18"/>
              </w:rPr>
              <w:t>[Reminder]</w:t>
            </w:r>
          </w:p>
        </w:tc>
        <w:tc>
          <w:tcPr>
            <w:tcW w:type="dxa" w:w="2409"/>
          </w:tcPr>
          <w:p>
            <w:r/>
            <w:r>
              <w:rPr>
                <w:color w:val="0000FF"/>
                <w:sz w:val="18"/>
              </w:rPr>
              <w:t>[SMS]</w:t>
            </w:r>
          </w:p>
        </w:tc>
        <w:tc>
          <w:tcPr>
            <w:tcW w:type="dxa" w:w="2409"/>
          </w:tcPr>
          <w:p>
            <w:r/>
            <w:r>
              <w:rPr>
                <w:color w:val="0000FF"/>
                <w:sz w:val="18"/>
              </w:rPr>
              <w:t>[2 days before]</w:t>
            </w:r>
          </w:p>
        </w:tc>
      </w:tr>
      <w:tr>
        <w:tc>
          <w:tcPr>
            <w:tcW w:type="dxa" w:w="2409"/>
          </w:tcPr>
          <w:p>
            <w:r/>
            <w:r>
              <w:rPr>
                <w:b/>
                <w:sz w:val="18"/>
              </w:rPr>
              <w:t>Credit expired</w:t>
            </w:r>
          </w:p>
        </w:tc>
        <w:tc>
          <w:tcPr>
            <w:tcW w:type="dxa" w:w="2409"/>
          </w:tcPr>
          <w:p>
            <w:r/>
            <w:r>
              <w:rPr>
                <w:color w:val="0000FF"/>
                <w:sz w:val="18"/>
              </w:rPr>
              <w:t>[Device locks]</w:t>
            </w:r>
          </w:p>
        </w:tc>
        <w:tc>
          <w:tcPr>
            <w:tcW w:type="dxa" w:w="2409"/>
          </w:tcPr>
          <w:p>
            <w:r/>
            <w:r>
              <w:rPr>
                <w:color w:val="0000FF"/>
                <w:sz w:val="18"/>
              </w:rPr>
              <w:t>[Automatic]</w:t>
            </w:r>
          </w:p>
        </w:tc>
        <w:tc>
          <w:tcPr>
            <w:tcW w:type="dxa" w:w="2409"/>
          </w:tcPr>
          <w:p>
            <w:r/>
            <w:r>
              <w:rPr>
                <w:color w:val="0000FF"/>
                <w:sz w:val="18"/>
              </w:rPr>
              <w:t>[Day 0, after a grace of x days]</w:t>
            </w:r>
          </w:p>
        </w:tc>
      </w:tr>
      <w:tr>
        <w:tc>
          <w:tcPr>
            <w:tcW w:type="dxa" w:w="2409"/>
          </w:tcPr>
          <w:p>
            <w:r/>
            <w:r>
              <w:rPr>
                <w:b/>
                <w:sz w:val="18"/>
              </w:rPr>
              <w:t>Payment received</w:t>
            </w:r>
          </w:p>
        </w:tc>
        <w:tc>
          <w:tcPr>
            <w:tcW w:type="dxa" w:w="2409"/>
          </w:tcPr>
          <w:p>
            <w:r/>
            <w:r>
              <w:rPr>
                <w:color w:val="0000FF"/>
                <w:sz w:val="18"/>
              </w:rPr>
              <w:t>[Device unlocks for the days paid]</w:t>
            </w:r>
          </w:p>
        </w:tc>
        <w:tc>
          <w:tcPr>
            <w:tcW w:type="dxa" w:w="2409"/>
          </w:tcPr>
          <w:p>
            <w:r/>
            <w:r>
              <w:rPr>
                <w:color w:val="0000FF"/>
                <w:sz w:val="18"/>
              </w:rPr>
              <w:t>[Automatic]</w:t>
            </w:r>
          </w:p>
        </w:tc>
        <w:tc>
          <w:tcPr>
            <w:tcW w:type="dxa" w:w="2409"/>
          </w:tcPr>
          <w:p>
            <w:r/>
            <w:r>
              <w:rPr>
                <w:color w:val="0000FF"/>
                <w:sz w:val="18"/>
              </w:rPr>
              <w:t>[Within minutes]</w:t>
            </w:r>
          </w:p>
        </w:tc>
      </w:tr>
      <w:tr>
        <w:tc>
          <w:tcPr>
            <w:tcW w:type="dxa" w:w="2409"/>
          </w:tcPr>
          <w:p>
            <w:r/>
            <w:r>
              <w:rPr>
                <w:b/>
                <w:sz w:val="18"/>
              </w:rPr>
              <w:t>Final payment</w:t>
            </w:r>
          </w:p>
        </w:tc>
        <w:tc>
          <w:tcPr>
            <w:tcW w:type="dxa" w:w="2409"/>
          </w:tcPr>
          <w:p>
            <w:r/>
            <w:r>
              <w:rPr>
                <w:color w:val="0000FF"/>
                <w:sz w:val="18"/>
              </w:rPr>
              <w:t>[Permanent unlock and ownership notice]</w:t>
            </w:r>
          </w:p>
        </w:tc>
        <w:tc>
          <w:tcPr>
            <w:tcW w:type="dxa" w:w="2409"/>
          </w:tcPr>
          <w:p>
            <w:r/>
            <w:r>
              <w:rPr>
                <w:color w:val="0000FF"/>
                <w:sz w:val="18"/>
              </w:rPr>
              <w:t>[Automatic and SMS]</w:t>
            </w:r>
          </w:p>
        </w:tc>
        <w:tc>
          <w:tcPr>
            <w:tcW w:type="dxa" w:w="2409"/>
          </w:tcPr>
          <w:p>
            <w:r/>
            <w:r>
              <w:rPr>
                <w:color w:val="0000FF"/>
                <w:sz w:val="18"/>
              </w:rPr>
              <w:t>[On receipt]</w:t>
            </w:r>
          </w:p>
        </w:tc>
      </w:tr>
    </w:tbl>
    <w:p/>
    <w:p>
      <w:pPr>
        <w:jc w:val="both"/>
      </w:pPr>
      <w:r>
        <w:t>Days past due are measured as the shortfall against the payment schedule, expressed in days of the daily rate. Days without credit are recorded separately. The same definition is used for collections, provisioning and lender reporting.</w:t>
      </w:r>
    </w:p>
    <w:p>
      <w:pPr>
        <w:pStyle w:val="Heading1"/>
      </w:pPr>
      <w:r>
        <w:t>7. Collections</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1928"/>
            <w:shd w:val="clear" w:color="auto" w:fill="0B3020"/>
          </w:tcPr>
          <w:p>
            <w:r/>
            <w:r>
              <w:rPr>
                <w:b/>
                <w:color w:val="FFFFFF"/>
                <w:sz w:val="17"/>
              </w:rPr>
              <w:t>DPD bucket</w:t>
            </w:r>
          </w:p>
        </w:tc>
        <w:tc>
          <w:tcPr>
            <w:tcW w:type="dxa" w:w="1928"/>
            <w:shd w:val="clear" w:color="auto" w:fill="0B3020"/>
          </w:tcPr>
          <w:p>
            <w:r/>
            <w:r>
              <w:rPr>
                <w:b/>
                <w:color w:val="FFFFFF"/>
                <w:sz w:val="17"/>
              </w:rPr>
              <w:t>Action</w:t>
            </w:r>
          </w:p>
        </w:tc>
        <w:tc>
          <w:tcPr>
            <w:tcW w:type="dxa" w:w="1928"/>
            <w:shd w:val="clear" w:color="auto" w:fill="0B3020"/>
          </w:tcPr>
          <w:p>
            <w:r/>
            <w:r>
              <w:rPr>
                <w:b/>
                <w:color w:val="FFFFFF"/>
                <w:sz w:val="17"/>
              </w:rPr>
              <w:t>Channel</w:t>
            </w:r>
          </w:p>
        </w:tc>
        <w:tc>
          <w:tcPr>
            <w:tcW w:type="dxa" w:w="1928"/>
            <w:shd w:val="clear" w:color="auto" w:fill="0B3020"/>
          </w:tcPr>
          <w:p>
            <w:r/>
            <w:r>
              <w:rPr>
                <w:b/>
                <w:color w:val="FFFFFF"/>
                <w:sz w:val="17"/>
              </w:rPr>
              <w:t>Responsible</w:t>
            </w:r>
          </w:p>
        </w:tc>
        <w:tc>
          <w:tcPr>
            <w:tcW w:type="dxa" w:w="1928"/>
            <w:shd w:val="clear" w:color="auto" w:fill="0B3020"/>
          </w:tcPr>
          <w:p>
            <w:r/>
            <w:r>
              <w:rPr>
                <w:b/>
                <w:color w:val="FFFFFF"/>
                <w:sz w:val="17"/>
              </w:rPr>
              <w:t>Escalation</w:t>
            </w:r>
          </w:p>
        </w:tc>
      </w:tr>
      <w:tr>
        <w:tc>
          <w:tcPr>
            <w:tcW w:type="dxa" w:w="1928"/>
          </w:tcPr>
          <w:p>
            <w:r/>
            <w:r>
              <w:rPr>
                <w:sz w:val="17"/>
              </w:rPr>
              <w:t>1 to 7</w:t>
            </w:r>
          </w:p>
        </w:tc>
        <w:tc>
          <w:tcPr>
            <w:tcW w:type="dxa" w:w="1928"/>
          </w:tcPr>
          <w:p>
            <w:r/>
            <w:r>
              <w:rPr>
                <w:color w:val="0000FF"/>
                <w:sz w:val="17"/>
              </w:rPr>
              <w:t>[Reminder]</w:t>
            </w:r>
          </w:p>
        </w:tc>
        <w:tc>
          <w:tcPr>
            <w:tcW w:type="dxa" w:w="1928"/>
          </w:tcPr>
          <w:p>
            <w:r/>
            <w:r>
              <w:rPr>
                <w:color w:val="0000FF"/>
                <w:sz w:val="17"/>
              </w:rPr>
              <w:t>[SMS, call]</w:t>
            </w:r>
          </w:p>
        </w:tc>
        <w:tc>
          <w:tcPr>
            <w:tcW w:type="dxa" w:w="1928"/>
          </w:tcPr>
          <w:p>
            <w:r/>
            <w:r>
              <w:rPr>
                <w:color w:val="0000FF"/>
                <w:sz w:val="17"/>
              </w:rPr>
              <w:t>[Call centre]</w:t>
            </w:r>
          </w:p>
        </w:tc>
        <w:tc>
          <w:tcPr>
            <w:tcW w:type="dxa" w:w="1928"/>
          </w:tcPr>
          <w:p>
            <w:r/>
            <w:r>
              <w:rPr>
                <w:sz w:val="17"/>
              </w:rPr>
            </w:r>
          </w:p>
        </w:tc>
      </w:tr>
      <w:tr>
        <w:tc>
          <w:tcPr>
            <w:tcW w:type="dxa" w:w="1928"/>
          </w:tcPr>
          <w:p>
            <w:r/>
            <w:r>
              <w:rPr>
                <w:sz w:val="17"/>
              </w:rPr>
              <w:t>8 to 30</w:t>
            </w:r>
          </w:p>
        </w:tc>
        <w:tc>
          <w:tcPr>
            <w:tcW w:type="dxa" w:w="1928"/>
          </w:tcPr>
          <w:p>
            <w:r/>
            <w:r>
              <w:rPr>
                <w:color w:val="0000FF"/>
                <w:sz w:val="17"/>
              </w:rPr>
              <w:t>[Call; payment plan offer]</w:t>
            </w:r>
          </w:p>
        </w:tc>
        <w:tc>
          <w:tcPr>
            <w:tcW w:type="dxa" w:w="1928"/>
          </w:tcPr>
          <w:p>
            <w:r/>
            <w:r>
              <w:rPr>
                <w:color w:val="0000FF"/>
                <w:sz w:val="17"/>
              </w:rPr>
              <w:t>[Call]</w:t>
            </w:r>
          </w:p>
        </w:tc>
        <w:tc>
          <w:tcPr>
            <w:tcW w:type="dxa" w:w="1928"/>
          </w:tcPr>
          <w:p>
            <w:r/>
            <w:r>
              <w:rPr>
                <w:color w:val="0000FF"/>
                <w:sz w:val="17"/>
              </w:rPr>
              <w:t>[Call centre]</w:t>
            </w:r>
          </w:p>
        </w:tc>
        <w:tc>
          <w:tcPr>
            <w:tcW w:type="dxa" w:w="1928"/>
          </w:tcPr>
          <w:p>
            <w:r/>
            <w:r>
              <w:rPr>
                <w:color w:val="0000FF"/>
                <w:sz w:val="17"/>
              </w:rPr>
              <w:t>[Agent visit if no contact]</w:t>
            </w:r>
          </w:p>
        </w:tc>
      </w:tr>
      <w:tr>
        <w:tc>
          <w:tcPr>
            <w:tcW w:type="dxa" w:w="1928"/>
          </w:tcPr>
          <w:p>
            <w:r/>
            <w:r>
              <w:rPr>
                <w:sz w:val="17"/>
              </w:rPr>
              <w:t>31 to 60</w:t>
            </w:r>
          </w:p>
        </w:tc>
        <w:tc>
          <w:tcPr>
            <w:tcW w:type="dxa" w:w="1928"/>
          </w:tcPr>
          <w:p>
            <w:r/>
            <w:r>
              <w:rPr>
                <w:color w:val="0000FF"/>
                <w:sz w:val="17"/>
              </w:rPr>
              <w:t>[Visit]</w:t>
            </w:r>
          </w:p>
        </w:tc>
        <w:tc>
          <w:tcPr>
            <w:tcW w:type="dxa" w:w="1928"/>
          </w:tcPr>
          <w:p>
            <w:r/>
            <w:r>
              <w:rPr>
                <w:color w:val="0000FF"/>
                <w:sz w:val="17"/>
              </w:rPr>
              <w:t>[Field]</w:t>
            </w:r>
          </w:p>
        </w:tc>
        <w:tc>
          <w:tcPr>
            <w:tcW w:type="dxa" w:w="1928"/>
          </w:tcPr>
          <w:p>
            <w:r/>
            <w:r>
              <w:rPr>
                <w:color w:val="0000FF"/>
                <w:sz w:val="17"/>
              </w:rPr>
              <w:t>[Collections agent]</w:t>
            </w:r>
          </w:p>
        </w:tc>
        <w:tc>
          <w:tcPr>
            <w:tcW w:type="dxa" w:w="1928"/>
          </w:tcPr>
          <w:p>
            <w:r/>
            <w:r>
              <w:rPr>
                <w:color w:val="0000FF"/>
                <w:sz w:val="17"/>
              </w:rPr>
              <w:t>[Supervisor]</w:t>
            </w:r>
          </w:p>
        </w:tc>
      </w:tr>
      <w:tr>
        <w:tc>
          <w:tcPr>
            <w:tcW w:type="dxa" w:w="1928"/>
          </w:tcPr>
          <w:p>
            <w:r/>
            <w:r>
              <w:rPr>
                <w:sz w:val="17"/>
              </w:rPr>
              <w:t>61 to 90</w:t>
            </w:r>
          </w:p>
        </w:tc>
        <w:tc>
          <w:tcPr>
            <w:tcW w:type="dxa" w:w="1928"/>
          </w:tcPr>
          <w:p>
            <w:r/>
            <w:r>
              <w:rPr>
                <w:color w:val="0000FF"/>
                <w:sz w:val="17"/>
              </w:rPr>
              <w:t>[Final notice; repossession assessment]</w:t>
            </w:r>
          </w:p>
        </w:tc>
        <w:tc>
          <w:tcPr>
            <w:tcW w:type="dxa" w:w="1928"/>
          </w:tcPr>
          <w:p>
            <w:r/>
            <w:r>
              <w:rPr>
                <w:color w:val="0000FF"/>
                <w:sz w:val="17"/>
              </w:rPr>
              <w:t>[Field]</w:t>
            </w:r>
          </w:p>
        </w:tc>
        <w:tc>
          <w:tcPr>
            <w:tcW w:type="dxa" w:w="1928"/>
          </w:tcPr>
          <w:p>
            <w:r/>
            <w:r>
              <w:rPr>
                <w:color w:val="0000FF"/>
                <w:sz w:val="17"/>
              </w:rPr>
              <w:t>[Supervisor]</w:t>
            </w:r>
          </w:p>
        </w:tc>
        <w:tc>
          <w:tcPr>
            <w:tcW w:type="dxa" w:w="1928"/>
          </w:tcPr>
          <w:p>
            <w:r/>
            <w:r>
              <w:rPr>
                <w:color w:val="0000FF"/>
                <w:sz w:val="17"/>
              </w:rPr>
              <w:t>[Credit desk]</w:t>
            </w:r>
          </w:p>
        </w:tc>
      </w:tr>
      <w:tr>
        <w:tc>
          <w:tcPr>
            <w:tcW w:type="dxa" w:w="1928"/>
          </w:tcPr>
          <w:p>
            <w:r/>
            <w:r>
              <w:rPr>
                <w:sz w:val="17"/>
              </w:rPr>
              <w:t>91 to 180</w:t>
            </w:r>
          </w:p>
        </w:tc>
        <w:tc>
          <w:tcPr>
            <w:tcW w:type="dxa" w:w="1928"/>
          </w:tcPr>
          <w:p>
            <w:r/>
            <w:r>
              <w:rPr>
                <w:color w:val="0000FF"/>
                <w:sz w:val="17"/>
              </w:rPr>
              <w:t>[Repossession where criteria are met]</w:t>
            </w:r>
          </w:p>
        </w:tc>
        <w:tc>
          <w:tcPr>
            <w:tcW w:type="dxa" w:w="1928"/>
          </w:tcPr>
          <w:p>
            <w:r/>
            <w:r>
              <w:rPr>
                <w:color w:val="0000FF"/>
                <w:sz w:val="17"/>
              </w:rPr>
              <w:t>[Field]</w:t>
            </w:r>
          </w:p>
        </w:tc>
        <w:tc>
          <w:tcPr>
            <w:tcW w:type="dxa" w:w="1928"/>
          </w:tcPr>
          <w:p>
            <w:r/>
            <w:r>
              <w:rPr>
                <w:color w:val="0000FF"/>
                <w:sz w:val="17"/>
              </w:rPr>
              <w:t>[Repossession team]</w:t>
            </w:r>
          </w:p>
        </w:tc>
        <w:tc>
          <w:tcPr>
            <w:tcW w:type="dxa" w:w="1928"/>
          </w:tcPr>
          <w:p>
            <w:r/>
            <w:r>
              <w:rPr>
                <w:color w:val="0000FF"/>
                <w:sz w:val="17"/>
              </w:rPr>
              <w:t>[Credit Committee report]</w:t>
            </w:r>
          </w:p>
        </w:tc>
      </w:tr>
      <w:tr>
        <w:tc>
          <w:tcPr>
            <w:tcW w:type="dxa" w:w="1928"/>
          </w:tcPr>
          <w:p>
            <w:r/>
            <w:r>
              <w:rPr>
                <w:sz w:val="17"/>
              </w:rPr>
              <w:t>Over 180</w:t>
            </w:r>
          </w:p>
        </w:tc>
        <w:tc>
          <w:tcPr>
            <w:tcW w:type="dxa" w:w="1928"/>
          </w:tcPr>
          <w:p>
            <w:r/>
            <w:r>
              <w:rPr>
                <w:color w:val="0000FF"/>
                <w:sz w:val="17"/>
              </w:rPr>
              <w:t>[Default; write off review]</w:t>
            </w:r>
          </w:p>
        </w:tc>
        <w:tc>
          <w:tcPr>
            <w:tcW w:type="dxa" w:w="1928"/>
          </w:tcPr>
          <w:p>
            <w:r/>
            <w:r>
              <w:rPr>
                <w:sz w:val="17"/>
              </w:rPr>
            </w:r>
          </w:p>
        </w:tc>
        <w:tc>
          <w:tcPr>
            <w:tcW w:type="dxa" w:w="1928"/>
          </w:tcPr>
          <w:p>
            <w:r/>
            <w:r>
              <w:rPr>
                <w:color w:val="0000FF"/>
                <w:sz w:val="17"/>
              </w:rPr>
              <w:t>[Credit desk]</w:t>
            </w:r>
          </w:p>
        </w:tc>
        <w:tc>
          <w:tcPr>
            <w:tcW w:type="dxa" w:w="1928"/>
          </w:tcPr>
          <w:p>
            <w:r/>
            <w:r>
              <w:rPr>
                <w:sz w:val="17"/>
              </w:rPr>
            </w:r>
          </w:p>
        </w:tc>
      </w:tr>
    </w:tbl>
    <w:p/>
    <w:p>
      <w:pPr>
        <w:jc w:val="both"/>
      </w:pPr>
      <w:r>
        <w:t>Collectors identify themselves, contact customers only between [hours], do not contact third parties about the debt, and never use threats or public shaming. Collection incentives are paid on cured accounts, not on repossessions.</w:t>
      </w:r>
    </w:p>
    <w:p>
      <w:pPr>
        <w:jc w:val="both"/>
      </w:pPr>
      <w:r>
        <w:t>A contract may be restructured at most [once] in its life, only after a hardship assessment and with the approval of [title]. Restructured accounts keep their days past due history; they are reported separately and are not eligible for the borrowing base until they have made [three] consecutive payments.</w:t>
      </w:r>
    </w:p>
    <w:p>
      <w:pPr>
        <w:pStyle w:val="Heading1"/>
      </w:pPr>
      <w:r>
        <w:t>8. Default, repossession and write off</w:t>
      </w:r>
    </w:p>
    <w:p>
      <w:pPr>
        <w:jc w:val="both"/>
      </w:pPr>
      <w:r>
        <w:t>An account is in default at [180] days past due. The default definition, the write off trigger and the repossession trigger are aligned and are disclosed to lenders; any change is approved by the Credit Committee and history is restated.</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0B3020"/>
          </w:tcPr>
          <w:p>
            <w:r/>
            <w:r>
              <w:rPr>
                <w:b/>
                <w:color w:val="FFFFFF"/>
                <w:sz w:val="17"/>
              </w:rPr>
              <w:t>Tier</w:t>
            </w:r>
          </w:p>
        </w:tc>
        <w:tc>
          <w:tcPr>
            <w:tcW w:type="dxa" w:w="2409"/>
            <w:shd w:val="clear" w:color="auto" w:fill="0B3020"/>
          </w:tcPr>
          <w:p>
            <w:r/>
            <w:r>
              <w:rPr>
                <w:b/>
                <w:color w:val="FFFFFF"/>
                <w:sz w:val="17"/>
              </w:rPr>
              <w:t>Repossess when</w:t>
            </w:r>
          </w:p>
        </w:tc>
        <w:tc>
          <w:tcPr>
            <w:tcW w:type="dxa" w:w="2409"/>
            <w:shd w:val="clear" w:color="auto" w:fill="0B3020"/>
          </w:tcPr>
          <w:p>
            <w:r/>
            <w:r>
              <w:rPr>
                <w:b/>
                <w:color w:val="FFFFFF"/>
                <w:sz w:val="17"/>
              </w:rPr>
              <w:t>Minimum expected net resale value</w:t>
            </w:r>
          </w:p>
        </w:tc>
        <w:tc>
          <w:tcPr>
            <w:tcW w:type="dxa" w:w="2409"/>
            <w:shd w:val="clear" w:color="auto" w:fill="0B3020"/>
          </w:tcPr>
          <w:p>
            <w:r/>
            <w:r>
              <w:rPr>
                <w:b/>
                <w:color w:val="FFFFFF"/>
                <w:sz w:val="17"/>
              </w:rPr>
              <w:t>Refurbishment standard</w:t>
            </w:r>
          </w:p>
        </w:tc>
      </w:tr>
      <w:tr>
        <w:tc>
          <w:tcPr>
            <w:tcW w:type="dxa" w:w="2409"/>
          </w:tcPr>
          <w:p>
            <w:r/>
            <w:r>
              <w:rPr>
                <w:sz w:val="17"/>
              </w:rPr>
              <w:t>1</w:t>
            </w:r>
          </w:p>
        </w:tc>
        <w:tc>
          <w:tcPr>
            <w:tcW w:type="dxa" w:w="2409"/>
          </w:tcPr>
          <w:p>
            <w:r/>
            <w:r>
              <w:rPr>
                <w:sz w:val="17"/>
              </w:rPr>
            </w:r>
          </w:p>
        </w:tc>
        <w:tc>
          <w:tcPr>
            <w:tcW w:type="dxa" w:w="2409"/>
          </w:tcPr>
          <w:p>
            <w:r/>
            <w:r>
              <w:rPr>
                <w:sz w:val="17"/>
              </w:rPr>
            </w:r>
          </w:p>
        </w:tc>
        <w:tc>
          <w:tcPr>
            <w:tcW w:type="dxa" w:w="2409"/>
          </w:tcPr>
          <w:p>
            <w:r/>
            <w:r>
              <w:rPr>
                <w:sz w:val="17"/>
              </w:rPr>
            </w:r>
          </w:p>
        </w:tc>
      </w:tr>
      <w:tr>
        <w:tc>
          <w:tcPr>
            <w:tcW w:type="dxa" w:w="2409"/>
          </w:tcPr>
          <w:p>
            <w:r/>
            <w:r>
              <w:rPr>
                <w:sz w:val="17"/>
              </w:rPr>
              <w:t>2</w:t>
            </w:r>
          </w:p>
        </w:tc>
        <w:tc>
          <w:tcPr>
            <w:tcW w:type="dxa" w:w="2409"/>
          </w:tcPr>
          <w:p>
            <w:r/>
            <w:r>
              <w:rPr>
                <w:sz w:val="17"/>
              </w:rPr>
            </w:r>
          </w:p>
        </w:tc>
        <w:tc>
          <w:tcPr>
            <w:tcW w:type="dxa" w:w="2409"/>
          </w:tcPr>
          <w:p>
            <w:r/>
            <w:r>
              <w:rPr>
                <w:sz w:val="17"/>
              </w:rPr>
            </w:r>
          </w:p>
        </w:tc>
        <w:tc>
          <w:tcPr>
            <w:tcW w:type="dxa" w:w="2409"/>
          </w:tcPr>
          <w:p>
            <w:r/>
            <w:r>
              <w:rPr>
                <w:sz w:val="17"/>
              </w:rPr>
            </w:r>
          </w:p>
        </w:tc>
      </w:tr>
      <w:tr>
        <w:tc>
          <w:tcPr>
            <w:tcW w:type="dxa" w:w="2409"/>
          </w:tcPr>
          <w:p>
            <w:r/>
            <w:r>
              <w:rPr>
                <w:sz w:val="17"/>
              </w:rPr>
              <w:t>3</w:t>
            </w:r>
          </w:p>
        </w:tc>
        <w:tc>
          <w:tcPr>
            <w:tcW w:type="dxa" w:w="2409"/>
          </w:tcPr>
          <w:p>
            <w:r/>
            <w:r>
              <w:rPr>
                <w:sz w:val="17"/>
              </w:rPr>
            </w:r>
          </w:p>
        </w:tc>
        <w:tc>
          <w:tcPr>
            <w:tcW w:type="dxa" w:w="2409"/>
          </w:tcPr>
          <w:p>
            <w:r/>
            <w:r>
              <w:rPr>
                <w:sz w:val="17"/>
              </w:rPr>
            </w:r>
          </w:p>
        </w:tc>
        <w:tc>
          <w:tcPr>
            <w:tcW w:type="dxa" w:w="2409"/>
          </w:tcPr>
          <w:p>
            <w:r/>
            <w:r>
              <w:rPr>
                <w:sz w:val="17"/>
              </w:rPr>
            </w:r>
          </w:p>
        </w:tc>
      </w:tr>
      <w:tr>
        <w:tc>
          <w:tcPr>
            <w:tcW w:type="dxa" w:w="2409"/>
          </w:tcPr>
          <w:p>
            <w:r/>
            <w:r>
              <w:rPr>
                <w:sz w:val="17"/>
              </w:rPr>
              <w:t>4</w:t>
            </w:r>
          </w:p>
        </w:tc>
        <w:tc>
          <w:tcPr>
            <w:tcW w:type="dxa" w:w="2409"/>
          </w:tcPr>
          <w:p>
            <w:r/>
            <w:r>
              <w:rPr>
                <w:sz w:val="17"/>
              </w:rPr>
            </w:r>
          </w:p>
        </w:tc>
        <w:tc>
          <w:tcPr>
            <w:tcW w:type="dxa" w:w="2409"/>
          </w:tcPr>
          <w:p>
            <w:r/>
            <w:r>
              <w:rPr>
                <w:sz w:val="17"/>
              </w:rPr>
            </w:r>
          </w:p>
        </w:tc>
        <w:tc>
          <w:tcPr>
            <w:tcW w:type="dxa" w:w="2409"/>
          </w:tcPr>
          <w:p>
            <w:r/>
            <w:r>
              <w:rPr>
                <w:sz w:val="17"/>
              </w:rPr>
            </w:r>
          </w:p>
        </w:tc>
      </w:tr>
      <w:tr>
        <w:tc>
          <w:tcPr>
            <w:tcW w:type="dxa" w:w="2409"/>
          </w:tcPr>
          <w:p>
            <w:r/>
            <w:r>
              <w:rPr>
                <w:sz w:val="17"/>
              </w:rPr>
              <w:t>5</w:t>
            </w:r>
          </w:p>
        </w:tc>
        <w:tc>
          <w:tcPr>
            <w:tcW w:type="dxa" w:w="2409"/>
          </w:tcPr>
          <w:p>
            <w:r/>
            <w:r>
              <w:rPr>
                <w:sz w:val="17"/>
              </w:rPr>
            </w:r>
          </w:p>
        </w:tc>
        <w:tc>
          <w:tcPr>
            <w:tcW w:type="dxa" w:w="2409"/>
          </w:tcPr>
          <w:p>
            <w:r/>
            <w:r>
              <w:rPr>
                <w:sz w:val="17"/>
              </w:rPr>
            </w:r>
          </w:p>
        </w:tc>
        <w:tc>
          <w:tcPr>
            <w:tcW w:type="dxa" w:w="2409"/>
          </w:tcPr>
          <w:p>
            <w:r/>
            <w:r>
              <w:rPr>
                <w:sz w:val="17"/>
              </w:rPr>
            </w:r>
          </w:p>
        </w:tc>
      </w:tr>
    </w:tbl>
    <w:p/>
    <w:p>
      <w:pPr>
        <w:jc w:val="both"/>
      </w:pPr>
      <w:r>
        <w:t>Balances are written off when there is no reasonable expectation of recovery and no later than [x] days past due, with approval by [title] above [amount]. Recoveries after write off are recorded against the original account.</w:t>
      </w:r>
    </w:p>
    <w:p>
      <w:pPr>
        <w:pStyle w:val="Heading1"/>
      </w:pPr>
      <w:r>
        <w:t>9. Monitoring and early warning</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2409"/>
            <w:shd w:val="clear" w:color="auto" w:fill="0B3020"/>
          </w:tcPr>
          <w:p>
            <w:r/>
            <w:r>
              <w:rPr>
                <w:b/>
                <w:color w:val="FFFFFF"/>
                <w:sz w:val="17"/>
              </w:rPr>
              <w:t>Indicator</w:t>
            </w:r>
          </w:p>
        </w:tc>
        <w:tc>
          <w:tcPr>
            <w:tcW w:type="dxa" w:w="2409"/>
            <w:shd w:val="clear" w:color="auto" w:fill="0B3020"/>
          </w:tcPr>
          <w:p>
            <w:r/>
            <w:r>
              <w:rPr>
                <w:b/>
                <w:color w:val="FFFFFF"/>
                <w:sz w:val="17"/>
              </w:rPr>
              <w:t>Early warning level</w:t>
            </w:r>
          </w:p>
        </w:tc>
        <w:tc>
          <w:tcPr>
            <w:tcW w:type="dxa" w:w="2409"/>
            <w:shd w:val="clear" w:color="auto" w:fill="0B3020"/>
          </w:tcPr>
          <w:p>
            <w:r/>
            <w:r>
              <w:rPr>
                <w:b/>
                <w:color w:val="FFFFFF"/>
                <w:sz w:val="17"/>
              </w:rPr>
              <w:t>Action when breached</w:t>
            </w:r>
          </w:p>
        </w:tc>
        <w:tc>
          <w:tcPr>
            <w:tcW w:type="dxa" w:w="2409"/>
            <w:shd w:val="clear" w:color="auto" w:fill="0B3020"/>
          </w:tcPr>
          <w:p>
            <w:r/>
            <w:r>
              <w:rPr>
                <w:b/>
                <w:color w:val="FFFFFF"/>
                <w:sz w:val="17"/>
              </w:rPr>
              <w:t>Frequency</w:t>
            </w:r>
          </w:p>
        </w:tc>
      </w:tr>
      <w:tr>
        <w:tc>
          <w:tcPr>
            <w:tcW w:type="dxa" w:w="2409"/>
          </w:tcPr>
          <w:p>
            <w:r/>
            <w:r>
              <w:rPr>
                <w:b/>
                <w:sz w:val="17"/>
              </w:rPr>
              <w:t>Operational collection rate, trailing 3 months</w:t>
            </w:r>
          </w:p>
        </w:tc>
        <w:tc>
          <w:tcPr>
            <w:tcW w:type="dxa" w:w="2409"/>
          </w:tcPr>
          <w:p>
            <w:r/>
            <w:r>
              <w:rPr>
                <w:color w:val="0000FF"/>
                <w:sz w:val="17"/>
              </w:rPr>
              <w:t>[below x%]</w:t>
            </w:r>
          </w:p>
        </w:tc>
        <w:tc>
          <w:tcPr>
            <w:tcW w:type="dxa" w:w="2409"/>
          </w:tcPr>
          <w:p>
            <w:r/>
            <w:r>
              <w:rPr>
                <w:color w:val="0000FF"/>
                <w:sz w:val="17"/>
              </w:rPr>
              <w:t>[Collections review; tighten approvals]</w:t>
            </w:r>
          </w:p>
        </w:tc>
        <w:tc>
          <w:tcPr>
            <w:tcW w:type="dxa" w:w="2409"/>
          </w:tcPr>
          <w:p>
            <w:r/>
            <w:r>
              <w:rPr>
                <w:color w:val="0000FF"/>
                <w:sz w:val="17"/>
              </w:rPr>
              <w:t>[Monthly]</w:t>
            </w:r>
          </w:p>
        </w:tc>
      </w:tr>
      <w:tr>
        <w:tc>
          <w:tcPr>
            <w:tcW w:type="dxa" w:w="2409"/>
          </w:tcPr>
          <w:p>
            <w:r/>
            <w:r>
              <w:rPr>
                <w:b/>
                <w:sz w:val="17"/>
              </w:rPr>
              <w:t>RR PvP at 90 days by monthly cohort (PAYGo PERFORM 2026)</w:t>
            </w:r>
          </w:p>
        </w:tc>
        <w:tc>
          <w:tcPr>
            <w:tcW w:type="dxa" w:w="2409"/>
          </w:tcPr>
          <w:p>
            <w:r/>
            <w:r>
              <w:rPr>
                <w:color w:val="0000FF"/>
                <w:sz w:val="17"/>
              </w:rPr>
              <w:t>[below x%]</w:t>
            </w:r>
          </w:p>
        </w:tc>
        <w:tc>
          <w:tcPr>
            <w:tcW w:type="dxa" w:w="2409"/>
          </w:tcPr>
          <w:p>
            <w:r/>
            <w:r>
              <w:rPr>
                <w:color w:val="0000FF"/>
                <w:sz w:val="17"/>
              </w:rPr>
              <w:t>[Review origination channel and agents]</w:t>
            </w:r>
          </w:p>
        </w:tc>
        <w:tc>
          <w:tcPr>
            <w:tcW w:type="dxa" w:w="2409"/>
          </w:tcPr>
          <w:p>
            <w:r/>
            <w:r>
              <w:rPr>
                <w:color w:val="0000FF"/>
                <w:sz w:val="17"/>
              </w:rPr>
              <w:t>[Monthly]</w:t>
            </w:r>
          </w:p>
        </w:tc>
      </w:tr>
      <w:tr>
        <w:tc>
          <w:tcPr>
            <w:tcW w:type="dxa" w:w="2409"/>
          </w:tcPr>
          <w:p>
            <w:r/>
            <w:r>
              <w:rPr>
                <w:b/>
                <w:sz w:val="17"/>
              </w:rPr>
              <w:t>PAR30</w:t>
            </w:r>
          </w:p>
        </w:tc>
        <w:tc>
          <w:tcPr>
            <w:tcW w:type="dxa" w:w="2409"/>
          </w:tcPr>
          <w:p>
            <w:r/>
            <w:r>
              <w:rPr>
                <w:color w:val="0000FF"/>
                <w:sz w:val="17"/>
              </w:rPr>
              <w:t>[above x%]</w:t>
            </w:r>
          </w:p>
        </w:tc>
        <w:tc>
          <w:tcPr>
            <w:tcW w:type="dxa" w:w="2409"/>
          </w:tcPr>
          <w:p>
            <w:r/>
            <w:r>
              <w:rPr>
                <w:color w:val="0000FF"/>
                <w:sz w:val="17"/>
              </w:rPr>
              <w:t>[Credit Committee review]</w:t>
            </w:r>
          </w:p>
        </w:tc>
        <w:tc>
          <w:tcPr>
            <w:tcW w:type="dxa" w:w="2409"/>
          </w:tcPr>
          <w:p>
            <w:r/>
            <w:r>
              <w:rPr>
                <w:color w:val="0000FF"/>
                <w:sz w:val="17"/>
              </w:rPr>
              <w:t>[Monthly]</w:t>
            </w:r>
          </w:p>
        </w:tc>
      </w:tr>
      <w:tr>
        <w:tc>
          <w:tcPr>
            <w:tcW w:type="dxa" w:w="2409"/>
          </w:tcPr>
          <w:p>
            <w:r/>
            <w:r>
              <w:rPr>
                <w:b/>
                <w:sz w:val="17"/>
              </w:rPr>
              <w:t>Cohort repayment at M3 against plan</w:t>
            </w:r>
          </w:p>
        </w:tc>
        <w:tc>
          <w:tcPr>
            <w:tcW w:type="dxa" w:w="2409"/>
          </w:tcPr>
          <w:p>
            <w:r/>
            <w:r>
              <w:rPr>
                <w:color w:val="0000FF"/>
                <w:sz w:val="17"/>
              </w:rPr>
              <w:t>[gap above x points]</w:t>
            </w:r>
          </w:p>
        </w:tc>
        <w:tc>
          <w:tcPr>
            <w:tcW w:type="dxa" w:w="2409"/>
          </w:tcPr>
          <w:p>
            <w:r/>
            <w:r>
              <w:rPr>
                <w:color w:val="0000FF"/>
                <w:sz w:val="17"/>
              </w:rPr>
              <w:t>[Review origination channel and agents]</w:t>
            </w:r>
          </w:p>
        </w:tc>
        <w:tc>
          <w:tcPr>
            <w:tcW w:type="dxa" w:w="2409"/>
          </w:tcPr>
          <w:p>
            <w:r/>
            <w:r>
              <w:rPr>
                <w:color w:val="0000FF"/>
                <w:sz w:val="17"/>
              </w:rPr>
              <w:t>[Monthly]</w:t>
            </w:r>
          </w:p>
        </w:tc>
      </w:tr>
      <w:tr>
        <w:tc>
          <w:tcPr>
            <w:tcW w:type="dxa" w:w="2409"/>
          </w:tcPr>
          <w:p>
            <w:r/>
            <w:r>
              <w:rPr>
                <w:b/>
                <w:sz w:val="17"/>
              </w:rPr>
              <w:t>Deposit only accounts</w:t>
            </w:r>
          </w:p>
        </w:tc>
        <w:tc>
          <w:tcPr>
            <w:tcW w:type="dxa" w:w="2409"/>
          </w:tcPr>
          <w:p>
            <w:r/>
            <w:r>
              <w:rPr>
                <w:color w:val="0000FF"/>
                <w:sz w:val="17"/>
              </w:rPr>
              <w:t>[above x% of sales]</w:t>
            </w:r>
          </w:p>
        </w:tc>
        <w:tc>
          <w:tcPr>
            <w:tcW w:type="dxa" w:w="2409"/>
          </w:tcPr>
          <w:p>
            <w:r/>
            <w:r>
              <w:rPr>
                <w:color w:val="0000FF"/>
                <w:sz w:val="17"/>
              </w:rPr>
              <w:t>[Fraud review]</w:t>
            </w:r>
          </w:p>
        </w:tc>
        <w:tc>
          <w:tcPr>
            <w:tcW w:type="dxa" w:w="2409"/>
          </w:tcPr>
          <w:p>
            <w:r/>
            <w:r>
              <w:rPr>
                <w:color w:val="0000FF"/>
                <w:sz w:val="17"/>
              </w:rPr>
              <w:t>[Monthly]</w:t>
            </w:r>
          </w:p>
        </w:tc>
      </w:tr>
      <w:tr>
        <w:tc>
          <w:tcPr>
            <w:tcW w:type="dxa" w:w="2409"/>
          </w:tcPr>
          <w:p>
            <w:r/>
            <w:r>
              <w:rPr>
                <w:b/>
                <w:sz w:val="17"/>
              </w:rPr>
              <w:t>Exceptions to policy</w:t>
            </w:r>
          </w:p>
        </w:tc>
        <w:tc>
          <w:tcPr>
            <w:tcW w:type="dxa" w:w="2409"/>
          </w:tcPr>
          <w:p>
            <w:r/>
            <w:r>
              <w:rPr>
                <w:color w:val="0000FF"/>
                <w:sz w:val="17"/>
              </w:rPr>
              <w:t>[above x% of sales]</w:t>
            </w:r>
          </w:p>
        </w:tc>
        <w:tc>
          <w:tcPr>
            <w:tcW w:type="dxa" w:w="2409"/>
          </w:tcPr>
          <w:p>
            <w:r/>
            <w:r>
              <w:rPr>
                <w:color w:val="0000FF"/>
                <w:sz w:val="17"/>
              </w:rPr>
              <w:t>[Policy review]</w:t>
            </w:r>
          </w:p>
        </w:tc>
        <w:tc>
          <w:tcPr>
            <w:tcW w:type="dxa" w:w="2409"/>
          </w:tcPr>
          <w:p>
            <w:r/>
            <w:r>
              <w:rPr>
                <w:color w:val="0000FF"/>
                <w:sz w:val="17"/>
              </w:rPr>
              <w:t>[Monthly]</w:t>
            </w:r>
          </w:p>
        </w:tc>
      </w:tr>
    </w:tbl>
    <w:p/>
    <w:p>
      <w:pPr>
        <w:pStyle w:val="Heading1"/>
      </w:pPr>
      <w:r>
        <w:t>10. Data and model governance</w:t>
      </w:r>
    </w:p>
    <w:p>
      <w:pPr>
        <w:jc w:val="both"/>
      </w:pPr>
      <w:r>
        <w:t>Customer and payment data are kept for [x] years in line with [applicable data protection rules]. The servicing platform is reconciled to the general ledger every month for gross receivables, collections and write offs. Scorecards and provisioning parameters are validated at least once a year against cohort outcomes, and every change is recorded with its rationale and approval.</w:t>
      </w:r>
    </w:p>
    <w:p>
      <w:pPr>
        <w:pStyle w:val="Heading1"/>
      </w:pPr>
      <w:r>
        <w:t>Annex. Definitions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0B3020"/>
          </w:tcPr>
          <w:p>
            <w:r/>
            <w:r>
              <w:rPr>
                <w:b/>
                <w:color w:val="FFFFFF"/>
                <w:sz w:val="18"/>
              </w:rPr>
              <w:t>Term</w:t>
            </w:r>
          </w:p>
        </w:tc>
        <w:tc>
          <w:tcPr>
            <w:tcW w:type="dxa" w:w="7087"/>
            <w:shd w:val="clear" w:color="auto" w:fill="0B3020"/>
          </w:tcPr>
          <w:p>
            <w:r/>
            <w:r>
              <w:rPr>
                <w:b/>
                <w:color w:val="FFFFFF"/>
                <w:sz w:val="18"/>
              </w:rPr>
              <w:t>Definition</w:t>
            </w:r>
          </w:p>
        </w:tc>
      </w:tr>
      <w:tr>
        <w:tc>
          <w:tcPr>
            <w:tcW w:type="dxa" w:w="2268"/>
          </w:tcPr>
          <w:p>
            <w:r/>
            <w:r>
              <w:rPr>
                <w:b/>
                <w:sz w:val="18"/>
              </w:rPr>
              <w:t>Operational collection rate</w:t>
            </w:r>
          </w:p>
        </w:tc>
        <w:tc>
          <w:tcPr>
            <w:tcW w:type="dxa" w:w="7087"/>
          </w:tcPr>
          <w:p>
            <w:r/>
            <w:r>
              <w:rPr>
                <w:sz w:val="18"/>
              </w:rPr>
              <w:t>Instalments collected ÷ instalments due, both excluding deposits; an operational metric, not a PERFORM KPI</w:t>
            </w:r>
          </w:p>
        </w:tc>
      </w:tr>
      <w:tr>
        <w:tc>
          <w:tcPr>
            <w:tcW w:type="dxa" w:w="2268"/>
          </w:tcPr>
          <w:p>
            <w:r/>
            <w:r>
              <w:rPr>
                <w:b/>
                <w:sz w:val="18"/>
              </w:rPr>
              <w:t>Repayment rate (RR PvP, PAYGo PERFORM 2026)</w:t>
            </w:r>
          </w:p>
        </w:tc>
        <w:tc>
          <w:tcPr>
            <w:tcW w:type="dxa" w:w="7087"/>
          </w:tcPr>
          <w:p>
            <w:r/>
            <w:r>
              <w:rPr>
                <w:sz w:val="18"/>
              </w:rPr>
              <w:t>Payments applied to due instalments to date ÷ instalments due to date, on contract data; deposits, prepayments, penalties, fees and subsidies excluded (GOGLA Technical Guide, June 2026)</w:t>
            </w:r>
          </w:p>
        </w:tc>
      </w:tr>
      <w:tr>
        <w:tc>
          <w:tcPr>
            <w:tcW w:type="dxa" w:w="2268"/>
          </w:tcPr>
          <w:p>
            <w:r/>
            <w:r>
              <w:rPr>
                <w:b/>
                <w:sz w:val="18"/>
              </w:rPr>
              <w:t>Days past due</w:t>
            </w:r>
          </w:p>
        </w:tc>
        <w:tc>
          <w:tcPr>
            <w:tcW w:type="dxa" w:w="7087"/>
          </w:tcPr>
          <w:p>
            <w:r/>
            <w:r>
              <w:rPr>
                <w:sz w:val="18"/>
              </w:rPr>
              <w:t>Schedule shortfall expressed in days of the daily rate</w:t>
            </w:r>
          </w:p>
        </w:tc>
      </w:tr>
      <w:tr>
        <w:tc>
          <w:tcPr>
            <w:tcW w:type="dxa" w:w="2268"/>
          </w:tcPr>
          <w:p>
            <w:r/>
            <w:r>
              <w:rPr>
                <w:b/>
                <w:sz w:val="18"/>
              </w:rPr>
              <w:t>Default</w:t>
            </w:r>
          </w:p>
        </w:tc>
        <w:tc>
          <w:tcPr>
            <w:tcW w:type="dxa" w:w="7087"/>
          </w:tcPr>
          <w:p>
            <w:r/>
            <w:r>
              <w:rPr>
                <w:sz w:val="18"/>
              </w:rPr>
              <w:t>Account at or beyond the default threshold in Section 8</w:t>
            </w:r>
          </w:p>
        </w:tc>
      </w:tr>
      <w:tr>
        <w:tc>
          <w:tcPr>
            <w:tcW w:type="dxa" w:w="2268"/>
          </w:tcPr>
          <w:p>
            <w:r/>
            <w:r>
              <w:rPr>
                <w:b/>
                <w:sz w:val="18"/>
              </w:rPr>
              <w:t>Payment burden</w:t>
            </w:r>
          </w:p>
        </w:tc>
        <w:tc>
          <w:tcPr>
            <w:tcW w:type="dxa" w:w="7087"/>
          </w:tcPr>
          <w:p>
            <w:r/>
            <w:r>
              <w:rPr>
                <w:sz w:val="18"/>
              </w:rPr>
              <w:t>Monthly instalment ÷ monthly household income</w:t>
            </w:r>
          </w:p>
        </w:tc>
      </w:tr>
      <w:tr>
        <w:tc>
          <w:tcPr>
            <w:tcW w:type="dxa" w:w="2268"/>
          </w:tcPr>
          <w:p>
            <w:r/>
            <w:r>
              <w:rPr>
                <w:b/>
                <w:sz w:val="18"/>
              </w:rPr>
              <w:t>PAR30</w:t>
            </w:r>
          </w:p>
        </w:tc>
        <w:tc>
          <w:tcPr>
            <w:tcW w:type="dxa" w:w="7087"/>
          </w:tcPr>
          <w:p>
            <w:r/>
            <w:r>
              <w:rPr>
                <w:sz w:val="18"/>
              </w:rPr>
              <w:t>Gross receivables of accounts more than 30 days past due ÷ gross receivables</w:t>
            </w:r>
          </w:p>
        </w:tc>
      </w:tr>
      <w:tr>
        <w:tc>
          <w:tcPr>
            <w:tcW w:type="dxa" w:w="2268"/>
          </w:tcPr>
          <w:p>
            <w:r/>
            <w:r>
              <w:rPr>
                <w:b/>
                <w:sz w:val="18"/>
              </w:rPr>
              <w:t>Restructuring</w:t>
            </w:r>
          </w:p>
        </w:tc>
        <w:tc>
          <w:tcPr>
            <w:tcW w:type="dxa" w:w="7087"/>
          </w:tcPr>
          <w:p>
            <w:r/>
            <w:r>
              <w:rPr>
                <w:sz w:val="18"/>
              </w:rPr>
              <w:t>Any change to the payment schedule agreed with a customer in arrears</w:t>
            </w:r>
          </w:p>
        </w:tc>
      </w:tr>
    </w:tbl>
    <w:p/>
    <w:p>
      <w:r>
        <w:rPr>
          <w:i/>
          <w:color w:val="666666"/>
          <w:sz w:val="18"/>
        </w:rPr>
        <w:t>Template from the Africa Energy Finance Book 2 Templates Pack. Confirm every rule against the law of each country of operation with local counsel before adoption.</w:t>
      </w:r>
    </w:p>
    <w:sectPr w:rsidR="00FC693F" w:rsidRPr="0006063C" w:rsidSect="00034616">
      <w:headerReference w:type="default" r:id="rId9"/>
      <w:footerReference w:type="default" r:id="rId10"/>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
      <w:rPr>
        <w:color w:val="666666"/>
        <w:sz w:val="15"/>
      </w:rPr>
      <w:t>Africa Energy Finance | Book 2 Template T03 | Version 0.9 (pre-release)</w:t>
      <w:tab/>
      <w:tab/>
      <w:t xml:space="preserve">Page </w:t>
    </w:r>
    <w:r>
      <w:rPr>
        <w:sz w:val="15"/>
      </w:rPr>
      <w:fldChar w:fldCharType="begin"/>
    </w:r>
    <w:r>
      <w:rPr>
        <w:sz w:val="15"/>
      </w:rPr>
      <w:instrText xml:space="preserve"> PAGE </w:instrText>
    </w:r>
    <w:r>
      <w:fldChar w:fldCharType="separate"/>
    </w:r>
    <w:r>
      <w:rPr>
        <w:sz w:val="15"/>
      </w:rPr>
      <w:t>1</w:t>
    </w:r>
    <w:r>
      <w:fldChar w:fldCharType="end"/>
    </w:r>
    <w:r>
      <w:rPr>
        <w:color w:val="666666"/>
        <w:sz w:val="15"/>
      </w:rPr>
      <w:t xml:space="preserve"> of </w:t>
    </w:r>
    <w:r>
      <w:rPr>
        <w:sz w:val="15"/>
      </w:rPr>
      <w:fldChar w:fldCharType="begin"/>
    </w:r>
    <w:r>
      <w:rPr>
        <w:sz w:val="15"/>
      </w:rPr>
      <w:instrText xml:space="preserve"> NUMPAGES </w:instrText>
    </w:r>
    <w:r>
      <w:fldChar w:fldCharType="separate"/>
    </w:r>
    <w:r>
      <w:rPr>
        <w:sz w:val="15"/>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Pr>
    <w:r/>
    <w:r>
      <w:rPr>
        <w:b/>
        <w:color w:val="0B3020"/>
        <w:sz w:val="15"/>
      </w:rPr>
      <w:t>AFRICA ENERGY FINANCE  |  BOOK 2  |  TEMPLATE T03</w:t>
    </w:r>
    <w:r>
      <w:rPr>
        <w:color w:val="666666"/>
        <w:sz w:val="15"/>
      </w:rPr>
      <w:tab/>
      <w:tab/>
      <w:t>Customer credit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cs="Arial" w:eastAsia="Arial"/>
      <w:b/>
      <w:bCs/>
      <w:color w:val="0B302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Arial" w:hAnsi="Arial" w:cs="Arial" w:eastAsia="Arial"/>
      <w:b/>
      <w:bCs/>
      <w:color w:val="0B302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cs="Arial" w:eastAsia="Arial"/>
      <w:b/>
      <w:bCs/>
      <w:color w:val="B07C0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Africa Energy Finance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AEF Book 2 Template T03: Customer credit policy</dc:title>
  <dc:subject>Africa Energy Finance, Book 2 Templates Pack</dc:subject>
  <dc:creator>Emmanuel Boujieka Kamga</dc:creator>
  <cp:keywords>Africa Energy Finance; Book 2; PAYGo Solar Finance; template</cp:keywords>
  <dc:description>Decision support material; not investment, legal, tax or accounting advice.</dc:description>
  <cp:lastModifiedBy>Emmanuel Boujieka Kamga</cp:lastModifiedBy>
  <cp:revision>1</cp:revision>
  <dcterms:created xsi:type="dcterms:W3CDTF">2026-10-03T06:26:22Z</dcterms:created>
  <dcterms:modified xsi:type="dcterms:W3CDTF">2026-10-03T06:26:22Z</dcterms:modified>
  <cp:category/>
</cp:coreProperties>
</file>