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Mission</w:t>
      </w:r>
      <w:r>
        <w:t xml:space="preserve"> </w:t>
      </w:r>
      <w:r>
        <w:t xml:space="preserve">300</w:t>
      </w:r>
      <w:r>
        <w:t xml:space="preserve"> </w:t>
      </w:r>
      <w:r>
        <w:t xml:space="preserve">—</w:t>
      </w:r>
      <w:r>
        <w:t xml:space="preserve"> </w:t>
      </w:r>
      <w:r>
        <w:t xml:space="preserve">Diagnostic</w:t>
      </w:r>
      <w:r>
        <w:t xml:space="preserve"> </w:t>
      </w:r>
      <w:r>
        <w:t xml:space="preserve">des</w:t>
      </w:r>
      <w:r>
        <w:t xml:space="preserve"> </w:t>
      </w:r>
      <w:r>
        <w:t xml:space="preserve">sociétés</w:t>
      </w:r>
      <w:r>
        <w:t xml:space="preserve"> </w:t>
      </w:r>
      <w:r>
        <w:t xml:space="preserve">d’électricité</w:t>
      </w:r>
    </w:p>
    <w:p>
      <w:pPr>
        <w:pStyle w:val="Subtitle"/>
      </w:pPr>
      <w:r>
        <w:t xml:space="preserve">Phase</w:t>
      </w:r>
      <w:r>
        <w:t xml:space="preserve"> </w:t>
      </w:r>
      <w:r>
        <w:t xml:space="preserve">2</w:t>
      </w:r>
      <w:r>
        <w:t xml:space="preserve"> </w:t>
      </w:r>
      <w:r>
        <w:t xml:space="preserve">:</w:t>
      </w:r>
      <w:r>
        <w:t xml:space="preserve"> </w:t>
      </w:r>
      <w:r>
        <w:t xml:space="preserve">situation</w:t>
      </w:r>
      <w:r>
        <w:t xml:space="preserve"> </w:t>
      </w:r>
      <w:r>
        <w:t xml:space="preserve">financière,</w:t>
      </w:r>
      <w:r>
        <w:t xml:space="preserve"> </w:t>
      </w:r>
      <w:r>
        <w:t xml:space="preserve">technique</w:t>
      </w:r>
      <w:r>
        <w:t xml:space="preserve"> </w:t>
      </w:r>
      <w:r>
        <w:t xml:space="preserve">et</w:t>
      </w:r>
      <w:r>
        <w:t xml:space="preserve"> </w:t>
      </w:r>
      <w:r>
        <w:t xml:space="preserve">économique</w:t>
      </w:r>
      <w:r>
        <w:t xml:space="preserve"> </w:t>
      </w:r>
      <w:r>
        <w:t xml:space="preserve">des</w:t>
      </w:r>
      <w:r>
        <w:t xml:space="preserve"> </w:t>
      </w:r>
      <w:r>
        <w:t xml:space="preserve">opérateurs</w:t>
      </w:r>
      <w:r>
        <w:t xml:space="preserve"> </w:t>
      </w:r>
      <w:r>
        <w:t xml:space="preserve">et</w:t>
      </w:r>
      <w:r>
        <w:t xml:space="preserve"> </w:t>
      </w:r>
      <w:r>
        <w:t xml:space="preserve">programmes</w:t>
      </w:r>
      <w:r>
        <w:t xml:space="preserve"> </w:t>
      </w:r>
      <w:r>
        <w:t xml:space="preserve">BM</w:t>
      </w:r>
      <w:r>
        <w:t xml:space="preserve"> </w:t>
      </w:r>
      <w:r>
        <w:t xml:space="preserve">/</w:t>
      </w:r>
      <w:r>
        <w:t xml:space="preserve"> </w:t>
      </w:r>
      <w:r>
        <w:t xml:space="preserve">BAD</w:t>
      </w:r>
    </w:p>
    <w:p>
      <w:pPr>
        <w:pStyle w:val="Date"/>
      </w:pPr>
      <w:r>
        <w:t xml:space="preserve">18</w:t>
      </w:r>
      <w:r>
        <w:t xml:space="preserve"> </w:t>
      </w:r>
      <w:r>
        <w:t xml:space="preserve">octobre</w:t>
      </w:r>
      <w:r>
        <w:t xml:space="preserve"> </w:t>
      </w:r>
      <w:r>
        <w:t xml:space="preserve">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bookmarkStart w:id="20" w:name="note-de-lecture"/>
    <w:p>
      <w:pPr>
        <w:pStyle w:val="Heading1"/>
      </w:pPr>
      <w:r>
        <w:t xml:space="preserve">Note de lecture</w:t>
      </w:r>
    </w:p>
    <w:p>
      <w:pPr>
        <w:pStyle w:val="FirstParagraph"/>
      </w:pPr>
      <w:r>
        <w:rPr>
          <w:bCs/>
          <w:b/>
        </w:rPr>
        <w:t xml:space="preserve">Statuts des données.</w:t>
      </w:r>
      <w:r>
        <w:t xml:space="preserve"> </w:t>
      </w:r>
      <w:r>
        <w:rPr>
          <w:bCs/>
          <w:b/>
        </w:rPr>
        <w:t xml:space="preserve">[V]</w:t>
      </w:r>
      <w:r>
        <w:t xml:space="preserve"> </w:t>
      </w:r>
      <w:r>
        <w:t xml:space="preserve">vérifié dans un document primaire (pacte, états financiers, document de projet Banque mondiale/BAD, rapport FMI ou régulateur)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estimation ou calcul de l’équipe ·</w:t>
      </w:r>
      <w:r>
        <w:t xml:space="preserve"> </w:t>
      </w:r>
      <w:r>
        <w:rPr>
          <w:bCs/>
          <w:b/>
        </w:rPr>
        <w:t xml:space="preserve">[?]</w:t>
      </w:r>
      <w:r>
        <w:t xml:space="preserve"> </w:t>
      </w:r>
      <w:r>
        <w:t xml:space="preserve">inconnu ou non trouvé.</w:t>
      </w:r>
    </w:p>
    <w:p>
      <w:pPr>
        <w:pStyle w:val="BodyText"/>
      </w:pPr>
      <w:r>
        <w:rPr>
          <w:bCs/>
          <w:b/>
        </w:rPr>
        <w:t xml:space="preserve">Méthode.</w:t>
      </w:r>
      <w:r>
        <w:t xml:space="preserve"> </w:t>
      </w:r>
      <w:r>
        <w:t xml:space="preserve">Revue réalisée par plusieurs agents d’IA travaillant en parallèle par région, à partir des documents publics disponibles au 18 octobre 2026, suivie d’une synthèse transversale et d’un contrôle par échantillonnage (chiffres recoupés dans les PDF sources ; identifiants de projets Banque mondiale vérifiés via l’API officielle). Les chiffres des pactes sont des déclarations des gouvernements, non des données auditées.</w:t>
      </w:r>
    </w:p>
    <w:p>
      <w:pPr>
        <w:pStyle w:val="BlockText"/>
      </w:pPr>
      <w:r>
        <w:t xml:space="preserve">Phase 2 — état au 18 octobre 2026. Synthèse rédigée</w:t>
      </w:r>
      <w:r>
        <w:t xml:space="preserve"> </w:t>
      </w:r>
      <w:r>
        <w:rPr>
          <w:bCs/>
          <w:b/>
        </w:rPr>
        <w:t xml:space="preserve">uniquement</w:t>
      </w:r>
      <w:r>
        <w:t xml:space="preserve"> </w:t>
      </w:r>
      <w:r>
        <w:t xml:space="preserve">à partir des 36 fiches de</w:t>
      </w:r>
      <w:r>
        <w:t xml:space="preserve"> </w:t>
      </w:r>
      <w:r>
        <w:rPr>
          <w:rStyle w:val="VerbatimChar"/>
        </w:rPr>
        <w:t xml:space="preserve">operateurs/</w:t>
      </w:r>
      <w:r>
        <w:t xml:space="preserve">, de</w:t>
      </w:r>
      <w:r>
        <w:t xml:space="preserve"> </w:t>
      </w:r>
      <w:r>
        <w:rPr>
          <w:rStyle w:val="VerbatimChar"/>
        </w:rPr>
        <w:t xml:space="preserve">00_programmes_regionaux.md</w:t>
      </w:r>
      <w:r>
        <w:t xml:space="preserve"> </w:t>
      </w:r>
      <w:r>
        <w:t xml:space="preserve">et de la synthèse phase 1 (</w:t>
      </w:r>
      <w:r>
        <w:rPr>
          <w:rStyle w:val="VerbatimChar"/>
        </w:rPr>
        <w:t xml:space="preserve">../phase1/01_synthese_phase1.md</w:t>
      </w:r>
      <w:r>
        <w:t xml:space="preserve">). Aucun chiffre n’a été ajouté. Les ratios et les décomptes calculés ici sont marqués [E].</w:t>
      </w:r>
      <w:r>
        <w:t xml:space="preserve"> </w:t>
      </w:r>
      <w:r>
        <w:t xml:space="preserve">Statuts repris des fiches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 ou jugement (y compris toutes les notations et tous les classements de cette synthèse) ·</w:t>
      </w:r>
      <w:r>
        <w:t xml:space="preserve"> </w:t>
      </w:r>
      <w:r>
        <w:rPr>
          <w:bCs/>
          <w:b/>
        </w:rPr>
        <w:t xml:space="preserve">[?]</w:t>
      </w:r>
      <w:r>
        <w:t xml:space="preserve"> </w:t>
      </w:r>
      <w:r>
        <w:t xml:space="preserve">inconnu · « (pacte) » = chiffre repris du pacte.</w:t>
      </w:r>
      <w:r>
        <w:t xml:space="preserve"> </w:t>
      </w:r>
      <w:r>
        <w:t xml:space="preserve">Les fiches sont désignées par leur code ISO3 (ex.</w:t>
      </w:r>
      <w:r>
        <w:t xml:space="preserve"> </w:t>
      </w:r>
      <w:r>
        <w:rPr>
          <w:rStyle w:val="VerbatimChar"/>
        </w:rPr>
        <w:t xml:space="preserve">SEN</w:t>
      </w:r>
      <w:r>
        <w:t xml:space="preserve"> </w:t>
      </w:r>
      <w:r>
        <w:t xml:space="preserve">=</w:t>
      </w:r>
      <w:r>
        <w:t xml:space="preserve"> </w:t>
      </w:r>
      <w:r>
        <w:rPr>
          <w:rStyle w:val="VerbatimChar"/>
        </w:rPr>
        <w:t xml:space="preserve">operateurs/SEN_senelec.md</w:t>
      </w:r>
      <w:r>
        <w:t xml:space="preserve">) ;</w:t>
      </w:r>
      <w:r>
        <w:t xml:space="preserve"> </w:t>
      </w:r>
      <w:r>
        <w:rPr>
          <w:rStyle w:val="VerbatimChar"/>
        </w:rPr>
        <w:t xml:space="preserve">REG</w:t>
      </w:r>
      <w:r>
        <w:t xml:space="preserve"> </w:t>
      </w:r>
      <w:r>
        <w:t xml:space="preserve">=</w:t>
      </w:r>
      <w:r>
        <w:t xml:space="preserve"> </w:t>
      </w:r>
      <w:r>
        <w:rPr>
          <w:rStyle w:val="VerbatimChar"/>
        </w:rPr>
        <w:t xml:space="preserve">00_programmes_regionaux.md</w:t>
      </w:r>
      <w:r>
        <w:t xml:space="preserve"> </w:t>
      </w:r>
      <w:r>
        <w:t xml:space="preserve">;</w:t>
      </w:r>
      <w:r>
        <w:t xml:space="preserve"> </w:t>
      </w:r>
      <w:r>
        <w:rPr>
          <w:rStyle w:val="VerbatimChar"/>
        </w:rPr>
        <w:t xml:space="preserve">P1</w:t>
      </w:r>
      <w:r>
        <w:t xml:space="preserve"> </w:t>
      </w:r>
      <w:r>
        <w:t xml:space="preserve">= synthèse phase 1.</w:t>
      </w:r>
      <w:r>
        <w:t xml:space="preserve"> </w:t>
      </w:r>
      <w:r>
        <w:t xml:space="preserve">Notes de vérification de l’orchestrateur intégrées (§4.7 et §7). Environ 35 ID de projets BM ont été vérifiés via l’API officielle de la BM. Tous existent, sauf</w:t>
      </w:r>
      <w:r>
        <w:t xml:space="preserve"> </w:t>
      </w:r>
      <w:r>
        <w:rPr>
          <w:bCs/>
          <w:b/>
        </w:rPr>
        <w:t xml:space="preserve">P513494</w:t>
      </w:r>
      <w:r>
        <w:t xml:space="preserve">, que l’API ne renvoie pas.</w:t>
      </w:r>
      <w:r>
        <w:t xml:space="preserve"> </w:t>
      </w:r>
      <w:r>
        <w:rPr>
          <w:bCs/>
          <w:b/>
        </w:rPr>
        <w:t xml:space="preserve">P515164</w:t>
      </w:r>
      <w:r>
        <w:t xml:space="preserve"> </w:t>
      </w:r>
      <w:r>
        <w:t xml:space="preserve">est confirmé par son ISR.</w:t>
      </w:r>
    </w:p>
    <w:p>
      <w:r>
        <w:pict>
          <v:rect style="width:0;height:1.5pt" o:hralign="center" o:hrstd="t" o:hr="t"/>
        </w:pict>
      </w:r>
    </w:p>
    <w:bookmarkEnd w:id="20"/>
    <w:bookmarkStart w:id="21" w:name="résumé-exécutif"/>
    <w:p>
      <w:pPr>
        <w:pStyle w:val="Heading1"/>
      </w:pPr>
      <w:r>
        <w:t xml:space="preserve">1. Résumé exécutif</w:t>
      </w:r>
    </w:p>
    <w:p>
      <w:pPr>
        <w:numPr>
          <w:ilvl w:val="0"/>
          <w:numId w:val="1001"/>
        </w:numPr>
        <w:pStyle w:val="Compact"/>
      </w:pPr>
      <w:r>
        <w:rPr>
          <w:bCs/>
          <w:b/>
        </w:rPr>
        <w:t xml:space="preserve">Transparence très faible.</w:t>
      </w:r>
      <w:r>
        <w:t xml:space="preserve"> </w:t>
      </w:r>
      <w:r>
        <w:t xml:space="preserve">10 opérateurs sur 36 ont publié des comptes audités d’un exercice 2024 ou ultérieur [E]. 3 seulement sont sans réserve ni doute sur la continuité d’exploitation : KPLC, UEDCL et CIE (opérateur privé). 20 n’ont aucun compte audité accessible (§4a).</w:t>
      </w:r>
    </w:p>
    <w:p>
      <w:pPr>
        <w:numPr>
          <w:ilvl w:val="0"/>
          <w:numId w:val="1001"/>
        </w:numPr>
        <w:pStyle w:val="Compact"/>
      </w:pPr>
      <w:r>
        <w:rPr>
          <w:bCs/>
          <w:b/>
        </w:rPr>
        <w:t xml:space="preserve">Les pactes embellissent la situation.</w:t>
      </w:r>
      <w:r>
        <w:t xml:space="preserve"> </w:t>
      </w:r>
      <w:r>
        <w:t xml:space="preserve">Sur 36 cas, l’écart pacte↔sources primaires va dans le sens favorable 30 fois, 4 cas sont mixtes, 1 neutre, et 1 seul pacte (BEN) noircit la réalité [E]. Les mécanismes : choix de l’indicateur ou de l’année les plus flatteurs, omission des passifs (GIN : 710 M USD d’arriérés IPP ; STP : dette ENCO ≈ 28 % du PIB ; CMR : arriérés publics ×8), réformes présentées comme acquises (COG, MDG, NGA).</w:t>
      </w:r>
    </w:p>
    <w:p>
      <w:pPr>
        <w:numPr>
          <w:ilvl w:val="0"/>
          <w:numId w:val="1001"/>
        </w:numPr>
        <w:pStyle w:val="Compact"/>
      </w:pPr>
      <w:r>
        <w:rPr>
          <w:bCs/>
          <w:b/>
        </w:rPr>
        <w:t xml:space="preserve">La notation qualitative [E] dégage quatre groupes.</w:t>
      </w:r>
      <w:r>
        <w:t xml:space="preserve"> </w:t>
      </w:r>
      <w:r>
        <w:t xml:space="preserve">(1) Viables ou en équilibre opérationnel : 7 opérateurs. (2) Déficitaires mais avec des institutions fonctionnelles : 7. (3) Faibles sur les trois axes : 9. (4) Critiques (insolvabilité, comptes non fiables, financement d’urgence) : 13.</w:t>
      </w:r>
    </w:p>
    <w:p>
      <w:pPr>
        <w:numPr>
          <w:ilvl w:val="0"/>
          <w:numId w:val="1001"/>
        </w:numPr>
        <w:pStyle w:val="Compact"/>
      </w:pPr>
      <w:r>
        <w:rPr>
          <w:bCs/>
          <w:b/>
        </w:rPr>
        <w:t xml:space="preserve">Le tarif n’est pas toujours la cause première.</w:t>
      </w:r>
      <w:r>
        <w:t xml:space="preserve"> </w:t>
      </w:r>
      <w:r>
        <w:t xml:space="preserve">À Djibouti (prix 29 c contre coût 9-11 c USD/kWh), au Kenya (recette ≈ 19,2 contre coût ≈ 16,8 KES/kWh [E]), en Ouganda (recouvrement 100 %) et en Namibie, c’est l’État (ou les collectivités) mauvais payeur qui déstabilise l’opérateur. Ailleurs (CMR, MDG, GAB, SEN), arriérés et tarif se cumulent.</w:t>
      </w:r>
    </w:p>
    <w:p>
      <w:pPr>
        <w:numPr>
          <w:ilvl w:val="0"/>
          <w:numId w:val="1001"/>
        </w:numPr>
        <w:pStyle w:val="Compact"/>
      </w:pPr>
      <w:r>
        <w:rPr>
          <w:bCs/>
          <w:b/>
        </w:rPr>
        <w:t xml:space="preserve">Les changements de structure de 2025-2026 sont absents des pactes</w:t>
      </w:r>
      <w:r>
        <w:t xml:space="preserve"> </w:t>
      </w:r>
      <w:r>
        <w:t xml:space="preserve">: TchadElec remplace la SNE (juil. 2025), ENEO devient SOCADEL (mai 2026), NIGELEC est nationalisée (2025), ZESA est regroupée (août 2026), l’affermage d’E²C est gelé.</w:t>
      </w:r>
    </w:p>
    <w:p>
      <w:pPr>
        <w:numPr>
          <w:ilvl w:val="0"/>
          <w:numId w:val="1001"/>
        </w:numPr>
        <w:pStyle w:val="Compact"/>
      </w:pPr>
      <w:r>
        <w:rPr>
          <w:bCs/>
          <w:b/>
        </w:rPr>
        <w:t xml:space="preserve">L’efficacité des programmes BM est faible côté opérateur.</w:t>
      </w:r>
      <w:r>
        <w:t xml:space="preserve"> </w:t>
      </w:r>
      <w:r>
        <w:t xml:space="preserve">Décaissements de 2,77 % (DISREP NGA), 6,88 % (AGREE COD) et ≈ 9 % (PASEL COG). DLI et PBC sont supprimés (AGREE, DISREP) ou hors trajectoire (PRSEC CMR, GREEN KEN, ASCENT BDI). Contre-exemples : Éthiopie (DPO + FMI : recouvrement des coûts de 18 % à 76 %), Togo (4 PBC atteintes), Côte d’Ivoire (NEDA décaissé à 79 %).</w:t>
      </w:r>
    </w:p>
    <w:p>
      <w:pPr>
        <w:numPr>
          <w:ilvl w:val="0"/>
          <w:numId w:val="1001"/>
        </w:numPr>
        <w:pStyle w:val="Compact"/>
      </w:pPr>
      <w:r>
        <w:rPr>
          <w:bCs/>
          <w:b/>
        </w:rPr>
        <w:t xml:space="preserve">L’Afrique de l’Est et australe bénéficie d’ASCENT</w:t>
      </w:r>
      <w:r>
        <w:t xml:space="preserve"> </w:t>
      </w:r>
      <w:r>
        <w:t xml:space="preserve">(DLI opérateur à Madagascar, en Éthiopie, au Malawi, au Burundi).</w:t>
      </w:r>
      <w:r>
        <w:t xml:space="preserve"> </w:t>
      </w:r>
      <w:r>
        <w:rPr>
          <w:bCs/>
          <w:b/>
        </w:rPr>
        <w:t xml:space="preserve">L’Ouest et le Centre n’ont pas d’équivalent</w:t>
      </w:r>
      <w:r>
        <w:t xml:space="preserve"> </w:t>
      </w:r>
      <w:r>
        <w:t xml:space="preserve">: les réformes d’opérateur y passent par des DPF et des PforR nationaux.</w:t>
      </w:r>
    </w:p>
    <w:p>
      <w:pPr>
        <w:numPr>
          <w:ilvl w:val="0"/>
          <w:numId w:val="1001"/>
        </w:numPr>
        <w:pStyle w:val="Compact"/>
      </w:pPr>
      <w:r>
        <w:rPr>
          <w:bCs/>
          <w:b/>
        </w:rPr>
        <w:t xml:space="preserve">Révision du classement phase 1</w:t>
      </w:r>
      <w:r>
        <w:t xml:space="preserve"> </w:t>
      </w:r>
      <w:r>
        <w:t xml:space="preserve">: MOZ quitte la catégorie « déjà au coût » ; KEN rejoint DJI dans un cas « tarif suffisant, État débiteur » ; GIN, STP, CMR, COD, COG, SEN et NGA sont déclassés ; TGO, CIV, BEN et MRT sont reclassés vers le haut (§5).</w:t>
      </w:r>
    </w:p>
    <w:p>
      <w:r>
        <w:pict>
          <v:rect style="width:0;height:1.5pt" o:hralign="center" o:hrstd="t" o:hr="t"/>
        </w:pict>
      </w:r>
    </w:p>
    <w:bookmarkEnd w:id="21"/>
    <w:bookmarkStart w:id="22" w:name="tableau-comparatif-des-36-opérateurs"/>
    <w:p>
      <w:pPr>
        <w:pStyle w:val="Heading1"/>
      </w:pPr>
      <w:r>
        <w:t xml:space="preserve">2. Tableau comparatif des 36 opérateurs</w:t>
      </w:r>
    </w:p>
    <w:p>
      <w:pPr>
        <w:pStyle w:val="FirstParagraph"/>
      </w:pPr>
      <w:r>
        <w:t xml:space="preserve">Abréviations : RN = résultat net ; AT&amp;C/ATC&amp;C = pertes techniques, commerciales et de recouvrement ; T&amp;D = transport + distribution. « Ratio » = recette moyenne / coût par kWh, calculé [E] quand la fiche donne les deux termes. La source de chaque ligne est la fiche du pays.</w:t>
      </w:r>
    </w:p>
    <w:tbl>
      <w:tblPr>
        <w:tblStyle w:val="Table"/>
        <w:tblW w:type="dxa" w:w="14570"/>
        <w:tblLook w:firstRow="1" w:lastRow="0" w:firstColumn="0" w:lastColumn="0" w:noHBand="0" w:noVBand="0" w:val="0020"/>
        <w:jc w:val="start"/>
      </w:tblPr>
      <w:tblGrid>
        <w:gridCol w:w="698"/>
        <w:gridCol w:w="1667"/>
        <w:gridCol w:w="1235"/>
        <w:gridCol w:w="742"/>
        <w:gridCol w:w="1124"/>
        <w:gridCol w:w="1613"/>
        <w:gridCol w:w="1100"/>
        <w:gridCol w:w="1268"/>
        <w:gridCol w:w="1213"/>
        <w:gridCol w:w="1708"/>
        <w:gridCol w:w="2197"/>
      </w:tblGrid>
      <w:tr>
        <w:trPr>
          <w:tblHeader w:val="true"/>
        </w:trPr>
        <w:tc>
          <w:tcPr>
            <w:tcW w:w="698" w:type="dxa"/>
          </w:tcPr>
          <w:tcPr/>
          <w:p>
            <w:pPr>
              <w:pStyle w:val="Compact"/>
              <w:jc w:val="left"/>
            </w:pPr>
            <w:r>
              <w:t xml:space="preserve">Opérateur (fiche)</w:t>
            </w:r>
          </w:p>
        </w:tc>
        <w:tc>
          <w:tcPr>
            <w:tcW w:w="1667" w:type="dxa"/>
          </w:tcPr>
          <w:tcPr/>
          <w:p>
            <w:pPr>
              <w:pStyle w:val="Compact"/>
              <w:jc w:val="left"/>
            </w:pPr>
            <w:r>
              <w:t xml:space="preserve">Dernier exercice publié / audité (opinion)</w:t>
            </w:r>
          </w:p>
        </w:tc>
        <w:tc>
          <w:tcPr>
            <w:tcW w:w="1235" w:type="dxa"/>
          </w:tcPr>
          <w:tcPr/>
          <w:p>
            <w:pPr>
              <w:pStyle w:val="Compact"/>
              <w:jc w:val="left"/>
            </w:pPr>
            <w:r>
              <w:t xml:space="preserve">Résultat net</w:t>
            </w:r>
          </w:p>
        </w:tc>
        <w:tc>
          <w:tcPr>
            <w:tcW w:w="742" w:type="dxa"/>
          </w:tcPr>
          <w:tcPr/>
          <w:p>
            <w:pPr>
              <w:pStyle w:val="Compact"/>
              <w:jc w:val="left"/>
            </w:pPr>
            <w:r>
              <w:t xml:space="preserve">Recouvrement</w:t>
            </w:r>
          </w:p>
        </w:tc>
        <w:tc>
          <w:tcPr>
            <w:tcW w:w="1124" w:type="dxa"/>
          </w:tcPr>
          <w:tcPr/>
          <w:p>
            <w:pPr>
              <w:pStyle w:val="Compact"/>
              <w:jc w:val="left"/>
            </w:pPr>
            <w:r>
              <w:t xml:space="preserve">Pertes</w:t>
            </w:r>
          </w:p>
        </w:tc>
        <w:tc>
          <w:tcPr>
            <w:tcW w:w="1613" w:type="dxa"/>
          </w:tcPr>
          <w:tcPr/>
          <w:p>
            <w:pPr>
              <w:pStyle w:val="Compact"/>
              <w:jc w:val="left"/>
            </w:pPr>
            <w:r>
              <w:t xml:space="preserve">Recette vs coût /kWh (ratio)</w:t>
            </w:r>
          </w:p>
        </w:tc>
        <w:tc>
          <w:tcPr>
            <w:tcW w:w="1100" w:type="dxa"/>
          </w:tcPr>
          <w:tcPr/>
          <w:p>
            <w:pPr>
              <w:pStyle w:val="Compact"/>
              <w:jc w:val="left"/>
            </w:pPr>
            <w:r>
              <w:t xml:space="preserve">Arriérés de l’État → opérateur</w:t>
            </w:r>
          </w:p>
        </w:tc>
        <w:tc>
          <w:tcPr>
            <w:tcW w:w="1268" w:type="dxa"/>
          </w:tcPr>
          <w:tcPr/>
          <w:p>
            <w:pPr>
              <w:pStyle w:val="Compact"/>
              <w:jc w:val="left"/>
            </w:pPr>
            <w:r>
              <w:t xml:space="preserve">Dettes envers IPP / fournisseurs</w:t>
            </w:r>
          </w:p>
        </w:tc>
        <w:tc>
          <w:tcPr>
            <w:tcW w:w="1213" w:type="dxa"/>
          </w:tcPr>
          <w:tcPr/>
          <w:p>
            <w:pPr>
              <w:pStyle w:val="Compact"/>
              <w:jc w:val="left"/>
            </w:pPr>
            <w:r>
              <w:t xml:space="preserve">Transferts publics</w:t>
            </w:r>
          </w:p>
        </w:tc>
        <w:tc>
          <w:tcPr>
            <w:tcW w:w="1708" w:type="dxa"/>
          </w:tcPr>
          <w:tcPr/>
          <w:p>
            <w:pPr>
              <w:pStyle w:val="Compact"/>
              <w:jc w:val="left"/>
            </w:pPr>
            <w:r>
              <w:t xml:space="preserve">Programmes BM/BAD principaux (ID)</w:t>
            </w:r>
          </w:p>
        </w:tc>
        <w:tc>
          <w:tcPr>
            <w:tcW w:w="2197" w:type="dxa"/>
          </w:tcPr>
          <w:tcPr/>
          <w:p>
            <w:pPr>
              <w:pStyle w:val="Compact"/>
              <w:jc w:val="left"/>
            </w:pPr>
            <w:r>
              <w:t xml:space="preserve">Principal écart pacte↔réalité</w:t>
            </w:r>
          </w:p>
        </w:tc>
      </w:tr>
      <w:tr>
        <w:tc>
          <w:tcPr>
            <w:tcW w:w="698" w:type="dxa"/>
          </w:tcPr>
          <w:tcPr/>
          <w:p>
            <w:pPr>
              <w:pStyle w:val="Compact"/>
              <w:jc w:val="left"/>
            </w:pPr>
            <w:r>
              <w:t xml:space="preserve">REGIDESO (BDI)</w:t>
            </w:r>
          </w:p>
        </w:tc>
        <w:tc>
          <w:tcPr>
            <w:tcW w:w="1667" w:type="dxa"/>
          </w:tcPr>
          <w:tcPr/>
          <w:p>
            <w:pPr>
              <w:pStyle w:val="Compact"/>
              <w:jc w:val="left"/>
            </w:pPr>
            <w:r>
              <w:t xml:space="preserve">Non publiés (« unpublished ») [V] ; comptes 2020-23 promis déc. 2025, en retard</w:t>
            </w:r>
          </w:p>
        </w:tc>
        <w:tc>
          <w:tcPr>
            <w:tcW w:w="1235" w:type="dxa"/>
          </w:tcPr>
          <w:tcPr/>
          <w:p>
            <w:pPr>
              <w:pStyle w:val="Compact"/>
              <w:jc w:val="left"/>
            </w:pPr>
            <w:r>
              <w:t xml:space="preserve">Pertes 2017-19 ; trésorerie améliorée depuis 2021 [V]</w:t>
            </w:r>
          </w:p>
        </w:tc>
        <w:tc>
          <w:tcPr>
            <w:tcW w:w="742" w:type="dxa"/>
          </w:tcPr>
          <w:tcPr/>
          <w:p>
            <w:pPr>
              <w:pStyle w:val="Compact"/>
              <w:jc w:val="left"/>
            </w:pPr>
            <w:r>
              <w:t xml:space="preserve">75 % des montants facturés (2024) [V]</w:t>
            </w:r>
          </w:p>
        </w:tc>
        <w:tc>
          <w:tcPr>
            <w:tcW w:w="1124" w:type="dxa"/>
          </w:tcPr>
          <w:tcPr/>
          <w:p>
            <w:pPr>
              <w:pStyle w:val="Compact"/>
              <w:jc w:val="left"/>
            </w:pPr>
            <w:r>
              <w:t xml:space="preserve">≈ 30-32 % (2024) [V]</w:t>
            </w:r>
          </w:p>
        </w:tc>
        <w:tc>
          <w:tcPr>
            <w:tcW w:w="1613" w:type="dxa"/>
          </w:tcPr>
          <w:tcPr/>
          <w:p>
            <w:pPr>
              <w:pStyle w:val="Compact"/>
              <w:jc w:val="left"/>
            </w:pPr>
            <w:r>
              <w:t xml:space="preserve">Tarifs &lt; coûts incrémentaux (CMLT 170 USD/MWh) ; coût moyen 9,4 c (pacte) ; ratio [?]</w:t>
            </w:r>
          </w:p>
        </w:tc>
        <w:tc>
          <w:tcPr>
            <w:tcW w:w="1100" w:type="dxa"/>
          </w:tcPr>
          <w:tcPr/>
          <w:p>
            <w:pPr>
              <w:pStyle w:val="Compact"/>
              <w:jc w:val="left"/>
            </w:pPr>
            <w:r>
              <w:t xml:space="preserve">60 Md BIF (non daté) [S]</w:t>
            </w:r>
          </w:p>
        </w:tc>
        <w:tc>
          <w:tcPr>
            <w:tcW w:w="1268" w:type="dxa"/>
          </w:tcPr>
          <w:tcPr/>
          <w:p>
            <w:pPr>
              <w:pStyle w:val="Compact"/>
              <w:jc w:val="left"/>
            </w:pPr>
            <w:r>
              <w:t xml:space="preserve">[?]</w:t>
            </w:r>
          </w:p>
        </w:tc>
        <w:tc>
          <w:tcPr>
            <w:tcW w:w="1213" w:type="dxa"/>
          </w:tcPr>
          <w:tcPr/>
          <w:p>
            <w:pPr>
              <w:pStyle w:val="Compact"/>
              <w:jc w:val="left"/>
            </w:pPr>
            <w:r>
              <w:t xml:space="preserve">[?]</w:t>
            </w:r>
          </w:p>
        </w:tc>
        <w:tc>
          <w:tcPr>
            <w:tcW w:w="1708" w:type="dxa"/>
          </w:tcPr>
          <w:tcPr/>
          <w:p>
            <w:pPr>
              <w:pStyle w:val="Compact"/>
              <w:jc w:val="left"/>
            </w:pPr>
            <w:r>
              <w:t xml:space="preserve">ASCENT Burundi P181494 (100 M + AF P508909) ; Ruzizi 3 P510120 ; BAD accès 110 M</w:t>
            </w:r>
          </w:p>
        </w:tc>
        <w:tc>
          <w:tcPr>
            <w:tcW w:w="2197" w:type="dxa"/>
          </w:tcPr>
          <w:tcPr/>
          <w:p>
            <w:pPr>
              <w:pStyle w:val="Compact"/>
              <w:jc w:val="left"/>
            </w:pPr>
            <w:r>
              <w:t xml:space="preserve">ASCENT : 0 raccordement, 0 PBC atteinte (août 2026), alors que le rapport du pacte revendique ≈ 900 000 accès en 2025</w:t>
            </w:r>
          </w:p>
        </w:tc>
      </w:tr>
      <w:tr>
        <w:tc>
          <w:tcPr>
            <w:tcW w:w="698" w:type="dxa"/>
          </w:tcPr>
          <w:tcPr/>
          <w:p>
            <w:pPr>
              <w:pStyle w:val="Compact"/>
              <w:jc w:val="left"/>
            </w:pPr>
            <w:r>
              <w:t xml:space="preserve">SBEE (BEN)</w:t>
            </w:r>
          </w:p>
        </w:tc>
        <w:tc>
          <w:tcPr>
            <w:tcW w:w="1667" w:type="dxa"/>
          </w:tcPr>
          <w:tcPr/>
          <w:p>
            <w:pPr>
              <w:pStyle w:val="Compact"/>
              <w:jc w:val="left"/>
            </w:pPr>
            <w:r>
              <w:t xml:space="preserve">2025 provisoire, non audité [V] ; repère FMI de publication 2022-24 [?]</w:t>
            </w:r>
          </w:p>
        </w:tc>
        <w:tc>
          <w:tcPr>
            <w:tcW w:w="1235" w:type="dxa"/>
          </w:tcPr>
          <w:tcPr/>
          <w:p>
            <w:pPr>
              <w:pStyle w:val="Compact"/>
              <w:jc w:val="left"/>
            </w:pPr>
            <w:r>
              <w:t xml:space="preserve">+13,9 Md FCFA (2025) [V]</w:t>
            </w:r>
          </w:p>
        </w:tc>
        <w:tc>
          <w:tcPr>
            <w:tcW w:w="742" w:type="dxa"/>
          </w:tcPr>
          <w:tcPr/>
          <w:p>
            <w:pPr>
              <w:pStyle w:val="Compact"/>
              <w:jc w:val="left"/>
            </w:pPr>
            <w:r>
              <w:t xml:space="preserve">[?]</w:t>
            </w:r>
          </w:p>
        </w:tc>
        <w:tc>
          <w:tcPr>
            <w:tcW w:w="1124" w:type="dxa"/>
          </w:tcPr>
          <w:tcPr/>
          <w:p>
            <w:pPr>
              <w:pStyle w:val="Compact"/>
              <w:jc w:val="left"/>
            </w:pPr>
            <w:r>
              <w:t xml:space="preserve">19,51 % (2025) contre 25,22 % (2024) [V]</w:t>
            </w:r>
          </w:p>
        </w:tc>
        <w:tc>
          <w:tcPr>
            <w:tcW w:w="1613" w:type="dxa"/>
          </w:tcPr>
          <w:tcPr/>
          <w:p>
            <w:pPr>
              <w:pStyle w:val="Compact"/>
              <w:jc w:val="left"/>
            </w:pPr>
            <w:r>
              <w:t xml:space="preserve">[?] ; tarif social 88 FCFA/kWh</w:t>
            </w:r>
          </w:p>
        </w:tc>
        <w:tc>
          <w:tcPr>
            <w:tcW w:w="1100" w:type="dxa"/>
          </w:tcPr>
          <w:tcPr/>
          <w:p>
            <w:pPr>
              <w:pStyle w:val="Compact"/>
              <w:jc w:val="left"/>
            </w:pPr>
            <w:r>
              <w:t xml:space="preserve">[?]</w:t>
            </w:r>
          </w:p>
        </w:tc>
        <w:tc>
          <w:tcPr>
            <w:tcW w:w="1268" w:type="dxa"/>
          </w:tcPr>
          <w:tcPr/>
          <w:p>
            <w:pPr>
              <w:pStyle w:val="Compact"/>
              <w:jc w:val="left"/>
            </w:pPr>
            <w:r>
              <w:t xml:space="preserve">[?] (SBPE/CEB inconnues)</w:t>
            </w:r>
          </w:p>
        </w:tc>
        <w:tc>
          <w:tcPr>
            <w:tcW w:w="1213" w:type="dxa"/>
          </w:tcPr>
          <w:tcPr/>
          <w:p>
            <w:pPr>
              <w:pStyle w:val="Compact"/>
              <w:jc w:val="left"/>
            </w:pPr>
            <w:r>
              <w:t xml:space="preserve">« Zéro subvention » (FMI) [V]</w:t>
            </w:r>
          </w:p>
        </w:tc>
        <w:tc>
          <w:tcPr>
            <w:tcW w:w="1708" w:type="dxa"/>
          </w:tcPr>
          <w:tcPr/>
          <w:p>
            <w:pPr>
              <w:pStyle w:val="Compact"/>
              <w:jc w:val="left"/>
            </w:pPr>
            <w:r>
              <w:t xml:space="preserve">BEAS P173749 (56,7 % décaissé) ; DPF P181457 ; BAD PERU II</w:t>
            </w:r>
          </w:p>
        </w:tc>
        <w:tc>
          <w:tcPr>
            <w:tcW w:w="2197" w:type="dxa"/>
          </w:tcPr>
          <w:tcPr/>
          <w:p>
            <w:pPr>
              <w:pStyle w:val="Compact"/>
              <w:jc w:val="left"/>
            </w:pPr>
            <w:r>
              <w:t xml:space="preserve">Pacte</w:t>
            </w:r>
            <w:r>
              <w:t xml:space="preserve"> </w:t>
            </w:r>
            <w:r>
              <w:rPr>
                <w:bCs/>
                <w:b/>
              </w:rPr>
              <w:t xml:space="preserve">plus pessimiste</w:t>
            </w:r>
            <w:r>
              <w:t xml:space="preserve"> </w:t>
            </w:r>
            <w:r>
              <w:t xml:space="preserve">: pertes de 22-25 % contre 19,5 % ; règlement ARE 2025 non cité</w:t>
            </w:r>
          </w:p>
        </w:tc>
      </w:tr>
      <w:tr>
        <w:tc>
          <w:tcPr>
            <w:tcW w:w="698" w:type="dxa"/>
          </w:tcPr>
          <w:tcPr/>
          <w:p>
            <w:pPr>
              <w:pStyle w:val="Compact"/>
              <w:jc w:val="left"/>
            </w:pPr>
            <w:r>
              <w:t xml:space="preserve">SONABEL (BFA)</w:t>
            </w:r>
          </w:p>
        </w:tc>
        <w:tc>
          <w:tcPr>
            <w:tcW w:w="1667" w:type="dxa"/>
          </w:tcPr>
          <w:tcPr/>
          <w:p>
            <w:pPr>
              <w:pStyle w:val="Compact"/>
              <w:jc w:val="left"/>
            </w:pPr>
            <w:r>
              <w:t xml:space="preserve">Rapport d’activités 2024 non trouvé [?] ; reporting trimestriel au FMI</w:t>
            </w:r>
          </w:p>
        </w:tc>
        <w:tc>
          <w:tcPr>
            <w:tcW w:w="1235" w:type="dxa"/>
          </w:tcPr>
          <w:tcPr/>
          <w:p>
            <w:pPr>
              <w:pStyle w:val="Compact"/>
              <w:jc w:val="left"/>
            </w:pPr>
            <w:r>
              <w:t xml:space="preserve">Marge 4,24 % (2024, pacte), « administrée »</w:t>
            </w:r>
          </w:p>
        </w:tc>
        <w:tc>
          <w:tcPr>
            <w:tcW w:w="742" w:type="dxa"/>
          </w:tcPr>
          <w:tcPr/>
          <w:p>
            <w:pPr>
              <w:pStyle w:val="Compact"/>
              <w:jc w:val="left"/>
            </w:pPr>
            <w:r>
              <w:t xml:space="preserve">[?]</w:t>
            </w:r>
          </w:p>
        </w:tc>
        <w:tc>
          <w:tcPr>
            <w:tcW w:w="1124" w:type="dxa"/>
          </w:tcPr>
          <w:tcPr/>
          <w:p>
            <w:pPr>
              <w:pStyle w:val="Compact"/>
              <w:jc w:val="left"/>
            </w:pPr>
            <w:r>
              <w:t xml:space="preserve">[?]</w:t>
            </w:r>
          </w:p>
        </w:tc>
        <w:tc>
          <w:tcPr>
            <w:tcW w:w="1613" w:type="dxa"/>
          </w:tcPr>
          <w:tcPr/>
          <w:p>
            <w:pPr>
              <w:pStyle w:val="Compact"/>
              <w:jc w:val="left"/>
            </w:pPr>
            <w:r>
              <w:t xml:space="preserve">Coût ≈ 0,22 USD/kWh [V] ; recette [?]</w:t>
            </w:r>
          </w:p>
        </w:tc>
        <w:tc>
          <w:tcPr>
            <w:tcW w:w="1100" w:type="dxa"/>
          </w:tcPr>
          <w:tcPr/>
          <w:p>
            <w:pPr>
              <w:pStyle w:val="Compact"/>
              <w:jc w:val="left"/>
            </w:pPr>
            <w:r>
              <w:t xml:space="preserve">41,66 M USD (pacte)</w:t>
            </w:r>
          </w:p>
        </w:tc>
        <w:tc>
          <w:tcPr>
            <w:tcW w:w="1268" w:type="dxa"/>
          </w:tcPr>
          <w:tcPr/>
          <w:p>
            <w:pPr>
              <w:pStyle w:val="Compact"/>
              <w:jc w:val="left"/>
            </w:pPr>
            <w:r>
              <w:t xml:space="preserve">Dettes fournisseurs 174,75 M USD ; dette financière 438,08 M USD (pacte)</w:t>
            </w:r>
          </w:p>
        </w:tc>
        <w:tc>
          <w:tcPr>
            <w:tcW w:w="1213" w:type="dxa"/>
          </w:tcPr>
          <w:tcPr/>
          <w:p>
            <w:pPr>
              <w:pStyle w:val="Compact"/>
              <w:jc w:val="left"/>
            </w:pPr>
            <w:r>
              <w:t xml:space="preserve">Subvention combustibles 96,2 Md FCFA (2025) [V], maintenue en 2026</w:t>
            </w:r>
          </w:p>
        </w:tc>
        <w:tc>
          <w:tcPr>
            <w:tcW w:w="1708" w:type="dxa"/>
          </w:tcPr>
          <w:tcPr/>
          <w:p>
            <w:pPr>
              <w:pStyle w:val="Compact"/>
              <w:jc w:val="left"/>
            </w:pPr>
            <w:r>
              <w:t xml:space="preserve">SOLEER P166785 + AF2 P515428 ; BAD Desert to Power (PEDECEL, Yeleen)</w:t>
            </w:r>
          </w:p>
        </w:tc>
        <w:tc>
          <w:tcPr>
            <w:tcW w:w="2197" w:type="dxa"/>
          </w:tcPr>
          <w:tcPr/>
          <w:p>
            <w:pPr>
              <w:pStyle w:val="Compact"/>
              <w:jc w:val="left"/>
            </w:pPr>
            <w:r>
              <w:t xml:space="preserve">1 029 MW de PPA thermiques omis ; subvention en hausse alors que le pacte vise la couverture des coûts en 2030</w:t>
            </w:r>
          </w:p>
        </w:tc>
      </w:tr>
      <w:tr>
        <w:tc>
          <w:tcPr>
            <w:tcW w:w="698" w:type="dxa"/>
          </w:tcPr>
          <w:tcPr/>
          <w:p>
            <w:pPr>
              <w:pStyle w:val="Compact"/>
              <w:jc w:val="left"/>
            </w:pPr>
            <w:r>
              <w:t xml:space="preserve">BPC (BWA)</w:t>
            </w:r>
          </w:p>
        </w:tc>
        <w:tc>
          <w:tcPr>
            <w:tcW w:w="1667" w:type="dxa"/>
          </w:tcPr>
          <w:tcPr/>
          <w:p>
            <w:pPr>
              <w:pStyle w:val="Compact"/>
              <w:jc w:val="left"/>
            </w:pPr>
            <w:r>
              <w:t xml:space="preserve">2023/24 audité [V] ; 2024/25 non audité</w:t>
            </w:r>
          </w:p>
        </w:tc>
        <w:tc>
          <w:tcPr>
            <w:tcW w:w="1235" w:type="dxa"/>
          </w:tcPr>
          <w:tcPr/>
          <w:p>
            <w:pPr>
              <w:pStyle w:val="Compact"/>
              <w:jc w:val="left"/>
            </w:pPr>
            <w:r>
              <w:t xml:space="preserve">−397 M BWP prévus en 2026/27 ; pertes récurrentes [V/S]</w:t>
            </w:r>
          </w:p>
        </w:tc>
        <w:tc>
          <w:tcPr>
            <w:tcW w:w="742" w:type="dxa"/>
          </w:tcPr>
          <w:tcPr/>
          <w:p>
            <w:pPr>
              <w:pStyle w:val="Compact"/>
              <w:jc w:val="left"/>
            </w:pPr>
            <w:r>
              <w:t xml:space="preserve">[?]</w:t>
            </w:r>
          </w:p>
        </w:tc>
        <w:tc>
          <w:tcPr>
            <w:tcW w:w="1124" w:type="dxa"/>
          </w:tcPr>
          <w:tcPr/>
          <w:p>
            <w:pPr>
              <w:pStyle w:val="Compact"/>
              <w:jc w:val="left"/>
            </w:pPr>
            <w:r>
              <w:t xml:space="preserve">T&amp;D 15,35 % (2021) [V]</w:t>
            </w:r>
          </w:p>
        </w:tc>
        <w:tc>
          <w:tcPr>
            <w:tcW w:w="1613" w:type="dxa"/>
          </w:tcPr>
          <w:tcPr/>
          <w:p>
            <w:pPr>
              <w:pStyle w:val="Compact"/>
              <w:jc w:val="left"/>
            </w:pPr>
            <w:r>
              <w:t xml:space="preserve">127/238 thebe (2024) →</w:t>
            </w:r>
            <w:r>
              <w:t xml:space="preserve"> </w:t>
            </w:r>
            <w:r>
              <w:rPr>
                <w:bCs/>
                <w:b/>
              </w:rPr>
              <w:t xml:space="preserve">≈ 53 %</w:t>
            </w:r>
            <w:r>
              <w:t xml:space="preserve"> </w:t>
            </w:r>
            <w:r>
              <w:t xml:space="preserve">[E] ; 148/249 (prév. 2026)</w:t>
            </w:r>
          </w:p>
        </w:tc>
        <w:tc>
          <w:tcPr>
            <w:tcW w:w="1100" w:type="dxa"/>
          </w:tcPr>
          <w:tcPr/>
          <w:p>
            <w:pPr>
              <w:pStyle w:val="Compact"/>
              <w:jc w:val="left"/>
            </w:pPr>
            <w:r>
              <w:t xml:space="preserve">[?]</w:t>
            </w:r>
          </w:p>
        </w:tc>
        <w:tc>
          <w:tcPr>
            <w:tcW w:w="1268" w:type="dxa"/>
          </w:tcPr>
          <w:tcPr/>
          <w:p>
            <w:pPr>
              <w:pStyle w:val="Compact"/>
              <w:jc w:val="left"/>
            </w:pPr>
            <w:r>
              <w:t xml:space="preserve">Prêt ICBC 825 M USD ; fournisseurs 3,1 Md BWP (2023, pacte)</w:t>
            </w:r>
          </w:p>
        </w:tc>
        <w:tc>
          <w:tcPr>
            <w:tcW w:w="1213" w:type="dxa"/>
          </w:tcPr>
          <w:tcPr/>
          <w:p>
            <w:pPr>
              <w:pStyle w:val="Compact"/>
              <w:jc w:val="left"/>
            </w:pPr>
            <w:r>
              <w:t xml:space="preserve">400 M BWP (2023) ; 0 demandé en 2026/27</w:t>
            </w:r>
          </w:p>
        </w:tc>
        <w:tc>
          <w:tcPr>
            <w:tcW w:w="1708" w:type="dxa"/>
          </w:tcPr>
          <w:tcPr/>
          <w:p>
            <w:pPr>
              <w:pStyle w:val="Compact"/>
              <w:jc w:val="left"/>
            </w:pPr>
            <w:r>
              <w:t xml:space="preserve">RESAA P181221 (non effectif, 0 %) ; BAD : étude de coût de service</w:t>
            </w:r>
          </w:p>
        </w:tc>
        <w:tc>
          <w:tcPr>
            <w:tcW w:w="2197" w:type="dxa"/>
          </w:tcPr>
          <w:tcPr/>
          <w:p>
            <w:pPr>
              <w:pStyle w:val="Compact"/>
              <w:jc w:val="left"/>
            </w:pPr>
            <w:r>
              <w:t xml:space="preserve">Le pacte cite 127/159 (2023) et omet le saut du coût à 238 en 2024</w:t>
            </w:r>
          </w:p>
        </w:tc>
      </w:tr>
      <w:tr>
        <w:tc>
          <w:tcPr>
            <w:tcW w:w="698" w:type="dxa"/>
          </w:tcPr>
          <w:tcPr/>
          <w:p>
            <w:pPr>
              <w:pStyle w:val="Compact"/>
              <w:jc w:val="left"/>
            </w:pPr>
            <w:r>
              <w:t xml:space="preserve">ENERCA (CAF)</w:t>
            </w:r>
          </w:p>
        </w:tc>
        <w:tc>
          <w:tcPr>
            <w:tcW w:w="1667" w:type="dxa"/>
          </w:tcPr>
          <w:tcPr/>
          <w:p>
            <w:pPr>
              <w:pStyle w:val="Compact"/>
              <w:jc w:val="left"/>
            </w:pPr>
            <w:r>
              <w:t xml:space="preserve">Audits 2021 (SDFP) ; rapports du MFB 2021-23 non lus [?]</w:t>
            </w:r>
          </w:p>
        </w:tc>
        <w:tc>
          <w:tcPr>
            <w:tcW w:w="1235" w:type="dxa"/>
          </w:tcPr>
          <w:tcPr/>
          <w:p>
            <w:pPr>
              <w:pStyle w:val="Compact"/>
              <w:jc w:val="left"/>
            </w:pPr>
            <w:r>
              <w:t xml:space="preserve">« Bénéfices étonnamment élevés » (2023, FMI) [V]</w:t>
            </w:r>
          </w:p>
        </w:tc>
        <w:tc>
          <w:tcPr>
            <w:tcW w:w="742" w:type="dxa"/>
          </w:tcPr>
          <w:tcPr/>
          <w:p>
            <w:pPr>
              <w:pStyle w:val="Compact"/>
              <w:jc w:val="left"/>
            </w:pPr>
            <w:r>
              <w:t xml:space="preserve">67 % (2017) [V] ; 86,2 % (pacte)</w:t>
            </w:r>
          </w:p>
        </w:tc>
        <w:tc>
          <w:tcPr>
            <w:tcW w:w="1124" w:type="dxa"/>
          </w:tcPr>
          <w:tcPr/>
          <w:p>
            <w:pPr>
              <w:pStyle w:val="Compact"/>
              <w:jc w:val="left"/>
            </w:pPr>
            <w:r>
              <w:t xml:space="preserve">40 % (2019) [V] ; 20 % (pacte)</w:t>
            </w:r>
          </w:p>
        </w:tc>
        <w:tc>
          <w:tcPr>
            <w:tcW w:w="1613" w:type="dxa"/>
          </w:tcPr>
          <w:tcPr/>
          <w:p>
            <w:pPr>
              <w:pStyle w:val="Compact"/>
              <w:jc w:val="left"/>
            </w:pPr>
            <w:r>
              <w:t xml:space="preserve">Recouvrement effectif des coûts</w:t>
            </w:r>
            <w:r>
              <w:t xml:space="preserve"> </w:t>
            </w:r>
            <w:r>
              <w:rPr>
                <w:bCs/>
                <w:b/>
              </w:rPr>
              <w:t xml:space="preserve">55 %</w:t>
            </w:r>
            <w:r>
              <w:t xml:space="preserve"> </w:t>
            </w:r>
            <w:r>
              <w:t xml:space="preserve">(2019) [V]</w:t>
            </w:r>
          </w:p>
        </w:tc>
        <w:tc>
          <w:tcPr>
            <w:tcW w:w="1100" w:type="dxa"/>
          </w:tcPr>
          <w:tcPr/>
          <w:p>
            <w:pPr>
              <w:pStyle w:val="Compact"/>
              <w:jc w:val="left"/>
            </w:pPr>
            <w:r>
              <w:rPr>
                <w:bCs/>
                <w:b/>
              </w:rPr>
              <w:t xml:space="preserve">Soldés en déc. 2023</w:t>
            </w:r>
            <w:r>
              <w:t xml:space="preserve"> </w:t>
            </w:r>
            <w:r>
              <w:t xml:space="preserve">[V] ; 52 Md FCFA d’impayés (pacte, tous clients)</w:t>
            </w:r>
          </w:p>
        </w:tc>
        <w:tc>
          <w:tcPr>
            <w:tcW w:w="1268" w:type="dxa"/>
          </w:tcPr>
          <w:tcPr/>
          <w:p>
            <w:pPr>
              <w:pStyle w:val="Compact"/>
              <w:jc w:val="left"/>
            </w:pPr>
            <w:r>
              <w:t xml:space="preserve">55,3 % de la dette des EP [V]</w:t>
            </w:r>
          </w:p>
        </w:tc>
        <w:tc>
          <w:tcPr>
            <w:tcW w:w="1213" w:type="dxa"/>
          </w:tcPr>
          <w:tcPr/>
          <w:p>
            <w:pPr>
              <w:pStyle w:val="Compact"/>
              <w:jc w:val="left"/>
            </w:pPr>
            <w:r>
              <w:t xml:space="preserve">[?]</w:t>
            </w:r>
          </w:p>
        </w:tc>
        <w:tc>
          <w:tcPr>
            <w:tcW w:w="1708" w:type="dxa"/>
          </w:tcPr>
          <w:tcPr/>
          <w:p>
            <w:pPr>
              <w:pStyle w:val="Compact"/>
              <w:jc w:val="left"/>
            </w:pPr>
            <w:r>
              <w:t xml:space="preserve">PARSE P176683 (IDA 33,6 % décaissé) ; PURACEL P164885 (ICR satisfaisant)</w:t>
            </w:r>
          </w:p>
        </w:tc>
        <w:tc>
          <w:tcPr>
            <w:tcW w:w="2197" w:type="dxa"/>
          </w:tcPr>
          <w:tcPr/>
          <w:p>
            <w:pPr>
              <w:pStyle w:val="Compact"/>
              <w:jc w:val="left"/>
            </w:pPr>
            <w:r>
              <w:t xml:space="preserve">Crise décrite par le pacte contre profits 2023 ; pertes de 20 % non documentées</w:t>
            </w:r>
          </w:p>
        </w:tc>
      </w:tr>
      <w:tr>
        <w:tc>
          <w:tcPr>
            <w:tcW w:w="698" w:type="dxa"/>
          </w:tcPr>
          <w:tcPr/>
          <w:p>
            <w:pPr>
              <w:pStyle w:val="Compact"/>
              <w:jc w:val="left"/>
            </w:pPr>
            <w:r>
              <w:t xml:space="preserve">CIE / CI-ENERGIES (CIV)</w:t>
            </w:r>
          </w:p>
        </w:tc>
        <w:tc>
          <w:tcPr>
            <w:tcW w:w="1667" w:type="dxa"/>
          </w:tcPr>
          <w:tcPr/>
          <w:p>
            <w:pPr>
              <w:pStyle w:val="Compact"/>
              <w:jc w:val="left"/>
            </w:pPr>
            <w:r>
              <w:t xml:space="preserve">CIE 2025 (BRVM) [V/S] ; CI-ENERGIES 2023 (rapport de gestion), rien après</w:t>
            </w:r>
          </w:p>
        </w:tc>
        <w:tc>
          <w:tcPr>
            <w:tcW w:w="1235" w:type="dxa"/>
          </w:tcPr>
          <w:tcPr/>
          <w:p>
            <w:pPr>
              <w:pStyle w:val="Compact"/>
              <w:jc w:val="left"/>
            </w:pPr>
            <w:r>
              <w:t xml:space="preserve">CIE +13,13 Md FCFA (2025) ; secteur [?]</w:t>
            </w:r>
          </w:p>
        </w:tc>
        <w:tc>
          <w:tcPr>
            <w:tcW w:w="742" w:type="dxa"/>
          </w:tcPr>
          <w:tcPr/>
          <w:p>
            <w:pPr>
              <w:pStyle w:val="Compact"/>
              <w:jc w:val="left"/>
            </w:pPr>
            <w:r>
              <w:t xml:space="preserve">[?]</w:t>
            </w:r>
          </w:p>
        </w:tc>
        <w:tc>
          <w:tcPr>
            <w:tcW w:w="1124" w:type="dxa"/>
          </w:tcPr>
          <w:tcPr/>
          <w:p>
            <w:pPr>
              <w:pStyle w:val="Compact"/>
              <w:jc w:val="left"/>
            </w:pPr>
            <w:r>
              <w:t xml:space="preserve">Rendement 83,7 % (2024) → ≈ 16,3 % [V/E]</w:t>
            </w:r>
          </w:p>
        </w:tc>
        <w:tc>
          <w:tcPr>
            <w:tcW w:w="1613" w:type="dxa"/>
          </w:tcPr>
          <w:tcPr/>
          <w:p>
            <w:pPr>
              <w:pStyle w:val="Compact"/>
              <w:jc w:val="left"/>
            </w:pPr>
            <w:r>
              <w:t xml:space="preserve">Ratio sectoriel</w:t>
            </w:r>
            <w:r>
              <w:t xml:space="preserve"> </w:t>
            </w:r>
            <w:r>
              <w:rPr>
                <w:bCs/>
                <w:b/>
              </w:rPr>
              <w:t xml:space="preserve">0,91</w:t>
            </w:r>
            <w:r>
              <w:t xml:space="preserve"> </w:t>
            </w:r>
            <w:r>
              <w:t xml:space="preserve">(2024), cible 1,10 en 2028 [V] ; recette 83 FCFA/kWh</w:t>
            </w:r>
          </w:p>
        </w:tc>
        <w:tc>
          <w:tcPr>
            <w:tcW w:w="1100" w:type="dxa"/>
          </w:tcPr>
          <w:tcPr/>
          <w:p>
            <w:pPr>
              <w:pStyle w:val="Compact"/>
              <w:jc w:val="left"/>
            </w:pPr>
            <w:r>
              <w:t xml:space="preserve">28,2 Md FCFA ; export 130 Md, dont EDM-Mali 106 Md (pacte)</w:t>
            </w:r>
          </w:p>
        </w:tc>
        <w:tc>
          <w:tcPr>
            <w:tcW w:w="1268" w:type="dxa"/>
          </w:tcPr>
          <w:tcPr/>
          <w:p>
            <w:pPr>
              <w:pStyle w:val="Compact"/>
              <w:jc w:val="left"/>
            </w:pPr>
            <w:r>
              <w:t xml:space="preserve">364,18 Md FCFA envers les IPP (2023, pacte)</w:t>
            </w:r>
          </w:p>
        </w:tc>
        <w:tc>
          <w:tcPr>
            <w:tcW w:w="1213" w:type="dxa"/>
          </w:tcPr>
          <w:tcPr/>
          <w:p>
            <w:pPr>
              <w:pStyle w:val="Compact"/>
              <w:jc w:val="left"/>
            </w:pPr>
            <w:r>
              <w:t xml:space="preserve">130 Md FCFA (2023, pacte)</w:t>
            </w:r>
          </w:p>
        </w:tc>
        <w:tc>
          <w:tcPr>
            <w:tcW w:w="1708" w:type="dxa"/>
          </w:tcPr>
          <w:tcPr/>
          <w:p>
            <w:pPr>
              <w:pStyle w:val="Compact"/>
              <w:jc w:val="left"/>
            </w:pPr>
            <w:r>
              <w:t xml:space="preserve">NEDA P176776 (79 %) ; DPF1 P510901 ; REFI P510702 ; BAD PROSER I-II</w:t>
            </w:r>
          </w:p>
        </w:tc>
        <w:tc>
          <w:tcPr>
            <w:tcW w:w="2197" w:type="dxa"/>
          </w:tcPr>
          <w:tcPr/>
          <w:p>
            <w:pPr>
              <w:pStyle w:val="Compact"/>
              <w:jc w:val="left"/>
            </w:pPr>
            <w:r>
              <w:t xml:space="preserve">« Quasi-équilibre » contre ratio de 0,91 ; hausse de janv. 2024 et SAIDI de 26 h omis</w:t>
            </w:r>
          </w:p>
        </w:tc>
      </w:tr>
      <w:tr>
        <w:tc>
          <w:tcPr>
            <w:tcW w:w="698" w:type="dxa"/>
          </w:tcPr>
          <w:tcPr/>
          <w:p>
            <w:pPr>
              <w:pStyle w:val="Compact"/>
              <w:jc w:val="left"/>
            </w:pPr>
            <w:r>
              <w:t xml:space="preserve">ENEO → SOCADEL (CMR)</w:t>
            </w:r>
          </w:p>
        </w:tc>
        <w:tc>
          <w:tcPr>
            <w:tcW w:w="1667" w:type="dxa"/>
          </w:tcPr>
          <w:tcPr/>
          <w:p>
            <w:pPr>
              <w:pStyle w:val="Compact"/>
              <w:jc w:val="left"/>
            </w:pPr>
            <w:r>
              <w:t xml:space="preserve">Aucun compte trouvé [?] ; audits ARSEL non publiés (DLI 4)</w:t>
            </w:r>
          </w:p>
        </w:tc>
        <w:tc>
          <w:tcPr>
            <w:tcW w:w="1235" w:type="dxa"/>
          </w:tcPr>
          <w:tcPr/>
          <w:p>
            <w:pPr>
              <w:pStyle w:val="Compact"/>
              <w:jc w:val="left"/>
            </w:pPr>
            <w:r>
              <w:t xml:space="preserve">[?] ; « quasi-faillite » [V]</w:t>
            </w:r>
          </w:p>
        </w:tc>
        <w:tc>
          <w:tcPr>
            <w:tcW w:w="742" w:type="dxa"/>
          </w:tcPr>
          <w:tcPr/>
          <w:p>
            <w:pPr>
              <w:pStyle w:val="Compact"/>
              <w:jc w:val="left"/>
            </w:pPr>
            <w:r>
              <w:t xml:space="preserve">72 % (pacte)</w:t>
            </w:r>
          </w:p>
        </w:tc>
        <w:tc>
          <w:tcPr>
            <w:tcW w:w="1124" w:type="dxa"/>
          </w:tcPr>
          <w:tcPr/>
          <w:p>
            <w:pPr>
              <w:pStyle w:val="Compact"/>
              <w:jc w:val="left"/>
            </w:pPr>
            <w:r>
              <w:t xml:space="preserve">14 % + 14 % (2023, pacte)</w:t>
            </w:r>
          </w:p>
        </w:tc>
        <w:tc>
          <w:tcPr>
            <w:tcW w:w="1613" w:type="dxa"/>
          </w:tcPr>
          <w:tcPr/>
          <w:p>
            <w:pPr>
              <w:pStyle w:val="Compact"/>
              <w:jc w:val="left"/>
            </w:pPr>
            <w:r>
              <w:t xml:space="preserve">Écart MAR/recettes</w:t>
            </w:r>
            <w:r>
              <w:t xml:space="preserve"> </w:t>
            </w:r>
            <w:r>
              <w:rPr>
                <w:bCs/>
                <w:b/>
              </w:rPr>
              <w:t xml:space="preserve">9,5 %</w:t>
            </w:r>
            <w:r>
              <w:t xml:space="preserve">, figé 2022-26 [V]</w:t>
            </w:r>
          </w:p>
        </w:tc>
        <w:tc>
          <w:tcPr>
            <w:tcW w:w="1100" w:type="dxa"/>
          </w:tcPr>
          <w:tcPr/>
          <w:p>
            <w:pPr>
              <w:pStyle w:val="Compact"/>
              <w:jc w:val="left"/>
            </w:pPr>
            <w:r>
              <w:rPr>
                <w:bCs/>
                <w:b/>
              </w:rPr>
              <w:t xml:space="preserve">&gt; 700 Md FCFA</w:t>
            </w:r>
            <w:r>
              <w:t xml:space="preserve"> </w:t>
            </w:r>
            <w:r>
              <w:t xml:space="preserve">(FMI, fin 2024) ; 96 Md (BM, périmètre administrations) [V]</w:t>
            </w:r>
          </w:p>
        </w:tc>
        <w:tc>
          <w:tcPr>
            <w:tcW w:w="1268" w:type="dxa"/>
          </w:tcPr>
          <w:tcPr/>
          <w:p>
            <w:pPr>
              <w:pStyle w:val="Compact"/>
              <w:jc w:val="left"/>
            </w:pPr>
            <w:r>
              <w:t xml:space="preserve">≈ 800 Md, dont ≈ 500 Md fournisseurs (pacte) ; LC Nachtigal tirée &gt; 85 M EUR [V]</w:t>
            </w:r>
          </w:p>
        </w:tc>
        <w:tc>
          <w:tcPr>
            <w:tcW w:w="1213" w:type="dxa"/>
          </w:tcPr>
          <w:tcPr/>
          <w:p>
            <w:pPr>
              <w:pStyle w:val="Compact"/>
              <w:jc w:val="left"/>
            </w:pPr>
            <w:r>
              <w:t xml:space="preserve">Compensation 67 Md FCFA (2025, pacte)</w:t>
            </w:r>
          </w:p>
        </w:tc>
        <w:tc>
          <w:tcPr>
            <w:tcW w:w="1708" w:type="dxa"/>
          </w:tcPr>
          <w:tcPr/>
          <w:p>
            <w:pPr>
              <w:pStyle w:val="Compact"/>
              <w:jc w:val="left"/>
            </w:pPr>
            <w:r>
              <w:t xml:space="preserve">PRSEC P178136 (35,75 %, 0 DLI) ; DPF P180017 ; PIRECT P168185</w:t>
            </w:r>
          </w:p>
        </w:tc>
        <w:tc>
          <w:tcPr>
            <w:tcW w:w="2197" w:type="dxa"/>
          </w:tcPr>
          <w:tcPr/>
          <w:p>
            <w:pPr>
              <w:pStyle w:val="Compact"/>
              <w:jc w:val="left"/>
            </w:pPr>
            <w:r>
              <w:t xml:space="preserve">Arriérés publics : 82 Md (pacte) contre &gt; 700 Md (FMI)</w:t>
            </w:r>
          </w:p>
        </w:tc>
      </w:tr>
      <w:tr>
        <w:tc>
          <w:tcPr>
            <w:tcW w:w="698" w:type="dxa"/>
          </w:tcPr>
          <w:tcPr/>
          <w:p>
            <w:pPr>
              <w:pStyle w:val="Compact"/>
              <w:jc w:val="left"/>
            </w:pPr>
            <w:r>
              <w:t xml:space="preserve">SNEL (COD)</w:t>
            </w:r>
          </w:p>
        </w:tc>
        <w:tc>
          <w:tcPr>
            <w:tcW w:w="1667" w:type="dxa"/>
          </w:tcPr>
          <w:tcPr/>
          <w:p>
            <w:pPr>
              <w:pStyle w:val="Compact"/>
              <w:jc w:val="left"/>
            </w:pPr>
            <w:r>
              <w:t xml:space="preserve">Aucun accès public [?] (pacte : audités 2020)</w:t>
            </w:r>
          </w:p>
        </w:tc>
        <w:tc>
          <w:tcPr>
            <w:tcW w:w="1235" w:type="dxa"/>
          </w:tcPr>
          <w:tcPr/>
          <w:p>
            <w:pPr>
              <w:pStyle w:val="Compact"/>
              <w:jc w:val="left"/>
            </w:pPr>
            <w:r>
              <w:t xml:space="preserve">Marge « améliorée depuis 2022 » [V]</w:t>
            </w:r>
          </w:p>
        </w:tc>
        <w:tc>
          <w:tcPr>
            <w:tcW w:w="742" w:type="dxa"/>
          </w:tcPr>
          <w:tcPr/>
          <w:p>
            <w:pPr>
              <w:pStyle w:val="Compact"/>
              <w:jc w:val="left"/>
            </w:pPr>
            <w:r>
              <w:t xml:space="preserve">70,87 % (DPF, déc. 2025)</w:t>
            </w:r>
            <w:r>
              <w:t xml:space="preserve"> </w:t>
            </w:r>
            <w:r>
              <w:rPr>
                <w:bCs/>
                <w:b/>
              </w:rPr>
              <w:t xml:space="preserve">ou</w:t>
            </w:r>
            <w:r>
              <w:t xml:space="preserve"> </w:t>
            </w:r>
            <w:r>
              <w:t xml:space="preserve">60 % (AGREE, 2026) [V]</w:t>
            </w:r>
          </w:p>
        </w:tc>
        <w:tc>
          <w:tcPr>
            <w:tcW w:w="1124" w:type="dxa"/>
          </w:tcPr>
          <w:tcPr/>
          <w:p>
            <w:pPr>
              <w:pStyle w:val="Compact"/>
              <w:jc w:val="left"/>
            </w:pPr>
            <w:r>
              <w:rPr>
                <w:bCs/>
                <w:b/>
              </w:rPr>
              <w:t xml:space="preserve">49,06 %</w:t>
            </w:r>
            <w:r>
              <w:t xml:space="preserve"> </w:t>
            </w:r>
            <w:r>
              <w:t xml:space="preserve">(déc. 2025), en hausse [V]</w:t>
            </w:r>
          </w:p>
        </w:tc>
        <w:tc>
          <w:tcPr>
            <w:tcW w:w="1613" w:type="dxa"/>
          </w:tcPr>
          <w:tcPr/>
          <w:p>
            <w:pPr>
              <w:pStyle w:val="Compact"/>
              <w:jc w:val="left"/>
            </w:pPr>
            <w:r>
              <w:t xml:space="preserve">9 c contre 0,4 USD (pacte) ≈ 23 % [E, fragile]</w:t>
            </w:r>
          </w:p>
        </w:tc>
        <w:tc>
          <w:tcPr>
            <w:tcW w:w="1100" w:type="dxa"/>
          </w:tcPr>
          <w:tcPr/>
          <w:p>
            <w:pPr>
              <w:pStyle w:val="Compact"/>
              <w:jc w:val="left"/>
            </w:pPr>
            <w:r>
              <w:t xml:space="preserve">≈ 110 M USD (pacte) ; MoU 01/2025 [V]</w:t>
            </w:r>
          </w:p>
        </w:tc>
        <w:tc>
          <w:tcPr>
            <w:tcW w:w="1268" w:type="dxa"/>
          </w:tcPr>
          <w:tcPr/>
          <w:p>
            <w:pPr>
              <w:pStyle w:val="Compact"/>
              <w:jc w:val="left"/>
            </w:pPr>
            <w:r>
              <w:t xml:space="preserve">≈ 3 Md USD de dette totale (pacte) ; ≈ 75 % de la dette des EP [V]</w:t>
            </w:r>
          </w:p>
        </w:tc>
        <w:tc>
          <w:tcPr>
            <w:tcW w:w="1213" w:type="dxa"/>
          </w:tcPr>
          <w:tcPr/>
          <w:p>
            <w:pPr>
              <w:pStyle w:val="Compact"/>
              <w:jc w:val="left"/>
            </w:pPr>
            <w:r>
              <w:t xml:space="preserve">[?] ; électricité gratuite pour des « ayants droit » [V]</w:t>
            </w:r>
          </w:p>
        </w:tc>
        <w:tc>
          <w:tcPr>
            <w:tcW w:w="1708" w:type="dxa"/>
          </w:tcPr>
          <w:tcPr/>
          <w:p>
            <w:pPr>
              <w:pStyle w:val="Compact"/>
              <w:jc w:val="left"/>
            </w:pPr>
            <w:r>
              <w:t xml:space="preserve">AGREE P173506 (6,88 %, PBC supprimés) ; DPF P507861 ; Inga 3 P506438</w:t>
            </w:r>
          </w:p>
        </w:tc>
        <w:tc>
          <w:tcPr>
            <w:tcW w:w="2197" w:type="dxa"/>
          </w:tcPr>
          <w:tcPr/>
          <w:p>
            <w:pPr>
              <w:pStyle w:val="Compact"/>
              <w:jc w:val="left"/>
            </w:pPr>
            <w:r>
              <w:t xml:space="preserve">Régime tarifaire de janv. 2026 : indicateur « Non » ; pertes en hausse et non en baisse</w:t>
            </w:r>
          </w:p>
        </w:tc>
      </w:tr>
      <w:tr>
        <w:tc>
          <w:tcPr>
            <w:tcW w:w="698" w:type="dxa"/>
          </w:tcPr>
          <w:tcPr/>
          <w:p>
            <w:pPr>
              <w:pStyle w:val="Compact"/>
              <w:jc w:val="left"/>
            </w:pPr>
            <w:r>
              <w:t xml:space="preserve">E²C (COG)</w:t>
            </w:r>
          </w:p>
        </w:tc>
        <w:tc>
          <w:tcPr>
            <w:tcW w:w="1667" w:type="dxa"/>
          </w:tcPr>
          <w:tcPr/>
          <w:p>
            <w:pPr>
              <w:pStyle w:val="Compact"/>
              <w:jc w:val="left"/>
            </w:pPr>
            <w:r>
              <w:t xml:space="preserve">Non certifiés (pacte) ; comptes 2024 via la presse [S]</w:t>
            </w:r>
          </w:p>
        </w:tc>
        <w:tc>
          <w:tcPr>
            <w:tcW w:w="1235" w:type="dxa"/>
          </w:tcPr>
          <w:tcPr/>
          <w:p>
            <w:pPr>
              <w:pStyle w:val="Compact"/>
              <w:jc w:val="left"/>
            </w:pPr>
            <w:r>
              <w:t xml:space="preserve">−18,2 Md FCFA (2024) [S]</w:t>
            </w:r>
          </w:p>
        </w:tc>
        <w:tc>
          <w:tcPr>
            <w:tcW w:w="742" w:type="dxa"/>
          </w:tcPr>
          <w:tcPr/>
          <w:p>
            <w:pPr>
              <w:pStyle w:val="Compact"/>
              <w:jc w:val="left"/>
            </w:pPr>
            <w:r>
              <w:t xml:space="preserve">73 % (2022, pacte)</w:t>
            </w:r>
          </w:p>
        </w:tc>
        <w:tc>
          <w:tcPr>
            <w:tcW w:w="1124" w:type="dxa"/>
          </w:tcPr>
          <w:tcPr/>
          <w:p>
            <w:pPr>
              <w:pStyle w:val="Compact"/>
              <w:jc w:val="left"/>
            </w:pPr>
            <w:r>
              <w:t xml:space="preserve">42 % distribution (2023-26) [V]</w:t>
            </w:r>
          </w:p>
        </w:tc>
        <w:tc>
          <w:tcPr>
            <w:tcW w:w="1613" w:type="dxa"/>
          </w:tcPr>
          <w:tcPr/>
          <w:p>
            <w:pPr>
              <w:pStyle w:val="Compact"/>
              <w:jc w:val="left"/>
            </w:pPr>
            <w:r>
              <w:t xml:space="preserve">0,09/0,16 USD →</w:t>
            </w:r>
            <w:r>
              <w:t xml:space="preserve"> </w:t>
            </w:r>
            <w:r>
              <w:rPr>
                <w:bCs/>
                <w:b/>
              </w:rPr>
              <w:t xml:space="preserve">56 %</w:t>
            </w:r>
            <w:r>
              <w:t xml:space="preserve"> </w:t>
            </w:r>
            <w:r>
              <w:t xml:space="preserve">(pacte)</w:t>
            </w:r>
          </w:p>
        </w:tc>
        <w:tc>
          <w:tcPr>
            <w:tcW w:w="1100" w:type="dxa"/>
          </w:tcPr>
          <w:tcPr/>
          <w:p>
            <w:pPr>
              <w:pStyle w:val="Compact"/>
              <w:jc w:val="left"/>
            </w:pPr>
            <w:r>
              <w:t xml:space="preserve">[?]</w:t>
            </w:r>
          </w:p>
        </w:tc>
        <w:tc>
          <w:tcPr>
            <w:tcW w:w="1268" w:type="dxa"/>
          </w:tcPr>
          <w:tcPr/>
          <w:p>
            <w:pPr>
              <w:pStyle w:val="Compact"/>
              <w:jc w:val="left"/>
            </w:pPr>
            <w:r>
              <w:t xml:space="preserve">Fournisseurs 219 Md FCFA [S]</w:t>
            </w:r>
          </w:p>
        </w:tc>
        <w:tc>
          <w:tcPr>
            <w:tcW w:w="1213" w:type="dxa"/>
          </w:tcPr>
          <w:tcPr/>
          <w:p>
            <w:pPr>
              <w:pStyle w:val="Compact"/>
              <w:jc w:val="left"/>
            </w:pPr>
            <w:r>
              <w:t xml:space="preserve">[?] (gaz CEC sous le prix de marché)</w:t>
            </w:r>
          </w:p>
        </w:tc>
        <w:tc>
          <w:tcPr>
            <w:tcW w:w="1708" w:type="dxa"/>
          </w:tcPr>
          <w:tcPr/>
          <w:p>
            <w:pPr>
              <w:pStyle w:val="Compact"/>
              <w:jc w:val="left"/>
            </w:pPr>
            <w:r>
              <w:t xml:space="preserve">PASEL P501343 (≈ 9 %, PBC hors trajectoire) ; DPF P180398</w:t>
            </w:r>
          </w:p>
        </w:tc>
        <w:tc>
          <w:tcPr>
            <w:tcW w:w="2197" w:type="dxa"/>
          </w:tcPr>
          <w:tcPr/>
          <w:p>
            <w:pPr>
              <w:pStyle w:val="Compact"/>
              <w:jc w:val="left"/>
            </w:pPr>
            <w:r>
              <w:t xml:space="preserve">Affermage SENELEC gelé, non mentionné ; tarif social refusé avant les élections</w:t>
            </w:r>
          </w:p>
        </w:tc>
      </w:tr>
      <w:tr>
        <w:tc>
          <w:tcPr>
            <w:tcW w:w="698" w:type="dxa"/>
          </w:tcPr>
          <w:tcPr/>
          <w:p>
            <w:pPr>
              <w:pStyle w:val="Compact"/>
              <w:jc w:val="left"/>
            </w:pPr>
            <w:r>
              <w:t xml:space="preserve">SONELEC (COM)</w:t>
            </w:r>
          </w:p>
        </w:tc>
        <w:tc>
          <w:tcPr>
            <w:tcW w:w="1667" w:type="dxa"/>
          </w:tcPr>
          <w:tcPr/>
          <w:p>
            <w:pPr>
              <w:pStyle w:val="Compact"/>
              <w:jc w:val="left"/>
            </w:pPr>
            <w:r>
              <w:t xml:space="preserve">Aucun audit publié [?] ; états 2019-23 « en finalisation »</w:t>
            </w:r>
          </w:p>
        </w:tc>
        <w:tc>
          <w:tcPr>
            <w:tcW w:w="1235" w:type="dxa"/>
          </w:tcPr>
          <w:tcPr/>
          <w:p>
            <w:pPr>
              <w:pStyle w:val="Compact"/>
              <w:jc w:val="left"/>
            </w:pPr>
            <w:r>
              <w:t xml:space="preserve">« Loss-making » [V]</w:t>
            </w:r>
          </w:p>
        </w:tc>
        <w:tc>
          <w:tcPr>
            <w:tcW w:w="742" w:type="dxa"/>
          </w:tcPr>
          <w:tcPr/>
          <w:p>
            <w:pPr>
              <w:pStyle w:val="Compact"/>
              <w:jc w:val="left"/>
            </w:pPr>
            <w:r>
              <w:rPr>
                <w:bCs/>
                <w:b/>
              </w:rPr>
              <w:t xml:space="preserve">70 %</w:t>
            </w:r>
            <w:r>
              <w:t xml:space="preserve"> </w:t>
            </w:r>
            <w:r>
              <w:t xml:space="preserve">(2025-26) [V]</w:t>
            </w:r>
          </w:p>
        </w:tc>
        <w:tc>
          <w:tcPr>
            <w:tcW w:w="1124" w:type="dxa"/>
          </w:tcPr>
          <w:tcPr/>
          <w:p>
            <w:pPr>
              <w:pStyle w:val="Compact"/>
              <w:jc w:val="left"/>
            </w:pPr>
            <w:r>
              <w:t xml:space="preserve">≈ 31 % [V] ; facturation 77 %</w:t>
            </w:r>
          </w:p>
        </w:tc>
        <w:tc>
          <w:tcPr>
            <w:tcW w:w="1613" w:type="dxa"/>
          </w:tcPr>
          <w:tcPr/>
          <w:p>
            <w:pPr>
              <w:pStyle w:val="Compact"/>
              <w:jc w:val="left"/>
            </w:pPr>
            <w:r>
              <w:t xml:space="preserve">0,43/0,76 USD →</w:t>
            </w:r>
            <w:r>
              <w:t xml:space="preserve"> </w:t>
            </w:r>
            <w:r>
              <w:rPr>
                <w:bCs/>
                <w:b/>
              </w:rPr>
              <w:t xml:space="preserve">56,6 %</w:t>
            </w:r>
            <w:r>
              <w:t xml:space="preserve"> </w:t>
            </w:r>
            <w:r>
              <w:t xml:space="preserve">[V]</w:t>
            </w:r>
          </w:p>
        </w:tc>
        <w:tc>
          <w:tcPr>
            <w:tcW w:w="1100" w:type="dxa"/>
          </w:tcPr>
          <w:tcPr/>
          <w:p>
            <w:pPr>
              <w:pStyle w:val="Compact"/>
              <w:jc w:val="left"/>
            </w:pPr>
            <w:r>
              <w:t xml:space="preserve">Arriérés croisés audités, montants [?]</w:t>
            </w:r>
          </w:p>
        </w:tc>
        <w:tc>
          <w:tcPr>
            <w:tcW w:w="1268" w:type="dxa"/>
          </w:tcPr>
          <w:tcPr/>
          <w:p>
            <w:pPr>
              <w:pStyle w:val="Compact"/>
              <w:jc w:val="left"/>
            </w:pPr>
            <w:r>
              <w:t xml:space="preserve">16 M USD envers les EP, dont 13,3 M à la SCH (pacte)</w:t>
            </w:r>
          </w:p>
        </w:tc>
        <w:tc>
          <w:tcPr>
            <w:tcW w:w="1213" w:type="dxa"/>
          </w:tcPr>
          <w:tcPr/>
          <w:p>
            <w:pPr>
              <w:pStyle w:val="Compact"/>
              <w:jc w:val="left"/>
            </w:pPr>
            <w:r>
              <w:t xml:space="preserve">≈ 22 M USD/an (≈ 2 % du PIB) [V]</w:t>
            </w:r>
          </w:p>
        </w:tc>
        <w:tc>
          <w:tcPr>
            <w:tcW w:w="1708" w:type="dxa"/>
          </w:tcPr>
          <w:tcPr/>
          <w:p>
            <w:pPr>
              <w:pStyle w:val="Compact"/>
              <w:jc w:val="left"/>
            </w:pPr>
            <w:r>
              <w:t xml:space="preserve">CSEAP P177646 (46 %) ; DPF2 P181269 ; BAD PAGFSE</w:t>
            </w:r>
          </w:p>
        </w:tc>
        <w:tc>
          <w:tcPr>
            <w:tcW w:w="2197" w:type="dxa"/>
          </w:tcPr>
          <w:tcPr/>
          <w:p>
            <w:pPr>
              <w:pStyle w:val="Compact"/>
              <w:jc w:val="left"/>
            </w:pPr>
            <w:r>
              <w:t xml:space="preserve">Comptes dits « audités » ; compteurs « acquis » et non posés ; recouvrement de 80 % qui date de 2022</w:t>
            </w:r>
          </w:p>
        </w:tc>
      </w:tr>
      <w:tr>
        <w:tc>
          <w:tcPr>
            <w:tcW w:w="698" w:type="dxa"/>
          </w:tcPr>
          <w:tcPr/>
          <w:p>
            <w:pPr>
              <w:pStyle w:val="Compact"/>
              <w:jc w:val="left"/>
            </w:pPr>
            <w:r>
              <w:t xml:space="preserve">EDD (DJI)</w:t>
            </w:r>
          </w:p>
        </w:tc>
        <w:tc>
          <w:tcPr>
            <w:tcW w:w="1667" w:type="dxa"/>
          </w:tcPr>
          <w:tcPr/>
          <w:p>
            <w:pPr>
              <w:pStyle w:val="Compact"/>
              <w:jc w:val="left"/>
            </w:pPr>
            <w:r>
              <w:t xml:space="preserve">2024 (agrégats du Conseil des ministres) [S] ; audit [?]</w:t>
            </w:r>
          </w:p>
        </w:tc>
        <w:tc>
          <w:tcPr>
            <w:tcW w:w="1235" w:type="dxa"/>
          </w:tcPr>
          <w:tcPr/>
          <w:p>
            <w:pPr>
              <w:pStyle w:val="Compact"/>
              <w:jc w:val="left"/>
            </w:pPr>
            <w:r>
              <w:t xml:space="preserve">+1,46 Md FDJ (≈ 8,2 M USD) [S]</w:t>
            </w:r>
          </w:p>
        </w:tc>
        <w:tc>
          <w:tcPr>
            <w:tcW w:w="742" w:type="dxa"/>
          </w:tcPr>
          <w:tcPr/>
          <w:p>
            <w:pPr>
              <w:pStyle w:val="Compact"/>
              <w:jc w:val="left"/>
            </w:pPr>
            <w:r>
              <w:t xml:space="preserve">[?] (problème public)</w:t>
            </w:r>
          </w:p>
        </w:tc>
        <w:tc>
          <w:tcPr>
            <w:tcW w:w="1124" w:type="dxa"/>
          </w:tcPr>
          <w:tcPr/>
          <w:p>
            <w:pPr>
              <w:pStyle w:val="Compact"/>
              <w:jc w:val="left"/>
            </w:pPr>
            <w:r>
              <w:t xml:space="preserve">17 % (pacte)</w:t>
            </w:r>
          </w:p>
        </w:tc>
        <w:tc>
          <w:tcPr>
            <w:tcW w:w="1613" w:type="dxa"/>
          </w:tcPr>
          <w:tcPr/>
          <w:p>
            <w:pPr>
              <w:pStyle w:val="Compact"/>
              <w:jc w:val="left"/>
            </w:pPr>
            <w:r>
              <w:t xml:space="preserve">29 c contre 9-11 c →</w:t>
            </w:r>
            <w:r>
              <w:t xml:space="preserve"> </w:t>
            </w:r>
            <w:r>
              <w:rPr>
                <w:bCs/>
                <w:b/>
              </w:rPr>
              <w:t xml:space="preserve">≈ ×2,6-3,2</w:t>
            </w:r>
            <w:r>
              <w:t xml:space="preserve"> </w:t>
            </w:r>
            <w:r>
              <w:t xml:space="preserve">[E]</w:t>
            </w:r>
          </w:p>
        </w:tc>
        <w:tc>
          <w:tcPr>
            <w:tcW w:w="1100" w:type="dxa"/>
          </w:tcPr>
          <w:tcPr/>
          <w:p>
            <w:pPr>
              <w:pStyle w:val="Compact"/>
              <w:jc w:val="left"/>
            </w:pPr>
            <w:r>
              <w:rPr>
                <w:bCs/>
                <w:b/>
              </w:rPr>
              <w:t xml:space="preserve">330 M USD (pacte) ≈ 1,4 an de CA</w:t>
            </w:r>
            <w:r>
              <w:t xml:space="preserve"> </w:t>
            </w:r>
            <w:r>
              <w:t xml:space="preserve">[E]</w:t>
            </w:r>
          </w:p>
        </w:tc>
        <w:tc>
          <w:tcPr>
            <w:tcW w:w="1268" w:type="dxa"/>
          </w:tcPr>
          <w:tcPr/>
          <w:p>
            <w:pPr>
              <w:pStyle w:val="Compact"/>
              <w:jc w:val="left"/>
            </w:pPr>
            <w:r>
              <w:t xml:space="preserve">[?] (dette envers EEP)</w:t>
            </w:r>
          </w:p>
        </w:tc>
        <w:tc>
          <w:tcPr>
            <w:tcW w:w="1213" w:type="dxa"/>
          </w:tcPr>
          <w:tcPr/>
          <w:p>
            <w:pPr>
              <w:pStyle w:val="Compact"/>
              <w:jc w:val="left"/>
            </w:pPr>
            <w:r>
              <w:t xml:space="preserve">« Continues », sans montant (pacte)</w:t>
            </w:r>
          </w:p>
        </w:tc>
        <w:tc>
          <w:tcPr>
            <w:tcW w:w="1708" w:type="dxa"/>
          </w:tcPr>
          <w:tcPr/>
          <w:p>
            <w:pPr>
              <w:pStyle w:val="Compact"/>
              <w:jc w:val="left"/>
            </w:pPr>
            <w:r>
              <w:t xml:space="preserve">Interconnexion P173763 (20,35 % décaissé, 0 km)</w:t>
            </w:r>
          </w:p>
        </w:tc>
        <w:tc>
          <w:tcPr>
            <w:tcW w:w="2197" w:type="dxa"/>
          </w:tcPr>
          <w:tcPr/>
          <w:p>
            <w:pPr>
              <w:pStyle w:val="Compact"/>
              <w:jc w:val="left"/>
            </w:pPr>
            <w:r>
              <w:t xml:space="preserve">La formule « convergence vers les coûts » masque un tarif ≈ 3 fois le coût</w:t>
            </w:r>
          </w:p>
        </w:tc>
      </w:tr>
      <w:tr>
        <w:tc>
          <w:tcPr>
            <w:tcW w:w="698" w:type="dxa"/>
          </w:tcPr>
          <w:tcPr/>
          <w:p>
            <w:pPr>
              <w:pStyle w:val="Compact"/>
              <w:jc w:val="left"/>
            </w:pPr>
            <w:r>
              <w:t xml:space="preserve">EEP / EEU (ETH)</w:t>
            </w:r>
          </w:p>
        </w:tc>
        <w:tc>
          <w:tcPr>
            <w:tcW w:w="1667" w:type="dxa"/>
          </w:tcPr>
          <w:tcPr/>
          <w:p>
            <w:pPr>
              <w:pStyle w:val="Compact"/>
              <w:jc w:val="left"/>
            </w:pPr>
            <w:r>
              <w:t xml:space="preserve">[?] ; DLI ASCENT sur les comptes IFRS d’EEU</w:t>
            </w:r>
          </w:p>
        </w:tc>
        <w:tc>
          <w:tcPr>
            <w:tcW w:w="1235" w:type="dxa"/>
          </w:tcPr>
          <w:tcPr/>
          <w:p>
            <w:pPr>
              <w:pStyle w:val="Compact"/>
              <w:jc w:val="left"/>
            </w:pPr>
            <w:r>
              <w:t xml:space="preserve">EEU légèrement positive ; EEP en perte jusqu’en FY24 [V]</w:t>
            </w:r>
          </w:p>
        </w:tc>
        <w:tc>
          <w:tcPr>
            <w:tcW w:w="742" w:type="dxa"/>
          </w:tcPr>
          <w:tcPr/>
          <w:p>
            <w:pPr>
              <w:pStyle w:val="Compact"/>
              <w:jc w:val="left"/>
            </w:pPr>
            <w:r>
              <w:t xml:space="preserve">[?]</w:t>
            </w:r>
          </w:p>
        </w:tc>
        <w:tc>
          <w:tcPr>
            <w:tcW w:w="1124" w:type="dxa"/>
          </w:tcPr>
          <w:tcPr/>
          <w:p>
            <w:pPr>
              <w:pStyle w:val="Compact"/>
              <w:jc w:val="left"/>
            </w:pPr>
            <w:r>
              <w:t xml:space="preserve">EEU 20 % [V] ; T&amp;D &gt; 27 % (pacte)</w:t>
            </w:r>
          </w:p>
        </w:tc>
        <w:tc>
          <w:tcPr>
            <w:tcW w:w="1613" w:type="dxa"/>
          </w:tcPr>
          <w:tcPr/>
          <w:p>
            <w:pPr>
              <w:pStyle w:val="Compact"/>
              <w:jc w:val="left"/>
            </w:pPr>
            <w:r>
              <w:t xml:space="preserve">Recouvrement des coûts 18 % (2023) →</w:t>
            </w:r>
            <w:r>
              <w:t xml:space="preserve"> </w:t>
            </w:r>
            <w:r>
              <w:rPr>
                <w:bCs/>
                <w:b/>
              </w:rPr>
              <w:t xml:space="preserve">76 % (FY25)</w:t>
            </w:r>
            <w:r>
              <w:t xml:space="preserve"> </w:t>
            </w:r>
            <w:r>
              <w:t xml:space="preserve">[V] ; ménages 1,3-3,4 c contre 9,2 c [S]</w:t>
            </w:r>
          </w:p>
        </w:tc>
        <w:tc>
          <w:tcPr>
            <w:tcW w:w="1100" w:type="dxa"/>
          </w:tcPr>
          <w:tcPr/>
          <w:p>
            <w:pPr>
              <w:pStyle w:val="Compact"/>
              <w:jc w:val="left"/>
            </w:pPr>
            <w:r>
              <w:t xml:space="preserve">« Élevés » (pacte)</w:t>
            </w:r>
          </w:p>
        </w:tc>
        <w:tc>
          <w:tcPr>
            <w:tcW w:w="1268" w:type="dxa"/>
          </w:tcPr>
          <w:tcPr/>
          <w:p>
            <w:pPr>
              <w:pStyle w:val="Compact"/>
              <w:jc w:val="left"/>
            </w:pPr>
            <w:r>
              <w:t xml:space="preserve">Dette CBE d’EEP 100 % reprise [V]</w:t>
            </w:r>
          </w:p>
        </w:tc>
        <w:tc>
          <w:tcPr>
            <w:tcW w:w="1213" w:type="dxa"/>
          </w:tcPr>
          <w:tcPr/>
          <w:p>
            <w:pPr>
              <w:pStyle w:val="Compact"/>
              <w:jc w:val="left"/>
            </w:pPr>
            <w:r>
              <w:t xml:space="preserve">Maintenance différée ≈ 250 M USD [V]</w:t>
            </w:r>
          </w:p>
        </w:tc>
        <w:tc>
          <w:tcPr>
            <w:tcW w:w="1708" w:type="dxa"/>
          </w:tcPr>
          <w:tcPr/>
          <w:p>
            <w:pPr>
              <w:pStyle w:val="Compact"/>
              <w:jc w:val="left"/>
            </w:pPr>
            <w:r>
              <w:t xml:space="preserve">DPO P181591 / P506352 / P514383 ; ASCENT P506061 (32 %) ; PRIME-1 P176731</w:t>
            </w:r>
          </w:p>
        </w:tc>
        <w:tc>
          <w:tcPr>
            <w:tcW w:w="2197" w:type="dxa"/>
          </w:tcPr>
          <w:tcPr/>
          <w:p>
            <w:pPr>
              <w:pStyle w:val="Compact"/>
              <w:jc w:val="left"/>
            </w:pPr>
            <w:r>
              <w:t xml:space="preserve">Pacte : « &lt; 60 % » contre 76 % mesuré ; capacité 9 761 MW contre ≈ 3 000 MW</w:t>
            </w:r>
          </w:p>
        </w:tc>
      </w:tr>
      <w:tr>
        <w:tc>
          <w:tcPr>
            <w:tcW w:w="698" w:type="dxa"/>
          </w:tcPr>
          <w:tcPr/>
          <w:p>
            <w:pPr>
              <w:pStyle w:val="Compact"/>
              <w:jc w:val="left"/>
            </w:pPr>
            <w:r>
              <w:t xml:space="preserve">SEEG (GAB)</w:t>
            </w:r>
          </w:p>
        </w:tc>
        <w:tc>
          <w:tcPr>
            <w:tcW w:w="1667" w:type="dxa"/>
          </w:tcPr>
          <w:tcPr/>
          <w:p>
            <w:pPr>
              <w:pStyle w:val="Compact"/>
              <w:jc w:val="left"/>
            </w:pPr>
            <w:r>
              <w:rPr>
                <w:bCs/>
                <w:b/>
              </w:rPr>
              <w:t xml:space="preserve">Aucun état financier depuis 2018</w:t>
            </w:r>
            <w:r>
              <w:t xml:space="preserve"> </w:t>
            </w:r>
            <w:r>
              <w:t xml:space="preserve">[V] ; certification en cours [S]</w:t>
            </w:r>
          </w:p>
        </w:tc>
        <w:tc>
          <w:tcPr>
            <w:tcW w:w="1235" w:type="dxa"/>
          </w:tcPr>
          <w:tcPr/>
          <w:p>
            <w:pPr>
              <w:pStyle w:val="Compact"/>
              <w:jc w:val="left"/>
            </w:pPr>
            <w:r>
              <w:t xml:space="preserve">−21,6 M USD (2022, eau + élec.) [V]</w:t>
            </w:r>
          </w:p>
        </w:tc>
        <w:tc>
          <w:tcPr>
            <w:tcW w:w="742" w:type="dxa"/>
          </w:tcPr>
          <w:tcPr/>
          <w:p>
            <w:pPr>
              <w:pStyle w:val="Compact"/>
              <w:jc w:val="left"/>
            </w:pPr>
            <w:r>
              <w:t xml:space="preserve">70 % (texte)</w:t>
            </w:r>
            <w:r>
              <w:t xml:space="preserve"> </w:t>
            </w:r>
            <w:r>
              <w:rPr>
                <w:bCs/>
                <w:b/>
              </w:rPr>
              <w:t xml:space="preserve">ou</w:t>
            </w:r>
            <w:r>
              <w:t xml:space="preserve"> </w:t>
            </w:r>
            <w:r>
              <w:t xml:space="preserve">90 % (cadre de résultats) [V] ; 60,5 % (pacte)</w:t>
            </w:r>
          </w:p>
        </w:tc>
        <w:tc>
          <w:tcPr>
            <w:tcW w:w="1124" w:type="dxa"/>
          </w:tcPr>
          <w:tcPr/>
          <w:p>
            <w:pPr>
              <w:pStyle w:val="Compact"/>
              <w:jc w:val="left"/>
            </w:pPr>
            <w:r>
              <w:t xml:space="preserve">29,4 % (2024) [V]</w:t>
            </w:r>
          </w:p>
        </w:tc>
        <w:tc>
          <w:tcPr>
            <w:tcW w:w="1613" w:type="dxa"/>
          </w:tcPr>
          <w:tcPr/>
          <w:p>
            <w:pPr>
              <w:pStyle w:val="Compact"/>
              <w:jc w:val="left"/>
            </w:pPr>
            <w:r>
              <w:t xml:space="preserve">103,2/79,8 FCFA (pacte, non réconcilié)</w:t>
            </w:r>
          </w:p>
        </w:tc>
        <w:tc>
          <w:tcPr>
            <w:tcW w:w="1100" w:type="dxa"/>
          </w:tcPr>
          <w:tcPr/>
          <w:p>
            <w:pPr>
              <w:pStyle w:val="Compact"/>
              <w:jc w:val="left"/>
            </w:pPr>
            <w:r>
              <w:t xml:space="preserve">58,6 % de 230 Md FCFA (2021) [V]</w:t>
            </w:r>
          </w:p>
        </w:tc>
        <w:tc>
          <w:tcPr>
            <w:tcW w:w="1268" w:type="dxa"/>
          </w:tcPr>
          <w:tcPr/>
          <w:p>
            <w:pPr>
              <w:pStyle w:val="Compact"/>
              <w:jc w:val="left"/>
            </w:pPr>
            <w:r>
              <w:t xml:space="preserve">&gt; 150 Md FCFA [S] ; arriérés Karpowership</w:t>
            </w:r>
          </w:p>
        </w:tc>
        <w:tc>
          <w:tcPr>
            <w:tcW w:w="1213" w:type="dxa"/>
          </w:tcPr>
          <w:tcPr/>
          <w:p>
            <w:pPr>
              <w:pStyle w:val="Compact"/>
              <w:jc w:val="left"/>
            </w:pPr>
            <w:r>
              <w:t xml:space="preserve">Prêt-relais ≈ 30 Md FCFA [S]</w:t>
            </w:r>
          </w:p>
        </w:tc>
        <w:tc>
          <w:tcPr>
            <w:tcW w:w="1708" w:type="dxa"/>
          </w:tcPr>
          <w:tcPr/>
          <w:p>
            <w:pPr>
              <w:pStyle w:val="Compact"/>
              <w:jc w:val="left"/>
            </w:pPr>
            <w:r>
              <w:t xml:space="preserve">PASBAP P179643 (150 M, 0 %)</w:t>
            </w:r>
          </w:p>
        </w:tc>
        <w:tc>
          <w:tcPr>
            <w:tcW w:w="2197" w:type="dxa"/>
          </w:tcPr>
          <w:tcPr/>
          <w:p>
            <w:pPr>
              <w:pStyle w:val="Compact"/>
              <w:jc w:val="left"/>
            </w:pPr>
            <w:r>
              <w:t xml:space="preserve">Coût moyen du pacte sous-estimé ; arriérés de l’État non chiffrés ; comptes « 2026 »</w:t>
            </w:r>
          </w:p>
        </w:tc>
      </w:tr>
      <w:tr>
        <w:tc>
          <w:tcPr>
            <w:tcW w:w="698" w:type="dxa"/>
          </w:tcPr>
          <w:tcPr/>
          <w:p>
            <w:pPr>
              <w:pStyle w:val="Compact"/>
              <w:jc w:val="left"/>
            </w:pPr>
            <w:r>
              <w:t xml:space="preserve">ECG (GHA)</w:t>
            </w:r>
          </w:p>
        </w:tc>
        <w:tc>
          <w:tcPr>
            <w:tcW w:w="1667" w:type="dxa"/>
          </w:tcPr>
          <w:tcPr/>
          <w:p>
            <w:pPr>
              <w:pStyle w:val="Compact"/>
              <w:jc w:val="left"/>
            </w:pPr>
            <w:r>
              <w:rPr>
                <w:bCs/>
                <w:b/>
              </w:rPr>
              <w:t xml:space="preserve">2025 audité</w:t>
            </w:r>
            <w:r>
              <w:t xml:space="preserve"> </w:t>
            </w:r>
            <w:r>
              <w:t xml:space="preserve">(premiers depuis 2018) [S]</w:t>
            </w:r>
          </w:p>
        </w:tc>
        <w:tc>
          <w:tcPr>
            <w:tcW w:w="1235" w:type="dxa"/>
          </w:tcPr>
          <w:tcPr/>
          <w:p>
            <w:pPr>
              <w:pStyle w:val="Compact"/>
              <w:jc w:val="left"/>
            </w:pPr>
            <w:r>
              <w:t xml:space="preserve">−2,52 Md GHS (2025, après gain de change) ; −8,26 Md (2024) [S]</w:t>
            </w:r>
          </w:p>
        </w:tc>
        <w:tc>
          <w:tcPr>
            <w:tcW w:w="742" w:type="dxa"/>
          </w:tcPr>
          <w:tcPr/>
          <w:p>
            <w:pPr>
              <w:pStyle w:val="Compact"/>
              <w:jc w:val="left"/>
            </w:pPr>
            <w:r>
              <w:t xml:space="preserve">84,7 % (2023) [V]</w:t>
            </w:r>
          </w:p>
        </w:tc>
        <w:tc>
          <w:tcPr>
            <w:tcW w:w="1124" w:type="dxa"/>
          </w:tcPr>
          <w:tcPr/>
          <w:p>
            <w:pPr>
              <w:pStyle w:val="Compact"/>
              <w:jc w:val="left"/>
            </w:pPr>
            <w:r>
              <w:t xml:space="preserve">27,2 % (2023) [V] ; 26,88 % (2025) [S]</w:t>
            </w:r>
          </w:p>
        </w:tc>
        <w:tc>
          <w:tcPr>
            <w:tcW w:w="1613" w:type="dxa"/>
          </w:tcPr>
          <w:tcPr/>
          <w:p>
            <w:pPr>
              <w:pStyle w:val="Compact"/>
              <w:jc w:val="left"/>
            </w:pPr>
            <w:r>
              <w:t xml:space="preserve">Coût des ventes 34,77 / CA 22,11 Md GHS →</w:t>
            </w:r>
            <w:r>
              <w:t xml:space="preserve"> </w:t>
            </w:r>
            <w:r>
              <w:rPr>
                <w:bCs/>
                <w:b/>
              </w:rPr>
              <w:t xml:space="preserve">CA ≈ 64 % des coûts</w:t>
            </w:r>
            <w:r>
              <w:t xml:space="preserve"> </w:t>
            </w:r>
            <w:r>
              <w:t xml:space="preserve">[E]</w:t>
            </w:r>
          </w:p>
        </w:tc>
        <w:tc>
          <w:tcPr>
            <w:tcW w:w="1100" w:type="dxa"/>
          </w:tcPr>
          <w:tcPr/>
          <w:p>
            <w:pPr>
              <w:pStyle w:val="Compact"/>
              <w:jc w:val="left"/>
            </w:pPr>
            <w:r>
              <w:t xml:space="preserve">MDAs 1,58 Md GHS [S]</w:t>
            </w:r>
          </w:p>
        </w:tc>
        <w:tc>
          <w:tcPr>
            <w:tcW w:w="1268" w:type="dxa"/>
          </w:tcPr>
          <w:tcPr/>
          <w:p>
            <w:pPr>
              <w:pStyle w:val="Compact"/>
              <w:jc w:val="left"/>
            </w:pPr>
            <w:r>
              <w:t xml:space="preserve">IPP/combustible 1,7 Md USD (mars 2026) [V] ; 46,74 Md GHS de dettes d’exploitation [S]</w:t>
            </w:r>
          </w:p>
        </w:tc>
        <w:tc>
          <w:tcPr>
            <w:tcW w:w="1213" w:type="dxa"/>
          </w:tcPr>
          <w:tcPr/>
          <w:p>
            <w:pPr>
              <w:pStyle w:val="Compact"/>
              <w:jc w:val="left"/>
            </w:pPr>
            <w:r>
              <w:t xml:space="preserve">20,86 Md GHS du Fonds consolidé (prêt) [S]</w:t>
            </w:r>
          </w:p>
        </w:tc>
        <w:tc>
          <w:tcPr>
            <w:tcW w:w="1708" w:type="dxa"/>
          </w:tcPr>
          <w:tcPr/>
          <w:p>
            <w:pPr>
              <w:pStyle w:val="Compact"/>
              <w:jc w:val="left"/>
            </w:pPr>
            <w:r>
              <w:t xml:space="preserve">ESRP P173258 (0 % au dernier ISR) ; DPF P180718</w:t>
            </w:r>
          </w:p>
        </w:tc>
        <w:tc>
          <w:tcPr>
            <w:tcW w:w="2197" w:type="dxa"/>
          </w:tcPr>
          <w:tcPr/>
          <w:p>
            <w:pPr>
              <w:pStyle w:val="Compact"/>
              <w:jc w:val="left"/>
            </w:pPr>
            <w:r>
              <w:t xml:space="preserve">RN « −50 M USD » contre ≈ −0,5 Md USD [E] ; PSP glisse de 6-9 mois</w:t>
            </w:r>
          </w:p>
        </w:tc>
      </w:tr>
      <w:tr>
        <w:tc>
          <w:tcPr>
            <w:tcW w:w="698" w:type="dxa"/>
          </w:tcPr>
          <w:tcPr/>
          <w:p>
            <w:pPr>
              <w:pStyle w:val="Compact"/>
              <w:jc w:val="left"/>
            </w:pPr>
            <w:r>
              <w:t xml:space="preserve">EDG (GIN)</w:t>
            </w:r>
          </w:p>
        </w:tc>
        <w:tc>
          <w:tcPr>
            <w:tcW w:w="1667" w:type="dxa"/>
          </w:tcPr>
          <w:tcPr/>
          <w:p>
            <w:pPr>
              <w:pStyle w:val="Compact"/>
              <w:jc w:val="left"/>
            </w:pPr>
            <w:r>
              <w:t xml:space="preserve">Audités jusqu’en 2022, avec réserve (pacte)</w:t>
            </w:r>
          </w:p>
        </w:tc>
        <w:tc>
          <w:tcPr>
            <w:tcW w:w="1235" w:type="dxa"/>
          </w:tcPr>
          <w:tcPr/>
          <w:p>
            <w:pPr>
              <w:pStyle w:val="Compact"/>
              <w:jc w:val="left"/>
            </w:pPr>
            <w:r>
              <w:t xml:space="preserve">[?]</w:t>
            </w:r>
          </w:p>
        </w:tc>
        <w:tc>
          <w:tcPr>
            <w:tcW w:w="742" w:type="dxa"/>
          </w:tcPr>
          <w:tcPr/>
          <w:p>
            <w:pPr>
              <w:pStyle w:val="Compact"/>
              <w:jc w:val="left"/>
            </w:pPr>
            <w:r>
              <w:t xml:space="preserve">50 % public / 64 % privé [V]</w:t>
            </w:r>
          </w:p>
        </w:tc>
        <w:tc>
          <w:tcPr>
            <w:tcW w:w="1124" w:type="dxa"/>
          </w:tcPr>
          <w:tcPr/>
          <w:p>
            <w:pPr>
              <w:pStyle w:val="Compact"/>
              <w:jc w:val="left"/>
            </w:pPr>
            <w:r>
              <w:t xml:space="preserve">30 % (pacte) ; 85 % des clients au forfait [V]</w:t>
            </w:r>
          </w:p>
        </w:tc>
        <w:tc>
          <w:tcPr>
            <w:tcW w:w="1613" w:type="dxa"/>
          </w:tcPr>
          <w:tcPr/>
          <w:p>
            <w:pPr>
              <w:pStyle w:val="Compact"/>
              <w:jc w:val="left"/>
            </w:pPr>
            <w:r>
              <w:rPr>
                <w:bCs/>
                <w:b/>
              </w:rPr>
              <w:t xml:space="preserve">≈ 40 %</w:t>
            </w:r>
            <w:r>
              <w:t xml:space="preserve"> </w:t>
            </w:r>
            <w:r>
              <w:t xml:space="preserve">des coûts de production [V]</w:t>
            </w:r>
          </w:p>
        </w:tc>
        <w:tc>
          <w:tcPr>
            <w:tcW w:w="1100" w:type="dxa"/>
          </w:tcPr>
          <w:tcPr/>
          <w:p>
            <w:pPr>
              <w:pStyle w:val="Compact"/>
              <w:jc w:val="left"/>
            </w:pPr>
            <w:r>
              <w:t xml:space="preserve">163 M USD (août 2023) [V]</w:t>
            </w:r>
          </w:p>
        </w:tc>
        <w:tc>
          <w:tcPr>
            <w:tcW w:w="1268" w:type="dxa"/>
          </w:tcPr>
          <w:tcPr/>
          <w:p>
            <w:pPr>
              <w:pStyle w:val="Compact"/>
              <w:jc w:val="left"/>
            </w:pPr>
            <w:r>
              <w:rPr>
                <w:bCs/>
                <w:b/>
              </w:rPr>
              <w:t xml:space="preserve">710 M USD envers 3 IPP + 20,3 M</w:t>
            </w:r>
            <w:r>
              <w:t xml:space="preserve"> </w:t>
            </w:r>
            <w:r>
              <w:t xml:space="preserve">[V]</w:t>
            </w:r>
          </w:p>
        </w:tc>
        <w:tc>
          <w:tcPr>
            <w:tcW w:w="1213" w:type="dxa"/>
          </w:tcPr>
          <w:tcPr/>
          <w:p>
            <w:pPr>
              <w:pStyle w:val="Compact"/>
              <w:jc w:val="left"/>
            </w:pPr>
            <w:r>
              <w:t xml:space="preserve">3 000 Md GNF (LFI 2025) [V]</w:t>
            </w:r>
          </w:p>
        </w:tc>
        <w:tc>
          <w:tcPr>
            <w:tcW w:w="1708" w:type="dxa"/>
          </w:tcPr>
          <w:tcPr/>
          <w:p>
            <w:pPr>
              <w:pStyle w:val="Compact"/>
              <w:jc w:val="left"/>
            </w:pPr>
            <w:r>
              <w:t xml:space="preserve">EASE P164225 (MU) ; EASE 2 P181051 ; DPF P501272</w:t>
            </w:r>
          </w:p>
        </w:tc>
        <w:tc>
          <w:tcPr>
            <w:tcW w:w="2197" w:type="dxa"/>
          </w:tcPr>
          <w:tcPr/>
          <w:p>
            <w:pPr>
              <w:pStyle w:val="Compact"/>
              <w:jc w:val="left"/>
            </w:pPr>
            <w:r>
              <w:t xml:space="preserve">+12 %/an affiché mais aucune hausse depuis 2021 ; arriérés IPP omis</w:t>
            </w:r>
          </w:p>
        </w:tc>
      </w:tr>
      <w:tr>
        <w:tc>
          <w:tcPr>
            <w:tcW w:w="698" w:type="dxa"/>
          </w:tcPr>
          <w:tcPr/>
          <w:p>
            <w:pPr>
              <w:pStyle w:val="Compact"/>
              <w:jc w:val="left"/>
            </w:pPr>
            <w:r>
              <w:t xml:space="preserve">NAWEC (GMB)</w:t>
            </w:r>
          </w:p>
        </w:tc>
        <w:tc>
          <w:tcPr>
            <w:tcW w:w="1667" w:type="dxa"/>
          </w:tcPr>
          <w:tcPr/>
          <w:p>
            <w:pPr>
              <w:pStyle w:val="Compact"/>
              <w:jc w:val="left"/>
            </w:pPr>
            <w:r>
              <w:t xml:space="preserve">Audités « en retard » (pacte) ; 2023-25 [?]</w:t>
            </w:r>
          </w:p>
        </w:tc>
        <w:tc>
          <w:tcPr>
            <w:tcW w:w="1235" w:type="dxa"/>
          </w:tcPr>
          <w:tcPr/>
          <w:p>
            <w:pPr>
              <w:pStyle w:val="Compact"/>
              <w:jc w:val="left"/>
            </w:pPr>
            <w:r>
              <w:t xml:space="preserve">−45 M USD (2023) [V] ; −33,6 M (2024, pacte)</w:t>
            </w:r>
          </w:p>
        </w:tc>
        <w:tc>
          <w:tcPr>
            <w:tcW w:w="742" w:type="dxa"/>
          </w:tcPr>
          <w:tcPr/>
          <w:p>
            <w:pPr>
              <w:pStyle w:val="Compact"/>
              <w:jc w:val="left"/>
            </w:pPr>
            <w:r>
              <w:t xml:space="preserve">[?]</w:t>
            </w:r>
          </w:p>
        </w:tc>
        <w:tc>
          <w:tcPr>
            <w:tcW w:w="1124" w:type="dxa"/>
          </w:tcPr>
          <w:tcPr/>
          <w:p>
            <w:pPr>
              <w:pStyle w:val="Compact"/>
              <w:jc w:val="left"/>
            </w:pPr>
            <w:r>
              <w:t xml:space="preserve">21 % (2024) [V]</w:t>
            </w:r>
          </w:p>
        </w:tc>
        <w:tc>
          <w:tcPr>
            <w:tcW w:w="1613" w:type="dxa"/>
          </w:tcPr>
          <w:tcPr/>
          <w:p>
            <w:pPr>
              <w:pStyle w:val="Compact"/>
              <w:jc w:val="left"/>
            </w:pPr>
            <w:r>
              <w:t xml:space="preserve">0,22 contre production 0,18 USD (pacte) ; coût complet [?]</w:t>
            </w:r>
          </w:p>
        </w:tc>
        <w:tc>
          <w:tcPr>
            <w:tcW w:w="1100" w:type="dxa"/>
          </w:tcPr>
          <w:tcPr/>
          <w:p>
            <w:pPr>
              <w:pStyle w:val="Compact"/>
              <w:jc w:val="left"/>
            </w:pPr>
            <w:r>
              <w:t xml:space="preserve">&gt; 500 M GMD + 750 M de subventions (2023) [S]</w:t>
            </w:r>
          </w:p>
        </w:tc>
        <w:tc>
          <w:tcPr>
            <w:tcW w:w="1268" w:type="dxa"/>
          </w:tcPr>
          <w:tcPr/>
          <w:p>
            <w:pPr>
              <w:pStyle w:val="Compact"/>
              <w:jc w:val="left"/>
            </w:pPr>
            <w:r>
              <w:t xml:space="preserve">≈ 900 M GMD envers Senelec (2023) [S] ; 40 ou 18 M USD (pacte)</w:t>
            </w:r>
          </w:p>
        </w:tc>
        <w:tc>
          <w:tcPr>
            <w:tcW w:w="1213" w:type="dxa"/>
          </w:tcPr>
          <w:tcPr/>
          <w:p>
            <w:pPr>
              <w:pStyle w:val="Compact"/>
              <w:jc w:val="left"/>
            </w:pPr>
            <w:r>
              <w:t xml:space="preserve">20 M USD via le RCM (2024) [V]</w:t>
            </w:r>
          </w:p>
        </w:tc>
        <w:tc>
          <w:tcPr>
            <w:tcW w:w="1708" w:type="dxa"/>
          </w:tcPr>
          <w:tcPr/>
          <w:p>
            <w:pPr>
              <w:pStyle w:val="Compact"/>
              <w:jc w:val="left"/>
            </w:pPr>
            <w:r>
              <w:t xml:space="preserve">GERMP P163568 ; BRUPP 2 P502012 ; RSPG P504421</w:t>
            </w:r>
          </w:p>
        </w:tc>
        <w:tc>
          <w:tcPr>
            <w:tcW w:w="2197" w:type="dxa"/>
          </w:tcPr>
          <w:tcPr/>
          <w:p>
            <w:pPr>
              <w:pStyle w:val="Compact"/>
              <w:jc w:val="left"/>
            </w:pPr>
            <w:r>
              <w:t xml:space="preserve">Neutre : chiffres cohérents, crise 2026 non anticipée</w:t>
            </w:r>
          </w:p>
        </w:tc>
      </w:tr>
      <w:tr>
        <w:tc>
          <w:tcPr>
            <w:tcW w:w="698" w:type="dxa"/>
          </w:tcPr>
          <w:tcPr/>
          <w:p>
            <w:pPr>
              <w:pStyle w:val="Compact"/>
              <w:jc w:val="left"/>
            </w:pPr>
            <w:r>
              <w:t xml:space="preserve">KPLC (KEN)</w:t>
            </w:r>
          </w:p>
        </w:tc>
        <w:tc>
          <w:tcPr>
            <w:tcW w:w="1667" w:type="dxa"/>
          </w:tcPr>
          <w:tcPr/>
          <w:p>
            <w:pPr>
              <w:pStyle w:val="Compact"/>
              <w:jc w:val="left"/>
            </w:pPr>
            <w:r>
              <w:rPr>
                <w:bCs/>
                <w:b/>
              </w:rPr>
              <w:t xml:space="preserve">FY2024/25 audité</w:t>
            </w:r>
            <w:r>
              <w:t xml:space="preserve"> </w:t>
            </w:r>
            <w:r>
              <w:t xml:space="preserve">[V]</w:t>
            </w:r>
          </w:p>
        </w:tc>
        <w:tc>
          <w:tcPr>
            <w:tcW w:w="1235" w:type="dxa"/>
          </w:tcPr>
          <w:tcPr/>
          <w:p>
            <w:pPr>
              <w:pStyle w:val="Compact"/>
              <w:jc w:val="left"/>
            </w:pPr>
            <w:r>
              <w:rPr>
                <w:bCs/>
                <w:b/>
              </w:rPr>
              <w:t xml:space="preserve">+24,47 Md KES</w:t>
            </w:r>
            <w:r>
              <w:t xml:space="preserve"> </w:t>
            </w:r>
            <w:r>
              <w:t xml:space="preserve">[V]</w:t>
            </w:r>
          </w:p>
        </w:tc>
        <w:tc>
          <w:tcPr>
            <w:tcW w:w="742" w:type="dxa"/>
          </w:tcPr>
          <w:tcPr/>
          <w:p>
            <w:pPr>
              <w:pStyle w:val="Compact"/>
              <w:jc w:val="left"/>
            </w:pPr>
            <w:r>
              <w:t xml:space="preserve">[?]</w:t>
            </w:r>
          </w:p>
        </w:tc>
        <w:tc>
          <w:tcPr>
            <w:tcW w:w="1124" w:type="dxa"/>
          </w:tcPr>
          <w:tcPr/>
          <w:p>
            <w:pPr>
              <w:pStyle w:val="Compact"/>
              <w:jc w:val="left"/>
            </w:pPr>
            <w:r>
              <w:rPr>
                <w:bCs/>
                <w:b/>
              </w:rPr>
              <w:t xml:space="preserve">21,21 %</w:t>
            </w:r>
            <w:r>
              <w:t xml:space="preserve"> </w:t>
            </w:r>
            <w:r>
              <w:t xml:space="preserve">[V]</w:t>
            </w:r>
          </w:p>
        </w:tc>
        <w:tc>
          <w:tcPr>
            <w:tcW w:w="1613" w:type="dxa"/>
          </w:tcPr>
          <w:tcPr/>
          <w:p>
            <w:pPr>
              <w:pStyle w:val="Compact"/>
              <w:jc w:val="left"/>
            </w:pPr>
            <w:r>
              <w:t xml:space="preserve">≈ 19,2 contre 16,8 KES/kWh →</w:t>
            </w:r>
            <w:r>
              <w:t xml:space="preserve"> </w:t>
            </w:r>
            <w:r>
              <w:rPr>
                <w:bCs/>
                <w:b/>
              </w:rPr>
              <w:t xml:space="preserve">≈ 114 %</w:t>
            </w:r>
            <w:r>
              <w:t xml:space="preserve"> </w:t>
            </w:r>
            <w:r>
              <w:t xml:space="preserve">[E]</w:t>
            </w:r>
          </w:p>
        </w:tc>
        <w:tc>
          <w:tcPr>
            <w:tcW w:w="1100" w:type="dxa"/>
          </w:tcPr>
          <w:tcPr/>
          <w:p>
            <w:pPr>
              <w:pStyle w:val="Compact"/>
              <w:jc w:val="left"/>
            </w:pPr>
            <w:r>
              <w:rPr>
                <w:bCs/>
                <w:b/>
              </w:rPr>
              <w:t xml:space="preserve">55,0 Md KES</w:t>
            </w:r>
            <w:r>
              <w:t xml:space="preserve">, dont déficit RES 34,8 Md [V]</w:t>
            </w:r>
          </w:p>
        </w:tc>
        <w:tc>
          <w:tcPr>
            <w:tcW w:w="1268" w:type="dxa"/>
          </w:tcPr>
          <w:tcPr/>
          <w:p>
            <w:pPr>
              <w:pStyle w:val="Compact"/>
              <w:jc w:val="left"/>
            </w:pPr>
            <w:r>
              <w:t xml:space="preserve">≈ 50,3 Md KES [V/E]</w:t>
            </w:r>
          </w:p>
        </w:tc>
        <w:tc>
          <w:tcPr>
            <w:tcW w:w="1213" w:type="dxa"/>
          </w:tcPr>
          <w:tcPr/>
          <w:p>
            <w:pPr>
              <w:pStyle w:val="Compact"/>
              <w:jc w:val="left"/>
            </w:pPr>
            <w:r>
              <w:t xml:space="preserve">Fonds GREEN partiellement rétrocédés [V]</w:t>
            </w:r>
          </w:p>
        </w:tc>
        <w:tc>
          <w:tcPr>
            <w:tcW w:w="1708" w:type="dxa"/>
          </w:tcPr>
          <w:tcPr/>
          <w:p>
            <w:pPr>
              <w:pStyle w:val="Compact"/>
              <w:jc w:val="left"/>
            </w:pPr>
            <w:r>
              <w:t xml:space="preserve">GREEN P176698 (36 %/45 %) ; ASCENT P515398 (pipeline)</w:t>
            </w:r>
          </w:p>
        </w:tc>
        <w:tc>
          <w:tcPr>
            <w:tcW w:w="2197" w:type="dxa"/>
          </w:tcPr>
          <w:tcPr/>
          <w:p>
            <w:pPr>
              <w:pStyle w:val="Compact"/>
              <w:jc w:val="left"/>
            </w:pPr>
            <w:r>
              <w:t xml:space="preserve">Mixte : la crise est budgétaire, pas tarifaire ; ordonnance tarifaire retirée</w:t>
            </w:r>
          </w:p>
        </w:tc>
      </w:tr>
      <w:tr>
        <w:tc>
          <w:tcPr>
            <w:tcW w:w="698" w:type="dxa"/>
          </w:tcPr>
          <w:tcPr/>
          <w:p>
            <w:pPr>
              <w:pStyle w:val="Compact"/>
              <w:jc w:val="left"/>
            </w:pPr>
            <w:r>
              <w:t xml:space="preserve">LEC (LBR)</w:t>
            </w:r>
          </w:p>
        </w:tc>
        <w:tc>
          <w:tcPr>
            <w:tcW w:w="1667" w:type="dxa"/>
          </w:tcPr>
          <w:tcPr/>
          <w:p>
            <w:pPr>
              <w:pStyle w:val="Compact"/>
              <w:jc w:val="left"/>
            </w:pPr>
            <w:r>
              <w:t xml:space="preserve">FY2023 ; FY2024 promis en juin 2025 [?]</w:t>
            </w:r>
          </w:p>
        </w:tc>
        <w:tc>
          <w:tcPr>
            <w:tcW w:w="1235" w:type="dxa"/>
          </w:tcPr>
          <w:tcPr/>
          <w:p>
            <w:pPr>
              <w:pStyle w:val="Compact"/>
              <w:jc w:val="left"/>
            </w:pPr>
            <w:r>
              <w:t xml:space="preserve">Exploitation −18,3 M USD (2023) [V]</w:t>
            </w:r>
          </w:p>
        </w:tc>
        <w:tc>
          <w:tcPr>
            <w:tcW w:w="742" w:type="dxa"/>
          </w:tcPr>
          <w:tcPr/>
          <w:p>
            <w:pPr>
              <w:pStyle w:val="Compact"/>
              <w:jc w:val="left"/>
            </w:pPr>
            <w:r>
              <w:t xml:space="preserve">[?]</w:t>
            </w:r>
          </w:p>
        </w:tc>
        <w:tc>
          <w:tcPr>
            <w:tcW w:w="1124" w:type="dxa"/>
          </w:tcPr>
          <w:tcPr/>
          <w:p>
            <w:pPr>
              <w:pStyle w:val="Compact"/>
              <w:jc w:val="left"/>
            </w:pPr>
            <w:r>
              <w:t xml:space="preserve">Commerciales 31,4 % (2023) [V] ; totales ≈ 42 % [S]</w:t>
            </w:r>
          </w:p>
        </w:tc>
        <w:tc>
          <w:tcPr>
            <w:tcW w:w="1613" w:type="dxa"/>
          </w:tcPr>
          <w:tcPr/>
          <w:p>
            <w:pPr>
              <w:pStyle w:val="Compact"/>
              <w:jc w:val="left"/>
            </w:pPr>
            <w:r>
              <w:t xml:space="preserve">0,23-0,24 USD ; coût par source (pacte) ; ratio [?]</w:t>
            </w:r>
          </w:p>
        </w:tc>
        <w:tc>
          <w:tcPr>
            <w:tcW w:w="1100" w:type="dxa"/>
          </w:tcPr>
          <w:tcPr/>
          <w:p>
            <w:pPr>
              <w:pStyle w:val="Compact"/>
              <w:jc w:val="left"/>
            </w:pPr>
            <w:r>
              <w:t xml:space="preserve">&gt; 18,9 M USD (oct. 2024) [S]</w:t>
            </w:r>
          </w:p>
        </w:tc>
        <w:tc>
          <w:tcPr>
            <w:tcW w:w="1268" w:type="dxa"/>
          </w:tcPr>
          <w:tcPr/>
          <w:p>
            <w:pPr>
              <w:pStyle w:val="Compact"/>
              <w:jc w:val="left"/>
            </w:pPr>
            <w:r>
              <w:t xml:space="preserve">Dettes 74,3 M USD (pacte)</w:t>
            </w:r>
          </w:p>
        </w:tc>
        <w:tc>
          <w:tcPr>
            <w:tcW w:w="1213" w:type="dxa"/>
          </w:tcPr>
          <w:tcPr/>
          <w:p>
            <w:pPr>
              <w:pStyle w:val="Compact"/>
              <w:jc w:val="left"/>
            </w:pPr>
            <w:r>
              <w:t xml:space="preserve">« 0 » (pacte)</w:t>
            </w:r>
          </w:p>
        </w:tc>
        <w:tc>
          <w:tcPr>
            <w:tcW w:w="1708" w:type="dxa"/>
          </w:tcPr>
          <w:tcPr/>
          <w:p>
            <w:pPr>
              <w:pStyle w:val="Compact"/>
              <w:jc w:val="left"/>
            </w:pPr>
            <w:r>
              <w:t xml:space="preserve">LESSAP P173416 / P180498 ; DPF P502565</w:t>
            </w:r>
          </w:p>
        </w:tc>
        <w:tc>
          <w:tcPr>
            <w:tcW w:w="2197" w:type="dxa"/>
          </w:tcPr>
          <w:tcPr/>
          <w:p>
            <w:pPr>
              <w:pStyle w:val="Compact"/>
              <w:jc w:val="left"/>
            </w:pPr>
            <w:r>
              <w:t xml:space="preserve">Pertes commerciales de 27,4 % mises en avant, contre ATC&amp;C de 45,4 %</w:t>
            </w:r>
          </w:p>
        </w:tc>
      </w:tr>
      <w:tr>
        <w:tc>
          <w:tcPr>
            <w:tcW w:w="698" w:type="dxa"/>
          </w:tcPr>
          <w:tcPr/>
          <w:p>
            <w:pPr>
              <w:pStyle w:val="Compact"/>
              <w:jc w:val="left"/>
            </w:pPr>
            <w:r>
              <w:t xml:space="preserve">LEC (LSO)</w:t>
            </w:r>
          </w:p>
        </w:tc>
        <w:tc>
          <w:tcPr>
            <w:tcW w:w="1667" w:type="dxa"/>
          </w:tcPr>
          <w:tcPr/>
          <w:p>
            <w:pPr>
              <w:pStyle w:val="Compact"/>
              <w:jc w:val="left"/>
            </w:pPr>
            <w:r>
              <w:t xml:space="preserve">2022/23 :</w:t>
            </w:r>
            <w:r>
              <w:t xml:space="preserve"> </w:t>
            </w:r>
            <w:r>
              <w:rPr>
                <w:bCs/>
                <w:b/>
              </w:rPr>
              <w:t xml:space="preserve">opinion impossible (disclaimer)</w:t>
            </w:r>
            <w:r>
              <w:t xml:space="preserve"> </w:t>
            </w:r>
            <w:r>
              <w:t xml:space="preserve">[S]</w:t>
            </w:r>
          </w:p>
        </w:tc>
        <w:tc>
          <w:tcPr>
            <w:tcW w:w="1235" w:type="dxa"/>
          </w:tcPr>
          <w:tcPr/>
          <w:p>
            <w:pPr>
              <w:pStyle w:val="Compact"/>
              <w:jc w:val="left"/>
            </w:pPr>
            <w:r>
              <w:t xml:space="preserve">[?] ; pacte +20,3 M USD</w:t>
            </w:r>
          </w:p>
        </w:tc>
        <w:tc>
          <w:tcPr>
            <w:tcW w:w="742" w:type="dxa"/>
          </w:tcPr>
          <w:tcPr/>
          <w:p>
            <w:pPr>
              <w:pStyle w:val="Compact"/>
              <w:jc w:val="left"/>
            </w:pPr>
            <w:r>
              <w:t xml:space="preserve">[?]</w:t>
            </w:r>
          </w:p>
        </w:tc>
        <w:tc>
          <w:tcPr>
            <w:tcW w:w="1124" w:type="dxa"/>
          </w:tcPr>
          <w:tcPr/>
          <w:p>
            <w:pPr>
              <w:pStyle w:val="Compact"/>
              <w:jc w:val="left"/>
            </w:pPr>
            <w:r>
              <w:t xml:space="preserve">[?] ; AT&amp;C 10 % (pacte, non sourcé)</w:t>
            </w:r>
          </w:p>
        </w:tc>
        <w:tc>
          <w:tcPr>
            <w:tcW w:w="1613" w:type="dxa"/>
          </w:tcPr>
          <w:tcPr/>
          <w:p>
            <w:pPr>
              <w:pStyle w:val="Compact"/>
              <w:jc w:val="left"/>
            </w:pPr>
            <w:r>
              <w:t xml:space="preserve">[?] ; « sous le coût » [S]</w:t>
            </w:r>
          </w:p>
        </w:tc>
        <w:tc>
          <w:tcPr>
            <w:tcW w:w="1100" w:type="dxa"/>
          </w:tcPr>
          <w:tcPr/>
          <w:p>
            <w:pPr>
              <w:pStyle w:val="Compact"/>
              <w:jc w:val="left"/>
            </w:pPr>
            <w:r>
              <w:t xml:space="preserve">[?]</w:t>
            </w:r>
          </w:p>
        </w:tc>
        <w:tc>
          <w:tcPr>
            <w:tcW w:w="1268" w:type="dxa"/>
          </w:tcPr>
          <w:tcPr/>
          <w:p>
            <w:pPr>
              <w:pStyle w:val="Compact"/>
              <w:jc w:val="left"/>
            </w:pPr>
            <w:r>
              <w:t xml:space="preserve">Fournisseurs 293,1 ou 331 M LSL [S]</w:t>
            </w:r>
          </w:p>
        </w:tc>
        <w:tc>
          <w:tcPr>
            <w:tcW w:w="1213" w:type="dxa"/>
          </w:tcPr>
          <w:tcPr/>
          <w:p>
            <w:pPr>
              <w:pStyle w:val="Compact"/>
              <w:jc w:val="left"/>
            </w:pPr>
            <w:r>
              <w:t xml:space="preserve">Injection de 300 M LSL [S]</w:t>
            </w:r>
          </w:p>
        </w:tc>
        <w:tc>
          <w:tcPr>
            <w:tcW w:w="1708" w:type="dxa"/>
          </w:tcPr>
          <w:tcPr/>
          <w:p>
            <w:pPr>
              <w:pStyle w:val="Compact"/>
              <w:jc w:val="left"/>
            </w:pPr>
            <w:r>
              <w:t xml:space="preserve">LREEAP P166936 (MU)</w:t>
            </w:r>
          </w:p>
        </w:tc>
        <w:tc>
          <w:tcPr>
            <w:tcW w:w="2197" w:type="dxa"/>
          </w:tcPr>
          <w:tcPr/>
          <w:p>
            <w:pPr>
              <w:pStyle w:val="Compact"/>
              <w:jc w:val="left"/>
            </w:pPr>
            <w:r>
              <w:t xml:space="preserve">RN +20,3 M USD contre quasi-insolvabilité</w:t>
            </w:r>
          </w:p>
        </w:tc>
      </w:tr>
      <w:tr>
        <w:tc>
          <w:tcPr>
            <w:tcW w:w="698" w:type="dxa"/>
          </w:tcPr>
          <w:tcPr/>
          <w:p>
            <w:pPr>
              <w:pStyle w:val="Compact"/>
              <w:jc w:val="left"/>
            </w:pPr>
            <w:r>
              <w:t xml:space="preserve">JIRAMA (MDG)</w:t>
            </w:r>
          </w:p>
        </w:tc>
        <w:tc>
          <w:tcPr>
            <w:tcW w:w="1667" w:type="dxa"/>
          </w:tcPr>
          <w:tcPr/>
          <w:p>
            <w:pPr>
              <w:pStyle w:val="Compact"/>
              <w:jc w:val="left"/>
            </w:pPr>
            <w:r>
              <w:rPr>
                <w:bCs/>
                <w:b/>
              </w:rPr>
              <w:t xml:space="preserve">2024 publié, opinion défavorable</w:t>
            </w:r>
            <w:r>
              <w:t xml:space="preserve"> </w:t>
            </w:r>
            <w:r>
              <w:t xml:space="preserve">[V]</w:t>
            </w:r>
          </w:p>
        </w:tc>
        <w:tc>
          <w:tcPr>
            <w:tcW w:w="1235" w:type="dxa"/>
          </w:tcPr>
          <w:tcPr/>
          <w:p>
            <w:pPr>
              <w:pStyle w:val="Compact"/>
              <w:jc w:val="left"/>
            </w:pPr>
            <w:r>
              <w:t xml:space="preserve">−105,1 Mds MGA (2024, après 699 Mds de subvention) [V]</w:t>
            </w:r>
          </w:p>
        </w:tc>
        <w:tc>
          <w:tcPr>
            <w:tcW w:w="742" w:type="dxa"/>
          </w:tcPr>
          <w:tcPr/>
          <w:p>
            <w:pPr>
              <w:pStyle w:val="Compact"/>
              <w:jc w:val="left"/>
            </w:pPr>
            <w:r>
              <w:t xml:space="preserve">≈ 94 % (encaissé / facturé, arriérés inclus) [E] ; ≈ 80 % (pacte)</w:t>
            </w:r>
          </w:p>
        </w:tc>
        <w:tc>
          <w:tcPr>
            <w:tcW w:w="1124" w:type="dxa"/>
          </w:tcPr>
          <w:tcPr/>
          <w:p>
            <w:pPr>
              <w:pStyle w:val="Compact"/>
              <w:jc w:val="left"/>
            </w:pPr>
            <w:r>
              <w:t xml:space="preserve">28 % (déc. 2025) [V]</w:t>
            </w:r>
          </w:p>
        </w:tc>
        <w:tc>
          <w:tcPr>
            <w:tcW w:w="1613" w:type="dxa"/>
          </w:tcPr>
          <w:tcPr/>
          <w:p>
            <w:pPr>
              <w:pStyle w:val="Compact"/>
              <w:jc w:val="left"/>
            </w:pPr>
            <w:r>
              <w:t xml:space="preserve">17 contre 24 c →</w:t>
            </w:r>
            <w:r>
              <w:t xml:space="preserve"> </w:t>
            </w:r>
            <w:r>
              <w:rPr>
                <w:bCs/>
                <w:b/>
              </w:rPr>
              <w:t xml:space="preserve">≈ 71 %</w:t>
            </w:r>
            <w:r>
              <w:t xml:space="preserve"> </w:t>
            </w:r>
            <w:r>
              <w:t xml:space="preserve">[E] (2024)</w:t>
            </w:r>
          </w:p>
        </w:tc>
        <w:tc>
          <w:tcPr>
            <w:tcW w:w="1100" w:type="dxa"/>
          </w:tcPr>
          <w:tcPr/>
          <w:p>
            <w:pPr>
              <w:pStyle w:val="Compact"/>
              <w:jc w:val="left"/>
            </w:pPr>
            <w:r>
              <w:t xml:space="preserve">Créances administratives 473,9 Mds MGA (≈ 61 % des créances clients) [V]</w:t>
            </w:r>
          </w:p>
        </w:tc>
        <w:tc>
          <w:tcPr>
            <w:tcW w:w="1268" w:type="dxa"/>
          </w:tcPr>
          <w:tcPr/>
          <w:p>
            <w:pPr>
              <w:pStyle w:val="Compact"/>
              <w:jc w:val="left"/>
            </w:pPr>
            <w:r>
              <w:t xml:space="preserve">Arriérés privés 350 M USD (base DLI) ; dette privée 1 880 Mds MGA [V]</w:t>
            </w:r>
          </w:p>
        </w:tc>
        <w:tc>
          <w:tcPr>
            <w:tcW w:w="1213" w:type="dxa"/>
          </w:tcPr>
          <w:tcPr/>
          <w:p>
            <w:pPr>
              <w:pStyle w:val="Compact"/>
              <w:jc w:val="left"/>
            </w:pPr>
            <w:r>
              <w:t xml:space="preserve">699 Mds MGA (2024) [V]</w:t>
            </w:r>
          </w:p>
        </w:tc>
        <w:tc>
          <w:tcPr>
            <w:tcW w:w="1708" w:type="dxa"/>
          </w:tcPr>
          <w:tcPr/>
          <w:p>
            <w:pPr>
              <w:pStyle w:val="Compact"/>
              <w:jc w:val="left"/>
            </w:pPr>
            <w:r>
              <w:t xml:space="preserve">ASCENT P515164 (non effectif) ; DPO P509948 ; DECIM P178701</w:t>
            </w:r>
          </w:p>
        </w:tc>
        <w:tc>
          <w:tcPr>
            <w:tcW w:w="2197" w:type="dxa"/>
          </w:tcPr>
          <w:tcPr/>
          <w:p>
            <w:pPr>
              <w:pStyle w:val="Compact"/>
              <w:jc w:val="left"/>
            </w:pPr>
            <w:r>
              <w:t xml:space="preserve">Comptes « publiés » mais avec opinion défavorable ; arriérés de 400 M USD = sous-ensemble</w:t>
            </w:r>
          </w:p>
        </w:tc>
      </w:tr>
      <w:tr>
        <w:tc>
          <w:tcPr>
            <w:tcW w:w="698" w:type="dxa"/>
          </w:tcPr>
          <w:tcPr/>
          <w:p>
            <w:pPr>
              <w:pStyle w:val="Compact"/>
              <w:jc w:val="left"/>
            </w:pPr>
            <w:r>
              <w:t xml:space="preserve">EDM (MOZ)</w:t>
            </w:r>
          </w:p>
        </w:tc>
        <w:tc>
          <w:tcPr>
            <w:tcW w:w="1667" w:type="dxa"/>
          </w:tcPr>
          <w:tcPr/>
          <w:p>
            <w:pPr>
              <w:pStyle w:val="Compact"/>
              <w:jc w:val="left"/>
            </w:pPr>
            <w:r>
              <w:t xml:space="preserve">2025 (R&amp;C via l’IGEPE) [S]</w:t>
            </w:r>
          </w:p>
        </w:tc>
        <w:tc>
          <w:tcPr>
            <w:tcW w:w="1235" w:type="dxa"/>
          </w:tcPr>
          <w:tcPr/>
          <w:p>
            <w:pPr>
              <w:pStyle w:val="Compact"/>
              <w:jc w:val="left"/>
            </w:pPr>
            <w:r>
              <w:t xml:space="preserve">+7,23 Md MZN (2025), surtout des gains financiers [S]</w:t>
            </w:r>
          </w:p>
        </w:tc>
        <w:tc>
          <w:tcPr>
            <w:tcW w:w="742" w:type="dxa"/>
          </w:tcPr>
          <w:tcPr/>
          <w:p>
            <w:pPr>
              <w:pStyle w:val="Compact"/>
              <w:jc w:val="left"/>
            </w:pPr>
            <w:r>
              <w:t xml:space="preserve">[?]</w:t>
            </w:r>
          </w:p>
        </w:tc>
        <w:tc>
          <w:tcPr>
            <w:tcW w:w="1124" w:type="dxa"/>
          </w:tcPr>
          <w:tcPr/>
          <w:p>
            <w:pPr>
              <w:pStyle w:val="Compact"/>
              <w:jc w:val="left"/>
            </w:pPr>
            <w:r>
              <w:t xml:space="preserve">26 % [V]</w:t>
            </w:r>
          </w:p>
        </w:tc>
        <w:tc>
          <w:tcPr>
            <w:tcW w:w="1613" w:type="dxa"/>
          </w:tcPr>
          <w:tcPr/>
          <w:p>
            <w:pPr>
              <w:pStyle w:val="Compact"/>
              <w:jc w:val="left"/>
            </w:pPr>
            <w:r>
              <w:t xml:space="preserve">Tarifs ≈</w:t>
            </w:r>
            <w:r>
              <w:t xml:space="preserve"> </w:t>
            </w:r>
            <w:r>
              <w:rPr>
                <w:bCs/>
                <w:b/>
              </w:rPr>
              <w:t xml:space="preserve">85 %</w:t>
            </w:r>
            <w:r>
              <w:t xml:space="preserve"> </w:t>
            </w:r>
            <w:r>
              <w:t xml:space="preserve">des coûts d’exploitation du secteur [V]</w:t>
            </w:r>
          </w:p>
        </w:tc>
        <w:tc>
          <w:tcPr>
            <w:tcW w:w="1100" w:type="dxa"/>
          </w:tcPr>
          <w:tcPr/>
          <w:p>
            <w:pPr>
              <w:pStyle w:val="Compact"/>
              <w:jc w:val="left"/>
            </w:pPr>
            <w:r>
              <w:t xml:space="preserve">6,5 Md MZN dus par le Trésor [S]</w:t>
            </w:r>
          </w:p>
        </w:tc>
        <w:tc>
          <w:tcPr>
            <w:tcW w:w="1268" w:type="dxa"/>
          </w:tcPr>
          <w:tcPr/>
          <w:p>
            <w:pPr>
              <w:pStyle w:val="Compact"/>
              <w:jc w:val="left"/>
            </w:pPr>
            <w:r>
              <w:t xml:space="preserve">IPP 161 M USD (2022) [V] ; HCB 351 M USD (pacte)</w:t>
            </w:r>
          </w:p>
        </w:tc>
        <w:tc>
          <w:tcPr>
            <w:tcW w:w="1213" w:type="dxa"/>
          </w:tcPr>
          <w:tcPr/>
          <w:p>
            <w:pPr>
              <w:pStyle w:val="Compact"/>
              <w:jc w:val="left"/>
            </w:pPr>
            <w:r>
              <w:t xml:space="preserve">+200 MW HCB ; recapitalisation [V]</w:t>
            </w:r>
          </w:p>
        </w:tc>
        <w:tc>
          <w:tcPr>
            <w:tcW w:w="1708" w:type="dxa"/>
          </w:tcPr>
          <w:tcPr/>
          <w:p>
            <w:pPr>
              <w:pStyle w:val="Compact"/>
              <w:jc w:val="left"/>
            </w:pPr>
            <w:r>
              <w:t xml:space="preserve">ASCENT P507759 ; ProEnergia+ P175295 (31,8 %) ; DPF P178668</w:t>
            </w:r>
          </w:p>
        </w:tc>
        <w:tc>
          <w:tcPr>
            <w:tcW w:w="2197" w:type="dxa"/>
          </w:tcPr>
          <w:tcPr/>
          <w:p>
            <w:pPr>
              <w:pStyle w:val="Compact"/>
              <w:jc w:val="left"/>
            </w:pPr>
            <w:r>
              <w:t xml:space="preserve">« ≥ 100 % » (pacte) contre 85 % ; bénéfice non opérationnel</w:t>
            </w:r>
          </w:p>
        </w:tc>
      </w:tr>
      <w:tr>
        <w:tc>
          <w:tcPr>
            <w:tcW w:w="698" w:type="dxa"/>
          </w:tcPr>
          <w:tcPr/>
          <w:p>
            <w:pPr>
              <w:pStyle w:val="Compact"/>
              <w:jc w:val="left"/>
            </w:pPr>
            <w:r>
              <w:t xml:space="preserve">SOMELEC (MRT)</w:t>
            </w:r>
          </w:p>
        </w:tc>
        <w:tc>
          <w:tcPr>
            <w:tcW w:w="1667" w:type="dxa"/>
          </w:tcPr>
          <w:tcPr/>
          <w:p>
            <w:pPr>
              <w:pStyle w:val="Compact"/>
              <w:jc w:val="left"/>
            </w:pPr>
            <w:r>
              <w:rPr>
                <w:bCs/>
                <w:b/>
              </w:rPr>
              <w:t xml:space="preserve">Aucun compte publié</w:t>
            </w:r>
            <w:r>
              <w:t xml:space="preserve"> </w:t>
            </w:r>
            <w:r>
              <w:t xml:space="preserve">[?]</w:t>
            </w:r>
          </w:p>
        </w:tc>
        <w:tc>
          <w:tcPr>
            <w:tcW w:w="1235" w:type="dxa"/>
          </w:tcPr>
          <w:tcPr/>
          <w:p>
            <w:pPr>
              <w:pStyle w:val="Compact"/>
              <w:jc w:val="left"/>
            </w:pPr>
            <w:r>
              <w:t xml:space="preserve">[?]</w:t>
            </w:r>
          </w:p>
        </w:tc>
        <w:tc>
          <w:tcPr>
            <w:tcW w:w="742" w:type="dxa"/>
          </w:tcPr>
          <w:tcPr/>
          <w:p>
            <w:pPr>
              <w:pStyle w:val="Compact"/>
              <w:jc w:val="left"/>
            </w:pPr>
            <w:r>
              <w:rPr>
                <w:bCs/>
                <w:b/>
              </w:rPr>
              <w:t xml:space="preserve">35 %</w:t>
            </w:r>
            <w:r>
              <w:t xml:space="preserve"> </w:t>
            </w:r>
            <w:r>
              <w:t xml:space="preserve">(2025) [V]</w:t>
            </w:r>
          </w:p>
        </w:tc>
        <w:tc>
          <w:tcPr>
            <w:tcW w:w="1124" w:type="dxa"/>
          </w:tcPr>
          <w:tcPr/>
          <w:p>
            <w:pPr>
              <w:pStyle w:val="Compact"/>
              <w:jc w:val="left"/>
            </w:pPr>
            <w:r>
              <w:rPr>
                <w:bCs/>
                <w:b/>
              </w:rPr>
              <w:t xml:space="preserve">35 %</w:t>
            </w:r>
            <w:r>
              <w:t xml:space="preserve"> </w:t>
            </w:r>
            <w:r>
              <w:t xml:space="preserve">(BM) contre ≈ 22,5 % (pacte)</w:t>
            </w:r>
          </w:p>
        </w:tc>
        <w:tc>
          <w:tcPr>
            <w:tcW w:w="1613" w:type="dxa"/>
          </w:tcPr>
          <w:tcPr/>
          <w:p>
            <w:pPr>
              <w:pStyle w:val="Compact"/>
              <w:jc w:val="left"/>
            </w:pPr>
            <w:r>
              <w:t xml:space="preserve">6,47-15,53 c contre thermique ≈ 40 c (pacte)</w:t>
            </w:r>
          </w:p>
        </w:tc>
        <w:tc>
          <w:tcPr>
            <w:tcW w:w="1100" w:type="dxa"/>
          </w:tcPr>
          <w:tcPr/>
          <w:p>
            <w:pPr>
              <w:pStyle w:val="Compact"/>
              <w:jc w:val="left"/>
            </w:pPr>
            <w:r>
              <w:t xml:space="preserve">Non chiffrés [V]</w:t>
            </w:r>
          </w:p>
        </w:tc>
        <w:tc>
          <w:tcPr>
            <w:tcW w:w="1268" w:type="dxa"/>
          </w:tcPr>
          <w:tcPr/>
          <w:p>
            <w:pPr>
              <w:pStyle w:val="Compact"/>
              <w:jc w:val="left"/>
            </w:pPr>
            <w:r>
              <w:t xml:space="preserve">[?]</w:t>
            </w:r>
          </w:p>
        </w:tc>
        <w:tc>
          <w:tcPr>
            <w:tcW w:w="1213" w:type="dxa"/>
          </w:tcPr>
          <w:tcPr/>
          <w:p>
            <w:pPr>
              <w:pStyle w:val="Compact"/>
              <w:jc w:val="left"/>
            </w:pPr>
            <w:r>
              <w:t xml:space="preserve">≈ 2 % du PIB/an (pacte) ; +1 Md MRU (2026) [V]</w:t>
            </w:r>
          </w:p>
        </w:tc>
        <w:tc>
          <w:tcPr>
            <w:tcW w:w="1708" w:type="dxa"/>
          </w:tcPr>
          <w:tcPr/>
          <w:p>
            <w:pPr>
              <w:pStyle w:val="Compact"/>
              <w:jc w:val="left"/>
            </w:pPr>
            <w:r>
              <w:t xml:space="preserve">WA-REMP P505173 (4,3 %) ; DPF P511001</w:t>
            </w:r>
          </w:p>
        </w:tc>
        <w:tc>
          <w:tcPr>
            <w:tcW w:w="2197" w:type="dxa"/>
          </w:tcPr>
          <w:tcPr/>
          <w:p>
            <w:pPr>
              <w:pStyle w:val="Compact"/>
              <w:jc w:val="left"/>
            </w:pPr>
            <w:r>
              <w:t xml:space="preserve">Pertes de 22,5 % contre 35 % ; comptes promis, non publiés</w:t>
            </w:r>
          </w:p>
        </w:tc>
      </w:tr>
      <w:tr>
        <w:tc>
          <w:tcPr>
            <w:tcW w:w="698" w:type="dxa"/>
          </w:tcPr>
          <w:tcPr/>
          <w:p>
            <w:pPr>
              <w:pStyle w:val="Compact"/>
              <w:jc w:val="left"/>
            </w:pPr>
            <w:r>
              <w:t xml:space="preserve">ESCOM / EGENCO (MWI)</w:t>
            </w:r>
          </w:p>
        </w:tc>
        <w:tc>
          <w:tcPr>
            <w:tcW w:w="1667" w:type="dxa"/>
          </w:tcPr>
          <w:tcPr/>
          <w:p>
            <w:pPr>
              <w:pStyle w:val="Compact"/>
              <w:jc w:val="left"/>
            </w:pPr>
            <w:r>
              <w:t xml:space="preserve">Aucun audit depuis 2020 [?] ; résultats 2024/25 via le MoF [S]</w:t>
            </w:r>
          </w:p>
        </w:tc>
        <w:tc>
          <w:tcPr>
            <w:tcW w:w="1235" w:type="dxa"/>
          </w:tcPr>
          <w:tcPr/>
          <w:p>
            <w:pPr>
              <w:pStyle w:val="Compact"/>
              <w:jc w:val="left"/>
            </w:pPr>
            <w:r>
              <w:t xml:space="preserve">−65,3 Md MWK (2023/24) ; +4,8 Md (2024/25) [S]</w:t>
            </w:r>
          </w:p>
        </w:tc>
        <w:tc>
          <w:tcPr>
            <w:tcW w:w="742" w:type="dxa"/>
          </w:tcPr>
          <w:tcPr/>
          <w:p>
            <w:pPr>
              <w:pStyle w:val="Compact"/>
              <w:jc w:val="left"/>
            </w:pPr>
            <w:r>
              <w:t xml:space="preserve">[?]</w:t>
            </w:r>
          </w:p>
        </w:tc>
        <w:tc>
          <w:tcPr>
            <w:tcW w:w="1124" w:type="dxa"/>
          </w:tcPr>
          <w:tcPr/>
          <w:p>
            <w:pPr>
              <w:pStyle w:val="Compact"/>
              <w:jc w:val="left"/>
            </w:pPr>
            <w:r>
              <w:t xml:space="preserve">22,6 % (2024) [V]</w:t>
            </w:r>
          </w:p>
        </w:tc>
        <w:tc>
          <w:tcPr>
            <w:tcW w:w="1613" w:type="dxa"/>
          </w:tcPr>
          <w:tcPr/>
          <w:p>
            <w:pPr>
              <w:pStyle w:val="Compact"/>
              <w:jc w:val="left"/>
            </w:pPr>
            <w:r>
              <w:t xml:space="preserve">10/10 c hors change (2024) ≈ 100 % [V] ; 12/13 c (2021)</w:t>
            </w:r>
          </w:p>
        </w:tc>
        <w:tc>
          <w:tcPr>
            <w:tcW w:w="1100" w:type="dxa"/>
          </w:tcPr>
          <w:tcPr/>
          <w:p>
            <w:pPr>
              <w:pStyle w:val="Compact"/>
              <w:jc w:val="left"/>
            </w:pPr>
            <w:r>
              <w:t xml:space="preserve">6,5 Md MWK + régies d’eau 20 Md (2023) [S]</w:t>
            </w:r>
          </w:p>
        </w:tc>
        <w:tc>
          <w:tcPr>
            <w:tcW w:w="1268" w:type="dxa"/>
          </w:tcPr>
          <w:tcPr/>
          <w:p>
            <w:pPr>
              <w:pStyle w:val="Compact"/>
              <w:jc w:val="left"/>
            </w:pPr>
            <w:r>
              <w:t xml:space="preserve">ESCOM→EGENCO ≈ 30 Md MWK [S] ; 97 Md MWK annulés</w:t>
            </w:r>
          </w:p>
        </w:tc>
        <w:tc>
          <w:tcPr>
            <w:tcW w:w="1213" w:type="dxa"/>
          </w:tcPr>
          <w:tcPr/>
          <w:p>
            <w:pPr>
              <w:pStyle w:val="Compact"/>
              <w:jc w:val="left"/>
            </w:pPr>
            <w:r>
              <w:t xml:space="preserve">Annulations de dettes intra-secteur</w:t>
            </w:r>
          </w:p>
        </w:tc>
        <w:tc>
          <w:tcPr>
            <w:tcW w:w="1708" w:type="dxa"/>
          </w:tcPr>
          <w:tcPr/>
          <w:p>
            <w:pPr>
              <w:pStyle w:val="Compact"/>
              <w:jc w:val="left"/>
            </w:pPr>
            <w:r>
              <w:t xml:space="preserve">ASCENT P502464 ; MEAP P164331 ; DPO P175072</w:t>
            </w:r>
          </w:p>
        </w:tc>
        <w:tc>
          <w:tcPr>
            <w:tcW w:w="2197" w:type="dxa"/>
          </w:tcPr>
          <w:tcPr/>
          <w:p>
            <w:pPr>
              <w:pStyle w:val="Compact"/>
              <w:jc w:val="left"/>
            </w:pPr>
            <w:r>
              <w:t xml:space="preserve">RN +12,9 M USD tiré du meilleur exercice, avant le choc de change</w:t>
            </w:r>
          </w:p>
        </w:tc>
      </w:tr>
      <w:tr>
        <w:tc>
          <w:tcPr>
            <w:tcW w:w="698" w:type="dxa"/>
          </w:tcPr>
          <w:tcPr/>
          <w:p>
            <w:pPr>
              <w:pStyle w:val="Compact"/>
              <w:jc w:val="left"/>
            </w:pPr>
            <w:r>
              <w:t xml:space="preserve">NamPower / REDs (NAM)</w:t>
            </w:r>
          </w:p>
        </w:tc>
        <w:tc>
          <w:tcPr>
            <w:tcW w:w="1667" w:type="dxa"/>
          </w:tcPr>
          <w:tcPr/>
          <w:p>
            <w:pPr>
              <w:pStyle w:val="Compact"/>
              <w:jc w:val="left"/>
            </w:pPr>
            <w:r>
              <w:t xml:space="preserve">2023/24 audité</w:t>
            </w:r>
            <w:r>
              <w:t xml:space="preserve"> </w:t>
            </w:r>
            <w:r>
              <w:rPr>
                <w:bCs/>
                <w:b/>
              </w:rPr>
              <w:t xml:space="preserve">avec réserve</w:t>
            </w:r>
            <w:r>
              <w:t xml:space="preserve"> </w:t>
            </w:r>
            <w:r>
              <w:t xml:space="preserve">[V] ; 2024/25 publié [S]</w:t>
            </w:r>
          </w:p>
        </w:tc>
        <w:tc>
          <w:tcPr>
            <w:tcW w:w="1235" w:type="dxa"/>
          </w:tcPr>
          <w:tcPr/>
          <w:p>
            <w:pPr>
              <w:pStyle w:val="Compact"/>
              <w:jc w:val="left"/>
            </w:pPr>
            <w:r>
              <w:rPr>
                <w:bCs/>
                <w:b/>
              </w:rPr>
              <w:t xml:space="preserve">+1 392 M NAD</w:t>
            </w:r>
            <w:r>
              <w:t xml:space="preserve"> </w:t>
            </w:r>
            <w:r>
              <w:t xml:space="preserve">(2023/24) [V]</w:t>
            </w:r>
          </w:p>
        </w:tc>
        <w:tc>
          <w:tcPr>
            <w:tcW w:w="742" w:type="dxa"/>
          </w:tcPr>
          <w:tcPr/>
          <w:p>
            <w:pPr>
              <w:pStyle w:val="Compact"/>
              <w:jc w:val="left"/>
            </w:pPr>
            <w:r>
              <w:t xml:space="preserve">Délai de recouvrement 69,4 jours [V]</w:t>
            </w:r>
          </w:p>
        </w:tc>
        <w:tc>
          <w:tcPr>
            <w:tcW w:w="1124" w:type="dxa"/>
          </w:tcPr>
          <w:tcPr/>
          <w:p>
            <w:pPr>
              <w:pStyle w:val="Compact"/>
              <w:jc w:val="left"/>
            </w:pPr>
            <w:r>
              <w:t xml:space="preserve">Transport 11,1 % [V] ; distribution [?]</w:t>
            </w:r>
          </w:p>
        </w:tc>
        <w:tc>
          <w:tcPr>
            <w:tcW w:w="1613" w:type="dxa"/>
          </w:tcPr>
          <w:tcPr/>
          <w:p>
            <w:pPr>
              <w:pStyle w:val="Compact"/>
              <w:jc w:val="left"/>
            </w:pPr>
            <w:r>
              <w:t xml:space="preserve">0,117/0,113 USD (pacte) ≈ 104 % [E]</w:t>
            </w:r>
          </w:p>
        </w:tc>
        <w:tc>
          <w:tcPr>
            <w:tcW w:w="1100" w:type="dxa"/>
          </w:tcPr>
          <w:tcPr/>
          <w:p>
            <w:pPr>
              <w:pStyle w:val="Compact"/>
              <w:jc w:val="left"/>
            </w:pPr>
            <w:r>
              <w:t xml:space="preserve">Collectivités / EP : 557 M NAD [S]</w:t>
            </w:r>
          </w:p>
        </w:tc>
        <w:tc>
          <w:tcPr>
            <w:tcW w:w="1268" w:type="dxa"/>
          </w:tcPr>
          <w:tcPr/>
          <w:p>
            <w:pPr>
              <w:pStyle w:val="Compact"/>
              <w:jc w:val="left"/>
            </w:pPr>
            <w:r>
              <w:t xml:space="preserve">[?]</w:t>
            </w:r>
          </w:p>
        </w:tc>
        <w:tc>
          <w:tcPr>
            <w:tcW w:w="1213" w:type="dxa"/>
          </w:tcPr>
          <w:tcPr/>
          <w:p>
            <w:pPr>
              <w:pStyle w:val="Compact"/>
              <w:jc w:val="left"/>
            </w:pPr>
            <w:r>
              <w:t xml:space="preserve">Aide de 90 M NAD (2026/27) [S]</w:t>
            </w:r>
          </w:p>
        </w:tc>
        <w:tc>
          <w:tcPr>
            <w:tcW w:w="1708" w:type="dxa"/>
          </w:tcPr>
          <w:tcPr/>
          <w:p>
            <w:pPr>
              <w:pStyle w:val="Compact"/>
              <w:jc w:val="left"/>
            </w:pPr>
            <w:r>
              <w:t xml:space="preserve">TEES P177328 (non effectif, 0 %)</w:t>
            </w:r>
          </w:p>
        </w:tc>
        <w:tc>
          <w:tcPr>
            <w:tcW w:w="2197" w:type="dxa"/>
          </w:tcPr>
          <w:tcPr/>
          <w:p>
            <w:pPr>
              <w:pStyle w:val="Compact"/>
              <w:jc w:val="left"/>
            </w:pPr>
            <w:r>
              <w:t xml:space="preserve">Mixte : « AT&amp;C 11,1 % » = transport seul ; « No » au recouvrement des coûts alors que NamPower est bénéficiaire</w:t>
            </w:r>
          </w:p>
        </w:tc>
      </w:tr>
      <w:tr>
        <w:tc>
          <w:tcPr>
            <w:tcW w:w="698" w:type="dxa"/>
          </w:tcPr>
          <w:tcPr/>
          <w:p>
            <w:pPr>
              <w:pStyle w:val="Compact"/>
              <w:jc w:val="left"/>
            </w:pPr>
            <w:r>
              <w:t xml:space="preserve">NIGELEC (NER)</w:t>
            </w:r>
          </w:p>
        </w:tc>
        <w:tc>
          <w:tcPr>
            <w:tcW w:w="1667" w:type="dxa"/>
          </w:tcPr>
          <w:tcPr/>
          <w:p>
            <w:pPr>
              <w:pStyle w:val="Compact"/>
              <w:jc w:val="left"/>
            </w:pPr>
            <w:r>
              <w:t xml:space="preserve">Non publiés [V]</w:t>
            </w:r>
          </w:p>
        </w:tc>
        <w:tc>
          <w:tcPr>
            <w:tcW w:w="1235" w:type="dxa"/>
          </w:tcPr>
          <w:tcPr/>
          <w:p>
            <w:pPr>
              <w:pStyle w:val="Compact"/>
              <w:jc w:val="left"/>
            </w:pPr>
            <w:r>
              <w:t xml:space="preserve">+2,165 M USD (2023, pacte)</w:t>
            </w:r>
          </w:p>
        </w:tc>
        <w:tc>
          <w:tcPr>
            <w:tcW w:w="742" w:type="dxa"/>
          </w:tcPr>
          <w:tcPr/>
          <w:p>
            <w:pPr>
              <w:pStyle w:val="Compact"/>
              <w:jc w:val="left"/>
            </w:pPr>
            <w:r>
              <w:t xml:space="preserve">≈ 87 % (2015) [V]</w:t>
            </w:r>
          </w:p>
        </w:tc>
        <w:tc>
          <w:tcPr>
            <w:tcW w:w="1124" w:type="dxa"/>
          </w:tcPr>
          <w:tcPr/>
          <w:p>
            <w:pPr>
              <w:pStyle w:val="Compact"/>
              <w:jc w:val="left"/>
            </w:pPr>
            <w:r>
              <w:t xml:space="preserve">20 % T&amp;D (2026) [V]</w:t>
            </w:r>
          </w:p>
        </w:tc>
        <w:tc>
          <w:tcPr>
            <w:tcW w:w="1613" w:type="dxa"/>
          </w:tcPr>
          <w:tcPr/>
          <w:p>
            <w:pPr>
              <w:pStyle w:val="Compact"/>
              <w:jc w:val="left"/>
            </w:pPr>
            <w:r>
              <w:t xml:space="preserve">≈ 15,4 c [E] contre thermique 14 c / import 6,2 c (pacte)</w:t>
            </w:r>
          </w:p>
        </w:tc>
        <w:tc>
          <w:tcPr>
            <w:tcW w:w="1100" w:type="dxa"/>
          </w:tcPr>
          <w:tcPr/>
          <w:p>
            <w:pPr>
              <w:pStyle w:val="Compact"/>
              <w:jc w:val="left"/>
            </w:pPr>
            <w:r>
              <w:t xml:space="preserve">37,747 M USD (2023, pacte)</w:t>
            </w:r>
          </w:p>
        </w:tc>
        <w:tc>
          <w:tcPr>
            <w:tcW w:w="1268" w:type="dxa"/>
          </w:tcPr>
          <w:tcPr/>
          <w:p>
            <w:pPr>
              <w:pStyle w:val="Compact"/>
              <w:jc w:val="left"/>
            </w:pPr>
            <w:r>
              <w:t xml:space="preserve">Dette CT 170,129 M USD (pacte)</w:t>
            </w:r>
          </w:p>
        </w:tc>
        <w:tc>
          <w:tcPr>
            <w:tcW w:w="1213" w:type="dxa"/>
          </w:tcPr>
          <w:tcPr/>
          <w:p>
            <w:pPr>
              <w:pStyle w:val="Compact"/>
              <w:jc w:val="left"/>
            </w:pPr>
            <w:r>
              <w:t xml:space="preserve">20,63 M (2023) / 35,74 M USD (2024 prév., pacte)</w:t>
            </w:r>
          </w:p>
        </w:tc>
        <w:tc>
          <w:tcPr>
            <w:tcW w:w="1708" w:type="dxa"/>
          </w:tcPr>
          <w:tcPr/>
          <w:p>
            <w:pPr>
              <w:pStyle w:val="Compact"/>
              <w:jc w:val="left"/>
            </w:pPr>
            <w:r>
              <w:t xml:space="preserve">Haské P174034 ; Haské 2 P517277 ; BAD PAGSEC-I</w:t>
            </w:r>
          </w:p>
        </w:tc>
        <w:tc>
          <w:tcPr>
            <w:tcW w:w="2197" w:type="dxa"/>
          </w:tcPr>
          <w:tcPr/>
          <w:p>
            <w:pPr>
              <w:pStyle w:val="Compact"/>
              <w:jc w:val="left"/>
            </w:pPr>
            <w:r>
              <w:t xml:space="preserve">Nationalisation 2025 et dissolution du conseil absentes du pacte</w:t>
            </w:r>
          </w:p>
        </w:tc>
      </w:tr>
      <w:tr>
        <w:tc>
          <w:tcPr>
            <w:tcW w:w="698" w:type="dxa"/>
          </w:tcPr>
          <w:tcPr/>
          <w:p>
            <w:pPr>
              <w:pStyle w:val="Compact"/>
              <w:jc w:val="left"/>
            </w:pPr>
            <w:r>
              <w:t xml:space="preserve">DisCos / TCN / NBET (NGA)</w:t>
            </w:r>
          </w:p>
        </w:tc>
        <w:tc>
          <w:tcPr>
            <w:tcW w:w="1667" w:type="dxa"/>
          </w:tcPr>
          <w:tcPr/>
          <w:p>
            <w:pPr>
              <w:pStyle w:val="Compact"/>
              <w:jc w:val="left"/>
            </w:pPr>
            <w:r>
              <w:t xml:space="preserve">Aucun compte consolidé [?] ; rapports trimestriels NERC [V]</w:t>
            </w:r>
          </w:p>
        </w:tc>
        <w:tc>
          <w:tcPr>
            <w:tcW w:w="1235" w:type="dxa"/>
          </w:tcPr>
          <w:tcPr/>
          <w:p>
            <w:pPr>
              <w:pStyle w:val="Compact"/>
              <w:jc w:val="left"/>
            </w:pPr>
            <w:r>
              <w:t xml:space="preserve">[?]</w:t>
            </w:r>
          </w:p>
        </w:tc>
        <w:tc>
          <w:tcPr>
            <w:tcW w:w="742" w:type="dxa"/>
          </w:tcPr>
          <w:tcPr/>
          <w:p>
            <w:pPr>
              <w:pStyle w:val="Compact"/>
              <w:jc w:val="left"/>
            </w:pPr>
            <w:r>
              <w:t xml:space="preserve">79,36 % (T4 2025) [V]</w:t>
            </w:r>
          </w:p>
        </w:tc>
        <w:tc>
          <w:tcPr>
            <w:tcW w:w="1124" w:type="dxa"/>
          </w:tcPr>
          <w:tcPr/>
          <w:p>
            <w:pPr>
              <w:pStyle w:val="Compact"/>
              <w:jc w:val="left"/>
            </w:pPr>
            <w:r>
              <w:t xml:space="preserve">ATC&amp;C 34,90 % (T4 2025) [V]</w:t>
            </w:r>
          </w:p>
        </w:tc>
        <w:tc>
          <w:tcPr>
            <w:tcW w:w="1613" w:type="dxa"/>
          </w:tcPr>
          <w:tcPr/>
          <w:p>
            <w:pPr>
              <w:pStyle w:val="Compact"/>
              <w:jc w:val="left"/>
            </w:pPr>
            <w:r>
              <w:t xml:space="preserve">[?] ; subvention = 52-60 % de la facture des GenCos [V]</w:t>
            </w:r>
          </w:p>
        </w:tc>
        <w:tc>
          <w:tcPr>
            <w:tcW w:w="1100" w:type="dxa"/>
          </w:tcPr>
          <w:tcPr/>
          <w:p>
            <w:pPr>
              <w:pStyle w:val="Compact"/>
              <w:jc w:val="left"/>
            </w:pPr>
            <w:r>
              <w:t xml:space="preserve">[?]</w:t>
            </w:r>
          </w:p>
        </w:tc>
        <w:tc>
          <w:tcPr>
            <w:tcW w:w="1268" w:type="dxa"/>
          </w:tcPr>
          <w:tcPr/>
          <w:p>
            <w:pPr>
              <w:pStyle w:val="Compact"/>
              <w:jc w:val="left"/>
            </w:pPr>
            <w:r>
              <w:t xml:space="preserve">GenCos ≈ 7,66 T NGN (2026) [S]</w:t>
            </w:r>
          </w:p>
        </w:tc>
        <w:tc>
          <w:tcPr>
            <w:tcW w:w="1213" w:type="dxa"/>
          </w:tcPr>
          <w:tcPr/>
          <w:p>
            <w:pPr>
              <w:pStyle w:val="Compact"/>
              <w:jc w:val="left"/>
            </w:pPr>
            <w:r>
              <w:t xml:space="preserve">Due ≈ 1 928 Md NGN [E] ; versée 76,95 Md (≈ 4 %) [S]</w:t>
            </w:r>
          </w:p>
        </w:tc>
        <w:tc>
          <w:tcPr>
            <w:tcW w:w="1708" w:type="dxa"/>
          </w:tcPr>
          <w:tcPr/>
          <w:p>
            <w:pPr>
              <w:pStyle w:val="Compact"/>
              <w:jc w:val="left"/>
            </w:pPr>
            <w:r>
              <w:t xml:space="preserve">PSRO P164001 (MU) ; DISREP P172891 (2,77 %)</w:t>
            </w:r>
          </w:p>
        </w:tc>
        <w:tc>
          <w:tcPr>
            <w:tcW w:w="2197" w:type="dxa"/>
          </w:tcPr>
          <w:tcPr/>
          <w:p>
            <w:pPr>
              <w:pStyle w:val="Compact"/>
              <w:jc w:val="left"/>
            </w:pPr>
            <w:r>
              <w:t xml:space="preserve">Dette « Completed » contre dette croissante ; bandes B-E gelées</w:t>
            </w:r>
          </w:p>
        </w:tc>
      </w:tr>
      <w:tr>
        <w:tc>
          <w:tcPr>
            <w:tcW w:w="698" w:type="dxa"/>
          </w:tcPr>
          <w:tcPr/>
          <w:p>
            <w:pPr>
              <w:pStyle w:val="Compact"/>
              <w:jc w:val="left"/>
            </w:pPr>
            <w:r>
              <w:t xml:space="preserve">REG / EUCL (RWA)</w:t>
            </w:r>
          </w:p>
        </w:tc>
        <w:tc>
          <w:tcPr>
            <w:tcW w:w="1667" w:type="dxa"/>
          </w:tcPr>
          <w:tcPr/>
          <w:p>
            <w:pPr>
              <w:pStyle w:val="Compact"/>
              <w:jc w:val="left"/>
            </w:pPr>
            <w:r>
              <w:t xml:space="preserve">FY2023/24 (cité par l’AIIB) ; FY2024/25 [?]</w:t>
            </w:r>
          </w:p>
        </w:tc>
        <w:tc>
          <w:tcPr>
            <w:tcW w:w="1235" w:type="dxa"/>
          </w:tcPr>
          <w:tcPr/>
          <w:p>
            <w:pPr>
              <w:pStyle w:val="Compact"/>
              <w:jc w:val="left"/>
            </w:pPr>
            <w:r>
              <w:t xml:space="preserve">[?]</w:t>
            </w:r>
          </w:p>
        </w:tc>
        <w:tc>
          <w:tcPr>
            <w:tcW w:w="742" w:type="dxa"/>
          </w:tcPr>
          <w:tcPr/>
          <w:p>
            <w:pPr>
              <w:pStyle w:val="Compact"/>
              <w:jc w:val="left"/>
            </w:pPr>
            <w:r>
              <w:t xml:space="preserve">[?]</w:t>
            </w:r>
          </w:p>
        </w:tc>
        <w:tc>
          <w:tcPr>
            <w:tcW w:w="1124" w:type="dxa"/>
          </w:tcPr>
          <w:tcPr/>
          <w:p>
            <w:pPr>
              <w:pStyle w:val="Compact"/>
              <w:jc w:val="left"/>
            </w:pPr>
            <w:r>
              <w:t xml:space="preserve">16,31 % (FY24/25) [V]</w:t>
            </w:r>
          </w:p>
        </w:tc>
        <w:tc>
          <w:tcPr>
            <w:tcW w:w="1613" w:type="dxa"/>
          </w:tcPr>
          <w:tcPr/>
          <w:p>
            <w:pPr>
              <w:pStyle w:val="Compact"/>
              <w:jc w:val="left"/>
            </w:pPr>
            <w:r>
              <w:t xml:space="preserve">0,16 contre 0,14 USD de production [V] ; &lt; OPEX + dette (pacte)</w:t>
            </w:r>
          </w:p>
        </w:tc>
        <w:tc>
          <w:tcPr>
            <w:tcW w:w="1100" w:type="dxa"/>
          </w:tcPr>
          <w:tcPr/>
          <w:p>
            <w:pPr>
              <w:pStyle w:val="Compact"/>
              <w:jc w:val="left"/>
            </w:pPr>
            <w:r>
              <w:t xml:space="preserve">Non chiffrés (pacte)</w:t>
            </w:r>
          </w:p>
        </w:tc>
        <w:tc>
          <w:tcPr>
            <w:tcW w:w="1268" w:type="dxa"/>
          </w:tcPr>
          <w:tcPr/>
          <w:p>
            <w:pPr>
              <w:pStyle w:val="Compact"/>
              <w:jc w:val="left"/>
            </w:pPr>
            <w:r>
              <w:t xml:space="preserve">[?]</w:t>
            </w:r>
          </w:p>
        </w:tc>
        <w:tc>
          <w:tcPr>
            <w:tcW w:w="1213" w:type="dxa"/>
          </w:tcPr>
          <w:tcPr/>
          <w:p>
            <w:pPr>
              <w:pStyle w:val="Compact"/>
              <w:jc w:val="left"/>
            </w:pPr>
            <w:r>
              <w:t xml:space="preserve">REG + WASAC + RwandAir : 1,2 % du PIB [V]</w:t>
            </w:r>
          </w:p>
        </w:tc>
        <w:tc>
          <w:tcPr>
            <w:tcW w:w="1708" w:type="dxa"/>
          </w:tcPr>
          <w:tcPr/>
          <w:p>
            <w:pPr>
              <w:pStyle w:val="Compact"/>
              <w:jc w:val="left"/>
            </w:pPr>
            <w:r>
              <w:t xml:space="preserve">ASCENT P180575 ; ENERGISE P516633 ; BAD/AIIB RBF II</w:t>
            </w:r>
          </w:p>
        </w:tc>
        <w:tc>
          <w:tcPr>
            <w:tcW w:w="2197" w:type="dxa"/>
          </w:tcPr>
          <w:tcPr/>
          <w:p>
            <w:pPr>
              <w:pStyle w:val="Compact"/>
              <w:jc w:val="left"/>
            </w:pPr>
            <w:r>
              <w:t xml:space="preserve">466 MW affichés contre ≈ 171 MW fermes ; pertes non monotones</w:t>
            </w:r>
          </w:p>
        </w:tc>
      </w:tr>
      <w:tr>
        <w:tc>
          <w:tcPr>
            <w:tcW w:w="698" w:type="dxa"/>
          </w:tcPr>
          <w:tcPr/>
          <w:p>
            <w:pPr>
              <w:pStyle w:val="Compact"/>
              <w:jc w:val="left"/>
            </w:pPr>
            <w:r>
              <w:t xml:space="preserve">SENELEC (SEN)</w:t>
            </w:r>
          </w:p>
        </w:tc>
        <w:tc>
          <w:tcPr>
            <w:tcW w:w="1667" w:type="dxa"/>
          </w:tcPr>
          <w:tcPr/>
          <w:p>
            <w:pPr>
              <w:pStyle w:val="Compact"/>
              <w:jc w:val="left"/>
            </w:pPr>
            <w:r>
              <w:t xml:space="preserve">2023 (rapport annuel) ; certification [?] ; rapport 2024 en 404</w:t>
            </w:r>
          </w:p>
        </w:tc>
        <w:tc>
          <w:tcPr>
            <w:tcW w:w="1235" w:type="dxa"/>
          </w:tcPr>
          <w:tcPr/>
          <w:p>
            <w:pPr>
              <w:pStyle w:val="Compact"/>
              <w:jc w:val="left"/>
            </w:pPr>
            <w:r>
              <w:t xml:space="preserve">+33,56 Md FCFA (2023) grâce à 249,28 Md de compensation [V]</w:t>
            </w:r>
          </w:p>
        </w:tc>
        <w:tc>
          <w:tcPr>
            <w:tcW w:w="742" w:type="dxa"/>
          </w:tcPr>
          <w:tcPr/>
          <w:p>
            <w:pPr>
              <w:pStyle w:val="Compact"/>
              <w:jc w:val="left"/>
            </w:pPr>
            <w:r>
              <w:t xml:space="preserve">94,65 % [V]</w:t>
            </w:r>
          </w:p>
        </w:tc>
        <w:tc>
          <w:tcPr>
            <w:tcW w:w="1124" w:type="dxa"/>
          </w:tcPr>
          <w:tcPr/>
          <w:p>
            <w:pPr>
              <w:pStyle w:val="Compact"/>
              <w:jc w:val="left"/>
            </w:pPr>
            <w:r>
              <w:t xml:space="preserve">Rendement 81,22 % [V] ; ATC&amp;C 16 % (2025)</w:t>
            </w:r>
          </w:p>
        </w:tc>
        <w:tc>
          <w:tcPr>
            <w:tcW w:w="1613" w:type="dxa"/>
          </w:tcPr>
          <w:tcPr/>
          <w:p>
            <w:pPr>
              <w:pStyle w:val="Compact"/>
              <w:jc w:val="left"/>
            </w:pPr>
            <w:r>
              <w:t xml:space="preserve">Ventes ≈</w:t>
            </w:r>
            <w:r>
              <w:t xml:space="preserve"> </w:t>
            </w:r>
            <w:r>
              <w:rPr>
                <w:bCs/>
                <w:b/>
              </w:rPr>
              <w:t xml:space="preserve">75 %</w:t>
            </w:r>
            <w:r>
              <w:t xml:space="preserve"> </w:t>
            </w:r>
            <w:r>
              <w:t xml:space="preserve">des charges [E] (pacte 72 %)</w:t>
            </w:r>
          </w:p>
        </w:tc>
        <w:tc>
          <w:tcPr>
            <w:tcW w:w="1100" w:type="dxa"/>
          </w:tcPr>
          <w:tcPr/>
          <w:p>
            <w:pPr>
              <w:pStyle w:val="Compact"/>
              <w:jc w:val="left"/>
            </w:pPr>
            <w:r>
              <w:t xml:space="preserve">Créances sur l’Administration 79,15 Md ; compensation due ≈ 179 Md FCFA [V/S]</w:t>
            </w:r>
          </w:p>
        </w:tc>
        <w:tc>
          <w:tcPr>
            <w:tcW w:w="1268" w:type="dxa"/>
          </w:tcPr>
          <w:tcPr/>
          <w:p>
            <w:pPr>
              <w:pStyle w:val="Compact"/>
              <w:jc w:val="left"/>
            </w:pPr>
            <w:r>
              <w:t xml:space="preserve">IPP 78,9 Md ; État 377,2 Md (pacte)</w:t>
            </w:r>
          </w:p>
        </w:tc>
        <w:tc>
          <w:tcPr>
            <w:tcW w:w="1213" w:type="dxa"/>
          </w:tcPr>
          <w:tcPr/>
          <w:p>
            <w:pPr>
              <w:pStyle w:val="Compact"/>
              <w:jc w:val="left"/>
            </w:pPr>
            <w:r>
              <w:t xml:space="preserve">249,28 Md (2023) ; 333,25 Md (2022) [V]</w:t>
            </w:r>
          </w:p>
        </w:tc>
        <w:tc>
          <w:tcPr>
            <w:tcW w:w="1708" w:type="dxa"/>
          </w:tcPr>
          <w:tcPr/>
          <w:p>
            <w:pPr>
              <w:pStyle w:val="Compact"/>
              <w:jc w:val="left"/>
            </w:pPr>
            <w:r>
              <w:t xml:space="preserve">PADAES P176620 + AF P515030 ; DPF P506839 (</w:t>
            </w:r>
            <w:r>
              <w:rPr>
                <w:iCs/>
                <w:i/>
              </w:rPr>
              <w:t xml:space="preserve">Dropped</w:t>
            </w:r>
            <w:r>
              <w:t xml:space="preserve">)</w:t>
            </w:r>
          </w:p>
        </w:tc>
        <w:tc>
          <w:tcPr>
            <w:tcW w:w="2197" w:type="dxa"/>
          </w:tcPr>
          <w:tcPr/>
          <w:p>
            <w:pPr>
              <w:pStyle w:val="Compact"/>
              <w:jc w:val="left"/>
            </w:pPr>
            <w:r>
              <w:t xml:space="preserve">« Baisse de la subvention » contre baisse tarifaire en 2025 et besoin ≈ 1 000 Md FCFA</w:t>
            </w:r>
          </w:p>
        </w:tc>
      </w:tr>
      <w:tr>
        <w:tc>
          <w:tcPr>
            <w:tcW w:w="698" w:type="dxa"/>
          </w:tcPr>
          <w:tcPr/>
          <w:p>
            <w:pPr>
              <w:pStyle w:val="Compact"/>
              <w:jc w:val="left"/>
            </w:pPr>
            <w:r>
              <w:t xml:space="preserve">EDSA / EGTC (SLE)</w:t>
            </w:r>
          </w:p>
        </w:tc>
        <w:tc>
          <w:tcPr>
            <w:tcW w:w="1667" w:type="dxa"/>
          </w:tcPr>
          <w:tcPr/>
          <w:p>
            <w:pPr>
              <w:pStyle w:val="Compact"/>
              <w:jc w:val="left"/>
            </w:pPr>
            <w:r>
              <w:t xml:space="preserve">Comptes 2024 promis pour juin 2026 [?]</w:t>
            </w:r>
          </w:p>
        </w:tc>
        <w:tc>
          <w:tcPr>
            <w:tcW w:w="1235" w:type="dxa"/>
          </w:tcPr>
          <w:tcPr/>
          <w:p>
            <w:pPr>
              <w:pStyle w:val="Compact"/>
              <w:jc w:val="left"/>
            </w:pPr>
            <w:r>
              <w:t xml:space="preserve">Déficitaire chaque année depuis 2019 [V]</w:t>
            </w:r>
          </w:p>
        </w:tc>
        <w:tc>
          <w:tcPr>
            <w:tcW w:w="742" w:type="dxa"/>
          </w:tcPr>
          <w:tcPr/>
          <w:p>
            <w:pPr>
              <w:pStyle w:val="Compact"/>
              <w:jc w:val="left"/>
            </w:pPr>
            <w:r>
              <w:t xml:space="preserve">0,57 (pacte)</w:t>
            </w:r>
          </w:p>
        </w:tc>
        <w:tc>
          <w:tcPr>
            <w:tcW w:w="1124" w:type="dxa"/>
          </w:tcPr>
          <w:tcPr/>
          <w:p>
            <w:pPr>
              <w:pStyle w:val="Compact"/>
              <w:jc w:val="left"/>
            </w:pPr>
            <w:r>
              <w:rPr>
                <w:bCs/>
                <w:b/>
              </w:rPr>
              <w:t xml:space="preserve">62 %</w:t>
            </w:r>
            <w:r>
              <w:t xml:space="preserve"> </w:t>
            </w:r>
            <w:r>
              <w:t xml:space="preserve">(DPF) / 43 % ATC&amp;C (ESURP) [V]</w:t>
            </w:r>
          </w:p>
        </w:tc>
        <w:tc>
          <w:tcPr>
            <w:tcW w:w="1613" w:type="dxa"/>
          </w:tcPr>
          <w:tcPr/>
          <w:p>
            <w:pPr>
              <w:pStyle w:val="Compact"/>
              <w:jc w:val="left"/>
            </w:pPr>
            <w:r>
              <w:t xml:space="preserve">Encaissé 47,6 contre 98,2 M USD →</w:t>
            </w:r>
            <w:r>
              <w:t xml:space="preserve"> </w:t>
            </w:r>
            <w:r>
              <w:rPr>
                <w:bCs/>
                <w:b/>
              </w:rPr>
              <w:t xml:space="preserve">≈ 48 %</w:t>
            </w:r>
            <w:r>
              <w:t xml:space="preserve"> </w:t>
            </w:r>
            <w:r>
              <w:t xml:space="preserve">[E] ; 0,21/0,28 (pacte)</w:t>
            </w:r>
          </w:p>
        </w:tc>
        <w:tc>
          <w:tcPr>
            <w:tcW w:w="1100" w:type="dxa"/>
          </w:tcPr>
          <w:tcPr/>
          <w:p>
            <w:pPr>
              <w:pStyle w:val="Compact"/>
              <w:jc w:val="left"/>
            </w:pPr>
            <w:r>
              <w:t xml:space="preserve">[?]</w:t>
            </w:r>
          </w:p>
        </w:tc>
        <w:tc>
          <w:tcPr>
            <w:tcW w:w="1268" w:type="dxa"/>
          </w:tcPr>
          <w:tcPr/>
          <w:p>
            <w:pPr>
              <w:pStyle w:val="Compact"/>
              <w:jc w:val="left"/>
            </w:pPr>
            <w:r>
              <w:t xml:space="preserve">IPP</w:t>
            </w:r>
            <w:r>
              <w:t xml:space="preserve"> </w:t>
            </w:r>
            <w:r>
              <w:rPr>
                <w:bCs/>
                <w:b/>
              </w:rPr>
              <w:t xml:space="preserve">113 M USD</w:t>
            </w:r>
            <w:r>
              <w:t xml:space="preserve"> </w:t>
            </w:r>
            <w:r>
              <w:t xml:space="preserve">(févr. 2026) [V]</w:t>
            </w:r>
          </w:p>
        </w:tc>
        <w:tc>
          <w:tcPr>
            <w:tcW w:w="1213" w:type="dxa"/>
          </w:tcPr>
          <w:tcPr/>
          <w:p>
            <w:pPr>
              <w:pStyle w:val="Compact"/>
              <w:jc w:val="left"/>
            </w:pPr>
            <w:r>
              <w:t xml:space="preserve">1 112 M NLe (2024) [V]</w:t>
            </w:r>
          </w:p>
        </w:tc>
        <w:tc>
          <w:tcPr>
            <w:tcW w:w="1708" w:type="dxa"/>
          </w:tcPr>
          <w:tcPr/>
          <w:p>
            <w:pPr>
              <w:pStyle w:val="Compact"/>
              <w:jc w:val="left"/>
            </w:pPr>
            <w:r>
              <w:t xml:space="preserve">DPF P503960 ; ESURP P120304 ; RESPITE P179267</w:t>
            </w:r>
          </w:p>
        </w:tc>
        <w:tc>
          <w:tcPr>
            <w:tcW w:w="2197" w:type="dxa"/>
          </w:tcPr>
          <w:tcPr/>
          <w:p>
            <w:pPr>
              <w:pStyle w:val="Compact"/>
              <w:jc w:val="left"/>
            </w:pPr>
            <w:r>
              <w:t xml:space="preserve">Concession décalée d’≥ 14 mois ; arriérés de 26 M contre 113 M USD</w:t>
            </w:r>
          </w:p>
        </w:tc>
      </w:tr>
      <w:tr>
        <w:tc>
          <w:tcPr>
            <w:tcW w:w="698" w:type="dxa"/>
          </w:tcPr>
          <w:tcPr/>
          <w:p>
            <w:pPr>
              <w:pStyle w:val="Compact"/>
              <w:jc w:val="left"/>
            </w:pPr>
            <w:r>
              <w:t xml:space="preserve">EMAE (STP)</w:t>
            </w:r>
          </w:p>
        </w:tc>
        <w:tc>
          <w:tcPr>
            <w:tcW w:w="1667" w:type="dxa"/>
          </w:tcPr>
          <w:tcPr/>
          <w:p>
            <w:pPr>
              <w:pStyle w:val="Compact"/>
              <w:jc w:val="left"/>
            </w:pPr>
            <w:r>
              <w:t xml:space="preserve">Aucun audit trouvé [?] ; KPI trimestriels en retard</w:t>
            </w:r>
          </w:p>
        </w:tc>
        <w:tc>
          <w:tcPr>
            <w:tcW w:w="1235" w:type="dxa"/>
          </w:tcPr>
          <w:tcPr/>
          <w:p>
            <w:pPr>
              <w:pStyle w:val="Compact"/>
              <w:jc w:val="left"/>
            </w:pPr>
            <w:r>
              <w:t xml:space="preserve">[?] ; « insolvable » [V]</w:t>
            </w:r>
          </w:p>
        </w:tc>
        <w:tc>
          <w:tcPr>
            <w:tcW w:w="742" w:type="dxa"/>
          </w:tcPr>
          <w:tcPr/>
          <w:p>
            <w:pPr>
              <w:pStyle w:val="Compact"/>
              <w:jc w:val="left"/>
            </w:pPr>
            <w:r>
              <w:t xml:space="preserve">≈ 30 % de clients en règle (pacte)</w:t>
            </w:r>
          </w:p>
        </w:tc>
        <w:tc>
          <w:tcPr>
            <w:tcW w:w="1124" w:type="dxa"/>
          </w:tcPr>
          <w:tcPr/>
          <w:p>
            <w:pPr>
              <w:pStyle w:val="Compact"/>
              <w:jc w:val="left"/>
            </w:pPr>
            <w:r>
              <w:t xml:space="preserve">24 % (EMAE, contesté) [V] ; 34 % (pacte)</w:t>
            </w:r>
          </w:p>
        </w:tc>
        <w:tc>
          <w:tcPr>
            <w:tcW w:w="1613" w:type="dxa"/>
          </w:tcPr>
          <w:tcPr/>
          <w:p>
            <w:pPr>
              <w:pStyle w:val="Compact"/>
              <w:jc w:val="left"/>
            </w:pPr>
            <w:r>
              <w:t xml:space="preserve">0,21 contre 0,31 USD (2016) ≈</w:t>
            </w:r>
            <w:r>
              <w:t xml:space="preserve"> </w:t>
            </w:r>
            <w:r>
              <w:rPr>
                <w:bCs/>
                <w:b/>
              </w:rPr>
              <w:t xml:space="preserve">68 %</w:t>
            </w:r>
            <w:r>
              <w:t xml:space="preserve"> </w:t>
            </w:r>
            <w:r>
              <w:t xml:space="preserve">[E]</w:t>
            </w:r>
          </w:p>
        </w:tc>
        <w:tc>
          <w:tcPr>
            <w:tcW w:w="1100" w:type="dxa"/>
          </w:tcPr>
          <w:tcPr/>
          <w:p>
            <w:pPr>
              <w:pStyle w:val="Compact"/>
              <w:jc w:val="left"/>
            </w:pPr>
            <w:r>
              <w:t xml:space="preserve">[?]</w:t>
            </w:r>
          </w:p>
        </w:tc>
        <w:tc>
          <w:tcPr>
            <w:tcW w:w="1268" w:type="dxa"/>
          </w:tcPr>
          <w:tcPr/>
          <w:p>
            <w:pPr>
              <w:pStyle w:val="Compact"/>
              <w:jc w:val="left"/>
            </w:pPr>
            <w:r>
              <w:t xml:space="preserve">Dette ENCO</w:t>
            </w:r>
            <w:r>
              <w:t xml:space="preserve"> </w:t>
            </w:r>
            <w:r>
              <w:rPr>
                <w:bCs/>
                <w:b/>
              </w:rPr>
              <w:t xml:space="preserve">28,3 % du PIB</w:t>
            </w:r>
            <w:r>
              <w:t xml:space="preserve"> </w:t>
            </w:r>
            <w:r>
              <w:t xml:space="preserve">(2023) [V]</w:t>
            </w:r>
          </w:p>
        </w:tc>
        <w:tc>
          <w:tcPr>
            <w:tcW w:w="1213" w:type="dxa"/>
          </w:tcPr>
          <w:tcPr/>
          <w:p>
            <w:pPr>
              <w:pStyle w:val="Compact"/>
              <w:jc w:val="left"/>
            </w:pPr>
            <w:r>
              <w:t xml:space="preserve">⅔ des importations de carburant ; −1,8 % du PIB (2024) [V]</w:t>
            </w:r>
          </w:p>
        </w:tc>
        <w:tc>
          <w:tcPr>
            <w:tcW w:w="1708" w:type="dxa"/>
          </w:tcPr>
          <w:tcPr/>
          <w:p>
            <w:pPr>
              <w:pStyle w:val="Compact"/>
              <w:jc w:val="left"/>
            </w:pPr>
            <w:r>
              <w:t xml:space="preserve">PSRP P157096 (ICR MI) ; ACRE P177099</w:t>
            </w:r>
          </w:p>
        </w:tc>
        <w:tc>
          <w:tcPr>
            <w:tcW w:w="2197" w:type="dxa"/>
          </w:tcPr>
          <w:tcPr/>
          <w:p>
            <w:pPr>
              <w:pStyle w:val="Compact"/>
              <w:jc w:val="left"/>
            </w:pPr>
            <w:r>
              <w:t xml:space="preserve">Dette ENCO omise ; tarif gelé depuis 2007, trajectoire suspendue</w:t>
            </w:r>
          </w:p>
        </w:tc>
      </w:tr>
      <w:tr>
        <w:tc>
          <w:tcPr>
            <w:tcW w:w="698" w:type="dxa"/>
          </w:tcPr>
          <w:tcPr/>
          <w:p>
            <w:pPr>
              <w:pStyle w:val="Compact"/>
              <w:jc w:val="left"/>
            </w:pPr>
            <w:r>
              <w:t xml:space="preserve">SNE → TchadElec (TCD)</w:t>
            </w:r>
          </w:p>
        </w:tc>
        <w:tc>
          <w:tcPr>
            <w:tcW w:w="1667" w:type="dxa"/>
          </w:tcPr>
          <w:tcPr/>
          <w:p>
            <w:pPr>
              <w:pStyle w:val="Compact"/>
              <w:jc w:val="left"/>
            </w:pPr>
            <w:r>
              <w:t xml:space="preserve">Audités 2022 (pacte) ; rien en ligne [?]</w:t>
            </w:r>
          </w:p>
        </w:tc>
        <w:tc>
          <w:tcPr>
            <w:tcW w:w="1235" w:type="dxa"/>
          </w:tcPr>
          <w:tcPr/>
          <w:p>
            <w:pPr>
              <w:pStyle w:val="Compact"/>
              <w:jc w:val="left"/>
            </w:pPr>
            <w:r>
              <w:t xml:space="preserve">[?] ; « insolvable » (DG, 2024) [S]</w:t>
            </w:r>
          </w:p>
        </w:tc>
        <w:tc>
          <w:tcPr>
            <w:tcW w:w="742" w:type="dxa"/>
          </w:tcPr>
          <w:tcPr/>
          <w:p>
            <w:pPr>
              <w:pStyle w:val="Compact"/>
              <w:jc w:val="left"/>
            </w:pPr>
            <w:r>
              <w:t xml:space="preserve">45-51 % (pacte)</w:t>
            </w:r>
          </w:p>
        </w:tc>
        <w:tc>
          <w:tcPr>
            <w:tcW w:w="1124" w:type="dxa"/>
          </w:tcPr>
          <w:tcPr/>
          <w:p>
            <w:pPr>
              <w:pStyle w:val="Compact"/>
              <w:jc w:val="left"/>
            </w:pPr>
            <w:r>
              <w:t xml:space="preserve">39 % (pacte)</w:t>
            </w:r>
          </w:p>
        </w:tc>
        <w:tc>
          <w:tcPr>
            <w:tcW w:w="1613" w:type="dxa"/>
          </w:tcPr>
          <w:tcPr/>
          <w:p>
            <w:pPr>
              <w:pStyle w:val="Compact"/>
              <w:jc w:val="left"/>
            </w:pPr>
            <w:r>
              <w:t xml:space="preserve">[?] ; coût 0,175 USD/kWh (pacte)</w:t>
            </w:r>
          </w:p>
        </w:tc>
        <w:tc>
          <w:tcPr>
            <w:tcW w:w="1100" w:type="dxa"/>
          </w:tcPr>
          <w:tcPr/>
          <w:p>
            <w:pPr>
              <w:pStyle w:val="Compact"/>
              <w:jc w:val="left"/>
            </w:pPr>
            <w:r>
              <w:t xml:space="preserve">32 M USD (pacte)</w:t>
            </w:r>
          </w:p>
        </w:tc>
        <w:tc>
          <w:tcPr>
            <w:tcW w:w="1268" w:type="dxa"/>
          </w:tcPr>
          <w:tcPr/>
          <w:p>
            <w:pPr>
              <w:pStyle w:val="Compact"/>
              <w:jc w:val="left"/>
            </w:pPr>
            <w:r>
              <w:t xml:space="preserve">[?]</w:t>
            </w:r>
          </w:p>
        </w:tc>
        <w:tc>
          <w:tcPr>
            <w:tcW w:w="1213" w:type="dxa"/>
          </w:tcPr>
          <w:tcPr/>
          <w:p>
            <w:pPr>
              <w:pStyle w:val="Compact"/>
              <w:jc w:val="left"/>
            </w:pPr>
            <w:r>
              <w:rPr>
                <w:bCs/>
                <w:b/>
              </w:rPr>
              <w:t xml:space="preserve">88-89 Md FCFA/an en nature</w:t>
            </w:r>
            <w:r>
              <w:t xml:space="preserve"> </w:t>
            </w:r>
            <w:r>
              <w:t xml:space="preserve">[V]</w:t>
            </w:r>
          </w:p>
        </w:tc>
        <w:tc>
          <w:tcPr>
            <w:tcW w:w="1708" w:type="dxa"/>
          </w:tcPr>
          <w:tcPr/>
          <w:p>
            <w:pPr>
              <w:pStyle w:val="Compact"/>
              <w:jc w:val="left"/>
            </w:pPr>
            <w:r>
              <w:t xml:space="preserve">PAAET P174495 (46,7 %) ; RESPITE ; PIRECT ; BAD PASET 2</w:t>
            </w:r>
          </w:p>
        </w:tc>
        <w:tc>
          <w:tcPr>
            <w:tcW w:w="2197" w:type="dxa"/>
          </w:tcPr>
          <w:tcPr/>
          <w:p>
            <w:pPr>
              <w:pStyle w:val="Compact"/>
              <w:jc w:val="left"/>
            </w:pPr>
            <w:r>
              <w:t xml:space="preserve">L’opérateur visé par le pacte n’est plus l’exploitant ; subventions non chiffrées</w:t>
            </w:r>
          </w:p>
        </w:tc>
      </w:tr>
      <w:tr>
        <w:tc>
          <w:tcPr>
            <w:tcW w:w="698" w:type="dxa"/>
          </w:tcPr>
          <w:tcPr/>
          <w:p>
            <w:pPr>
              <w:pStyle w:val="Compact"/>
              <w:jc w:val="left"/>
            </w:pPr>
            <w:r>
              <w:t xml:space="preserve">CEET (TGO)</w:t>
            </w:r>
          </w:p>
        </w:tc>
        <w:tc>
          <w:tcPr>
            <w:tcW w:w="1667" w:type="dxa"/>
          </w:tcPr>
          <w:tcPr/>
          <w:p>
            <w:pPr>
              <w:pStyle w:val="Compact"/>
              <w:jc w:val="left"/>
            </w:pPr>
            <w:r>
              <w:t xml:space="preserve">Audités 2022-23 transmis à la BM, non publiés [V]</w:t>
            </w:r>
          </w:p>
        </w:tc>
        <w:tc>
          <w:tcPr>
            <w:tcW w:w="1235" w:type="dxa"/>
          </w:tcPr>
          <w:tcPr/>
          <w:p>
            <w:pPr>
              <w:pStyle w:val="Compact"/>
              <w:jc w:val="left"/>
            </w:pPr>
            <w:r>
              <w:t xml:space="preserve">[?]</w:t>
            </w:r>
          </w:p>
        </w:tc>
        <w:tc>
          <w:tcPr>
            <w:tcW w:w="742" w:type="dxa"/>
          </w:tcPr>
          <w:tcPr/>
          <w:p>
            <w:pPr>
              <w:pStyle w:val="Compact"/>
              <w:jc w:val="left"/>
            </w:pPr>
            <w:r>
              <w:t xml:space="preserve">[?] (« low »)</w:t>
            </w:r>
          </w:p>
        </w:tc>
        <w:tc>
          <w:tcPr>
            <w:tcW w:w="1124" w:type="dxa"/>
          </w:tcPr>
          <w:tcPr/>
          <w:p>
            <w:pPr>
              <w:pStyle w:val="Compact"/>
              <w:jc w:val="left"/>
            </w:pPr>
            <w:r>
              <w:t xml:space="preserve">16,04 % (pacte, non vérifié)</w:t>
            </w:r>
          </w:p>
        </w:tc>
        <w:tc>
          <w:tcPr>
            <w:tcW w:w="1613" w:type="dxa"/>
          </w:tcPr>
          <w:tcPr/>
          <w:p>
            <w:pPr>
              <w:pStyle w:val="Compact"/>
              <w:jc w:val="left"/>
            </w:pPr>
            <w:r>
              <w:t xml:space="preserve">102/145 FCFA (2024) →</w:t>
            </w:r>
            <w:r>
              <w:t xml:space="preserve"> </w:t>
            </w:r>
            <w:r>
              <w:rPr>
                <w:bCs/>
                <w:b/>
              </w:rPr>
              <w:t xml:space="preserve">≈ 70 %</w:t>
            </w:r>
            <w:r>
              <w:t xml:space="preserve"> </w:t>
            </w:r>
            <w:r>
              <w:t xml:space="preserve">[E]</w:t>
            </w:r>
          </w:p>
        </w:tc>
        <w:tc>
          <w:tcPr>
            <w:tcW w:w="1100" w:type="dxa"/>
          </w:tcPr>
          <w:tcPr/>
          <w:p>
            <w:pPr>
              <w:pStyle w:val="Compact"/>
              <w:jc w:val="left"/>
            </w:pPr>
            <w:r>
              <w:t xml:space="preserve">[?]</w:t>
            </w:r>
          </w:p>
        </w:tc>
        <w:tc>
          <w:tcPr>
            <w:tcW w:w="1268" w:type="dxa"/>
          </w:tcPr>
          <w:tcPr/>
          <w:p>
            <w:pPr>
              <w:pStyle w:val="Compact"/>
              <w:jc w:val="left"/>
            </w:pPr>
            <w:r>
              <w:t xml:space="preserve">Ligne BOAD de 40 Md FCFA pour apurer les dettes [S]</w:t>
            </w:r>
          </w:p>
        </w:tc>
        <w:tc>
          <w:tcPr>
            <w:tcW w:w="1213" w:type="dxa"/>
          </w:tcPr>
          <w:tcPr/>
          <w:p>
            <w:pPr>
              <w:pStyle w:val="Compact"/>
              <w:jc w:val="left"/>
            </w:pPr>
            <w:r>
              <w:t xml:space="preserve">&gt; 56 Md FCFA (2020-25) [S]</w:t>
            </w:r>
          </w:p>
        </w:tc>
        <w:tc>
          <w:tcPr>
            <w:tcW w:w="1708" w:type="dxa"/>
          </w:tcPr>
          <w:tcPr/>
          <w:p>
            <w:pPr>
              <w:pStyle w:val="Compact"/>
              <w:jc w:val="left"/>
            </w:pPr>
            <w:r>
              <w:t xml:space="preserve">IDEA P176769 (4 PBC atteintes) ; DPF P510580 / P181238</w:t>
            </w:r>
          </w:p>
        </w:tc>
        <w:tc>
          <w:tcPr>
            <w:tcW w:w="2197" w:type="dxa"/>
          </w:tcPr>
          <w:tcPr/>
          <w:p>
            <w:pPr>
              <w:pStyle w:val="Compact"/>
              <w:jc w:val="left"/>
            </w:pPr>
            <w:r>
              <w:t xml:space="preserve">Couverture de 80-84 % (pacte) contre ≈ 70 % ; rendement de 84,99 % copié du pacte CIV</w:t>
            </w:r>
          </w:p>
        </w:tc>
      </w:tr>
      <w:tr>
        <w:tc>
          <w:tcPr>
            <w:tcW w:w="698" w:type="dxa"/>
          </w:tcPr>
          <w:tcPr/>
          <w:p>
            <w:pPr>
              <w:pStyle w:val="Compact"/>
              <w:jc w:val="left"/>
            </w:pPr>
            <w:r>
              <w:t xml:space="preserve">TANESCO (TZA)</w:t>
            </w:r>
          </w:p>
        </w:tc>
        <w:tc>
          <w:tcPr>
            <w:tcW w:w="1667" w:type="dxa"/>
          </w:tcPr>
          <w:tcPr/>
          <w:p>
            <w:pPr>
              <w:pStyle w:val="Compact"/>
              <w:jc w:val="left"/>
            </w:pPr>
            <w:r>
              <w:t xml:space="preserve">FY2022/23 audité (pacte) ; FY23/24 via les agrégats EWURA [V]</w:t>
            </w:r>
          </w:p>
        </w:tc>
        <w:tc>
          <w:tcPr>
            <w:tcW w:w="1235" w:type="dxa"/>
          </w:tcPr>
          <w:tcPr/>
          <w:p>
            <w:pPr>
              <w:pStyle w:val="Compact"/>
              <w:jc w:val="left"/>
            </w:pPr>
            <w:r>
              <w:t xml:space="preserve">6,09 Md TZS (marge 0,3 %, FY23/24) [V]</w:t>
            </w:r>
          </w:p>
        </w:tc>
        <w:tc>
          <w:tcPr>
            <w:tcW w:w="742" w:type="dxa"/>
          </w:tcPr>
          <w:tcPr/>
          <w:p>
            <w:pPr>
              <w:pStyle w:val="Compact"/>
              <w:jc w:val="left"/>
            </w:pPr>
            <w:r>
              <w:t xml:space="preserve">96 % (2021/22, pacte)</w:t>
            </w:r>
          </w:p>
        </w:tc>
        <w:tc>
          <w:tcPr>
            <w:tcW w:w="1124" w:type="dxa"/>
          </w:tcPr>
          <w:tcPr/>
          <w:p>
            <w:pPr>
              <w:pStyle w:val="Compact"/>
              <w:jc w:val="left"/>
            </w:pPr>
            <w:r>
              <w:t xml:space="preserve">14,61 % [V]</w:t>
            </w:r>
          </w:p>
        </w:tc>
        <w:tc>
          <w:tcPr>
            <w:tcW w:w="1613" w:type="dxa"/>
          </w:tcPr>
          <w:tcPr/>
          <w:p>
            <w:pPr>
              <w:pStyle w:val="Compact"/>
              <w:jc w:val="left"/>
            </w:pPr>
            <w:r>
              <w:t xml:space="preserve">233/256 TZS →</w:t>
            </w:r>
            <w:r>
              <w:t xml:space="preserve"> </w:t>
            </w:r>
            <w:r>
              <w:rPr>
                <w:bCs/>
                <w:b/>
              </w:rPr>
              <w:t xml:space="preserve">≈ 91 %</w:t>
            </w:r>
            <w:r>
              <w:t xml:space="preserve"> </w:t>
            </w:r>
            <w:r>
              <w:t xml:space="preserve">[E] (FY22/23) ; coût +10 % en FY23/24</w:t>
            </w:r>
          </w:p>
        </w:tc>
        <w:tc>
          <w:tcPr>
            <w:tcW w:w="1100" w:type="dxa"/>
          </w:tcPr>
          <w:tcPr/>
          <w:p>
            <w:pPr>
              <w:pStyle w:val="Compact"/>
              <w:jc w:val="left"/>
            </w:pPr>
            <w:r>
              <w:t xml:space="preserve">Reconnus, [?]</w:t>
            </w:r>
          </w:p>
        </w:tc>
        <w:tc>
          <w:tcPr>
            <w:tcW w:w="1268" w:type="dxa"/>
          </w:tcPr>
          <w:tcPr/>
          <w:p>
            <w:pPr>
              <w:pStyle w:val="Compact"/>
              <w:jc w:val="left"/>
            </w:pPr>
            <w:r>
              <w:t xml:space="preserve">Reconnues, [?]</w:t>
            </w:r>
          </w:p>
        </w:tc>
        <w:tc>
          <w:tcPr>
            <w:tcW w:w="1213" w:type="dxa"/>
          </w:tcPr>
          <w:tcPr/>
          <w:p>
            <w:pPr>
              <w:pStyle w:val="Compact"/>
              <w:jc w:val="left"/>
            </w:pPr>
            <w:r>
              <w:t xml:space="preserve">56,8 M USD/an (pacte)</w:t>
            </w:r>
          </w:p>
        </w:tc>
        <w:tc>
          <w:tcPr>
            <w:tcW w:w="1708" w:type="dxa"/>
          </w:tcPr>
          <w:tcPr/>
          <w:p>
            <w:pPr>
              <w:pStyle w:val="Compact"/>
              <w:jc w:val="left"/>
            </w:pPr>
            <w:r>
              <w:t xml:space="preserve">ASCENT P179631 ; RI-3A P163752 ; P512145 (pipeline)</w:t>
            </w:r>
          </w:p>
        </w:tc>
        <w:tc>
          <w:tcPr>
            <w:tcW w:w="2197" w:type="dxa"/>
          </w:tcPr>
          <w:tcPr/>
          <w:p>
            <w:pPr>
              <w:pStyle w:val="Compact"/>
              <w:jc w:val="left"/>
            </w:pPr>
            <w:r>
              <w:t xml:space="preserve">RN 20,3 M USD (pacte) contre ≈ 2,4 M ; cible de pertes EWURA manquée</w:t>
            </w:r>
          </w:p>
        </w:tc>
      </w:tr>
      <w:tr>
        <w:tc>
          <w:tcPr>
            <w:tcW w:w="698" w:type="dxa"/>
          </w:tcPr>
          <w:tcPr/>
          <w:p>
            <w:pPr>
              <w:pStyle w:val="Compact"/>
              <w:jc w:val="left"/>
            </w:pPr>
            <w:r>
              <w:t xml:space="preserve">UEDCL (UGA)</w:t>
            </w:r>
          </w:p>
        </w:tc>
        <w:tc>
          <w:tcPr>
            <w:tcW w:w="1667" w:type="dxa"/>
          </w:tcPr>
          <w:tcPr/>
          <w:p>
            <w:pPr>
              <w:pStyle w:val="Compact"/>
              <w:jc w:val="left"/>
            </w:pPr>
            <w:r>
              <w:rPr>
                <w:bCs/>
                <w:b/>
              </w:rPr>
              <w:t xml:space="preserve">FY2024/25 audité, sans réserve</w:t>
            </w:r>
            <w:r>
              <w:t xml:space="preserve"> </w:t>
            </w:r>
            <w:r>
              <w:t xml:space="preserve">[V]</w:t>
            </w:r>
          </w:p>
        </w:tc>
        <w:tc>
          <w:tcPr>
            <w:tcW w:w="1235" w:type="dxa"/>
          </w:tcPr>
          <w:tcPr/>
          <w:p>
            <w:pPr>
              <w:pStyle w:val="Compact"/>
              <w:jc w:val="left"/>
            </w:pPr>
            <w:r>
              <w:t xml:space="preserve">−193,45 Md UGX (impôts différés) ; EBITDA 87,5 Md [V]</w:t>
            </w:r>
          </w:p>
        </w:tc>
        <w:tc>
          <w:tcPr>
            <w:tcW w:w="742" w:type="dxa"/>
          </w:tcPr>
          <w:tcPr/>
          <w:p>
            <w:pPr>
              <w:pStyle w:val="Compact"/>
              <w:jc w:val="left"/>
            </w:pPr>
            <w:r>
              <w:rPr>
                <w:bCs/>
                <w:b/>
              </w:rPr>
              <w:t xml:space="preserve">100 %</w:t>
            </w:r>
            <w:r>
              <w:t xml:space="preserve"> </w:t>
            </w:r>
            <w:r>
              <w:t xml:space="preserve">[V]</w:t>
            </w:r>
          </w:p>
        </w:tc>
        <w:tc>
          <w:tcPr>
            <w:tcW w:w="1124" w:type="dxa"/>
          </w:tcPr>
          <w:tcPr/>
          <w:p>
            <w:pPr>
              <w:pStyle w:val="Compact"/>
              <w:jc w:val="left"/>
            </w:pPr>
            <w:r>
              <w:t xml:space="preserve">18 % (FY25) ; 18,11 % (avr. 2026) [V/S]</w:t>
            </w:r>
          </w:p>
        </w:tc>
        <w:tc>
          <w:tcPr>
            <w:tcW w:w="1613" w:type="dxa"/>
          </w:tcPr>
          <w:tcPr/>
          <w:p>
            <w:pPr>
              <w:pStyle w:val="Compact"/>
              <w:jc w:val="left"/>
            </w:pPr>
            <w:r>
              <w:t xml:space="preserve">≈ 465 UGX/kWh [E] ; coût [?]</w:t>
            </w:r>
          </w:p>
        </w:tc>
        <w:tc>
          <w:tcPr>
            <w:tcW w:w="1100" w:type="dxa"/>
          </w:tcPr>
          <w:tcPr/>
          <w:p>
            <w:pPr>
              <w:pStyle w:val="Compact"/>
              <w:jc w:val="left"/>
            </w:pPr>
            <w:r>
              <w:rPr>
                <w:bCs/>
                <w:b/>
              </w:rPr>
              <w:t xml:space="preserve">194,7 Md UGX de factures publiques impayées</w:t>
            </w:r>
            <w:r>
              <w:t xml:space="preserve"> </w:t>
            </w:r>
            <w:r>
              <w:t xml:space="preserve">[V]</w:t>
            </w:r>
          </w:p>
        </w:tc>
        <w:tc>
          <w:tcPr>
            <w:tcW w:w="1268" w:type="dxa"/>
          </w:tcPr>
          <w:tcPr/>
          <w:p>
            <w:pPr>
              <w:pStyle w:val="Compact"/>
              <w:jc w:val="left"/>
            </w:pPr>
            <w:r>
              <w:t xml:space="preserve">[?]</w:t>
            </w:r>
          </w:p>
        </w:tc>
        <w:tc>
          <w:tcPr>
            <w:tcW w:w="1213" w:type="dxa"/>
          </w:tcPr>
          <w:tcPr/>
          <w:p>
            <w:pPr>
              <w:pStyle w:val="Compact"/>
              <w:jc w:val="left"/>
            </w:pPr>
            <w:r>
              <w:t xml:space="preserve">« Fragmentées » (pacte)</w:t>
            </w:r>
          </w:p>
        </w:tc>
        <w:tc>
          <w:tcPr>
            <w:tcW w:w="1708" w:type="dxa"/>
          </w:tcPr>
          <w:tcPr/>
          <w:p>
            <w:pPr>
              <w:pStyle w:val="Compact"/>
              <w:jc w:val="left"/>
            </w:pPr>
            <w:r>
              <w:t xml:space="preserve">ASCENT P514490 (pipeline) ; EASP P166685 ; P513494 [?]</w:t>
            </w:r>
          </w:p>
        </w:tc>
        <w:tc>
          <w:tcPr>
            <w:tcW w:w="2197" w:type="dxa"/>
          </w:tcPr>
          <w:tcPr/>
          <w:p>
            <w:pPr>
              <w:pStyle w:val="Compact"/>
              <w:jc w:val="left"/>
            </w:pPr>
            <w:r>
              <w:t xml:space="preserve">Pertes de 16 % (pacte) contre 18 %</w:t>
            </w:r>
          </w:p>
        </w:tc>
      </w:tr>
      <w:tr>
        <w:tc>
          <w:tcPr>
            <w:tcW w:w="698" w:type="dxa"/>
          </w:tcPr>
          <w:tcPr/>
          <w:p>
            <w:pPr>
              <w:pStyle w:val="Compact"/>
              <w:jc w:val="left"/>
            </w:pPr>
            <w:r>
              <w:t xml:space="preserve">ZESCO (ZMB)</w:t>
            </w:r>
          </w:p>
        </w:tc>
        <w:tc>
          <w:tcPr>
            <w:tcW w:w="1667" w:type="dxa"/>
          </w:tcPr>
          <w:tcPr/>
          <w:p>
            <w:pPr>
              <w:pStyle w:val="Compact"/>
              <w:jc w:val="left"/>
            </w:pPr>
            <w:r>
              <w:t xml:space="preserve">2024 audité (continuité d’exploitation incertaine) [V] ; 2025 publié, audit [?]</w:t>
            </w:r>
          </w:p>
        </w:tc>
        <w:tc>
          <w:tcPr>
            <w:tcW w:w="1235" w:type="dxa"/>
          </w:tcPr>
          <w:tcPr/>
          <w:p>
            <w:pPr>
              <w:pStyle w:val="Compact"/>
              <w:jc w:val="left"/>
            </w:pPr>
            <w:r>
              <w:t xml:space="preserve">−15,5 Md ZMW (2024) ; +6,3 ou 5,3 Md (2025) [V]</w:t>
            </w:r>
          </w:p>
        </w:tc>
        <w:tc>
          <w:tcPr>
            <w:tcW w:w="742" w:type="dxa"/>
          </w:tcPr>
          <w:tcPr/>
          <w:p>
            <w:pPr>
              <w:pStyle w:val="Compact"/>
              <w:jc w:val="left"/>
            </w:pPr>
            <w:r>
              <w:t xml:space="preserve">90 % (2025) ; 72 % (2024) [V]</w:t>
            </w:r>
          </w:p>
        </w:tc>
        <w:tc>
          <w:tcPr>
            <w:tcW w:w="1124" w:type="dxa"/>
          </w:tcPr>
          <w:tcPr/>
          <w:p>
            <w:pPr>
              <w:pStyle w:val="Compact"/>
              <w:jc w:val="left"/>
            </w:pPr>
            <w:r>
              <w:t xml:space="preserve">Distribution 9,48 % (2025) ; T&amp;D ≈ 22 % (2022) [V]</w:t>
            </w:r>
          </w:p>
        </w:tc>
        <w:tc>
          <w:tcPr>
            <w:tcW w:w="1613" w:type="dxa"/>
          </w:tcPr>
          <w:tcPr/>
          <w:p>
            <w:pPr>
              <w:pStyle w:val="Compact"/>
              <w:jc w:val="left"/>
            </w:pPr>
            <w:r>
              <w:t xml:space="preserve">Recouvrement des coûts avec dettes fournisseurs</w:t>
            </w:r>
            <w:r>
              <w:t xml:space="preserve"> </w:t>
            </w:r>
            <w:r>
              <w:rPr>
                <w:bCs/>
                <w:b/>
              </w:rPr>
              <w:t xml:space="preserve">35 %</w:t>
            </w:r>
            <w:r>
              <w:t xml:space="preserve"> </w:t>
            </w:r>
            <w:r>
              <w:t xml:space="preserve">(2023) [V]</w:t>
            </w:r>
          </w:p>
        </w:tc>
        <w:tc>
          <w:tcPr>
            <w:tcW w:w="1100" w:type="dxa"/>
          </w:tcPr>
          <w:tcPr/>
          <w:p>
            <w:pPr>
              <w:pStyle w:val="Compact"/>
              <w:jc w:val="left"/>
            </w:pPr>
            <w:r>
              <w:t xml:space="preserve">[?] ; mines 72 % (2022)</w:t>
            </w:r>
          </w:p>
        </w:tc>
        <w:tc>
          <w:tcPr>
            <w:tcW w:w="1268" w:type="dxa"/>
          </w:tcPr>
          <w:tcPr/>
          <w:p>
            <w:pPr>
              <w:pStyle w:val="Compact"/>
              <w:jc w:val="left"/>
            </w:pPr>
            <w:r>
              <w:t xml:space="preserve">IPP 187 M USD (2025) [V]</w:t>
            </w:r>
          </w:p>
        </w:tc>
        <w:tc>
          <w:tcPr>
            <w:tcW w:w="1213" w:type="dxa"/>
          </w:tcPr>
          <w:tcPr/>
          <w:p>
            <w:pPr>
              <w:pStyle w:val="Compact"/>
              <w:jc w:val="left"/>
            </w:pPr>
            <w:r>
              <w:t xml:space="preserve">533 M ZMW (2025) [V]</w:t>
            </w:r>
          </w:p>
        </w:tc>
        <w:tc>
          <w:tcPr>
            <w:tcW w:w="1708" w:type="dxa"/>
          </w:tcPr>
          <w:tcPr/>
          <w:p>
            <w:pPr>
              <w:pStyle w:val="Compact"/>
              <w:jc w:val="left"/>
            </w:pPr>
            <w:r>
              <w:t xml:space="preserve">NEAT P179380 ; ASCENT P507635 ; RETRADE-SA P507033</w:t>
            </w:r>
          </w:p>
        </w:tc>
        <w:tc>
          <w:tcPr>
            <w:tcW w:w="2197" w:type="dxa"/>
          </w:tcPr>
          <w:tcPr/>
          <w:p>
            <w:pPr>
              <w:pStyle w:val="Compact"/>
              <w:jc w:val="left"/>
            </w:pPr>
            <w:r>
              <w:t xml:space="preserve">Données « not available » alors qu’elles existent ; ≈ 4 h d’électricité/jour</w:t>
            </w:r>
          </w:p>
        </w:tc>
      </w:tr>
      <w:tr>
        <w:tc>
          <w:tcPr>
            <w:tcW w:w="698" w:type="dxa"/>
          </w:tcPr>
          <w:tcPr/>
          <w:p>
            <w:pPr>
              <w:pStyle w:val="Compact"/>
              <w:jc w:val="left"/>
            </w:pPr>
            <w:r>
              <w:t xml:space="preserve">ZESA : ZETDC / ZPC (ZWE)</w:t>
            </w:r>
          </w:p>
        </w:tc>
        <w:tc>
          <w:tcPr>
            <w:tcW w:w="1667" w:type="dxa"/>
          </w:tcPr>
          <w:tcPr/>
          <w:p>
            <w:pPr>
              <w:pStyle w:val="Compact"/>
              <w:jc w:val="left"/>
            </w:pPr>
            <w:r>
              <w:t xml:space="preserve">ZETDC 2025, AG sans réserve + doute sur la continuité [S]</w:t>
            </w:r>
          </w:p>
        </w:tc>
        <w:tc>
          <w:tcPr>
            <w:tcW w:w="1235" w:type="dxa"/>
          </w:tcPr>
          <w:tcPr/>
          <w:p>
            <w:pPr>
              <w:pStyle w:val="Compact"/>
              <w:jc w:val="left"/>
            </w:pPr>
            <w:r>
              <w:t xml:space="preserve">ZETDC : −10 Mds ZWG avant impôt (2025) [S]</w:t>
            </w:r>
          </w:p>
        </w:tc>
        <w:tc>
          <w:tcPr>
            <w:tcW w:w="742" w:type="dxa"/>
          </w:tcPr>
          <w:tcPr/>
          <w:p>
            <w:pPr>
              <w:pStyle w:val="Compact"/>
              <w:jc w:val="left"/>
            </w:pPr>
            <w:r>
              <w:t xml:space="preserve">[?]</w:t>
            </w:r>
          </w:p>
        </w:tc>
        <w:tc>
          <w:tcPr>
            <w:tcW w:w="1124" w:type="dxa"/>
          </w:tcPr>
          <w:tcPr/>
          <w:p>
            <w:pPr>
              <w:pStyle w:val="Compact"/>
              <w:jc w:val="left"/>
            </w:pPr>
            <w:r>
              <w:t xml:space="preserve">Techniques 18-20 % ; ATCC ≈ 60 % (annexe du pacte) [E]</w:t>
            </w:r>
          </w:p>
        </w:tc>
        <w:tc>
          <w:tcPr>
            <w:tcW w:w="1613" w:type="dxa"/>
          </w:tcPr>
          <w:tcPr/>
          <w:p>
            <w:pPr>
              <w:pStyle w:val="Compact"/>
              <w:jc w:val="left"/>
            </w:pPr>
            <w:r>
              <w:t xml:space="preserve">Achat ≈ 12 contre vente ≈ 10 USc (2023) → ≈ 83 % [E]</w:t>
            </w:r>
          </w:p>
        </w:tc>
        <w:tc>
          <w:tcPr>
            <w:tcW w:w="1100" w:type="dxa"/>
          </w:tcPr>
          <w:tcPr/>
          <w:p>
            <w:pPr>
              <w:pStyle w:val="Compact"/>
              <w:jc w:val="left"/>
            </w:pPr>
            <w:r>
              <w:t xml:space="preserve">38 % des arriérés viennent du secteur public [V]</w:t>
            </w:r>
          </w:p>
        </w:tc>
        <w:tc>
          <w:tcPr>
            <w:tcW w:w="1268" w:type="dxa"/>
          </w:tcPr>
          <w:tcPr/>
          <w:p>
            <w:pPr>
              <w:pStyle w:val="Compact"/>
              <w:jc w:val="left"/>
            </w:pPr>
            <w:r>
              <w:t xml:space="preserve">Dette historique 328 M USD [S]</w:t>
            </w:r>
          </w:p>
        </w:tc>
        <w:tc>
          <w:tcPr>
            <w:tcW w:w="1213" w:type="dxa"/>
          </w:tcPr>
          <w:tcPr/>
          <w:p>
            <w:pPr>
              <w:pStyle w:val="Compact"/>
              <w:jc w:val="left"/>
            </w:pPr>
            <w:r>
              <w:t xml:space="preserve">« No data »</w:t>
            </w:r>
          </w:p>
        </w:tc>
        <w:tc>
          <w:tcPr>
            <w:tcW w:w="1708" w:type="dxa"/>
          </w:tcPr>
          <w:tcPr/>
          <w:p>
            <w:pPr>
              <w:pStyle w:val="Compact"/>
              <w:jc w:val="left"/>
            </w:pPr>
            <w:r>
              <w:t xml:space="preserve">P500409 / P507318 (pipeline) ; BAD ZimFund</w:t>
            </w:r>
          </w:p>
        </w:tc>
        <w:tc>
          <w:tcPr>
            <w:tcW w:w="2197" w:type="dxa"/>
          </w:tcPr>
          <w:tcPr/>
          <w:p>
            <w:pPr>
              <w:pStyle w:val="Compact"/>
              <w:jc w:val="left"/>
            </w:pPr>
            <w:r>
              <w:t xml:space="preserve">« La plupart des catégories au coût » contre tarif &lt; coût</w:t>
            </w:r>
          </w:p>
        </w:tc>
      </w:tr>
    </w:tbl>
    <w:p>
      <w:r>
        <w:pict>
          <v:rect style="width:0;height:1.5pt" o:hralign="center" o:hrstd="t" o:hr="t"/>
        </w:pict>
      </w:r>
    </w:p>
    <w:bookmarkEnd w:id="22"/>
    <w:bookmarkStart w:id="23" w:name="notation-qualitative-et-regroupement-e"/>
    <w:p>
      <w:pPr>
        <w:pStyle w:val="Heading1"/>
      </w:pPr>
      <w:r>
        <w:t xml:space="preserve">3. Notation qualitative et regroupement [E]</w:t>
      </w:r>
    </w:p>
    <w:p>
      <w:pPr>
        <w:pStyle w:val="FirstParagraph"/>
      </w:pPr>
      <w:r>
        <w:rPr>
          <w:bCs/>
          <w:b/>
        </w:rPr>
        <w:t xml:space="preserve">Échelle.</w:t>
      </w:r>
      <w:r>
        <w:t xml:space="preserve"> </w:t>
      </w:r>
      <w:r>
        <w:rPr>
          <w:iCs/>
          <w:i/>
        </w:rPr>
        <w:t xml:space="preserve">Forte</w:t>
      </w:r>
      <w:r>
        <w:t xml:space="preserve"> </w:t>
      </w:r>
      <w:r>
        <w:t xml:space="preserve">: équilibre sans soutien, données fiables.</w:t>
      </w:r>
      <w:r>
        <w:t xml:space="preserve"> </w:t>
      </w:r>
      <w:r>
        <w:rPr>
          <w:iCs/>
          <w:i/>
        </w:rPr>
        <w:t xml:space="preserve">Moyenne</w:t>
      </w:r>
      <w:r>
        <w:t xml:space="preserve"> </w:t>
      </w:r>
      <w:r>
        <w:t xml:space="preserve">: déficit modéré ou dépendant de facteurs exogènes.</w:t>
      </w:r>
      <w:r>
        <w:t xml:space="preserve"> </w:t>
      </w:r>
      <w:r>
        <w:rPr>
          <w:iCs/>
          <w:i/>
        </w:rPr>
        <w:t xml:space="preserve">Faible</w:t>
      </w:r>
      <w:r>
        <w:t xml:space="preserve"> </w:t>
      </w:r>
      <w:r>
        <w:t xml:space="preserve">: déficit structurel compensé par l’État.</w:t>
      </w:r>
      <w:r>
        <w:t xml:space="preserve"> </w:t>
      </w:r>
      <w:r>
        <w:rPr>
          <w:iCs/>
          <w:i/>
        </w:rPr>
        <w:t xml:space="preserve">Critique</w:t>
      </w:r>
      <w:r>
        <w:t xml:space="preserve"> </w:t>
      </w:r>
      <w:r>
        <w:t xml:space="preserve">: insolvabilité déclarée, opinion défavorable ou disclaimer, fonds propres nuls ou négatifs, ou couverture inférieure à ≈ 50 % du coût. Le seuil technique « critique » est fixé à des pertes techniques + commerciales &gt; 40 %.</w:t>
      </w:r>
    </w:p>
    <w:p>
      <w:pPr>
        <w:pStyle w:val="BodyText"/>
      </w:pPr>
      <w:r>
        <w:t xml:space="preserve">Les notes reprennent le diagnostic de chaque fiche (§6). Les écarts sont signalés par « ↓ » (plus sévère que la fiche) ou par la nuance donnée dans la fiche.</w:t>
      </w:r>
    </w:p>
    <w:tbl>
      <w:tblPr>
        <w:tblStyle w:val="Table"/>
        <w:tblW w:type="dxa" w:w="14570"/>
        <w:tblLook w:firstRow="1" w:lastRow="0" w:firstColumn="0" w:lastColumn="0" w:noHBand="0" w:noVBand="0" w:val="0020"/>
        <w:jc w:val="start"/>
      </w:tblPr>
      <w:tblGrid>
        <w:gridCol w:w="730"/>
        <w:gridCol w:w="2104"/>
        <w:gridCol w:w="2332"/>
        <w:gridCol w:w="2035"/>
        <w:gridCol w:w="7368"/>
      </w:tblGrid>
      <w:tr>
        <w:trPr>
          <w:tblHeader w:val="true"/>
        </w:trPr>
        <w:tc>
          <w:tcPr>
            <w:tcW w:w="730" w:type="dxa"/>
          </w:tcPr>
          <w:tcPr/>
          <w:p>
            <w:pPr>
              <w:pStyle w:val="Compact"/>
              <w:jc w:val="left"/>
            </w:pPr>
            <w:r>
              <w:t xml:space="preserve">Pays</w:t>
            </w:r>
          </w:p>
        </w:tc>
        <w:tc>
          <w:tcPr>
            <w:tcW w:w="2104" w:type="dxa"/>
          </w:tcPr>
          <w:tcPr/>
          <w:p>
            <w:pPr>
              <w:pStyle w:val="Compact"/>
              <w:jc w:val="left"/>
            </w:pPr>
            <w:r>
              <w:t xml:space="preserve">Financier</w:t>
            </w:r>
          </w:p>
        </w:tc>
        <w:tc>
          <w:tcPr>
            <w:tcW w:w="2332" w:type="dxa"/>
          </w:tcPr>
          <w:tcPr/>
          <w:p>
            <w:pPr>
              <w:pStyle w:val="Compact"/>
              <w:jc w:val="left"/>
            </w:pPr>
            <w:r>
              <w:t xml:space="preserve">Technique</w:t>
            </w:r>
          </w:p>
        </w:tc>
        <w:tc>
          <w:tcPr>
            <w:tcW w:w="2035" w:type="dxa"/>
          </w:tcPr>
          <w:tcPr/>
          <w:p>
            <w:pPr>
              <w:pStyle w:val="Compact"/>
              <w:jc w:val="left"/>
            </w:pPr>
            <w:r>
              <w:t xml:space="preserve">Gouvernance-transparence</w:t>
            </w:r>
          </w:p>
        </w:tc>
        <w:tc>
          <w:tcPr>
            <w:tcW w:w="7368" w:type="dxa"/>
          </w:tcPr>
          <w:tcPr/>
          <w:p>
            <w:pPr>
              <w:pStyle w:val="Compact"/>
              <w:jc w:val="left"/>
            </w:pPr>
            <w:r>
              <w:t xml:space="preserve">Justification (cf. fiche)</w:t>
            </w:r>
          </w:p>
        </w:tc>
      </w:tr>
      <w:tr>
        <w:tc>
          <w:tcPr>
            <w:tcW w:w="730" w:type="dxa"/>
          </w:tcPr>
          <w:tcPr/>
          <w:p>
            <w:pPr>
              <w:pStyle w:val="Compact"/>
              <w:jc w:val="left"/>
            </w:pPr>
            <w:r>
              <w:t xml:space="preserve">NAM</w:t>
            </w:r>
          </w:p>
        </w:tc>
        <w:tc>
          <w:tcPr>
            <w:tcW w:w="2104" w:type="dxa"/>
          </w:tcPr>
          <w:tcPr/>
          <w:p>
            <w:pPr>
              <w:pStyle w:val="Compact"/>
              <w:jc w:val="left"/>
            </w:pPr>
            <w:r>
              <w:rPr>
                <w:bCs/>
                <w:b/>
              </w:rPr>
              <w:t xml:space="preserve">forte</w:t>
            </w:r>
          </w:p>
        </w:tc>
        <w:tc>
          <w:tcPr>
            <w:tcW w:w="2332" w:type="dxa"/>
          </w:tcPr>
          <w:tcPr/>
          <w:p>
            <w:pPr>
              <w:pStyle w:val="Compact"/>
              <w:jc w:val="left"/>
            </w:pPr>
            <w:r>
              <w:t xml:space="preserve">moyenne</w:t>
            </w:r>
          </w:p>
        </w:tc>
        <w:tc>
          <w:tcPr>
            <w:tcW w:w="2035" w:type="dxa"/>
          </w:tcPr>
          <w:tcPr/>
          <w:p>
            <w:pPr>
              <w:pStyle w:val="Compact"/>
              <w:jc w:val="left"/>
            </w:pPr>
            <w:r>
              <w:t xml:space="preserve">moyenne</w:t>
            </w:r>
          </w:p>
        </w:tc>
        <w:tc>
          <w:tcPr>
            <w:tcW w:w="7368" w:type="dxa"/>
          </w:tcPr>
          <w:tcPr/>
          <w:p>
            <w:pPr>
              <w:pStyle w:val="Compact"/>
              <w:jc w:val="left"/>
            </w:pPr>
            <w:r>
              <w:t xml:space="preserve">NamPower : +1 392 M NAD, dette 346 M NAD, trésorerie nette ; mais REDs défaillants et réserve d’audit (cf. NAM)</w:t>
            </w:r>
          </w:p>
        </w:tc>
      </w:tr>
      <w:tr>
        <w:tc>
          <w:tcPr>
            <w:tcW w:w="730" w:type="dxa"/>
          </w:tcPr>
          <w:tcPr/>
          <w:p>
            <w:pPr>
              <w:pStyle w:val="Compact"/>
              <w:jc w:val="left"/>
            </w:pPr>
            <w:r>
              <w:t xml:space="preserve">KEN</w:t>
            </w:r>
          </w:p>
        </w:tc>
        <w:tc>
          <w:tcPr>
            <w:tcW w:w="2104" w:type="dxa"/>
          </w:tcPr>
          <w:tcPr/>
          <w:p>
            <w:pPr>
              <w:pStyle w:val="Compact"/>
              <w:jc w:val="left"/>
            </w:pPr>
            <w:r>
              <w:t xml:space="preserve">moyenne</w:t>
            </w:r>
          </w:p>
        </w:tc>
        <w:tc>
          <w:tcPr>
            <w:tcW w:w="2332" w:type="dxa"/>
          </w:tcPr>
          <w:tcPr/>
          <w:p>
            <w:pPr>
              <w:pStyle w:val="Compact"/>
              <w:jc w:val="left"/>
            </w:pPr>
            <w:r>
              <w:t xml:space="preserve">moyenne</w:t>
            </w:r>
          </w:p>
        </w:tc>
        <w:tc>
          <w:tcPr>
            <w:tcW w:w="2035" w:type="dxa"/>
          </w:tcPr>
          <w:tcPr/>
          <w:p>
            <w:pPr>
              <w:pStyle w:val="Compact"/>
              <w:jc w:val="left"/>
            </w:pPr>
            <w:r>
              <w:t xml:space="preserve">moyenne</w:t>
            </w:r>
          </w:p>
        </w:tc>
        <w:tc>
          <w:tcPr>
            <w:tcW w:w="7368" w:type="dxa"/>
          </w:tcPr>
          <w:tcPr/>
          <w:p>
            <w:pPr>
              <w:pStyle w:val="Compact"/>
              <w:jc w:val="left"/>
            </w:pPr>
            <w:r>
              <w:t xml:space="preserve">Bénéficiaire, désendettement ; 55 Md KES de créances publiques ; ordonnance tarifaire retirée (cf. KEN)</w:t>
            </w:r>
          </w:p>
        </w:tc>
      </w:tr>
      <w:tr>
        <w:tc>
          <w:tcPr>
            <w:tcW w:w="730" w:type="dxa"/>
          </w:tcPr>
          <w:tcPr/>
          <w:p>
            <w:pPr>
              <w:pStyle w:val="Compact"/>
              <w:jc w:val="left"/>
            </w:pPr>
            <w:r>
              <w:t xml:space="preserve">BEN</w:t>
            </w:r>
          </w:p>
        </w:tc>
        <w:tc>
          <w:tcPr>
            <w:tcW w:w="2104" w:type="dxa"/>
          </w:tcPr>
          <w:tcPr/>
          <w:p>
            <w:pPr>
              <w:pStyle w:val="Compact"/>
              <w:jc w:val="left"/>
            </w:pPr>
            <w:r>
              <w:t xml:space="preserve">moyenne (fiche : moyenne-forte)</w:t>
            </w:r>
          </w:p>
        </w:tc>
        <w:tc>
          <w:tcPr>
            <w:tcW w:w="2332" w:type="dxa"/>
          </w:tcPr>
          <w:tcPr/>
          <w:p>
            <w:pPr>
              <w:pStyle w:val="Compact"/>
              <w:jc w:val="left"/>
            </w:pPr>
            <w:r>
              <w:t xml:space="preserve">moyenne</w:t>
            </w:r>
          </w:p>
        </w:tc>
        <w:tc>
          <w:tcPr>
            <w:tcW w:w="2035" w:type="dxa"/>
          </w:tcPr>
          <w:tcPr/>
          <w:p>
            <w:pPr>
              <w:pStyle w:val="Compact"/>
              <w:jc w:val="left"/>
            </w:pPr>
            <w:r>
              <w:t xml:space="preserve">moyenne (fiche : moyenne-forte)</w:t>
            </w:r>
          </w:p>
        </w:tc>
        <w:tc>
          <w:tcPr>
            <w:tcW w:w="7368" w:type="dxa"/>
          </w:tcPr>
          <w:tcPr/>
          <w:p>
            <w:pPr>
              <w:pStyle w:val="Compact"/>
              <w:jc w:val="left"/>
            </w:pPr>
            <w:r>
              <w:t xml:space="preserve">Bénéficiaire sans subvention, mais économies non récurrentes ; SBPE/CEB opaques ; contrat Eranove non public (cf. BEN)</w:t>
            </w:r>
          </w:p>
        </w:tc>
      </w:tr>
      <w:tr>
        <w:tc>
          <w:tcPr>
            <w:tcW w:w="730" w:type="dxa"/>
          </w:tcPr>
          <w:tcPr/>
          <w:p>
            <w:pPr>
              <w:pStyle w:val="Compact"/>
              <w:jc w:val="left"/>
            </w:pPr>
            <w:r>
              <w:t xml:space="preserve">RWA</w:t>
            </w:r>
          </w:p>
        </w:tc>
        <w:tc>
          <w:tcPr>
            <w:tcW w:w="2104" w:type="dxa"/>
          </w:tcPr>
          <w:tcPr/>
          <w:p>
            <w:pPr>
              <w:pStyle w:val="Compact"/>
              <w:jc w:val="left"/>
            </w:pPr>
            <w:r>
              <w:t xml:space="preserve">moyenne (fiche : moyen-faible)</w:t>
            </w:r>
          </w:p>
        </w:tc>
        <w:tc>
          <w:tcPr>
            <w:tcW w:w="2332" w:type="dxa"/>
          </w:tcPr>
          <w:tcPr/>
          <w:p>
            <w:pPr>
              <w:pStyle w:val="Compact"/>
              <w:jc w:val="left"/>
            </w:pPr>
            <w:r>
              <w:t xml:space="preserve">moyenne</w:t>
            </w:r>
          </w:p>
        </w:tc>
        <w:tc>
          <w:tcPr>
            <w:tcW w:w="2035" w:type="dxa"/>
          </w:tcPr>
          <w:tcPr/>
          <w:p>
            <w:pPr>
              <w:pStyle w:val="Compact"/>
              <w:jc w:val="left"/>
            </w:pPr>
            <w:r>
              <w:rPr>
                <w:bCs/>
                <w:b/>
              </w:rPr>
              <w:t xml:space="preserve">forte</w:t>
            </w:r>
            <w:r>
              <w:t xml:space="preserve"> </w:t>
            </w:r>
            <w:r>
              <w:t xml:space="preserve">(fiche : moyenne-forte)</w:t>
            </w:r>
          </w:p>
        </w:tc>
        <w:tc>
          <w:tcPr>
            <w:tcW w:w="7368" w:type="dxa"/>
          </w:tcPr>
          <w:tcPr/>
          <w:p>
            <w:pPr>
              <w:pStyle w:val="Compact"/>
              <w:jc w:val="left"/>
            </w:pPr>
            <w:r>
              <w:t xml:space="preserve">Tarif &gt; coût de production, mais subventions ; suivi des SOE par MINECOFIN, RURA actif (cf. RWA)</w:t>
            </w:r>
          </w:p>
        </w:tc>
      </w:tr>
      <w:tr>
        <w:tc>
          <w:tcPr>
            <w:tcW w:w="730" w:type="dxa"/>
          </w:tcPr>
          <w:tcPr/>
          <w:p>
            <w:pPr>
              <w:pStyle w:val="Compact"/>
              <w:jc w:val="left"/>
            </w:pPr>
            <w:r>
              <w:t xml:space="preserve">CIV</w:t>
            </w:r>
          </w:p>
        </w:tc>
        <w:tc>
          <w:tcPr>
            <w:tcW w:w="2104" w:type="dxa"/>
          </w:tcPr>
          <w:tcPr/>
          <w:p>
            <w:pPr>
              <w:pStyle w:val="Compact"/>
              <w:jc w:val="left"/>
            </w:pPr>
            <w:r>
              <w:t xml:space="preserve">moyenne (fiche : moyenne-faible)</w:t>
            </w:r>
          </w:p>
        </w:tc>
        <w:tc>
          <w:tcPr>
            <w:tcW w:w="2332" w:type="dxa"/>
          </w:tcPr>
          <w:tcPr/>
          <w:p>
            <w:pPr>
              <w:pStyle w:val="Compact"/>
              <w:jc w:val="left"/>
            </w:pPr>
            <w:r>
              <w:t xml:space="preserve">moyenne (fiche : moyenne-forte)</w:t>
            </w:r>
          </w:p>
        </w:tc>
        <w:tc>
          <w:tcPr>
            <w:tcW w:w="2035" w:type="dxa"/>
          </w:tcPr>
          <w:tcPr/>
          <w:p>
            <w:pPr>
              <w:pStyle w:val="Compact"/>
              <w:jc w:val="left"/>
            </w:pPr>
            <w:r>
              <w:t xml:space="preserve">moyenne</w:t>
            </w:r>
          </w:p>
        </w:tc>
        <w:tc>
          <w:tcPr>
            <w:tcW w:w="7368" w:type="dxa"/>
          </w:tcPr>
          <w:tcPr/>
          <w:p>
            <w:pPr>
              <w:pStyle w:val="Compact"/>
              <w:jc w:val="left"/>
            </w:pPr>
            <w:r>
              <w:t xml:space="preserve">CIE rentable, ratio sectoriel 0,91 ; fiabilité dégradée ; CI-ENERGIES publie peu (cf. CIV)</w:t>
            </w:r>
          </w:p>
        </w:tc>
      </w:tr>
      <w:tr>
        <w:tc>
          <w:tcPr>
            <w:tcW w:w="730" w:type="dxa"/>
          </w:tcPr>
          <w:tcPr/>
          <w:p>
            <w:pPr>
              <w:pStyle w:val="Compact"/>
              <w:jc w:val="left"/>
            </w:pPr>
            <w:r>
              <w:t xml:space="preserve">MOZ</w:t>
            </w:r>
          </w:p>
        </w:tc>
        <w:tc>
          <w:tcPr>
            <w:tcW w:w="2104" w:type="dxa"/>
          </w:tcPr>
          <w:tcPr/>
          <w:p>
            <w:pPr>
              <w:pStyle w:val="Compact"/>
              <w:jc w:val="left"/>
            </w:pPr>
            <w:r>
              <w:t xml:space="preserve">moyenne</w:t>
            </w:r>
          </w:p>
        </w:tc>
        <w:tc>
          <w:tcPr>
            <w:tcW w:w="2332" w:type="dxa"/>
          </w:tcPr>
          <w:tcPr/>
          <w:p>
            <w:pPr>
              <w:pStyle w:val="Compact"/>
              <w:jc w:val="left"/>
            </w:pPr>
            <w:r>
              <w:t xml:space="preserve">faible (fiche : faible à moyenne)</w:t>
            </w:r>
          </w:p>
        </w:tc>
        <w:tc>
          <w:tcPr>
            <w:tcW w:w="2035" w:type="dxa"/>
          </w:tcPr>
          <w:tcPr/>
          <w:p>
            <w:pPr>
              <w:pStyle w:val="Compact"/>
              <w:jc w:val="left"/>
            </w:pPr>
            <w:r>
              <w:t xml:space="preserve">moyenne</w:t>
            </w:r>
          </w:p>
        </w:tc>
        <w:tc>
          <w:tcPr>
            <w:tcW w:w="7368" w:type="dxa"/>
          </w:tcPr>
          <w:tcPr/>
          <w:p>
            <w:pPr>
              <w:pStyle w:val="Compact"/>
              <w:jc w:val="left"/>
            </w:pPr>
            <w:r>
              <w:t xml:space="preserve">5 exercices bénéficiaires, mais dus aux produits financiers ; pertes 26 % (cf. MOZ)</w:t>
            </w:r>
          </w:p>
        </w:tc>
      </w:tr>
      <w:tr>
        <w:tc>
          <w:tcPr>
            <w:tcW w:w="730" w:type="dxa"/>
          </w:tcPr>
          <w:tcPr/>
          <w:p>
            <w:pPr>
              <w:pStyle w:val="Compact"/>
              <w:jc w:val="left"/>
            </w:pPr>
            <w:r>
              <w:t xml:space="preserve">UGA</w:t>
            </w:r>
          </w:p>
        </w:tc>
        <w:tc>
          <w:tcPr>
            <w:tcW w:w="2104" w:type="dxa"/>
          </w:tcPr>
          <w:tcPr/>
          <w:p>
            <w:pPr>
              <w:pStyle w:val="Compact"/>
              <w:jc w:val="left"/>
            </w:pPr>
            <w:r>
              <w:t xml:space="preserve">moyenne (fiche : moyen-faible)</w:t>
            </w:r>
          </w:p>
        </w:tc>
        <w:tc>
          <w:tcPr>
            <w:tcW w:w="2332" w:type="dxa"/>
          </w:tcPr>
          <w:tcPr/>
          <w:p>
            <w:pPr>
              <w:pStyle w:val="Compact"/>
              <w:jc w:val="left"/>
            </w:pPr>
            <w:r>
              <w:t xml:space="preserve">moyenne</w:t>
            </w:r>
          </w:p>
        </w:tc>
        <w:tc>
          <w:tcPr>
            <w:tcW w:w="2035" w:type="dxa"/>
          </w:tcPr>
          <w:tcPr/>
          <w:p>
            <w:pPr>
              <w:pStyle w:val="Compact"/>
              <w:jc w:val="left"/>
            </w:pPr>
            <w:r>
              <w:t xml:space="preserve">faible (fiche : moyenne-faible)</w:t>
            </w:r>
          </w:p>
        </w:tc>
        <w:tc>
          <w:tcPr>
            <w:tcW w:w="7368" w:type="dxa"/>
          </w:tcPr>
          <w:tcPr/>
          <w:p>
            <w:pPr>
              <w:pStyle w:val="Compact"/>
              <w:jc w:val="left"/>
            </w:pPr>
            <w:r>
              <w:t xml:space="preserve">EBITDA positif, recouvrement 100 % ; pertes en hausse ; direction instable (cf. UGA)</w:t>
            </w:r>
          </w:p>
        </w:tc>
      </w:tr>
      <w:tr>
        <w:tc>
          <w:tcPr>
            <w:tcW w:w="730" w:type="dxa"/>
          </w:tcPr>
          <w:tcPr/>
          <w:p>
            <w:pPr>
              <w:pStyle w:val="Compact"/>
              <w:jc w:val="left"/>
            </w:pPr>
            <w:r>
              <w:t xml:space="preserve">SEN</w:t>
            </w:r>
          </w:p>
        </w:tc>
        <w:tc>
          <w:tcPr>
            <w:tcW w:w="2104" w:type="dxa"/>
          </w:tcPr>
          <w:tcPr/>
          <w:p>
            <w:pPr>
              <w:pStyle w:val="Compact"/>
              <w:jc w:val="left"/>
            </w:pPr>
            <w:r>
              <w:t xml:space="preserve">faible</w:t>
            </w:r>
          </w:p>
        </w:tc>
        <w:tc>
          <w:tcPr>
            <w:tcW w:w="2332" w:type="dxa"/>
          </w:tcPr>
          <w:tcPr/>
          <w:p>
            <w:pPr>
              <w:pStyle w:val="Compact"/>
              <w:jc w:val="left"/>
            </w:pPr>
            <w:r>
              <w:t xml:space="preserve">moyenne</w:t>
            </w:r>
          </w:p>
        </w:tc>
        <w:tc>
          <w:tcPr>
            <w:tcW w:w="2035" w:type="dxa"/>
          </w:tcPr>
          <w:tcPr/>
          <w:p>
            <w:pPr>
              <w:pStyle w:val="Compact"/>
              <w:jc w:val="left"/>
            </w:pPr>
            <w:r>
              <w:t xml:space="preserve">moyenne</w:t>
            </w:r>
          </w:p>
        </w:tc>
        <w:tc>
          <w:tcPr>
            <w:tcW w:w="7368" w:type="dxa"/>
          </w:tcPr>
          <w:tcPr/>
          <w:p>
            <w:pPr>
              <w:pStyle w:val="Compact"/>
              <w:jc w:val="left"/>
            </w:pPr>
            <w:r>
              <w:t xml:space="preserve">Rentabilité due à la compensation ; ATC&amp;C 16 % ; rapport 2024 inaccessible (cf. SEN)</w:t>
            </w:r>
          </w:p>
        </w:tc>
      </w:tr>
      <w:tr>
        <w:tc>
          <w:tcPr>
            <w:tcW w:w="730" w:type="dxa"/>
          </w:tcPr>
          <w:tcPr/>
          <w:p>
            <w:pPr>
              <w:pStyle w:val="Compact"/>
              <w:jc w:val="left"/>
            </w:pPr>
            <w:r>
              <w:t xml:space="preserve">TZA</w:t>
            </w:r>
          </w:p>
        </w:tc>
        <w:tc>
          <w:tcPr>
            <w:tcW w:w="2104" w:type="dxa"/>
          </w:tcPr>
          <w:tcPr/>
          <w:p>
            <w:pPr>
              <w:pStyle w:val="Compact"/>
              <w:jc w:val="left"/>
            </w:pPr>
            <w:r>
              <w:t xml:space="preserve">faible</w:t>
            </w:r>
          </w:p>
        </w:tc>
        <w:tc>
          <w:tcPr>
            <w:tcW w:w="2332" w:type="dxa"/>
          </w:tcPr>
          <w:tcPr/>
          <w:p>
            <w:pPr>
              <w:pStyle w:val="Compact"/>
              <w:jc w:val="left"/>
            </w:pPr>
            <w:r>
              <w:t xml:space="preserve">moyenne</w:t>
            </w:r>
          </w:p>
        </w:tc>
        <w:tc>
          <w:tcPr>
            <w:tcW w:w="2035" w:type="dxa"/>
          </w:tcPr>
          <w:tcPr/>
          <w:p>
            <w:pPr>
              <w:pStyle w:val="Compact"/>
              <w:jc w:val="left"/>
            </w:pPr>
            <w:r>
              <w:t xml:space="preserve">moyenne (fiche : moyenne-faible)</w:t>
            </w:r>
          </w:p>
        </w:tc>
        <w:tc>
          <w:tcPr>
            <w:tcW w:w="7368" w:type="dxa"/>
          </w:tcPr>
          <w:tcPr/>
          <w:p>
            <w:pPr>
              <w:pStyle w:val="Compact"/>
              <w:jc w:val="left"/>
            </w:pPr>
            <w:r>
              <w:t xml:space="preserve">Marge 0,3 %, liquidité &lt; 1, tarif de 2016 ; pertes 14,6 %, prépaiement (cf. TZA)</w:t>
            </w:r>
          </w:p>
        </w:tc>
      </w:tr>
      <w:tr>
        <w:tc>
          <w:tcPr>
            <w:tcW w:w="730" w:type="dxa"/>
          </w:tcPr>
          <w:tcPr/>
          <w:p>
            <w:pPr>
              <w:pStyle w:val="Compact"/>
              <w:jc w:val="left"/>
            </w:pPr>
            <w:r>
              <w:t xml:space="preserve">ETH</w:t>
            </w:r>
          </w:p>
        </w:tc>
        <w:tc>
          <w:tcPr>
            <w:tcW w:w="2104" w:type="dxa"/>
          </w:tcPr>
          <w:tcPr/>
          <w:p>
            <w:pPr>
              <w:pStyle w:val="Compact"/>
              <w:jc w:val="left"/>
            </w:pPr>
            <w:r>
              <w:t xml:space="preserve">faible (en amélioration rapide)</w:t>
            </w:r>
          </w:p>
        </w:tc>
        <w:tc>
          <w:tcPr>
            <w:tcW w:w="2332" w:type="dxa"/>
          </w:tcPr>
          <w:tcPr/>
          <w:p>
            <w:pPr>
              <w:pStyle w:val="Compact"/>
              <w:jc w:val="left"/>
            </w:pPr>
            <w:r>
              <w:t xml:space="preserve">faible</w:t>
            </w:r>
          </w:p>
        </w:tc>
        <w:tc>
          <w:tcPr>
            <w:tcW w:w="2035" w:type="dxa"/>
          </w:tcPr>
          <w:tcPr/>
          <w:p>
            <w:pPr>
              <w:pStyle w:val="Compact"/>
              <w:jc w:val="left"/>
            </w:pPr>
            <w:r>
              <w:t xml:space="preserve">moyenne</w:t>
            </w:r>
          </w:p>
        </w:tc>
        <w:tc>
          <w:tcPr>
            <w:tcW w:w="7368" w:type="dxa"/>
          </w:tcPr>
          <w:tcPr/>
          <w:p>
            <w:pPr>
              <w:pStyle w:val="Compact"/>
              <w:jc w:val="left"/>
            </w:pPr>
            <w:r>
              <w:t xml:space="preserve">Recouvrement des coûts de 18 % à 76 %, dette CBE reprise ; plus de la moitié des clients non enregistrés (cf. ETH)</w:t>
            </w:r>
          </w:p>
        </w:tc>
      </w:tr>
      <w:tr>
        <w:tc>
          <w:tcPr>
            <w:tcW w:w="730" w:type="dxa"/>
          </w:tcPr>
          <w:tcPr/>
          <w:p>
            <w:pPr>
              <w:pStyle w:val="Compact"/>
              <w:jc w:val="left"/>
            </w:pPr>
            <w:r>
              <w:t xml:space="preserve">BWA</w:t>
            </w:r>
          </w:p>
        </w:tc>
        <w:tc>
          <w:tcPr>
            <w:tcW w:w="2104" w:type="dxa"/>
          </w:tcPr>
          <w:tcPr/>
          <w:p>
            <w:pPr>
              <w:pStyle w:val="Compact"/>
              <w:jc w:val="left"/>
            </w:pPr>
            <w:r>
              <w:t xml:space="preserve">faible</w:t>
            </w:r>
          </w:p>
        </w:tc>
        <w:tc>
          <w:tcPr>
            <w:tcW w:w="2332" w:type="dxa"/>
          </w:tcPr>
          <w:tcPr/>
          <w:p>
            <w:pPr>
              <w:pStyle w:val="Compact"/>
              <w:jc w:val="left"/>
            </w:pPr>
            <w:r>
              <w:t xml:space="preserve">faible (fiche : faible à moyenne)</w:t>
            </w:r>
          </w:p>
        </w:tc>
        <w:tc>
          <w:tcPr>
            <w:tcW w:w="2035" w:type="dxa"/>
          </w:tcPr>
          <w:tcPr/>
          <w:p>
            <w:pPr>
              <w:pStyle w:val="Compact"/>
              <w:jc w:val="left"/>
            </w:pPr>
            <w:r>
              <w:t xml:space="preserve">moyenne</w:t>
            </w:r>
          </w:p>
        </w:tc>
        <w:tc>
          <w:tcPr>
            <w:tcW w:w="7368" w:type="dxa"/>
          </w:tcPr>
          <w:tcPr/>
          <w:p>
            <w:pPr>
              <w:pStyle w:val="Compact"/>
              <w:jc w:val="left"/>
            </w:pPr>
            <w:r>
              <w:t xml:space="preserve">Coût ≈ 1,9 fois le prix (2024) ; BERA transparente mais restrictive (cf. BWA)</w:t>
            </w:r>
          </w:p>
        </w:tc>
      </w:tr>
      <w:tr>
        <w:tc>
          <w:tcPr>
            <w:tcW w:w="730" w:type="dxa"/>
          </w:tcPr>
          <w:tcPr/>
          <w:p>
            <w:pPr>
              <w:pStyle w:val="Compact"/>
              <w:jc w:val="left"/>
            </w:pPr>
            <w:r>
              <w:t xml:space="preserve">ZMB</w:t>
            </w:r>
          </w:p>
        </w:tc>
        <w:tc>
          <w:tcPr>
            <w:tcW w:w="2104" w:type="dxa"/>
          </w:tcPr>
          <w:tcPr/>
          <w:p>
            <w:pPr>
              <w:pStyle w:val="Compact"/>
              <w:jc w:val="left"/>
            </w:pPr>
            <w:r>
              <w:t xml:space="preserve">faible</w:t>
            </w:r>
          </w:p>
        </w:tc>
        <w:tc>
          <w:tcPr>
            <w:tcW w:w="2332" w:type="dxa"/>
          </w:tcPr>
          <w:tcPr/>
          <w:p>
            <w:pPr>
              <w:pStyle w:val="Compact"/>
              <w:jc w:val="left"/>
            </w:pPr>
            <w:r>
              <w:t xml:space="preserve">faible</w:t>
            </w:r>
          </w:p>
        </w:tc>
        <w:tc>
          <w:tcPr>
            <w:tcW w:w="2035" w:type="dxa"/>
          </w:tcPr>
          <w:tcPr/>
          <w:p>
            <w:pPr>
              <w:pStyle w:val="Compact"/>
              <w:jc w:val="left"/>
            </w:pPr>
            <w:r>
              <w:t xml:space="preserve">moyenne</w:t>
            </w:r>
          </w:p>
        </w:tc>
        <w:tc>
          <w:tcPr>
            <w:tcW w:w="7368" w:type="dxa"/>
          </w:tcPr>
          <w:tcPr/>
          <w:p>
            <w:pPr>
              <w:pStyle w:val="Compact"/>
              <w:jc w:val="left"/>
            </w:pPr>
            <w:r>
              <w:t xml:space="preserve">Pertes 2023-24, continuité d’exploitation incertaine ; SAIDI 184 h ; audits publiés avec retard (cf. ZMB)</w:t>
            </w:r>
          </w:p>
        </w:tc>
      </w:tr>
      <w:tr>
        <w:tc>
          <w:tcPr>
            <w:tcW w:w="730" w:type="dxa"/>
          </w:tcPr>
          <w:tcPr/>
          <w:p>
            <w:pPr>
              <w:pStyle w:val="Compact"/>
              <w:jc w:val="left"/>
            </w:pPr>
            <w:r>
              <w:t xml:space="preserve">TGO</w:t>
            </w:r>
          </w:p>
        </w:tc>
        <w:tc>
          <w:tcPr>
            <w:tcW w:w="2104" w:type="dxa"/>
          </w:tcPr>
          <w:tcPr/>
          <w:p>
            <w:pPr>
              <w:pStyle w:val="Compact"/>
              <w:jc w:val="left"/>
            </w:pPr>
            <w:r>
              <w:t xml:space="preserve">faible</w:t>
            </w:r>
          </w:p>
        </w:tc>
        <w:tc>
          <w:tcPr>
            <w:tcW w:w="2332" w:type="dxa"/>
          </w:tcPr>
          <w:tcPr/>
          <w:p>
            <w:pPr>
              <w:pStyle w:val="Compact"/>
              <w:jc w:val="left"/>
            </w:pPr>
            <w:r>
              <w:t xml:space="preserve">moyenne (fiche : moyenne-faible)</w:t>
            </w:r>
          </w:p>
        </w:tc>
        <w:tc>
          <w:tcPr>
            <w:tcW w:w="2035" w:type="dxa"/>
          </w:tcPr>
          <w:tcPr/>
          <w:p>
            <w:pPr>
              <w:pStyle w:val="Compact"/>
              <w:jc w:val="left"/>
            </w:pPr>
            <w:r>
              <w:t xml:space="preserve">moyenne (« en amélioration »)</w:t>
            </w:r>
          </w:p>
        </w:tc>
        <w:tc>
          <w:tcPr>
            <w:tcW w:w="7368" w:type="dxa"/>
          </w:tcPr>
          <w:tcPr/>
          <w:p>
            <w:pPr>
              <w:pStyle w:val="Compact"/>
              <w:jc w:val="left"/>
            </w:pPr>
            <w:r>
              <w:t xml:space="preserve">Couverture ≈ 70 % ; comptage intelligent 26 % ; 4 PBC atteintes (cf. TGO)</w:t>
            </w:r>
          </w:p>
        </w:tc>
      </w:tr>
      <w:tr>
        <w:tc>
          <w:tcPr>
            <w:tcW w:w="730" w:type="dxa"/>
          </w:tcPr>
          <w:tcPr/>
          <w:p>
            <w:pPr>
              <w:pStyle w:val="Compact"/>
              <w:jc w:val="left"/>
            </w:pPr>
            <w:r>
              <w:t xml:space="preserve">DJI</w:t>
            </w:r>
          </w:p>
        </w:tc>
        <w:tc>
          <w:tcPr>
            <w:tcW w:w="2104" w:type="dxa"/>
          </w:tcPr>
          <w:tcPr/>
          <w:p>
            <w:pPr>
              <w:pStyle w:val="Compact"/>
              <w:jc w:val="left"/>
            </w:pPr>
            <w:r>
              <w:t xml:space="preserve">faible (fiche : faible à moyen)</w:t>
            </w:r>
          </w:p>
        </w:tc>
        <w:tc>
          <w:tcPr>
            <w:tcW w:w="2332" w:type="dxa"/>
          </w:tcPr>
          <w:tcPr/>
          <w:p>
            <w:pPr>
              <w:pStyle w:val="Compact"/>
              <w:jc w:val="left"/>
            </w:pPr>
            <w:r>
              <w:t xml:space="preserve">moyenne</w:t>
            </w:r>
          </w:p>
        </w:tc>
        <w:tc>
          <w:tcPr>
            <w:tcW w:w="2035" w:type="dxa"/>
          </w:tcPr>
          <w:tcPr/>
          <w:p>
            <w:pPr>
              <w:pStyle w:val="Compact"/>
              <w:jc w:val="left"/>
            </w:pPr>
            <w:r>
              <w:t xml:space="preserve">faible</w:t>
            </w:r>
          </w:p>
        </w:tc>
        <w:tc>
          <w:tcPr>
            <w:tcW w:w="7368" w:type="dxa"/>
          </w:tcPr>
          <w:tcPr/>
          <w:p>
            <w:pPr>
              <w:pStyle w:val="Compact"/>
              <w:jc w:val="left"/>
            </w:pPr>
            <w:r>
              <w:t xml:space="preserve">Excédent mince face à 330 M USD d’arriérés publics non provisionnés ; régulateur non opérationnel (cf. DJI)</w:t>
            </w:r>
          </w:p>
        </w:tc>
      </w:tr>
      <w:tr>
        <w:tc>
          <w:tcPr>
            <w:tcW w:w="730" w:type="dxa"/>
          </w:tcPr>
          <w:tcPr/>
          <w:p>
            <w:pPr>
              <w:pStyle w:val="Compact"/>
              <w:jc w:val="left"/>
            </w:pPr>
            <w:r>
              <w:t xml:space="preserve">BDI</w:t>
            </w:r>
          </w:p>
        </w:tc>
        <w:tc>
          <w:tcPr>
            <w:tcW w:w="2104" w:type="dxa"/>
          </w:tcPr>
          <w:tcPr/>
          <w:p>
            <w:pPr>
              <w:pStyle w:val="Compact"/>
              <w:jc w:val="left"/>
            </w:pPr>
            <w:r>
              <w:t xml:space="preserve">faible</w:t>
            </w:r>
          </w:p>
        </w:tc>
        <w:tc>
          <w:tcPr>
            <w:tcW w:w="2332" w:type="dxa"/>
          </w:tcPr>
          <w:tcPr/>
          <w:p>
            <w:pPr>
              <w:pStyle w:val="Compact"/>
              <w:jc w:val="left"/>
            </w:pPr>
            <w:r>
              <w:t xml:space="preserve">faible</w:t>
            </w:r>
          </w:p>
        </w:tc>
        <w:tc>
          <w:tcPr>
            <w:tcW w:w="2035" w:type="dxa"/>
          </w:tcPr>
          <w:tcPr/>
          <w:p>
            <w:pPr>
              <w:pStyle w:val="Compact"/>
              <w:jc w:val="left"/>
            </w:pPr>
            <w:r>
              <w:t xml:space="preserve">faible</w:t>
            </w:r>
          </w:p>
        </w:tc>
        <w:tc>
          <w:tcPr>
            <w:tcW w:w="7368" w:type="dxa"/>
          </w:tcPr>
          <w:tcPr/>
          <w:p>
            <w:pPr>
              <w:pStyle w:val="Compact"/>
              <w:jc w:val="left"/>
            </w:pPr>
            <w:r>
              <w:t xml:space="preserve">Recouvrement 75 %, pertes ≈ 30 %, comptes non publiés, priorités du pacte toutes en retard (cf. BDI)</w:t>
            </w:r>
          </w:p>
        </w:tc>
      </w:tr>
      <w:tr>
        <w:tc>
          <w:tcPr>
            <w:tcW w:w="730" w:type="dxa"/>
          </w:tcPr>
          <w:tcPr/>
          <w:p>
            <w:pPr>
              <w:pStyle w:val="Compact"/>
              <w:jc w:val="left"/>
            </w:pPr>
            <w:r>
              <w:t xml:space="preserve">BFA</w:t>
            </w:r>
          </w:p>
        </w:tc>
        <w:tc>
          <w:tcPr>
            <w:tcW w:w="2104" w:type="dxa"/>
          </w:tcPr>
          <w:tcPr/>
          <w:p>
            <w:pPr>
              <w:pStyle w:val="Compact"/>
              <w:jc w:val="left"/>
            </w:pPr>
            <w:r>
              <w:t xml:space="preserve">faible</w:t>
            </w:r>
          </w:p>
        </w:tc>
        <w:tc>
          <w:tcPr>
            <w:tcW w:w="2332" w:type="dxa"/>
          </w:tcPr>
          <w:tcPr/>
          <w:p>
            <w:pPr>
              <w:pStyle w:val="Compact"/>
              <w:jc w:val="left"/>
            </w:pPr>
            <w:r>
              <w:t xml:space="preserve">faible (fiche : faible-moyenne)</w:t>
            </w:r>
          </w:p>
        </w:tc>
        <w:tc>
          <w:tcPr>
            <w:tcW w:w="2035" w:type="dxa"/>
          </w:tcPr>
          <w:tcPr/>
          <w:p>
            <w:pPr>
              <w:pStyle w:val="Compact"/>
              <w:jc w:val="left"/>
            </w:pPr>
            <w:r>
              <w:t xml:space="preserve">faible (fiche : moyenne-faible)</w:t>
            </w:r>
          </w:p>
        </w:tc>
        <w:tc>
          <w:tcPr>
            <w:tcW w:w="7368" w:type="dxa"/>
          </w:tcPr>
          <w:tcPr/>
          <w:p>
            <w:pPr>
              <w:pStyle w:val="Compact"/>
              <w:jc w:val="left"/>
            </w:pPr>
            <w:r>
              <w:t xml:space="preserve">Équilibre « administré » par les combustibles subventionnés ; 1 029 MW thermiques (cf. BFA)</w:t>
            </w:r>
          </w:p>
        </w:tc>
      </w:tr>
      <w:tr>
        <w:tc>
          <w:tcPr>
            <w:tcW w:w="730" w:type="dxa"/>
          </w:tcPr>
          <w:tcPr/>
          <w:p>
            <w:pPr>
              <w:pStyle w:val="Compact"/>
              <w:jc w:val="left"/>
            </w:pPr>
            <w:r>
              <w:t xml:space="preserve">CAF</w:t>
            </w:r>
          </w:p>
        </w:tc>
        <w:tc>
          <w:tcPr>
            <w:tcW w:w="2104" w:type="dxa"/>
          </w:tcPr>
          <w:tcPr/>
          <w:p>
            <w:pPr>
              <w:pStyle w:val="Compact"/>
              <w:jc w:val="left"/>
            </w:pPr>
            <w:r>
              <w:t xml:space="preserve">faible (fiche : faible à moyenne)</w:t>
            </w:r>
          </w:p>
        </w:tc>
        <w:tc>
          <w:tcPr>
            <w:tcW w:w="2332" w:type="dxa"/>
          </w:tcPr>
          <w:tcPr/>
          <w:p>
            <w:pPr>
              <w:pStyle w:val="Compact"/>
              <w:jc w:val="left"/>
            </w:pPr>
            <w:r>
              <w:t xml:space="preserve">faible</w:t>
            </w:r>
          </w:p>
        </w:tc>
        <w:tc>
          <w:tcPr>
            <w:tcW w:w="2035" w:type="dxa"/>
          </w:tcPr>
          <w:tcPr/>
          <w:p>
            <w:pPr>
              <w:pStyle w:val="Compact"/>
              <w:jc w:val="left"/>
            </w:pPr>
            <w:r>
              <w:t xml:space="preserve">faible</w:t>
            </w:r>
          </w:p>
        </w:tc>
        <w:tc>
          <w:tcPr>
            <w:tcW w:w="7368" w:type="dxa"/>
          </w:tcPr>
          <w:tcPr/>
          <w:p>
            <w:pPr>
              <w:pStyle w:val="Compact"/>
              <w:jc w:val="left"/>
            </w:pPr>
            <w:r>
              <w:t xml:space="preserve">Profits 2023 grâce à l’apurement par l’État ; 28 MW ; pas de régulateur autonome (cf. CAF)</w:t>
            </w:r>
          </w:p>
        </w:tc>
      </w:tr>
      <w:tr>
        <w:tc>
          <w:tcPr>
            <w:tcW w:w="730" w:type="dxa"/>
          </w:tcPr>
          <w:tcPr/>
          <w:p>
            <w:pPr>
              <w:pStyle w:val="Compact"/>
              <w:jc w:val="left"/>
            </w:pPr>
            <w:r>
              <w:t xml:space="preserve">COG</w:t>
            </w:r>
          </w:p>
        </w:tc>
        <w:tc>
          <w:tcPr>
            <w:tcW w:w="2104" w:type="dxa"/>
          </w:tcPr>
          <w:tcPr/>
          <w:p>
            <w:pPr>
              <w:pStyle w:val="Compact"/>
              <w:jc w:val="left"/>
            </w:pPr>
            <w:r>
              <w:t xml:space="preserve">faible</w:t>
            </w:r>
          </w:p>
        </w:tc>
        <w:tc>
          <w:tcPr>
            <w:tcW w:w="2332" w:type="dxa"/>
          </w:tcPr>
          <w:tcPr/>
          <w:p>
            <w:pPr>
              <w:pStyle w:val="Compact"/>
              <w:jc w:val="left"/>
            </w:pPr>
            <w:r>
              <w:rPr>
                <w:bCs/>
                <w:b/>
              </w:rPr>
              <w:t xml:space="preserve">critique</w:t>
            </w:r>
            <w:r>
              <w:t xml:space="preserve"> </w:t>
            </w:r>
            <w:r>
              <w:t xml:space="preserve">↓ (pertes 42 %, &gt; 40 % non comptés)</w:t>
            </w:r>
          </w:p>
        </w:tc>
        <w:tc>
          <w:tcPr>
            <w:tcW w:w="2035" w:type="dxa"/>
          </w:tcPr>
          <w:tcPr/>
          <w:p>
            <w:pPr>
              <w:pStyle w:val="Compact"/>
              <w:jc w:val="left"/>
            </w:pPr>
            <w:r>
              <w:t xml:space="preserve">faible</w:t>
            </w:r>
          </w:p>
        </w:tc>
        <w:tc>
          <w:tcPr>
            <w:tcW w:w="7368" w:type="dxa"/>
          </w:tcPr>
          <w:tcPr/>
          <w:p>
            <w:pPr>
              <w:pStyle w:val="Compact"/>
              <w:jc w:val="left"/>
            </w:pPr>
            <w:r>
              <w:t xml:space="preserve">Tarif de 1994 à 56 % du coût ; affermage gelé (cf. COG)</w:t>
            </w:r>
          </w:p>
        </w:tc>
      </w:tr>
      <w:tr>
        <w:tc>
          <w:tcPr>
            <w:tcW w:w="730" w:type="dxa"/>
          </w:tcPr>
          <w:tcPr/>
          <w:p>
            <w:pPr>
              <w:pStyle w:val="Compact"/>
              <w:jc w:val="left"/>
            </w:pPr>
            <w:r>
              <w:t xml:space="preserve">COM</w:t>
            </w:r>
          </w:p>
        </w:tc>
        <w:tc>
          <w:tcPr>
            <w:tcW w:w="2104" w:type="dxa"/>
          </w:tcPr>
          <w:tcPr/>
          <w:p>
            <w:pPr>
              <w:pStyle w:val="Compact"/>
              <w:jc w:val="left"/>
            </w:pPr>
            <w:r>
              <w:t xml:space="preserve">faible</w:t>
            </w:r>
          </w:p>
        </w:tc>
        <w:tc>
          <w:tcPr>
            <w:tcW w:w="2332" w:type="dxa"/>
          </w:tcPr>
          <w:tcPr/>
          <w:p>
            <w:pPr>
              <w:pStyle w:val="Compact"/>
              <w:jc w:val="left"/>
            </w:pPr>
            <w:r>
              <w:t xml:space="preserve">faible (fiche : faible à moyenne)</w:t>
            </w:r>
          </w:p>
        </w:tc>
        <w:tc>
          <w:tcPr>
            <w:tcW w:w="2035" w:type="dxa"/>
          </w:tcPr>
          <w:tcPr/>
          <w:p>
            <w:pPr>
              <w:pStyle w:val="Compact"/>
              <w:jc w:val="left"/>
            </w:pPr>
            <w:r>
              <w:t xml:space="preserve">faible</w:t>
            </w:r>
          </w:p>
        </w:tc>
        <w:tc>
          <w:tcPr>
            <w:tcW w:w="7368" w:type="dxa"/>
          </w:tcPr>
          <w:tcPr/>
          <w:p>
            <w:pPr>
              <w:pStyle w:val="Compact"/>
              <w:jc w:val="left"/>
            </w:pPr>
            <w:r>
              <w:t xml:space="preserve">56,6 % de couverture ; aucun compte audité depuis la création (cf. COM)</w:t>
            </w:r>
          </w:p>
        </w:tc>
      </w:tr>
      <w:tr>
        <w:tc>
          <w:tcPr>
            <w:tcW w:w="730" w:type="dxa"/>
          </w:tcPr>
          <w:tcPr/>
          <w:p>
            <w:pPr>
              <w:pStyle w:val="Compact"/>
              <w:jc w:val="left"/>
            </w:pPr>
            <w:r>
              <w:t xml:space="preserve">LBR</w:t>
            </w:r>
          </w:p>
        </w:tc>
        <w:tc>
          <w:tcPr>
            <w:tcW w:w="2104" w:type="dxa"/>
          </w:tcPr>
          <w:tcPr/>
          <w:p>
            <w:pPr>
              <w:pStyle w:val="Compact"/>
              <w:jc w:val="left"/>
            </w:pPr>
            <w:r>
              <w:t xml:space="preserve">faible</w:t>
            </w:r>
          </w:p>
        </w:tc>
        <w:tc>
          <w:tcPr>
            <w:tcW w:w="2332" w:type="dxa"/>
          </w:tcPr>
          <w:tcPr/>
          <w:p>
            <w:pPr>
              <w:pStyle w:val="Compact"/>
              <w:jc w:val="left"/>
            </w:pPr>
            <w:r>
              <w:t xml:space="preserve">faible</w:t>
            </w:r>
          </w:p>
        </w:tc>
        <w:tc>
          <w:tcPr>
            <w:tcW w:w="2035" w:type="dxa"/>
          </w:tcPr>
          <w:tcPr/>
          <w:p>
            <w:pPr>
              <w:pStyle w:val="Compact"/>
              <w:jc w:val="left"/>
            </w:pPr>
            <w:r>
              <w:t xml:space="preserve">faible (fiche : faible à moyenne)</w:t>
            </w:r>
          </w:p>
        </w:tc>
        <w:tc>
          <w:tcPr>
            <w:tcW w:w="7368" w:type="dxa"/>
          </w:tcPr>
          <w:tcPr/>
          <w:p>
            <w:pPr>
              <w:pStyle w:val="Compact"/>
              <w:jc w:val="left"/>
            </w:pPr>
            <w:r>
              <w:t xml:space="preserve">Perte d’exploitation 18 M USD ; pertes totales 30-45 % (cf. LBR)</w:t>
            </w:r>
          </w:p>
        </w:tc>
      </w:tr>
      <w:tr>
        <w:tc>
          <w:tcPr>
            <w:tcW w:w="730" w:type="dxa"/>
          </w:tcPr>
          <w:tcPr/>
          <w:p>
            <w:pPr>
              <w:pStyle w:val="Compact"/>
              <w:jc w:val="left"/>
            </w:pPr>
            <w:r>
              <w:t xml:space="preserve">MRT</w:t>
            </w:r>
          </w:p>
        </w:tc>
        <w:tc>
          <w:tcPr>
            <w:tcW w:w="2104" w:type="dxa"/>
          </w:tcPr>
          <w:tcPr/>
          <w:p>
            <w:pPr>
              <w:pStyle w:val="Compact"/>
              <w:jc w:val="left"/>
            </w:pPr>
            <w:r>
              <w:t xml:space="preserve">faible</w:t>
            </w:r>
          </w:p>
        </w:tc>
        <w:tc>
          <w:tcPr>
            <w:tcW w:w="2332" w:type="dxa"/>
          </w:tcPr>
          <w:tcPr/>
          <w:p>
            <w:pPr>
              <w:pStyle w:val="Compact"/>
              <w:jc w:val="left"/>
            </w:pPr>
            <w:r>
              <w:t xml:space="preserve">faible (fiche : faible-moyenne)</w:t>
            </w:r>
          </w:p>
        </w:tc>
        <w:tc>
          <w:tcPr>
            <w:tcW w:w="2035" w:type="dxa"/>
          </w:tcPr>
          <w:tcPr/>
          <w:p>
            <w:pPr>
              <w:pStyle w:val="Compact"/>
              <w:jc w:val="left"/>
            </w:pPr>
            <w:r>
              <w:t xml:space="preserve">faible</w:t>
            </w:r>
          </w:p>
        </w:tc>
        <w:tc>
          <w:tcPr>
            <w:tcW w:w="7368" w:type="dxa"/>
          </w:tcPr>
          <w:tcPr/>
          <w:p>
            <w:pPr>
              <w:pStyle w:val="Compact"/>
              <w:jc w:val="left"/>
            </w:pPr>
            <w:r>
              <w:t xml:space="preserve">Recouvrement 35 %, pertes 35 % ; contrat-programme de 25 ans (cf. MRT)</w:t>
            </w:r>
          </w:p>
        </w:tc>
      </w:tr>
      <w:tr>
        <w:tc>
          <w:tcPr>
            <w:tcW w:w="730" w:type="dxa"/>
          </w:tcPr>
          <w:tcPr/>
          <w:p>
            <w:pPr>
              <w:pStyle w:val="Compact"/>
              <w:jc w:val="left"/>
            </w:pPr>
            <w:r>
              <w:t xml:space="preserve">MWI</w:t>
            </w:r>
          </w:p>
        </w:tc>
        <w:tc>
          <w:tcPr>
            <w:tcW w:w="2104" w:type="dxa"/>
          </w:tcPr>
          <w:tcPr/>
          <w:p>
            <w:pPr>
              <w:pStyle w:val="Compact"/>
              <w:jc w:val="left"/>
            </w:pPr>
            <w:r>
              <w:t xml:space="preserve">faible</w:t>
            </w:r>
          </w:p>
        </w:tc>
        <w:tc>
          <w:tcPr>
            <w:tcW w:w="2332" w:type="dxa"/>
          </w:tcPr>
          <w:tcPr/>
          <w:p>
            <w:pPr>
              <w:pStyle w:val="Compact"/>
              <w:jc w:val="left"/>
            </w:pPr>
            <w:r>
              <w:t xml:space="preserve">faible</w:t>
            </w:r>
          </w:p>
        </w:tc>
        <w:tc>
          <w:tcPr>
            <w:tcW w:w="2035" w:type="dxa"/>
          </w:tcPr>
          <w:tcPr/>
          <w:p>
            <w:pPr>
              <w:pStyle w:val="Compact"/>
              <w:jc w:val="left"/>
            </w:pPr>
            <w:r>
              <w:t xml:space="preserve">faible (fiche : faible à moyenne)</w:t>
            </w:r>
          </w:p>
        </w:tc>
        <w:tc>
          <w:tcPr>
            <w:tcW w:w="7368" w:type="dxa"/>
          </w:tcPr>
          <w:tcPr/>
          <w:p>
            <w:pPr>
              <w:pStyle w:val="Compact"/>
              <w:jc w:val="left"/>
            </w:pPr>
            <w:r>
              <w:t xml:space="preserve">Résultat effacé par le change ; effondrement du réseau en 2025 (cf. MWI)</w:t>
            </w:r>
          </w:p>
        </w:tc>
      </w:tr>
      <w:tr>
        <w:tc>
          <w:tcPr>
            <w:tcW w:w="730" w:type="dxa"/>
          </w:tcPr>
          <w:tcPr/>
          <w:p>
            <w:pPr>
              <w:pStyle w:val="Compact"/>
              <w:jc w:val="left"/>
            </w:pPr>
            <w:r>
              <w:t xml:space="preserve">NER</w:t>
            </w:r>
          </w:p>
        </w:tc>
        <w:tc>
          <w:tcPr>
            <w:tcW w:w="2104" w:type="dxa"/>
          </w:tcPr>
          <w:tcPr/>
          <w:p>
            <w:pPr>
              <w:pStyle w:val="Compact"/>
              <w:jc w:val="left"/>
            </w:pPr>
            <w:r>
              <w:t xml:space="preserve">faible</w:t>
            </w:r>
          </w:p>
        </w:tc>
        <w:tc>
          <w:tcPr>
            <w:tcW w:w="2332" w:type="dxa"/>
          </w:tcPr>
          <w:tcPr/>
          <w:p>
            <w:pPr>
              <w:pStyle w:val="Compact"/>
              <w:jc w:val="left"/>
            </w:pPr>
            <w:r>
              <w:t xml:space="preserve">faible (fiche : faible-moyenne)</w:t>
            </w:r>
          </w:p>
        </w:tc>
        <w:tc>
          <w:tcPr>
            <w:tcW w:w="2035" w:type="dxa"/>
          </w:tcPr>
          <w:tcPr/>
          <w:p>
            <w:pPr>
              <w:pStyle w:val="Compact"/>
              <w:jc w:val="left"/>
            </w:pPr>
            <w:r>
              <w:t xml:space="preserve">faible</w:t>
            </w:r>
          </w:p>
        </w:tc>
        <w:tc>
          <w:tcPr>
            <w:tcW w:w="7368" w:type="dxa"/>
          </w:tcPr>
          <w:tcPr/>
          <w:p>
            <w:pPr>
              <w:pStyle w:val="Compact"/>
              <w:jc w:val="left"/>
            </w:pPr>
            <w:r>
              <w:t xml:space="preserve">Comptes opaques, nationalisation, conseil dissous (cf. NER)</w:t>
            </w:r>
          </w:p>
        </w:tc>
      </w:tr>
      <w:tr>
        <w:tc>
          <w:tcPr>
            <w:tcW w:w="730" w:type="dxa"/>
          </w:tcPr>
          <w:tcPr/>
          <w:p>
            <w:pPr>
              <w:pStyle w:val="Compact"/>
              <w:jc w:val="left"/>
            </w:pPr>
            <w:r>
              <w:t xml:space="preserve">CMR</w:t>
            </w:r>
          </w:p>
        </w:tc>
        <w:tc>
          <w:tcPr>
            <w:tcW w:w="2104" w:type="dxa"/>
          </w:tcPr>
          <w:tcPr/>
          <w:p>
            <w:pPr>
              <w:pStyle w:val="Compact"/>
              <w:jc w:val="left"/>
            </w:pPr>
            <w:r>
              <w:rPr>
                <w:bCs/>
                <w:b/>
              </w:rPr>
              <w:t xml:space="preserve">critique</w:t>
            </w:r>
            <w:r>
              <w:t xml:space="preserve"> </w:t>
            </w:r>
            <w:r>
              <w:t xml:space="preserve">↓</w:t>
            </w:r>
          </w:p>
        </w:tc>
        <w:tc>
          <w:tcPr>
            <w:tcW w:w="2332" w:type="dxa"/>
          </w:tcPr>
          <w:tcPr/>
          <w:p>
            <w:pPr>
              <w:pStyle w:val="Compact"/>
              <w:jc w:val="left"/>
            </w:pPr>
            <w:r>
              <w:t xml:space="preserve">moyenne</w:t>
            </w:r>
          </w:p>
        </w:tc>
        <w:tc>
          <w:tcPr>
            <w:tcW w:w="2035" w:type="dxa"/>
          </w:tcPr>
          <w:tcPr/>
          <w:p>
            <w:pPr>
              <w:pStyle w:val="Compact"/>
              <w:jc w:val="left"/>
            </w:pPr>
            <w:r>
              <w:t xml:space="preserve">faible (fiche : faible à moyenne)</w:t>
            </w:r>
          </w:p>
        </w:tc>
        <w:tc>
          <w:tcPr>
            <w:tcW w:w="7368" w:type="dxa"/>
          </w:tcPr>
          <w:tcPr/>
          <w:p>
            <w:pPr>
              <w:pStyle w:val="Compact"/>
              <w:jc w:val="left"/>
            </w:pPr>
            <w:r>
              <w:t xml:space="preserve">Déficit de trésorerie ≈ 13 Md FCFA/mois, « quasi-faillite », LC tirée (cf. CMR)</w:t>
            </w:r>
          </w:p>
        </w:tc>
      </w:tr>
      <w:tr>
        <w:tc>
          <w:tcPr>
            <w:tcW w:w="730" w:type="dxa"/>
          </w:tcPr>
          <w:tcPr/>
          <w:p>
            <w:pPr>
              <w:pStyle w:val="Compact"/>
              <w:jc w:val="left"/>
            </w:pPr>
            <w:r>
              <w:t xml:space="preserve">COD</w:t>
            </w:r>
          </w:p>
        </w:tc>
        <w:tc>
          <w:tcPr>
            <w:tcW w:w="2104" w:type="dxa"/>
          </w:tcPr>
          <w:tcPr/>
          <w:p>
            <w:pPr>
              <w:pStyle w:val="Compact"/>
              <w:jc w:val="left"/>
            </w:pPr>
            <w:r>
              <w:rPr>
                <w:bCs/>
                <w:b/>
              </w:rPr>
              <w:t xml:space="preserve">critique</w:t>
            </w:r>
            <w:r>
              <w:t xml:space="preserve"> </w:t>
            </w:r>
            <w:r>
              <w:t xml:space="preserve">↓</w:t>
            </w:r>
          </w:p>
        </w:tc>
        <w:tc>
          <w:tcPr>
            <w:tcW w:w="2332" w:type="dxa"/>
          </w:tcPr>
          <w:tcPr/>
          <w:p>
            <w:pPr>
              <w:pStyle w:val="Compact"/>
              <w:jc w:val="left"/>
            </w:pPr>
            <w:r>
              <w:rPr>
                <w:bCs/>
                <w:b/>
              </w:rPr>
              <w:t xml:space="preserve">critique</w:t>
            </w:r>
            <w:r>
              <w:t xml:space="preserve"> </w:t>
            </w:r>
            <w:r>
              <w:t xml:space="preserve">↓</w:t>
            </w:r>
          </w:p>
        </w:tc>
        <w:tc>
          <w:tcPr>
            <w:tcW w:w="2035" w:type="dxa"/>
          </w:tcPr>
          <w:tcPr/>
          <w:p>
            <w:pPr>
              <w:pStyle w:val="Compact"/>
              <w:jc w:val="left"/>
            </w:pPr>
            <w:r>
              <w:t xml:space="preserve">faible</w:t>
            </w:r>
          </w:p>
        </w:tc>
        <w:tc>
          <w:tcPr>
            <w:tcW w:w="7368" w:type="dxa"/>
          </w:tcPr>
          <w:tcPr/>
          <w:p>
            <w:pPr>
              <w:pStyle w:val="Compact"/>
              <w:jc w:val="left"/>
            </w:pPr>
            <w:r>
              <w:t xml:space="preserve">Dette ≈ 3 Md USD, pertes 49 % en hausse, restructuration non tranchée (cf. COD)</w:t>
            </w:r>
          </w:p>
        </w:tc>
      </w:tr>
      <w:tr>
        <w:tc>
          <w:tcPr>
            <w:tcW w:w="730" w:type="dxa"/>
          </w:tcPr>
          <w:tcPr/>
          <w:p>
            <w:pPr>
              <w:pStyle w:val="Compact"/>
              <w:jc w:val="left"/>
            </w:pPr>
            <w:r>
              <w:t xml:space="preserve">GAB</w:t>
            </w:r>
          </w:p>
        </w:tc>
        <w:tc>
          <w:tcPr>
            <w:tcW w:w="2104" w:type="dxa"/>
          </w:tcPr>
          <w:tcPr/>
          <w:p>
            <w:pPr>
              <w:pStyle w:val="Compact"/>
              <w:jc w:val="left"/>
            </w:pPr>
            <w:r>
              <w:t xml:space="preserve">faible</w:t>
            </w:r>
          </w:p>
        </w:tc>
        <w:tc>
          <w:tcPr>
            <w:tcW w:w="2332" w:type="dxa"/>
          </w:tcPr>
          <w:tcPr/>
          <w:p>
            <w:pPr>
              <w:pStyle w:val="Compact"/>
              <w:jc w:val="left"/>
            </w:pPr>
            <w:r>
              <w:t xml:space="preserve">faible (fiche : faible à moyenne)</w:t>
            </w:r>
          </w:p>
        </w:tc>
        <w:tc>
          <w:tcPr>
            <w:tcW w:w="2035" w:type="dxa"/>
          </w:tcPr>
          <w:tcPr/>
          <w:p>
            <w:pPr>
              <w:pStyle w:val="Compact"/>
              <w:jc w:val="left"/>
            </w:pPr>
            <w:r>
              <w:rPr>
                <w:bCs/>
                <w:b/>
              </w:rPr>
              <w:t xml:space="preserve">critique</w:t>
            </w:r>
            <w:r>
              <w:t xml:space="preserve"> </w:t>
            </w:r>
            <w:r>
              <w:t xml:space="preserve">↓</w:t>
            </w:r>
          </w:p>
        </w:tc>
        <w:tc>
          <w:tcPr>
            <w:tcW w:w="7368" w:type="dxa"/>
          </w:tcPr>
          <w:tcPr/>
          <w:p>
            <w:pPr>
              <w:pStyle w:val="Compact"/>
              <w:jc w:val="left"/>
            </w:pPr>
            <w:r>
              <w:t xml:space="preserve">Aucun compte depuis 2018, corruption (2024), contrat de performance sans cibles (cf. GAB)</w:t>
            </w:r>
          </w:p>
        </w:tc>
      </w:tr>
      <w:tr>
        <w:tc>
          <w:tcPr>
            <w:tcW w:w="730" w:type="dxa"/>
          </w:tcPr>
          <w:tcPr/>
          <w:p>
            <w:pPr>
              <w:pStyle w:val="Compact"/>
              <w:jc w:val="left"/>
            </w:pPr>
            <w:r>
              <w:t xml:space="preserve">GHA</w:t>
            </w:r>
          </w:p>
        </w:tc>
        <w:tc>
          <w:tcPr>
            <w:tcW w:w="2104" w:type="dxa"/>
          </w:tcPr>
          <w:tcPr/>
          <w:p>
            <w:pPr>
              <w:pStyle w:val="Compact"/>
              <w:jc w:val="left"/>
            </w:pPr>
            <w:r>
              <w:rPr>
                <w:bCs/>
                <w:b/>
              </w:rPr>
              <w:t xml:space="preserve">critique</w:t>
            </w:r>
            <w:r>
              <w:t xml:space="preserve"> </w:t>
            </w:r>
            <w:r>
              <w:t xml:space="preserve">↓</w:t>
            </w:r>
          </w:p>
        </w:tc>
        <w:tc>
          <w:tcPr>
            <w:tcW w:w="2332" w:type="dxa"/>
          </w:tcPr>
          <w:tcPr/>
          <w:p>
            <w:pPr>
              <w:pStyle w:val="Compact"/>
              <w:jc w:val="left"/>
            </w:pPr>
            <w:r>
              <w:t xml:space="preserve">faible (fiche : moyenne/faible)</w:t>
            </w:r>
          </w:p>
        </w:tc>
        <w:tc>
          <w:tcPr>
            <w:tcW w:w="2035" w:type="dxa"/>
          </w:tcPr>
          <w:tcPr/>
          <w:p>
            <w:pPr>
              <w:pStyle w:val="Compact"/>
              <w:jc w:val="left"/>
            </w:pPr>
            <w:r>
              <w:t xml:space="preserve">moyenne</w:t>
            </w:r>
          </w:p>
        </w:tc>
        <w:tc>
          <w:tcPr>
            <w:tcW w:w="7368" w:type="dxa"/>
          </w:tcPr>
          <w:tcPr/>
          <w:p>
            <w:pPr>
              <w:pStyle w:val="Compact"/>
              <w:jc w:val="left"/>
            </w:pPr>
            <w:r>
              <w:t xml:space="preserve">Coût des ventes &gt; 150 % du CA, fonds propres 438 M GHS ; comptes 2025 audités (cf. GHA)</w:t>
            </w:r>
          </w:p>
        </w:tc>
      </w:tr>
      <w:tr>
        <w:tc>
          <w:tcPr>
            <w:tcW w:w="730" w:type="dxa"/>
          </w:tcPr>
          <w:tcPr/>
          <w:p>
            <w:pPr>
              <w:pStyle w:val="Compact"/>
              <w:jc w:val="left"/>
            </w:pPr>
            <w:r>
              <w:t xml:space="preserve">GIN</w:t>
            </w:r>
          </w:p>
        </w:tc>
        <w:tc>
          <w:tcPr>
            <w:tcW w:w="2104" w:type="dxa"/>
          </w:tcPr>
          <w:tcPr/>
          <w:p>
            <w:pPr>
              <w:pStyle w:val="Compact"/>
              <w:jc w:val="left"/>
            </w:pPr>
            <w:r>
              <w:rPr>
                <w:bCs/>
                <w:b/>
              </w:rPr>
              <w:t xml:space="preserve">critique</w:t>
            </w:r>
            <w:r>
              <w:t xml:space="preserve"> </w:t>
            </w:r>
            <w:r>
              <w:t xml:space="preserve">(fiche : très faible)</w:t>
            </w:r>
          </w:p>
        </w:tc>
        <w:tc>
          <w:tcPr>
            <w:tcW w:w="2332" w:type="dxa"/>
          </w:tcPr>
          <w:tcPr/>
          <w:p>
            <w:pPr>
              <w:pStyle w:val="Compact"/>
              <w:jc w:val="left"/>
            </w:pPr>
            <w:r>
              <w:t xml:space="preserve">faible</w:t>
            </w:r>
          </w:p>
        </w:tc>
        <w:tc>
          <w:tcPr>
            <w:tcW w:w="2035" w:type="dxa"/>
          </w:tcPr>
          <w:tcPr/>
          <w:p>
            <w:pPr>
              <w:pStyle w:val="Compact"/>
              <w:jc w:val="left"/>
            </w:pPr>
            <w:r>
              <w:t xml:space="preserve">faible</w:t>
            </w:r>
          </w:p>
        </w:tc>
        <w:tc>
          <w:tcPr>
            <w:tcW w:w="7368" w:type="dxa"/>
          </w:tcPr>
          <w:tcPr/>
          <w:p>
            <w:pPr>
              <w:pStyle w:val="Compact"/>
              <w:jc w:val="left"/>
            </w:pPr>
            <w:r>
              <w:t xml:space="preserve">Couverture ≈ 40 %, 710 M USD d’arriérés IPP, recouvrement 50-64 % (cf. GIN)</w:t>
            </w:r>
          </w:p>
        </w:tc>
      </w:tr>
      <w:tr>
        <w:tc>
          <w:tcPr>
            <w:tcW w:w="730" w:type="dxa"/>
          </w:tcPr>
          <w:tcPr/>
          <w:p>
            <w:pPr>
              <w:pStyle w:val="Compact"/>
              <w:jc w:val="left"/>
            </w:pPr>
            <w:r>
              <w:t xml:space="preserve">GMB</w:t>
            </w:r>
          </w:p>
        </w:tc>
        <w:tc>
          <w:tcPr>
            <w:tcW w:w="2104" w:type="dxa"/>
          </w:tcPr>
          <w:tcPr/>
          <w:p>
            <w:pPr>
              <w:pStyle w:val="Compact"/>
              <w:jc w:val="left"/>
            </w:pPr>
            <w:r>
              <w:rPr>
                <w:bCs/>
                <w:b/>
              </w:rPr>
              <w:t xml:space="preserve">critique</w:t>
            </w:r>
            <w:r>
              <w:t xml:space="preserve"> </w:t>
            </w:r>
            <w:r>
              <w:t xml:space="preserve">(fiche : très faible)</w:t>
            </w:r>
          </w:p>
        </w:tc>
        <w:tc>
          <w:tcPr>
            <w:tcW w:w="2332" w:type="dxa"/>
          </w:tcPr>
          <w:tcPr/>
          <w:p>
            <w:pPr>
              <w:pStyle w:val="Compact"/>
              <w:jc w:val="left"/>
            </w:pPr>
            <w:r>
              <w:t xml:space="preserve">faible (fiche : moyenne/faible)</w:t>
            </w:r>
          </w:p>
        </w:tc>
        <w:tc>
          <w:tcPr>
            <w:tcW w:w="2035" w:type="dxa"/>
          </w:tcPr>
          <w:tcPr/>
          <w:p>
            <w:pPr>
              <w:pStyle w:val="Compact"/>
              <w:jc w:val="left"/>
            </w:pPr>
            <w:r>
              <w:t xml:space="preserve">faible</w:t>
            </w:r>
          </w:p>
        </w:tc>
        <w:tc>
          <w:tcPr>
            <w:tcW w:w="7368" w:type="dxa"/>
          </w:tcPr>
          <w:tcPr/>
          <w:p>
            <w:pPr>
              <w:pStyle w:val="Compact"/>
              <w:jc w:val="left"/>
            </w:pPr>
            <w:r>
              <w:t xml:space="preserve">Pertes de 30-45 M USD/an, fonds propres négatifs (cf. GMB)</w:t>
            </w:r>
          </w:p>
        </w:tc>
      </w:tr>
      <w:tr>
        <w:tc>
          <w:tcPr>
            <w:tcW w:w="730" w:type="dxa"/>
          </w:tcPr>
          <w:tcPr/>
          <w:p>
            <w:pPr>
              <w:pStyle w:val="Compact"/>
              <w:jc w:val="left"/>
            </w:pPr>
            <w:r>
              <w:t xml:space="preserve">LSO</w:t>
            </w:r>
          </w:p>
        </w:tc>
        <w:tc>
          <w:tcPr>
            <w:tcW w:w="2104" w:type="dxa"/>
          </w:tcPr>
          <w:tcPr/>
          <w:p>
            <w:pPr>
              <w:pStyle w:val="Compact"/>
              <w:jc w:val="left"/>
            </w:pPr>
            <w:r>
              <w:rPr>
                <w:bCs/>
                <w:b/>
              </w:rPr>
              <w:t xml:space="preserve">critique</w:t>
            </w:r>
            <w:r>
              <w:t xml:space="preserve"> </w:t>
            </w:r>
            <w:r>
              <w:t xml:space="preserve">(fiche : très faible)</w:t>
            </w:r>
          </w:p>
        </w:tc>
        <w:tc>
          <w:tcPr>
            <w:tcW w:w="2332" w:type="dxa"/>
          </w:tcPr>
          <w:tcPr/>
          <w:p>
            <w:pPr>
              <w:pStyle w:val="Compact"/>
              <w:jc w:val="left"/>
            </w:pPr>
            <w:r>
              <w:t xml:space="preserve">moyenne</w:t>
            </w:r>
          </w:p>
        </w:tc>
        <w:tc>
          <w:tcPr>
            <w:tcW w:w="2035" w:type="dxa"/>
          </w:tcPr>
          <w:tcPr/>
          <w:p>
            <w:pPr>
              <w:pStyle w:val="Compact"/>
              <w:jc w:val="left"/>
            </w:pPr>
            <w:r>
              <w:rPr>
                <w:bCs/>
                <w:b/>
              </w:rPr>
              <w:t xml:space="preserve">critique</w:t>
            </w:r>
            <w:r>
              <w:t xml:space="preserve"> </w:t>
            </w:r>
            <w:r>
              <w:t xml:space="preserve">(fiche : très faible)</w:t>
            </w:r>
          </w:p>
        </w:tc>
        <w:tc>
          <w:tcPr>
            <w:tcW w:w="7368" w:type="dxa"/>
          </w:tcPr>
          <w:tcPr/>
          <w:p>
            <w:pPr>
              <w:pStyle w:val="Compact"/>
              <w:jc w:val="left"/>
            </w:pPr>
            <w:r>
              <w:t xml:space="preserve">Disclaimer, illiquidité, injection publique, enquête forensique (cf. LSO)</w:t>
            </w:r>
          </w:p>
        </w:tc>
      </w:tr>
      <w:tr>
        <w:tc>
          <w:tcPr>
            <w:tcW w:w="730" w:type="dxa"/>
          </w:tcPr>
          <w:tcPr/>
          <w:p>
            <w:pPr>
              <w:pStyle w:val="Compact"/>
              <w:jc w:val="left"/>
            </w:pPr>
            <w:r>
              <w:t xml:space="preserve">MDG</w:t>
            </w:r>
          </w:p>
        </w:tc>
        <w:tc>
          <w:tcPr>
            <w:tcW w:w="2104" w:type="dxa"/>
          </w:tcPr>
          <w:tcPr/>
          <w:p>
            <w:pPr>
              <w:pStyle w:val="Compact"/>
              <w:jc w:val="left"/>
            </w:pPr>
            <w:r>
              <w:rPr>
                <w:bCs/>
                <w:b/>
              </w:rPr>
              <w:t xml:space="preserve">critique</w:t>
            </w:r>
            <w:r>
              <w:t xml:space="preserve"> </w:t>
            </w:r>
            <w:r>
              <w:t xml:space="preserve">↓</w:t>
            </w:r>
          </w:p>
        </w:tc>
        <w:tc>
          <w:tcPr>
            <w:tcW w:w="2332" w:type="dxa"/>
          </w:tcPr>
          <w:tcPr/>
          <w:p>
            <w:pPr>
              <w:pStyle w:val="Compact"/>
              <w:jc w:val="left"/>
            </w:pPr>
            <w:r>
              <w:t xml:space="preserve">faible</w:t>
            </w:r>
          </w:p>
        </w:tc>
        <w:tc>
          <w:tcPr>
            <w:tcW w:w="2035" w:type="dxa"/>
          </w:tcPr>
          <w:tcPr/>
          <w:p>
            <w:pPr>
              <w:pStyle w:val="Compact"/>
              <w:jc w:val="left"/>
            </w:pPr>
            <w:r>
              <w:t xml:space="preserve">faible (« en amélioration »)</w:t>
            </w:r>
          </w:p>
        </w:tc>
        <w:tc>
          <w:tcPr>
            <w:tcW w:w="7368" w:type="dxa"/>
          </w:tcPr>
          <w:tcPr/>
          <w:p>
            <w:pPr>
              <w:pStyle w:val="Compact"/>
              <w:jc w:val="left"/>
            </w:pPr>
            <w:r>
              <w:t xml:space="preserve">Opinion défavorable, « cessation de paiement virtuelle », capitaux propres −3 523 Mds MGA (cf. MDG)</w:t>
            </w:r>
          </w:p>
        </w:tc>
      </w:tr>
      <w:tr>
        <w:tc>
          <w:tcPr>
            <w:tcW w:w="730" w:type="dxa"/>
          </w:tcPr>
          <w:tcPr/>
          <w:p>
            <w:pPr>
              <w:pStyle w:val="Compact"/>
              <w:jc w:val="left"/>
            </w:pPr>
            <w:r>
              <w:t xml:space="preserve">NGA</w:t>
            </w:r>
          </w:p>
        </w:tc>
        <w:tc>
          <w:tcPr>
            <w:tcW w:w="2104" w:type="dxa"/>
          </w:tcPr>
          <w:tcPr/>
          <w:p>
            <w:pPr>
              <w:pStyle w:val="Compact"/>
              <w:jc w:val="left"/>
            </w:pPr>
            <w:r>
              <w:rPr>
                <w:bCs/>
                <w:b/>
              </w:rPr>
              <w:t xml:space="preserve">critique</w:t>
            </w:r>
            <w:r>
              <w:t xml:space="preserve"> </w:t>
            </w:r>
            <w:r>
              <w:t xml:space="preserve">↓</w:t>
            </w:r>
          </w:p>
        </w:tc>
        <w:tc>
          <w:tcPr>
            <w:tcW w:w="2332" w:type="dxa"/>
          </w:tcPr>
          <w:tcPr/>
          <w:p>
            <w:pPr>
              <w:pStyle w:val="Compact"/>
              <w:jc w:val="left"/>
            </w:pPr>
            <w:r>
              <w:t xml:space="preserve">faible (fiche : faible à moyenne)</w:t>
            </w:r>
          </w:p>
        </w:tc>
        <w:tc>
          <w:tcPr>
            <w:tcW w:w="2035" w:type="dxa"/>
          </w:tcPr>
          <w:tcPr/>
          <w:p>
            <w:pPr>
              <w:pStyle w:val="Compact"/>
              <w:jc w:val="left"/>
            </w:pPr>
            <w:r>
              <w:t xml:space="preserve">moyenne</w:t>
            </w:r>
          </w:p>
        </w:tc>
        <w:tc>
          <w:tcPr>
            <w:tcW w:w="7368" w:type="dxa"/>
          </w:tcPr>
          <w:tcPr/>
          <w:p>
            <w:pPr>
              <w:pStyle w:val="Compact"/>
              <w:jc w:val="left"/>
            </w:pPr>
            <w:r>
              <w:t xml:space="preserve">Subvention ≈ 1,9 T NGN/an non financée à 96 %, dette GenCos en hausse ; NERC transparent (cf. NGA)</w:t>
            </w:r>
          </w:p>
        </w:tc>
      </w:tr>
      <w:tr>
        <w:tc>
          <w:tcPr>
            <w:tcW w:w="730" w:type="dxa"/>
          </w:tcPr>
          <w:tcPr/>
          <w:p>
            <w:pPr>
              <w:pStyle w:val="Compact"/>
              <w:jc w:val="left"/>
            </w:pPr>
            <w:r>
              <w:t xml:space="preserve">SLE</w:t>
            </w:r>
          </w:p>
        </w:tc>
        <w:tc>
          <w:tcPr>
            <w:tcW w:w="2104" w:type="dxa"/>
          </w:tcPr>
          <w:tcPr/>
          <w:p>
            <w:pPr>
              <w:pStyle w:val="Compact"/>
              <w:jc w:val="left"/>
            </w:pPr>
            <w:r>
              <w:rPr>
                <w:bCs/>
                <w:b/>
              </w:rPr>
              <w:t xml:space="preserve">critique</w:t>
            </w:r>
            <w:r>
              <w:t xml:space="preserve"> </w:t>
            </w:r>
            <w:r>
              <w:t xml:space="preserve">(fiche : très faible)</w:t>
            </w:r>
          </w:p>
        </w:tc>
        <w:tc>
          <w:tcPr>
            <w:tcW w:w="2332" w:type="dxa"/>
          </w:tcPr>
          <w:tcPr/>
          <w:p>
            <w:pPr>
              <w:pStyle w:val="Compact"/>
              <w:jc w:val="left"/>
            </w:pPr>
            <w:r>
              <w:rPr>
                <w:bCs/>
                <w:b/>
              </w:rPr>
              <w:t xml:space="preserve">critique</w:t>
            </w:r>
            <w:r>
              <w:t xml:space="preserve"> </w:t>
            </w:r>
            <w:r>
              <w:t xml:space="preserve">(fiche : très faible)</w:t>
            </w:r>
          </w:p>
        </w:tc>
        <w:tc>
          <w:tcPr>
            <w:tcW w:w="2035" w:type="dxa"/>
          </w:tcPr>
          <w:tcPr/>
          <w:p>
            <w:pPr>
              <w:pStyle w:val="Compact"/>
              <w:jc w:val="left"/>
            </w:pPr>
            <w:r>
              <w:t xml:space="preserve">faible</w:t>
            </w:r>
          </w:p>
        </w:tc>
        <w:tc>
          <w:tcPr>
            <w:tcW w:w="7368" w:type="dxa"/>
          </w:tcPr>
          <w:tcPr/>
          <w:p>
            <w:pPr>
              <w:pStyle w:val="Compact"/>
              <w:jc w:val="left"/>
            </w:pPr>
            <w:r>
              <w:t xml:space="preserve">Recettes &lt; 50 % du coût de l’énergie, pertes 43-62 % (cf. SLE)</w:t>
            </w:r>
          </w:p>
        </w:tc>
      </w:tr>
      <w:tr>
        <w:tc>
          <w:tcPr>
            <w:tcW w:w="730" w:type="dxa"/>
          </w:tcPr>
          <w:tcPr/>
          <w:p>
            <w:pPr>
              <w:pStyle w:val="Compact"/>
              <w:jc w:val="left"/>
            </w:pPr>
            <w:r>
              <w:t xml:space="preserve">STP</w:t>
            </w:r>
          </w:p>
        </w:tc>
        <w:tc>
          <w:tcPr>
            <w:tcW w:w="2104" w:type="dxa"/>
          </w:tcPr>
          <w:tcPr/>
          <w:p>
            <w:pPr>
              <w:pStyle w:val="Compact"/>
              <w:jc w:val="left"/>
            </w:pPr>
            <w:r>
              <w:rPr>
                <w:bCs/>
                <w:b/>
              </w:rPr>
              <w:t xml:space="preserve">critique</w:t>
            </w:r>
            <w:r>
              <w:t xml:space="preserve"> </w:t>
            </w:r>
            <w:r>
              <w:t xml:space="preserve">(fiche : très faible)</w:t>
            </w:r>
          </w:p>
        </w:tc>
        <w:tc>
          <w:tcPr>
            <w:tcW w:w="2332" w:type="dxa"/>
          </w:tcPr>
          <w:tcPr/>
          <w:p>
            <w:pPr>
              <w:pStyle w:val="Compact"/>
              <w:jc w:val="left"/>
            </w:pPr>
            <w:r>
              <w:t xml:space="preserve">faible</w:t>
            </w:r>
          </w:p>
        </w:tc>
        <w:tc>
          <w:tcPr>
            <w:tcW w:w="2035" w:type="dxa"/>
          </w:tcPr>
          <w:tcPr/>
          <w:p>
            <w:pPr>
              <w:pStyle w:val="Compact"/>
              <w:jc w:val="left"/>
            </w:pPr>
            <w:r>
              <w:t xml:space="preserve">faible</w:t>
            </w:r>
          </w:p>
        </w:tc>
        <w:tc>
          <w:tcPr>
            <w:tcW w:w="7368" w:type="dxa"/>
          </w:tcPr>
          <w:tcPr/>
          <w:p>
            <w:pPr>
              <w:pStyle w:val="Compact"/>
              <w:jc w:val="left"/>
            </w:pPr>
            <w:r>
              <w:t xml:space="preserve">« Insolvable », dette ENCO ≈ ¼ à ⅓ du PIB, &gt; 93 % diesel (cf. STP)</w:t>
            </w:r>
          </w:p>
        </w:tc>
      </w:tr>
      <w:tr>
        <w:tc>
          <w:tcPr>
            <w:tcW w:w="730" w:type="dxa"/>
          </w:tcPr>
          <w:tcPr/>
          <w:p>
            <w:pPr>
              <w:pStyle w:val="Compact"/>
              <w:jc w:val="left"/>
            </w:pPr>
            <w:r>
              <w:t xml:space="preserve">TCD</w:t>
            </w:r>
          </w:p>
        </w:tc>
        <w:tc>
          <w:tcPr>
            <w:tcW w:w="2104" w:type="dxa"/>
          </w:tcPr>
          <w:tcPr/>
          <w:p>
            <w:pPr>
              <w:pStyle w:val="Compact"/>
              <w:jc w:val="left"/>
            </w:pPr>
            <w:r>
              <w:rPr>
                <w:bCs/>
                <w:b/>
              </w:rPr>
              <w:t xml:space="preserve">critique</w:t>
            </w:r>
            <w:r>
              <w:t xml:space="preserve"> </w:t>
            </w:r>
            <w:r>
              <w:t xml:space="preserve">↓</w:t>
            </w:r>
          </w:p>
        </w:tc>
        <w:tc>
          <w:tcPr>
            <w:tcW w:w="2332" w:type="dxa"/>
          </w:tcPr>
          <w:tcPr/>
          <w:p>
            <w:pPr>
              <w:pStyle w:val="Compact"/>
              <w:jc w:val="left"/>
            </w:pPr>
            <w:r>
              <w:t xml:space="preserve">faible</w:t>
            </w:r>
          </w:p>
        </w:tc>
        <w:tc>
          <w:tcPr>
            <w:tcW w:w="2035" w:type="dxa"/>
          </w:tcPr>
          <w:tcPr/>
          <w:p>
            <w:pPr>
              <w:pStyle w:val="Compact"/>
              <w:jc w:val="left"/>
            </w:pPr>
            <w:r>
              <w:t xml:space="preserve">faible</w:t>
            </w:r>
          </w:p>
        </w:tc>
        <w:tc>
          <w:tcPr>
            <w:tcW w:w="7368" w:type="dxa"/>
          </w:tcPr>
          <w:tcPr/>
          <w:p>
            <w:pPr>
              <w:pStyle w:val="Compact"/>
              <w:jc w:val="left"/>
            </w:pPr>
            <w:r>
              <w:t xml:space="preserve">Opérateur déclaré insolvable puis remplacé par décret (cf. TCD)</w:t>
            </w:r>
          </w:p>
        </w:tc>
      </w:tr>
      <w:tr>
        <w:tc>
          <w:tcPr>
            <w:tcW w:w="730" w:type="dxa"/>
          </w:tcPr>
          <w:tcPr/>
          <w:p>
            <w:pPr>
              <w:pStyle w:val="Compact"/>
              <w:jc w:val="left"/>
            </w:pPr>
            <w:r>
              <w:t xml:space="preserve">ZWE</w:t>
            </w:r>
          </w:p>
        </w:tc>
        <w:tc>
          <w:tcPr>
            <w:tcW w:w="2104" w:type="dxa"/>
          </w:tcPr>
          <w:tcPr/>
          <w:p>
            <w:pPr>
              <w:pStyle w:val="Compact"/>
              <w:jc w:val="left"/>
            </w:pPr>
            <w:r>
              <w:rPr>
                <w:bCs/>
                <w:b/>
              </w:rPr>
              <w:t xml:space="preserve">critique</w:t>
            </w:r>
            <w:r>
              <w:t xml:space="preserve"> </w:t>
            </w:r>
            <w:r>
              <w:t xml:space="preserve">↓</w:t>
            </w:r>
          </w:p>
        </w:tc>
        <w:tc>
          <w:tcPr>
            <w:tcW w:w="2332" w:type="dxa"/>
          </w:tcPr>
          <w:tcPr/>
          <w:p>
            <w:pPr>
              <w:pStyle w:val="Compact"/>
              <w:jc w:val="left"/>
            </w:pPr>
            <w:r>
              <w:t xml:space="preserve">faible (fiche : moyenne à faible)</w:t>
            </w:r>
          </w:p>
        </w:tc>
        <w:tc>
          <w:tcPr>
            <w:tcW w:w="2035" w:type="dxa"/>
          </w:tcPr>
          <w:tcPr/>
          <w:p>
            <w:pPr>
              <w:pStyle w:val="Compact"/>
              <w:jc w:val="left"/>
            </w:pPr>
            <w:r>
              <w:t xml:space="preserve">faible</w:t>
            </w:r>
          </w:p>
        </w:tc>
        <w:tc>
          <w:tcPr>
            <w:tcW w:w="7368" w:type="dxa"/>
          </w:tcPr>
          <w:tcPr/>
          <w:p>
            <w:pPr>
              <w:pStyle w:val="Compact"/>
              <w:jc w:val="left"/>
            </w:pPr>
            <w:r>
              <w:t xml:space="preserve">Fonds de roulement −29,9 Mds ZWG, prêts en défaut, doute sur la continuité d’exploitation (cf. ZWE)</w:t>
            </w:r>
          </w:p>
        </w:tc>
      </w:tr>
    </w:tbl>
    <w:p>
      <w:pPr>
        <w:pStyle w:val="BodyText"/>
      </w:pPr>
      <w:r>
        <w:rPr>
          <w:bCs/>
          <w:b/>
        </w:rPr>
        <w:t xml:space="preserve">Regroupement [E] :</w:t>
      </w:r>
    </w:p>
    <w:p>
      <w:pPr>
        <w:numPr>
          <w:ilvl w:val="0"/>
          <w:numId w:val="1002"/>
        </w:numPr>
        <w:pStyle w:val="Compact"/>
      </w:pPr>
      <w:r>
        <w:rPr>
          <w:bCs/>
          <w:b/>
        </w:rPr>
        <w:t xml:space="preserve">Groupe 1 — Viables ou en équilibre opérationnel (7)</w:t>
      </w:r>
      <w:r>
        <w:t xml:space="preserve"> </w:t>
      </w:r>
      <w:r>
        <w:t xml:space="preserve">: NAM, KEN, BEN, RWA, CIV, MOZ, UGA. Le problème y est moins le tarif que l’aval : municipalités (NAM), arriérés de l’État (KEN, UGA), amont opaque (BEN), facteurs exogènes (MOZ). Plusieurs de ces opérateurs sont adossés à un acteur privé ou coté (CIE, KPLC) ou à un régulateur actif (RURA, ECB).</w:t>
      </w:r>
    </w:p>
    <w:p>
      <w:pPr>
        <w:numPr>
          <w:ilvl w:val="0"/>
          <w:numId w:val="1002"/>
        </w:numPr>
        <w:pStyle w:val="Compact"/>
      </w:pPr>
      <w:r>
        <w:rPr>
          <w:bCs/>
          <w:b/>
        </w:rPr>
        <w:t xml:space="preserve">Groupe 2 — Déficit structurel compensé, institutions fonctionnelles (7)</w:t>
      </w:r>
      <w:r>
        <w:t xml:space="preserve"> </w:t>
      </w:r>
      <w:r>
        <w:t xml:space="preserve">: SEN, TZA, ETH, BWA, ZMB, TGO, DJI. Les comptes ou les données réglementaires sont publiés et les trajectoires sont réformables. Le verrou est surtout la décision tarifaire (BWA, TZA, ZMB, TGO) ou le paiement de l’État (SEN, DJI).</w:t>
      </w:r>
    </w:p>
    <w:p>
      <w:pPr>
        <w:numPr>
          <w:ilvl w:val="0"/>
          <w:numId w:val="1002"/>
        </w:numPr>
        <w:pStyle w:val="Compact"/>
      </w:pPr>
      <w:r>
        <w:rPr>
          <w:bCs/>
          <w:b/>
        </w:rPr>
        <w:t xml:space="preserve">Groupe 3 — Faibles sur les trois axes (9)</w:t>
      </w:r>
      <w:r>
        <w:t xml:space="preserve"> </w:t>
      </w:r>
      <w:r>
        <w:t xml:space="preserve">: BDI, BFA, CAF, COG, COM, LBR, MRT, MWI, NER. Ces opérateurs sont petits, thermiques ou isolés, avec des comptes inaccessibles et une dépendance chronique aux transferts.</w:t>
      </w:r>
    </w:p>
    <w:p>
      <w:pPr>
        <w:numPr>
          <w:ilvl w:val="0"/>
          <w:numId w:val="1002"/>
        </w:numPr>
        <w:pStyle w:val="Compact"/>
      </w:pPr>
      <w:r>
        <w:rPr>
          <w:bCs/>
          <w:b/>
        </w:rPr>
        <w:t xml:space="preserve">Groupe 4 — Critiques (13)</w:t>
      </w:r>
      <w:r>
        <w:t xml:space="preserve"> </w:t>
      </w:r>
      <w:r>
        <w:t xml:space="preserve">: CMR, COD, GAB, GHA, GIN, GMB, LSO, MDG, NGA, SLE, STP, TCD, ZWE. Ils combinent insolvabilité déclarée ou de fait, comptes non fiables et financement d’urgence. GHA et NGA se distinguent par une gouvernance « moyenne » : leur reporting est public (comptes ECG 2025, rapports NERC) mais la situation financière est systémique.</w:t>
      </w:r>
    </w:p>
    <w:p>
      <w:r>
        <w:pict>
          <v:rect style="width:0;height:1.5pt" o:hralign="center" o:hrstd="t" o:hr="t"/>
        </w:pict>
      </w:r>
    </w:p>
    <w:bookmarkEnd w:id="23"/>
    <w:bookmarkStart w:id="31" w:name="thèmes-transversaux"/>
    <w:p>
      <w:pPr>
        <w:pStyle w:val="Heading1"/>
      </w:pPr>
      <w:r>
        <w:t xml:space="preserve">4. Thèmes transversaux</w:t>
      </w:r>
    </w:p>
    <w:bookmarkStart w:id="24" w:name="a-transparence-financière"/>
    <w:p>
      <w:pPr>
        <w:pStyle w:val="Heading2"/>
      </w:pPr>
      <w:r>
        <w:t xml:space="preserve">(a) Transparence financière</w:t>
      </w:r>
    </w:p>
    <w:tbl>
      <w:tblPr>
        <w:tblStyle w:val="Table"/>
        <w:tblW w:type="dxa" w:w="14570"/>
        <w:tblLook w:firstRow="1" w:lastRow="0" w:firstColumn="0" w:lastColumn="0" w:noHBand="0" w:noVBand="0" w:val="0020"/>
        <w:jc w:val="start"/>
      </w:tblPr>
      <w:tblGrid>
        <w:gridCol w:w="4292"/>
        <w:gridCol w:w="799"/>
        <w:gridCol w:w="9478"/>
      </w:tblGrid>
      <w:tr>
        <w:trPr>
          <w:tblHeader w:val="true"/>
        </w:trPr>
        <w:tc>
          <w:tcPr>
            <w:tcW w:w="4292" w:type="dxa"/>
          </w:tcPr>
          <w:tcPr/>
          <w:p>
            <w:pPr>
              <w:pStyle w:val="Compact"/>
              <w:jc w:val="left"/>
            </w:pPr>
            <w:r>
              <w:t xml:space="preserve">Situation [E]</w:t>
            </w:r>
          </w:p>
        </w:tc>
        <w:tc>
          <w:tcPr>
            <w:tcW w:w="799" w:type="dxa"/>
          </w:tcPr>
          <w:tcPr/>
          <w:p>
            <w:pPr>
              <w:pStyle w:val="Compact"/>
              <w:jc w:val="left"/>
            </w:pPr>
            <w:r>
              <w:t xml:space="preserve">Nb</w:t>
            </w:r>
          </w:p>
        </w:tc>
        <w:tc>
          <w:tcPr>
            <w:tcW w:w="9478" w:type="dxa"/>
          </w:tcPr>
          <w:tcPr/>
          <w:p>
            <w:pPr>
              <w:pStyle w:val="Compact"/>
              <w:jc w:val="left"/>
            </w:pPr>
            <w:r>
              <w:t xml:space="preserve">Pays (exercice, opinion)</w:t>
            </w:r>
          </w:p>
        </w:tc>
      </w:tr>
      <w:tr>
        <w:tc>
          <w:tcPr>
            <w:tcW w:w="4292" w:type="dxa"/>
          </w:tcPr>
          <w:tcPr/>
          <w:p>
            <w:pPr>
              <w:pStyle w:val="Compact"/>
              <w:jc w:val="left"/>
            </w:pPr>
            <w:r>
              <w:t xml:space="preserve">Comptes audités publiés pour un exercice ≥ 2024</w:t>
            </w:r>
          </w:p>
        </w:tc>
        <w:tc>
          <w:tcPr>
            <w:tcW w:w="799" w:type="dxa"/>
          </w:tcPr>
          <w:tcPr/>
          <w:p>
            <w:pPr>
              <w:pStyle w:val="Compact"/>
              <w:jc w:val="left"/>
            </w:pPr>
            <w:r>
              <w:rPr>
                <w:bCs/>
                <w:b/>
              </w:rPr>
              <w:t xml:space="preserve">10</w:t>
            </w:r>
          </w:p>
        </w:tc>
        <w:tc>
          <w:tcPr>
            <w:tcW w:w="9478" w:type="dxa"/>
          </w:tcPr>
          <w:tcPr/>
          <w:p>
            <w:pPr>
              <w:pStyle w:val="Compact"/>
              <w:jc w:val="left"/>
            </w:pPr>
            <w:r>
              <w:t xml:space="preserve">KEN (FY24/25, sans réserve [V]) ; UGA-UEDCL (FY24/25, sans réserve avec observations [V]) ; CIV-CIE seulement (2025, BRVM [V/S]) ; ZMB (2024, opinion non modifiée</w:t>
            </w:r>
            <w:r>
              <w:t xml:space="preserve"> </w:t>
            </w:r>
            <w:r>
              <w:rPr>
                <w:bCs/>
                <w:b/>
              </w:rPr>
              <w:t xml:space="preserve">+ incertitude sur la continuité</w:t>
            </w:r>
            <w:r>
              <w:t xml:space="preserve"> </w:t>
            </w:r>
            <w:r>
              <w:t xml:space="preserve">[V]) ; ZWE-ZETDC (2025, sans réserve</w:t>
            </w:r>
            <w:r>
              <w:t xml:space="preserve"> </w:t>
            </w:r>
            <w:r>
              <w:rPr>
                <w:bCs/>
                <w:b/>
              </w:rPr>
              <w:t xml:space="preserve">+ continuité</w:t>
            </w:r>
            <w:r>
              <w:t xml:space="preserve"> </w:t>
            </w:r>
            <w:r>
              <w:t xml:space="preserve">[S]) ; NAM (2023/24,</w:t>
            </w:r>
            <w:r>
              <w:t xml:space="preserve"> </w:t>
            </w:r>
            <w:r>
              <w:rPr>
                <w:bCs/>
                <w:b/>
              </w:rPr>
              <w:t xml:space="preserve">avec réserve</w:t>
            </w:r>
            <w:r>
              <w:t xml:space="preserve"> </w:t>
            </w:r>
            <w:r>
              <w:t xml:space="preserve">[V]) ; MDG (2024,</w:t>
            </w:r>
            <w:r>
              <w:t xml:space="preserve"> </w:t>
            </w:r>
            <w:r>
              <w:rPr>
                <w:bCs/>
                <w:b/>
              </w:rPr>
              <w:t xml:space="preserve">défavorable</w:t>
            </w:r>
            <w:r>
              <w:t xml:space="preserve"> </w:t>
            </w:r>
            <w:r>
              <w:t xml:space="preserve">[V]) ; GHA-ECG (2025, opinion [?] [S]) ; MOZ (2025, via IGEPE [S]) ; BWA (exercice clos le 31/03/2024 [V])</w:t>
            </w:r>
          </w:p>
        </w:tc>
      </w:tr>
      <w:tr>
        <w:tc>
          <w:tcPr>
            <w:tcW w:w="4292" w:type="dxa"/>
          </w:tcPr>
          <w:tcPr/>
          <w:p>
            <w:pPr>
              <w:pStyle w:val="Compact"/>
              <w:jc w:val="left"/>
            </w:pPr>
            <w:r>
              <w:t xml:space="preserve">Dernier audit connu en 2022-2023</w:t>
            </w:r>
          </w:p>
        </w:tc>
        <w:tc>
          <w:tcPr>
            <w:tcW w:w="799" w:type="dxa"/>
          </w:tcPr>
          <w:tcPr/>
          <w:p>
            <w:pPr>
              <w:pStyle w:val="Compact"/>
              <w:jc w:val="left"/>
            </w:pPr>
            <w:r>
              <w:t xml:space="preserve">6</w:t>
            </w:r>
          </w:p>
        </w:tc>
        <w:tc>
          <w:tcPr>
            <w:tcW w:w="9478" w:type="dxa"/>
          </w:tcPr>
          <w:tcPr/>
          <w:p>
            <w:pPr>
              <w:pStyle w:val="Compact"/>
              <w:jc w:val="left"/>
            </w:pPr>
            <w:r>
              <w:t xml:space="preserve">SEN (2023, certification non attestée) ; TZA (FY22/23, non qualifiée selon le pacte) ; TGO (2022-23, transmis à la BM, non publiés) ; LSO (2022/23,</w:t>
            </w:r>
            <w:r>
              <w:t xml:space="preserve"> </w:t>
            </w:r>
            <w:r>
              <w:rPr>
                <w:bCs/>
                <w:b/>
              </w:rPr>
              <w:t xml:space="preserve">disclaimer</w:t>
            </w:r>
            <w:r>
              <w:t xml:space="preserve">) ; GIN (2022, avec réserve) ; TCD (2022 selon le pacte, introuvable)</w:t>
            </w:r>
          </w:p>
        </w:tc>
      </w:tr>
      <w:tr>
        <w:tc>
          <w:tcPr>
            <w:tcW w:w="4292" w:type="dxa"/>
          </w:tcPr>
          <w:tcPr/>
          <w:p>
            <w:pPr>
              <w:pStyle w:val="Compact"/>
              <w:jc w:val="left"/>
            </w:pPr>
            <w:r>
              <w:t xml:space="preserve">Aucun compte audité accessible</w:t>
            </w:r>
          </w:p>
        </w:tc>
        <w:tc>
          <w:tcPr>
            <w:tcW w:w="799" w:type="dxa"/>
          </w:tcPr>
          <w:tcPr/>
          <w:p>
            <w:pPr>
              <w:pStyle w:val="Compact"/>
              <w:jc w:val="left"/>
            </w:pPr>
            <w:r>
              <w:rPr>
                <w:bCs/>
                <w:b/>
              </w:rPr>
              <w:t xml:space="preserve">20</w:t>
            </w:r>
          </w:p>
        </w:tc>
        <w:tc>
          <w:tcPr>
            <w:tcW w:w="9478" w:type="dxa"/>
          </w:tcPr>
          <w:tcPr/>
          <w:p>
            <w:pPr>
              <w:pStyle w:val="Compact"/>
              <w:jc w:val="left"/>
            </w:pPr>
            <w:r>
              <w:t xml:space="preserve">BDI, BEN (2025 provisoire), BFA, CAF (audits 2021), CMR, COD, COG, COM, DJI, ETH, GAB (rien depuis 2018), GMB, LBR, MRT, MWI (rien depuis 2020), NER, NGA, RWA, SLE, STP</w:t>
            </w:r>
          </w:p>
        </w:tc>
      </w:tr>
    </w:tbl>
    <w:p>
      <w:pPr>
        <w:numPr>
          <w:ilvl w:val="0"/>
          <w:numId w:val="1003"/>
        </w:numPr>
        <w:pStyle w:val="Compact"/>
      </w:pPr>
      <w:r>
        <w:t xml:space="preserve">Seuls</w:t>
      </w:r>
      <w:r>
        <w:t xml:space="preserve"> </w:t>
      </w:r>
      <w:r>
        <w:rPr>
          <w:bCs/>
          <w:b/>
        </w:rPr>
        <w:t xml:space="preserve">3 opérateurs</w:t>
      </w:r>
      <w:r>
        <w:t xml:space="preserve"> </w:t>
      </w:r>
      <w:r>
        <w:t xml:space="preserve">ont des comptes récents, audités sans réserve et sans alerte sur la continuité d’exploitation : KPLC, UEDCL et CIE [E]. Encore la CIE n’est-elle que l’exploitant : CI-ENERGIES, qui porte l’équilibre du secteur, ne publie rien (cf. CIV).</w:t>
      </w:r>
    </w:p>
    <w:p>
      <w:pPr>
        <w:numPr>
          <w:ilvl w:val="0"/>
          <w:numId w:val="1003"/>
        </w:numPr>
        <w:pStyle w:val="Compact"/>
      </w:pPr>
      <w:r>
        <w:rPr>
          <w:bCs/>
          <w:b/>
        </w:rPr>
        <w:t xml:space="preserve">La publication des comptes est la promesse du pacte la plus souvent non tenue</w:t>
      </w:r>
      <w:r>
        <w:t xml:space="preserve"> </w:t>
      </w:r>
      <w:r>
        <w:t xml:space="preserve">: BDI, COM, GAB, MRT, NER, LSO, LBR, TCD, ZMB (délai « 4 mois » contre 10-12 mois réels) et SLE (promis en déc. 2025, repoussé à juin 2026 par le FMI).</w:t>
      </w:r>
    </w:p>
    <w:p>
      <w:pPr>
        <w:numPr>
          <w:ilvl w:val="0"/>
          <w:numId w:val="1003"/>
        </w:numPr>
        <w:pStyle w:val="Compact"/>
      </w:pPr>
      <w:r>
        <w:rPr>
          <w:bCs/>
          <w:b/>
        </w:rPr>
        <w:t xml:space="preserve">Les bailleurs en font un instrument de décaissement</w:t>
      </w:r>
      <w:r>
        <w:t xml:space="preserve"> </w:t>
      </w:r>
      <w:r>
        <w:t xml:space="preserve">:</w:t>
      </w:r>
    </w:p>
    <w:p>
      <w:pPr>
        <w:numPr>
          <w:ilvl w:val="1"/>
          <w:numId w:val="1004"/>
        </w:numPr>
        <w:pStyle w:val="Compact"/>
      </w:pPr>
      <w:r>
        <w:t xml:space="preserve">repère structurel FMI (BEN, STP, SLE, COD) ;</w:t>
      </w:r>
    </w:p>
    <w:p>
      <w:pPr>
        <w:numPr>
          <w:ilvl w:val="1"/>
          <w:numId w:val="1004"/>
        </w:numPr>
        <w:pStyle w:val="Compact"/>
      </w:pPr>
      <w:r>
        <w:t xml:space="preserve">DLI ou PBC (ASCENT MDG DLI 6 ; ASCENT ETH DLR 3.1 ; IDEA TGO PBC 2, atteinte ; PRSEC CMR DLI 4, non atteint) ;</w:t>
      </w:r>
    </w:p>
    <w:p>
      <w:pPr>
        <w:numPr>
          <w:ilvl w:val="1"/>
          <w:numId w:val="1004"/>
        </w:numPr>
        <w:pStyle w:val="Compact"/>
      </w:pPr>
      <w:r>
        <w:t xml:space="preserve">action préalable de DPF (LBR, COM).</w:t>
      </w:r>
    </w:p>
    <w:p>
      <w:pPr>
        <w:numPr>
          <w:ilvl w:val="0"/>
          <w:numId w:val="1003"/>
        </w:numPr>
        <w:pStyle w:val="Compact"/>
      </w:pPr>
      <w:r>
        <w:rPr>
          <w:bCs/>
          <w:b/>
        </w:rPr>
        <w:t xml:space="preserve">Le reporting réglementaire supplée parfois les comptes</w:t>
      </w:r>
      <w:r>
        <w:t xml:space="preserve"> </w:t>
      </w:r>
      <w:r>
        <w:t xml:space="preserve">: NERC (NGA), EWURA (TZA), BERA (BWA), CRSE (SEN). C’est la meilleure source pour la phase 3.</w:t>
      </w:r>
    </w:p>
    <w:bookmarkEnd w:id="24"/>
    <w:bookmarkStart w:id="25" w:name="Xad1fc8b5fcfe3bcccec728151736ed32301bcd2"/>
    <w:p>
      <w:pPr>
        <w:pStyle w:val="Heading2"/>
      </w:pPr>
      <w:r>
        <w:t xml:space="preserve">(b) Les pactes embellissent-ils la situation ? Recensement systématique [E]</w:t>
      </w:r>
    </w:p>
    <w:p>
      <w:pPr>
        <w:pStyle w:val="FirstParagraph"/>
      </w:pPr>
      <w:r>
        <w:t xml:space="preserve">Sens de l’écart :</w:t>
      </w:r>
      <w:r>
        <w:t xml:space="preserve"> </w:t>
      </w:r>
      <w:r>
        <w:rPr>
          <w:bCs/>
          <w:b/>
        </w:rPr>
        <w:t xml:space="preserve">+</w:t>
      </w:r>
      <w:r>
        <w:t xml:space="preserve"> </w:t>
      </w:r>
      <w:r>
        <w:t xml:space="preserve">= le pacte est plus favorable que les sources primaires ;</w:t>
      </w:r>
      <w:r>
        <w:t xml:space="preserve"> </w:t>
      </w:r>
      <w:r>
        <w:rPr>
          <w:bCs/>
          <w:b/>
        </w:rPr>
        <w:t xml:space="preserve">−</w:t>
      </w:r>
      <w:r>
        <w:t xml:space="preserve"> </w:t>
      </w:r>
      <w:r>
        <w:t xml:space="preserve">= moins favorable ;</w:t>
      </w:r>
      <w:r>
        <w:t xml:space="preserve"> </w:t>
      </w:r>
      <w:r>
        <w:rPr>
          <w:bCs/>
          <w:b/>
        </w:rPr>
        <w:t xml:space="preserve">±</w:t>
      </w:r>
      <w:r>
        <w:t xml:space="preserve"> </w:t>
      </w:r>
      <w:r>
        <w:t xml:space="preserve">= mixte ;</w:t>
      </w:r>
      <w:r>
        <w:t xml:space="preserve"> </w:t>
      </w:r>
      <w:r>
        <w:rPr>
          <w:bCs/>
          <w:b/>
        </w:rPr>
        <w:t xml:space="preserve">=</w:t>
      </w:r>
      <w:r>
        <w:t xml:space="preserve"> </w:t>
      </w:r>
      <w:r>
        <w:t xml:space="preserve">= cohérent.</w:t>
      </w:r>
    </w:p>
    <w:tbl>
      <w:tblPr>
        <w:tblStyle w:val="Table"/>
        <w:tblW w:type="dxa" w:w="14570"/>
        <w:tblLook w:firstRow="1" w:lastRow="0" w:firstColumn="0" w:lastColumn="0" w:noHBand="0" w:noVBand="0" w:val="0020"/>
        <w:jc w:val="start"/>
      </w:tblPr>
      <w:tblGrid>
        <w:gridCol w:w="1007"/>
        <w:gridCol w:w="927"/>
        <w:gridCol w:w="9917"/>
        <w:gridCol w:w="2718"/>
      </w:tblGrid>
      <w:tr>
        <w:trPr>
          <w:tblHeader w:val="true"/>
        </w:trPr>
        <w:tc>
          <w:tcPr>
            <w:tcW w:w="1007" w:type="dxa"/>
          </w:tcPr>
          <w:tcPr/>
          <w:p>
            <w:pPr>
              <w:pStyle w:val="Compact"/>
              <w:jc w:val="left"/>
            </w:pPr>
            <w:r>
              <w:t xml:space="preserve">Pays</w:t>
            </w:r>
          </w:p>
        </w:tc>
        <w:tc>
          <w:tcPr>
            <w:tcW w:w="927" w:type="dxa"/>
          </w:tcPr>
          <w:tcPr/>
          <w:p>
            <w:pPr>
              <w:pStyle w:val="Compact"/>
              <w:jc w:val="left"/>
            </w:pPr>
            <w:r>
              <w:t xml:space="preserve">Sens</w:t>
            </w:r>
          </w:p>
        </w:tc>
        <w:tc>
          <w:tcPr>
            <w:tcW w:w="9917" w:type="dxa"/>
          </w:tcPr>
          <w:tcPr/>
          <w:p>
            <w:pPr>
              <w:pStyle w:val="Compact"/>
              <w:jc w:val="left"/>
            </w:pPr>
            <w:r>
              <w:t xml:space="preserve">Écart principal (fiche)</w:t>
            </w:r>
          </w:p>
        </w:tc>
        <w:tc>
          <w:tcPr>
            <w:tcW w:w="2718" w:type="dxa"/>
          </w:tcPr>
          <w:tcPr/>
          <w:p>
            <w:pPr>
              <w:pStyle w:val="Compact"/>
              <w:jc w:val="left"/>
            </w:pPr>
            <w:r>
              <w:t xml:space="preserve">Mécanisme</w:t>
            </w:r>
          </w:p>
        </w:tc>
      </w:tr>
      <w:tr>
        <w:tc>
          <w:tcPr>
            <w:tcW w:w="1007" w:type="dxa"/>
          </w:tcPr>
          <w:tcPr/>
          <w:p>
            <w:pPr>
              <w:pStyle w:val="Compact"/>
              <w:jc w:val="left"/>
            </w:pPr>
            <w:r>
              <w:t xml:space="preserve">BDI</w:t>
            </w:r>
          </w:p>
        </w:tc>
        <w:tc>
          <w:tcPr>
            <w:tcW w:w="927" w:type="dxa"/>
          </w:tcPr>
          <w:tcPr/>
          <w:p>
            <w:pPr>
              <w:pStyle w:val="Compact"/>
              <w:jc w:val="left"/>
            </w:pPr>
            <w:r>
              <w:t xml:space="preserve">+</w:t>
            </w:r>
          </w:p>
        </w:tc>
        <w:tc>
          <w:tcPr>
            <w:tcW w:w="9917" w:type="dxa"/>
          </w:tcPr>
          <w:tcPr/>
          <w:p>
            <w:pPr>
              <w:pStyle w:val="Compact"/>
              <w:jc w:val="left"/>
            </w:pPr>
            <w:r>
              <w:t xml:space="preserve">285 000 compteurs (pacte) contre ≈ 170 000 clients ; 900 000 accès (pacte) contre 0 raccordement ASCENT ; tarif déc. 2026 (pacte) contre PBC déc. 2027</w:t>
            </w:r>
          </w:p>
        </w:tc>
        <w:tc>
          <w:tcPr>
            <w:tcW w:w="2718" w:type="dxa"/>
          </w:tcPr>
          <w:tcPr/>
          <w:p>
            <w:pPr>
              <w:pStyle w:val="Compact"/>
              <w:jc w:val="left"/>
            </w:pPr>
            <w:r>
              <w:t xml:space="preserve">Calendrier, volumes</w:t>
            </w:r>
          </w:p>
        </w:tc>
      </w:tr>
      <w:tr>
        <w:tc>
          <w:tcPr>
            <w:tcW w:w="1007" w:type="dxa"/>
          </w:tcPr>
          <w:tcPr/>
          <w:p>
            <w:pPr>
              <w:pStyle w:val="Compact"/>
              <w:jc w:val="left"/>
            </w:pPr>
            <w:r>
              <w:t xml:space="preserve">BEN</w:t>
            </w:r>
          </w:p>
        </w:tc>
        <w:tc>
          <w:tcPr>
            <w:tcW w:w="927" w:type="dxa"/>
          </w:tcPr>
          <w:tcPr/>
          <w:p>
            <w:pPr>
              <w:pStyle w:val="Compact"/>
              <w:jc w:val="left"/>
            </w:pPr>
            <w:r>
              <w:rPr>
                <w:bCs/>
                <w:b/>
              </w:rPr>
              <w:t xml:space="preserve">−</w:t>
            </w:r>
          </w:p>
        </w:tc>
        <w:tc>
          <w:tcPr>
            <w:tcW w:w="9917" w:type="dxa"/>
          </w:tcPr>
          <w:tcPr/>
          <w:p>
            <w:pPr>
              <w:pStyle w:val="Compact"/>
              <w:jc w:val="left"/>
            </w:pPr>
            <w:r>
              <w:t xml:space="preserve">Pertes de 22-25 % (pacte) contre 19,51 % ; règlement ARE 2025 non cité</w:t>
            </w:r>
          </w:p>
        </w:tc>
        <w:tc>
          <w:tcPr>
            <w:tcW w:w="2718" w:type="dxa"/>
          </w:tcPr>
          <w:tcPr/>
          <w:p>
            <w:pPr>
              <w:pStyle w:val="Compact"/>
              <w:jc w:val="left"/>
            </w:pPr>
            <w:r>
              <w:t xml:space="preserve">Base ancienne</w:t>
            </w:r>
          </w:p>
        </w:tc>
      </w:tr>
      <w:tr>
        <w:tc>
          <w:tcPr>
            <w:tcW w:w="1007" w:type="dxa"/>
          </w:tcPr>
          <w:tcPr/>
          <w:p>
            <w:pPr>
              <w:pStyle w:val="Compact"/>
              <w:jc w:val="left"/>
            </w:pPr>
            <w:r>
              <w:t xml:space="preserve">BFA</w:t>
            </w:r>
          </w:p>
        </w:tc>
        <w:tc>
          <w:tcPr>
            <w:tcW w:w="927" w:type="dxa"/>
          </w:tcPr>
          <w:tcPr/>
          <w:p>
            <w:pPr>
              <w:pStyle w:val="Compact"/>
              <w:jc w:val="left"/>
            </w:pPr>
            <w:r>
              <w:t xml:space="preserve">+</w:t>
            </w:r>
          </w:p>
        </w:tc>
        <w:tc>
          <w:tcPr>
            <w:tcW w:w="9917" w:type="dxa"/>
          </w:tcPr>
          <w:tcPr/>
          <w:p>
            <w:pPr>
              <w:pStyle w:val="Compact"/>
              <w:jc w:val="left"/>
            </w:pPr>
            <w:r>
              <w:t xml:space="preserve">1 029 MW de PPA thermiques omis ; subvention en hausse ; résultat administré</w:t>
            </w:r>
          </w:p>
        </w:tc>
        <w:tc>
          <w:tcPr>
            <w:tcW w:w="2718" w:type="dxa"/>
          </w:tcPr>
          <w:tcPr/>
          <w:p>
            <w:pPr>
              <w:pStyle w:val="Compact"/>
              <w:jc w:val="left"/>
            </w:pPr>
            <w:r>
              <w:t xml:space="preserve">Omission</w:t>
            </w:r>
          </w:p>
        </w:tc>
      </w:tr>
      <w:tr>
        <w:tc>
          <w:tcPr>
            <w:tcW w:w="1007" w:type="dxa"/>
          </w:tcPr>
          <w:tcPr/>
          <w:p>
            <w:pPr>
              <w:pStyle w:val="Compact"/>
              <w:jc w:val="left"/>
            </w:pPr>
            <w:r>
              <w:t xml:space="preserve">BWA</w:t>
            </w:r>
          </w:p>
        </w:tc>
        <w:tc>
          <w:tcPr>
            <w:tcW w:w="927" w:type="dxa"/>
          </w:tcPr>
          <w:tcPr/>
          <w:p>
            <w:pPr>
              <w:pStyle w:val="Compact"/>
              <w:jc w:val="left"/>
            </w:pPr>
            <w:r>
              <w:t xml:space="preserve">+</w:t>
            </w:r>
          </w:p>
        </w:tc>
        <w:tc>
          <w:tcPr>
            <w:tcW w:w="9917" w:type="dxa"/>
          </w:tcPr>
          <w:tcPr/>
          <w:p>
            <w:pPr>
              <w:pStyle w:val="Compact"/>
              <w:jc w:val="left"/>
            </w:pPr>
            <w:r>
              <w:t xml:space="preserve">127/159 (2023, pacte) contre 127/238 (2024)</w:t>
            </w:r>
          </w:p>
        </w:tc>
        <w:tc>
          <w:tcPr>
            <w:tcW w:w="2718" w:type="dxa"/>
          </w:tcPr>
          <w:tcPr/>
          <w:p>
            <w:pPr>
              <w:pStyle w:val="Compact"/>
              <w:jc w:val="left"/>
            </w:pPr>
            <w:r>
              <w:t xml:space="preserve">Choix de l’année</w:t>
            </w:r>
          </w:p>
        </w:tc>
      </w:tr>
      <w:tr>
        <w:tc>
          <w:tcPr>
            <w:tcW w:w="1007" w:type="dxa"/>
          </w:tcPr>
          <w:tcPr/>
          <w:p>
            <w:pPr>
              <w:pStyle w:val="Compact"/>
              <w:jc w:val="left"/>
            </w:pPr>
            <w:r>
              <w:t xml:space="preserve">CAF</w:t>
            </w:r>
          </w:p>
        </w:tc>
        <w:tc>
          <w:tcPr>
            <w:tcW w:w="927" w:type="dxa"/>
          </w:tcPr>
          <w:tcPr/>
          <w:p>
            <w:pPr>
              <w:pStyle w:val="Compact"/>
              <w:jc w:val="left"/>
            </w:pPr>
            <w:r>
              <w:t xml:space="preserve">±</w:t>
            </w:r>
          </w:p>
        </w:tc>
        <w:tc>
          <w:tcPr>
            <w:tcW w:w="9917" w:type="dxa"/>
          </w:tcPr>
          <w:tcPr/>
          <w:p>
            <w:pPr>
              <w:pStyle w:val="Compact"/>
              <w:jc w:val="left"/>
            </w:pPr>
            <w:r>
              <w:t xml:space="preserve">Crise (pacte) contre profits 2023 ; pertes 20 % (pacte) contre 40 % (2019) ; recouvrement 86,2 % contre 67 %</w:t>
            </w:r>
          </w:p>
        </w:tc>
        <w:tc>
          <w:tcPr>
            <w:tcW w:w="2718" w:type="dxa"/>
          </w:tcPr>
          <w:tcPr/>
          <w:p>
            <w:pPr>
              <w:pStyle w:val="Compact"/>
              <w:jc w:val="left"/>
            </w:pPr>
            <w:r>
              <w:t xml:space="preserve">Mixte</w:t>
            </w:r>
          </w:p>
        </w:tc>
      </w:tr>
      <w:tr>
        <w:tc>
          <w:tcPr>
            <w:tcW w:w="1007" w:type="dxa"/>
          </w:tcPr>
          <w:tcPr/>
          <w:p>
            <w:pPr>
              <w:pStyle w:val="Compact"/>
              <w:jc w:val="left"/>
            </w:pPr>
            <w:r>
              <w:t xml:space="preserve">CIV</w:t>
            </w:r>
          </w:p>
        </w:tc>
        <w:tc>
          <w:tcPr>
            <w:tcW w:w="927" w:type="dxa"/>
          </w:tcPr>
          <w:tcPr/>
          <w:p>
            <w:pPr>
              <w:pStyle w:val="Compact"/>
              <w:jc w:val="left"/>
            </w:pPr>
            <w:r>
              <w:t xml:space="preserve">+</w:t>
            </w:r>
          </w:p>
        </w:tc>
        <w:tc>
          <w:tcPr>
            <w:tcW w:w="9917" w:type="dxa"/>
          </w:tcPr>
          <w:tcPr/>
          <w:p>
            <w:pPr>
              <w:pStyle w:val="Compact"/>
              <w:jc w:val="left"/>
            </w:pPr>
            <w:r>
              <w:t xml:space="preserve">« Quasi-équilibre » contre 0,91 ; SAIDI 19,5 h contre 26 h ; hausse de 2024 omise</w:t>
            </w:r>
          </w:p>
        </w:tc>
        <w:tc>
          <w:tcPr>
            <w:tcW w:w="2718" w:type="dxa"/>
          </w:tcPr>
          <w:tcPr/>
          <w:p>
            <w:pPr>
              <w:pStyle w:val="Compact"/>
              <w:jc w:val="left"/>
            </w:pPr>
            <w:r>
              <w:t xml:space="preserve">Indicateur</w:t>
            </w:r>
          </w:p>
        </w:tc>
      </w:tr>
      <w:tr>
        <w:tc>
          <w:tcPr>
            <w:tcW w:w="1007" w:type="dxa"/>
          </w:tcPr>
          <w:tcPr/>
          <w:p>
            <w:pPr>
              <w:pStyle w:val="Compact"/>
              <w:jc w:val="left"/>
            </w:pPr>
            <w:r>
              <w:t xml:space="preserve">CMR</w:t>
            </w:r>
          </w:p>
        </w:tc>
        <w:tc>
          <w:tcPr>
            <w:tcW w:w="927" w:type="dxa"/>
          </w:tcPr>
          <w:tcPr/>
          <w:p>
            <w:pPr>
              <w:pStyle w:val="Compact"/>
              <w:jc w:val="left"/>
            </w:pPr>
            <w:r>
              <w:t xml:space="preserve">+</w:t>
            </w:r>
          </w:p>
        </w:tc>
        <w:tc>
          <w:tcPr>
            <w:tcW w:w="9917" w:type="dxa"/>
          </w:tcPr>
          <w:tcPr/>
          <w:p>
            <w:pPr>
              <w:pStyle w:val="Compact"/>
              <w:jc w:val="left"/>
            </w:pPr>
            <w:r>
              <w:t xml:space="preserve">Arriérés publics 82 Md (pacte) contre &gt; 700 Md (FMI) ; −6 %/an de compensation contre écart figé</w:t>
            </w:r>
          </w:p>
        </w:tc>
        <w:tc>
          <w:tcPr>
            <w:tcW w:w="2718" w:type="dxa"/>
          </w:tcPr>
          <w:tcPr/>
          <w:p>
            <w:pPr>
              <w:pStyle w:val="Compact"/>
              <w:jc w:val="left"/>
            </w:pPr>
            <w:r>
              <w:t xml:space="preserve">Omission (×8)</w:t>
            </w:r>
          </w:p>
        </w:tc>
      </w:tr>
      <w:tr>
        <w:tc>
          <w:tcPr>
            <w:tcW w:w="1007" w:type="dxa"/>
          </w:tcPr>
          <w:tcPr/>
          <w:p>
            <w:pPr>
              <w:pStyle w:val="Compact"/>
              <w:jc w:val="left"/>
            </w:pPr>
            <w:r>
              <w:t xml:space="preserve">COD</w:t>
            </w:r>
          </w:p>
        </w:tc>
        <w:tc>
          <w:tcPr>
            <w:tcW w:w="927" w:type="dxa"/>
          </w:tcPr>
          <w:tcPr/>
          <w:p>
            <w:pPr>
              <w:pStyle w:val="Compact"/>
              <w:jc w:val="left"/>
            </w:pPr>
            <w:r>
              <w:t xml:space="preserve">+</w:t>
            </w:r>
          </w:p>
        </w:tc>
        <w:tc>
          <w:tcPr>
            <w:tcW w:w="9917" w:type="dxa"/>
          </w:tcPr>
          <w:tcPr/>
          <w:p>
            <w:pPr>
              <w:pStyle w:val="Compact"/>
              <w:jc w:val="left"/>
            </w:pPr>
            <w:r>
              <w:t xml:space="preserve">Tarif « couvrant les coûts » en janv. 2026 : « Non » ; pertes de 46 % → 15 % alors qu’elles montent à 49 %</w:t>
            </w:r>
          </w:p>
        </w:tc>
        <w:tc>
          <w:tcPr>
            <w:tcW w:w="2718" w:type="dxa"/>
          </w:tcPr>
          <w:tcPr/>
          <w:p>
            <w:pPr>
              <w:pStyle w:val="Compact"/>
              <w:jc w:val="left"/>
            </w:pPr>
            <w:r>
              <w:t xml:space="preserve">Réforme dite acquise</w:t>
            </w:r>
          </w:p>
        </w:tc>
      </w:tr>
      <w:tr>
        <w:tc>
          <w:tcPr>
            <w:tcW w:w="1007" w:type="dxa"/>
          </w:tcPr>
          <w:tcPr/>
          <w:p>
            <w:pPr>
              <w:pStyle w:val="Compact"/>
              <w:jc w:val="left"/>
            </w:pPr>
            <w:r>
              <w:t xml:space="preserve">COG</w:t>
            </w:r>
          </w:p>
        </w:tc>
        <w:tc>
          <w:tcPr>
            <w:tcW w:w="927" w:type="dxa"/>
          </w:tcPr>
          <w:tcPr/>
          <w:p>
            <w:pPr>
              <w:pStyle w:val="Compact"/>
              <w:jc w:val="left"/>
            </w:pPr>
            <w:r>
              <w:t xml:space="preserve">+</w:t>
            </w:r>
          </w:p>
        </w:tc>
        <w:tc>
          <w:tcPr>
            <w:tcW w:w="9917" w:type="dxa"/>
          </w:tcPr>
          <w:tcPr/>
          <w:p>
            <w:pPr>
              <w:pStyle w:val="Compact"/>
              <w:jc w:val="left"/>
            </w:pPr>
            <w:r>
              <w:t xml:space="preserve">Réforme de la distribution « poursuivie » alors qu’elle est gelée ; tarif social non adopté</w:t>
            </w:r>
          </w:p>
        </w:tc>
        <w:tc>
          <w:tcPr>
            <w:tcW w:w="2718" w:type="dxa"/>
          </w:tcPr>
          <w:tcPr/>
          <w:p>
            <w:pPr>
              <w:pStyle w:val="Compact"/>
              <w:jc w:val="left"/>
            </w:pPr>
            <w:r>
              <w:t xml:space="preserve">Réforme dite acquise</w:t>
            </w:r>
          </w:p>
        </w:tc>
      </w:tr>
      <w:tr>
        <w:tc>
          <w:tcPr>
            <w:tcW w:w="1007" w:type="dxa"/>
          </w:tcPr>
          <w:tcPr/>
          <w:p>
            <w:pPr>
              <w:pStyle w:val="Compact"/>
              <w:jc w:val="left"/>
            </w:pPr>
            <w:r>
              <w:t xml:space="preserve">COM</w:t>
            </w:r>
          </w:p>
        </w:tc>
        <w:tc>
          <w:tcPr>
            <w:tcW w:w="927" w:type="dxa"/>
          </w:tcPr>
          <w:tcPr/>
          <w:p>
            <w:pPr>
              <w:pStyle w:val="Compact"/>
              <w:jc w:val="left"/>
            </w:pPr>
            <w:r>
              <w:t xml:space="preserve">+</w:t>
            </w:r>
          </w:p>
        </w:tc>
        <w:tc>
          <w:tcPr>
            <w:tcW w:w="9917" w:type="dxa"/>
          </w:tcPr>
          <w:tcPr/>
          <w:p>
            <w:pPr>
              <w:pStyle w:val="Compact"/>
              <w:jc w:val="left"/>
            </w:pPr>
            <w:r>
              <w:t xml:space="preserve">Comptes « audités », compteurs « acquis », recouvrement de 2022 ; mais pertes surévaluées (37 % contre 31 %)</w:t>
            </w:r>
          </w:p>
        </w:tc>
        <w:tc>
          <w:tcPr>
            <w:tcW w:w="2718" w:type="dxa"/>
          </w:tcPr>
          <w:tcPr/>
          <w:p>
            <w:pPr>
              <w:pStyle w:val="Compact"/>
              <w:jc w:val="left"/>
            </w:pPr>
            <w:r>
              <w:t xml:space="preserve">Année, définition</w:t>
            </w:r>
          </w:p>
        </w:tc>
      </w:tr>
      <w:tr>
        <w:tc>
          <w:tcPr>
            <w:tcW w:w="1007" w:type="dxa"/>
          </w:tcPr>
          <w:tcPr/>
          <w:p>
            <w:pPr>
              <w:pStyle w:val="Compact"/>
              <w:jc w:val="left"/>
            </w:pPr>
            <w:r>
              <w:t xml:space="preserve">DJI</w:t>
            </w:r>
          </w:p>
        </w:tc>
        <w:tc>
          <w:tcPr>
            <w:tcW w:w="927" w:type="dxa"/>
          </w:tcPr>
          <w:tcPr/>
          <w:p>
            <w:pPr>
              <w:pStyle w:val="Compact"/>
              <w:jc w:val="left"/>
            </w:pPr>
            <w:r>
              <w:t xml:space="preserve">+</w:t>
            </w:r>
          </w:p>
        </w:tc>
        <w:tc>
          <w:tcPr>
            <w:tcW w:w="9917" w:type="dxa"/>
          </w:tcPr>
          <w:tcPr/>
          <w:p>
            <w:pPr>
              <w:pStyle w:val="Compact"/>
              <w:jc w:val="left"/>
            </w:pPr>
            <w:r>
              <w:t xml:space="preserve">« Convergence vers les coûts » contre tarif ≈ 3 fois le coût ; interconnexion T2 2027 contre 0 km</w:t>
            </w:r>
          </w:p>
        </w:tc>
        <w:tc>
          <w:tcPr>
            <w:tcW w:w="2718" w:type="dxa"/>
          </w:tcPr>
          <w:tcPr/>
          <w:p>
            <w:pPr>
              <w:pStyle w:val="Compact"/>
              <w:jc w:val="left"/>
            </w:pPr>
            <w:r>
              <w:t xml:space="preserve">Diagnostic trompeur</w:t>
            </w:r>
          </w:p>
        </w:tc>
      </w:tr>
      <w:tr>
        <w:tc>
          <w:tcPr>
            <w:tcW w:w="1007" w:type="dxa"/>
          </w:tcPr>
          <w:tcPr/>
          <w:p>
            <w:pPr>
              <w:pStyle w:val="Compact"/>
              <w:jc w:val="left"/>
            </w:pPr>
            <w:r>
              <w:t xml:space="preserve">ETH</w:t>
            </w:r>
          </w:p>
        </w:tc>
        <w:tc>
          <w:tcPr>
            <w:tcW w:w="927" w:type="dxa"/>
          </w:tcPr>
          <w:tcPr/>
          <w:p>
            <w:pPr>
              <w:pStyle w:val="Compact"/>
              <w:jc w:val="left"/>
            </w:pPr>
            <w:r>
              <w:t xml:space="preserve">±</w:t>
            </w:r>
          </w:p>
        </w:tc>
        <w:tc>
          <w:tcPr>
            <w:tcW w:w="9917" w:type="dxa"/>
          </w:tcPr>
          <w:tcPr/>
          <w:p>
            <w:pPr>
              <w:pStyle w:val="Compact"/>
              <w:jc w:val="left"/>
            </w:pPr>
            <w:r>
              <w:t xml:space="preserve">Recouvrement « &lt; 60 % » contre 76 % (−) ; capacité 9 761 MW contre ≈ 3 000 MW (+)</w:t>
            </w:r>
          </w:p>
        </w:tc>
        <w:tc>
          <w:tcPr>
            <w:tcW w:w="2718" w:type="dxa"/>
          </w:tcPr>
          <w:tcPr/>
          <w:p>
            <w:pPr>
              <w:pStyle w:val="Compact"/>
              <w:jc w:val="left"/>
            </w:pPr>
            <w:r>
              <w:t xml:space="preserve">Mixte</w:t>
            </w:r>
          </w:p>
        </w:tc>
      </w:tr>
      <w:tr>
        <w:tc>
          <w:tcPr>
            <w:tcW w:w="1007" w:type="dxa"/>
          </w:tcPr>
          <w:tcPr/>
          <w:p>
            <w:pPr>
              <w:pStyle w:val="Compact"/>
              <w:jc w:val="left"/>
            </w:pPr>
            <w:r>
              <w:t xml:space="preserve">GAB</w:t>
            </w:r>
          </w:p>
        </w:tc>
        <w:tc>
          <w:tcPr>
            <w:tcW w:w="927" w:type="dxa"/>
          </w:tcPr>
          <w:tcPr/>
          <w:p>
            <w:pPr>
              <w:pStyle w:val="Compact"/>
              <w:jc w:val="left"/>
            </w:pPr>
            <w:r>
              <w:t xml:space="preserve">+</w:t>
            </w:r>
          </w:p>
        </w:tc>
        <w:tc>
          <w:tcPr>
            <w:tcW w:w="9917" w:type="dxa"/>
          </w:tcPr>
          <w:tcPr/>
          <w:p>
            <w:pPr>
              <w:pStyle w:val="Compact"/>
              <w:jc w:val="left"/>
            </w:pPr>
            <w:r>
              <w:t xml:space="preserve">Coût moyen sous-estimé ; comptes « en 2026 » contre néant depuis 2018 ; arriérés de l’État non chiffrés</w:t>
            </w:r>
          </w:p>
        </w:tc>
        <w:tc>
          <w:tcPr>
            <w:tcW w:w="2718" w:type="dxa"/>
          </w:tcPr>
          <w:tcPr/>
          <w:p>
            <w:pPr>
              <w:pStyle w:val="Compact"/>
              <w:jc w:val="left"/>
            </w:pPr>
            <w:r>
              <w:t xml:space="preserve">Omission</w:t>
            </w:r>
          </w:p>
        </w:tc>
      </w:tr>
      <w:tr>
        <w:tc>
          <w:tcPr>
            <w:tcW w:w="1007" w:type="dxa"/>
          </w:tcPr>
          <w:tcPr/>
          <w:p>
            <w:pPr>
              <w:pStyle w:val="Compact"/>
              <w:jc w:val="left"/>
            </w:pPr>
            <w:r>
              <w:t xml:space="preserve">GHA</w:t>
            </w:r>
          </w:p>
        </w:tc>
        <w:tc>
          <w:tcPr>
            <w:tcW w:w="927" w:type="dxa"/>
          </w:tcPr>
          <w:tcPr/>
          <w:p>
            <w:pPr>
              <w:pStyle w:val="Compact"/>
              <w:jc w:val="left"/>
            </w:pPr>
            <w:r>
              <w:t xml:space="preserve">+</w:t>
            </w:r>
          </w:p>
        </w:tc>
        <w:tc>
          <w:tcPr>
            <w:tcW w:w="9917" w:type="dxa"/>
          </w:tcPr>
          <w:tcPr/>
          <w:p>
            <w:pPr>
              <w:pStyle w:val="Compact"/>
              <w:jc w:val="left"/>
            </w:pPr>
            <w:r>
              <w:t xml:space="preserve">RN « −50 M USD » contre ≈ −0,5 Md USD ; calendrier PSP</w:t>
            </w:r>
          </w:p>
        </w:tc>
        <w:tc>
          <w:tcPr>
            <w:tcW w:w="2718" w:type="dxa"/>
          </w:tcPr>
          <w:tcPr/>
          <w:p>
            <w:pPr>
              <w:pStyle w:val="Compact"/>
              <w:jc w:val="left"/>
            </w:pPr>
            <w:r>
              <w:t xml:space="preserve">Chiffre minoré</w:t>
            </w:r>
          </w:p>
        </w:tc>
      </w:tr>
      <w:tr>
        <w:tc>
          <w:tcPr>
            <w:tcW w:w="1007" w:type="dxa"/>
          </w:tcPr>
          <w:tcPr/>
          <w:p>
            <w:pPr>
              <w:pStyle w:val="Compact"/>
              <w:jc w:val="left"/>
            </w:pPr>
            <w:r>
              <w:t xml:space="preserve">GIN</w:t>
            </w:r>
          </w:p>
        </w:tc>
        <w:tc>
          <w:tcPr>
            <w:tcW w:w="927" w:type="dxa"/>
          </w:tcPr>
          <w:tcPr/>
          <w:p>
            <w:pPr>
              <w:pStyle w:val="Compact"/>
              <w:jc w:val="left"/>
            </w:pPr>
            <w:r>
              <w:t xml:space="preserve">+</w:t>
            </w:r>
          </w:p>
        </w:tc>
        <w:tc>
          <w:tcPr>
            <w:tcW w:w="9917" w:type="dxa"/>
          </w:tcPr>
          <w:tcPr/>
          <w:p>
            <w:pPr>
              <w:pStyle w:val="Compact"/>
              <w:jc w:val="left"/>
            </w:pPr>
            <w:r>
              <w:t xml:space="preserve">710 M USD d’arriérés IPP omis ; +12 %/an non appliqué ; plan « finalisé » mais « en suspens »</w:t>
            </w:r>
          </w:p>
        </w:tc>
        <w:tc>
          <w:tcPr>
            <w:tcW w:w="2718" w:type="dxa"/>
          </w:tcPr>
          <w:tcPr/>
          <w:p>
            <w:pPr>
              <w:pStyle w:val="Compact"/>
              <w:jc w:val="left"/>
            </w:pPr>
            <w:r>
              <w:t xml:space="preserve">Omission, réforme dite acquise</w:t>
            </w:r>
          </w:p>
        </w:tc>
      </w:tr>
      <w:tr>
        <w:tc>
          <w:tcPr>
            <w:tcW w:w="1007" w:type="dxa"/>
          </w:tcPr>
          <w:tcPr/>
          <w:p>
            <w:pPr>
              <w:pStyle w:val="Compact"/>
              <w:jc w:val="left"/>
            </w:pPr>
            <w:r>
              <w:t xml:space="preserve">GMB</w:t>
            </w:r>
          </w:p>
        </w:tc>
        <w:tc>
          <w:tcPr>
            <w:tcW w:w="927" w:type="dxa"/>
          </w:tcPr>
          <w:tcPr/>
          <w:p>
            <w:pPr>
              <w:pStyle w:val="Compact"/>
              <w:jc w:val="left"/>
            </w:pPr>
            <w:r>
              <w:t xml:space="preserve">=</w:t>
            </w:r>
          </w:p>
        </w:tc>
        <w:tc>
          <w:tcPr>
            <w:tcW w:w="9917" w:type="dxa"/>
          </w:tcPr>
          <w:tcPr/>
          <w:p>
            <w:pPr>
              <w:pStyle w:val="Compact"/>
              <w:jc w:val="left"/>
            </w:pPr>
            <w:r>
              <w:t xml:space="preserve">Pertes de 21 % confirmées ; transfert de 20 M USD confirmé</w:t>
            </w:r>
          </w:p>
        </w:tc>
        <w:tc>
          <w:tcPr>
            <w:tcW w:w="2718" w:type="dxa"/>
          </w:tcPr>
          <w:tcPr/>
          <w:p>
            <w:pPr>
              <w:pStyle w:val="Compact"/>
              <w:jc w:val="left"/>
            </w:pPr>
            <w:r>
              <w:t xml:space="preserve">—</w:t>
            </w:r>
          </w:p>
        </w:tc>
      </w:tr>
      <w:tr>
        <w:tc>
          <w:tcPr>
            <w:tcW w:w="1007" w:type="dxa"/>
          </w:tcPr>
          <w:tcPr/>
          <w:p>
            <w:pPr>
              <w:pStyle w:val="Compact"/>
              <w:jc w:val="left"/>
            </w:pPr>
            <w:r>
              <w:t xml:space="preserve">KEN</w:t>
            </w:r>
          </w:p>
        </w:tc>
        <w:tc>
          <w:tcPr>
            <w:tcW w:w="927" w:type="dxa"/>
          </w:tcPr>
          <w:tcPr/>
          <w:p>
            <w:pPr>
              <w:pStyle w:val="Compact"/>
              <w:jc w:val="left"/>
            </w:pPr>
            <w:r>
              <w:t xml:space="preserve">±</w:t>
            </w:r>
          </w:p>
        </w:tc>
        <w:tc>
          <w:tcPr>
            <w:tcW w:w="9917" w:type="dxa"/>
          </w:tcPr>
          <w:tcPr/>
          <w:p>
            <w:pPr>
              <w:pStyle w:val="Compact"/>
              <w:jc w:val="left"/>
            </w:pPr>
            <w:r>
              <w:t xml:space="preserve">Base de pertes dépassée (−) ; viabilité présentée comme tarifaire alors qu’elle est budgétaire ; calendrier tarifaire (+)</w:t>
            </w:r>
          </w:p>
        </w:tc>
        <w:tc>
          <w:tcPr>
            <w:tcW w:w="2718" w:type="dxa"/>
          </w:tcPr>
          <w:tcPr/>
          <w:p>
            <w:pPr>
              <w:pStyle w:val="Compact"/>
              <w:jc w:val="left"/>
            </w:pPr>
            <w:r>
              <w:t xml:space="preserve">Mixte</w:t>
            </w:r>
          </w:p>
        </w:tc>
      </w:tr>
      <w:tr>
        <w:tc>
          <w:tcPr>
            <w:tcW w:w="1007" w:type="dxa"/>
          </w:tcPr>
          <w:tcPr/>
          <w:p>
            <w:pPr>
              <w:pStyle w:val="Compact"/>
              <w:jc w:val="left"/>
            </w:pPr>
            <w:r>
              <w:t xml:space="preserve">LBR</w:t>
            </w:r>
          </w:p>
        </w:tc>
        <w:tc>
          <w:tcPr>
            <w:tcW w:w="927" w:type="dxa"/>
          </w:tcPr>
          <w:tcPr/>
          <w:p>
            <w:pPr>
              <w:pStyle w:val="Compact"/>
              <w:jc w:val="left"/>
            </w:pPr>
            <w:r>
              <w:t xml:space="preserve">+</w:t>
            </w:r>
          </w:p>
        </w:tc>
        <w:tc>
          <w:tcPr>
            <w:tcW w:w="9917" w:type="dxa"/>
          </w:tcPr>
          <w:tcPr/>
          <w:p>
            <w:pPr>
              <w:pStyle w:val="Compact"/>
              <w:jc w:val="left"/>
            </w:pPr>
            <w:r>
              <w:t xml:space="preserve">Pertes commerciales de 27,4 % contre ATC&amp;C de 45,4 % ; subventions « 0 »</w:t>
            </w:r>
          </w:p>
        </w:tc>
        <w:tc>
          <w:tcPr>
            <w:tcW w:w="2718" w:type="dxa"/>
          </w:tcPr>
          <w:tcPr/>
          <w:p>
            <w:pPr>
              <w:pStyle w:val="Compact"/>
              <w:jc w:val="left"/>
            </w:pPr>
            <w:r>
              <w:t xml:space="preserve">Indicateur</w:t>
            </w:r>
          </w:p>
        </w:tc>
      </w:tr>
      <w:tr>
        <w:tc>
          <w:tcPr>
            <w:tcW w:w="1007" w:type="dxa"/>
          </w:tcPr>
          <w:tcPr/>
          <w:p>
            <w:pPr>
              <w:pStyle w:val="Compact"/>
              <w:jc w:val="left"/>
            </w:pPr>
            <w:r>
              <w:t xml:space="preserve">LSO</w:t>
            </w:r>
          </w:p>
        </w:tc>
        <w:tc>
          <w:tcPr>
            <w:tcW w:w="927" w:type="dxa"/>
          </w:tcPr>
          <w:tcPr/>
          <w:p>
            <w:pPr>
              <w:pStyle w:val="Compact"/>
              <w:jc w:val="left"/>
            </w:pPr>
            <w:r>
              <w:t xml:space="preserve">+</w:t>
            </w:r>
          </w:p>
        </w:tc>
        <w:tc>
          <w:tcPr>
            <w:tcW w:w="9917" w:type="dxa"/>
          </w:tcPr>
          <w:tcPr/>
          <w:p>
            <w:pPr>
              <w:pStyle w:val="Compact"/>
              <w:jc w:val="left"/>
            </w:pPr>
            <w:r>
              <w:t xml:space="preserve">RN +20,3 M USD contre quasi-insolvabilité</w:t>
            </w:r>
          </w:p>
        </w:tc>
        <w:tc>
          <w:tcPr>
            <w:tcW w:w="2718" w:type="dxa"/>
          </w:tcPr>
          <w:tcPr/>
          <w:p>
            <w:pPr>
              <w:pStyle w:val="Compact"/>
              <w:jc w:val="left"/>
            </w:pPr>
            <w:r>
              <w:t xml:space="preserve">Chiffre non sourcé</w:t>
            </w:r>
          </w:p>
        </w:tc>
      </w:tr>
      <w:tr>
        <w:tc>
          <w:tcPr>
            <w:tcW w:w="1007" w:type="dxa"/>
          </w:tcPr>
          <w:tcPr/>
          <w:p>
            <w:pPr>
              <w:pStyle w:val="Compact"/>
              <w:jc w:val="left"/>
            </w:pPr>
            <w:r>
              <w:t xml:space="preserve">MDG</w:t>
            </w:r>
          </w:p>
        </w:tc>
        <w:tc>
          <w:tcPr>
            <w:tcW w:w="927" w:type="dxa"/>
          </w:tcPr>
          <w:tcPr/>
          <w:p>
            <w:pPr>
              <w:pStyle w:val="Compact"/>
              <w:jc w:val="left"/>
            </w:pPr>
            <w:r>
              <w:t xml:space="preserve">+</w:t>
            </w:r>
          </w:p>
        </w:tc>
        <w:tc>
          <w:tcPr>
            <w:tcW w:w="9917" w:type="dxa"/>
          </w:tcPr>
          <w:tcPr/>
          <w:p>
            <w:pPr>
              <w:pStyle w:val="Compact"/>
              <w:jc w:val="left"/>
            </w:pPr>
            <w:r>
              <w:t xml:space="preserve">Comptes « publiés » mais opinion défavorable ; arriérés de 400 M USD = sous-ensemble ; pertes &lt; 16 % contre 21 % (PforR)</w:t>
            </w:r>
          </w:p>
        </w:tc>
        <w:tc>
          <w:tcPr>
            <w:tcW w:w="2718" w:type="dxa"/>
          </w:tcPr>
          <w:tcPr/>
          <w:p>
            <w:pPr>
              <w:pStyle w:val="Compact"/>
              <w:jc w:val="left"/>
            </w:pPr>
            <w:r>
              <w:t xml:space="preserve">Réforme dite acquise</w:t>
            </w:r>
          </w:p>
        </w:tc>
      </w:tr>
      <w:tr>
        <w:tc>
          <w:tcPr>
            <w:tcW w:w="1007" w:type="dxa"/>
          </w:tcPr>
          <w:tcPr/>
          <w:p>
            <w:pPr>
              <w:pStyle w:val="Compact"/>
              <w:jc w:val="left"/>
            </w:pPr>
            <w:r>
              <w:t xml:space="preserve">MOZ</w:t>
            </w:r>
          </w:p>
        </w:tc>
        <w:tc>
          <w:tcPr>
            <w:tcW w:w="927" w:type="dxa"/>
          </w:tcPr>
          <w:tcPr/>
          <w:p>
            <w:pPr>
              <w:pStyle w:val="Compact"/>
              <w:jc w:val="left"/>
            </w:pPr>
            <w:r>
              <w:t xml:space="preserve">+</w:t>
            </w:r>
          </w:p>
        </w:tc>
        <w:tc>
          <w:tcPr>
            <w:tcW w:w="9917" w:type="dxa"/>
          </w:tcPr>
          <w:tcPr/>
          <w:p>
            <w:pPr>
              <w:pStyle w:val="Compact"/>
              <w:jc w:val="left"/>
            </w:pPr>
            <w:r>
              <w:t xml:space="preserve">≥ 100 % (pacte) contre 85 % ; HCB 351 M USD non vérifiés</w:t>
            </w:r>
          </w:p>
        </w:tc>
        <w:tc>
          <w:tcPr>
            <w:tcW w:w="2718" w:type="dxa"/>
          </w:tcPr>
          <w:tcPr/>
          <w:p>
            <w:pPr>
              <w:pStyle w:val="Compact"/>
              <w:jc w:val="left"/>
            </w:pPr>
            <w:r>
              <w:t xml:space="preserve">Définition</w:t>
            </w:r>
          </w:p>
        </w:tc>
      </w:tr>
      <w:tr>
        <w:tc>
          <w:tcPr>
            <w:tcW w:w="1007" w:type="dxa"/>
          </w:tcPr>
          <w:tcPr/>
          <w:p>
            <w:pPr>
              <w:pStyle w:val="Compact"/>
              <w:jc w:val="left"/>
            </w:pPr>
            <w:r>
              <w:t xml:space="preserve">MRT</w:t>
            </w:r>
          </w:p>
        </w:tc>
        <w:tc>
          <w:tcPr>
            <w:tcW w:w="927" w:type="dxa"/>
          </w:tcPr>
          <w:tcPr/>
          <w:p>
            <w:pPr>
              <w:pStyle w:val="Compact"/>
              <w:jc w:val="left"/>
            </w:pPr>
            <w:r>
              <w:t xml:space="preserve">+</w:t>
            </w:r>
          </w:p>
        </w:tc>
        <w:tc>
          <w:tcPr>
            <w:tcW w:w="9917" w:type="dxa"/>
          </w:tcPr>
          <w:tcPr/>
          <w:p>
            <w:pPr>
              <w:pStyle w:val="Compact"/>
              <w:jc w:val="left"/>
            </w:pPr>
            <w:r>
              <w:t xml:space="preserve">Pertes 22,5 % contre 35 % ; comptes promis</w:t>
            </w:r>
          </w:p>
        </w:tc>
        <w:tc>
          <w:tcPr>
            <w:tcW w:w="2718" w:type="dxa"/>
          </w:tcPr>
          <w:tcPr/>
          <w:p>
            <w:pPr>
              <w:pStyle w:val="Compact"/>
              <w:jc w:val="left"/>
            </w:pPr>
            <w:r>
              <w:t xml:space="preserve">Indicateur</w:t>
            </w:r>
          </w:p>
        </w:tc>
      </w:tr>
      <w:tr>
        <w:tc>
          <w:tcPr>
            <w:tcW w:w="1007" w:type="dxa"/>
          </w:tcPr>
          <w:tcPr/>
          <w:p>
            <w:pPr>
              <w:pStyle w:val="Compact"/>
              <w:jc w:val="left"/>
            </w:pPr>
            <w:r>
              <w:t xml:space="preserve">MWI</w:t>
            </w:r>
          </w:p>
        </w:tc>
        <w:tc>
          <w:tcPr>
            <w:tcW w:w="927" w:type="dxa"/>
          </w:tcPr>
          <w:tcPr/>
          <w:p>
            <w:pPr>
              <w:pStyle w:val="Compact"/>
              <w:jc w:val="left"/>
            </w:pPr>
            <w:r>
              <w:t xml:space="preserve">+</w:t>
            </w:r>
          </w:p>
        </w:tc>
        <w:tc>
          <w:tcPr>
            <w:tcW w:w="9917" w:type="dxa"/>
          </w:tcPr>
          <w:tcPr/>
          <w:p>
            <w:pPr>
              <w:pStyle w:val="Compact"/>
              <w:jc w:val="left"/>
            </w:pPr>
            <w:r>
              <w:t xml:space="preserve">RN +12,9 M USD (meilleur exercice) contre −65,3 Md MWK</w:t>
            </w:r>
          </w:p>
        </w:tc>
        <w:tc>
          <w:tcPr>
            <w:tcW w:w="2718" w:type="dxa"/>
          </w:tcPr>
          <w:tcPr/>
          <w:p>
            <w:pPr>
              <w:pStyle w:val="Compact"/>
              <w:jc w:val="left"/>
            </w:pPr>
            <w:r>
              <w:t xml:space="preserve">Choix de l’année</w:t>
            </w:r>
          </w:p>
        </w:tc>
      </w:tr>
      <w:tr>
        <w:tc>
          <w:tcPr>
            <w:tcW w:w="1007" w:type="dxa"/>
          </w:tcPr>
          <w:tcPr/>
          <w:p>
            <w:pPr>
              <w:pStyle w:val="Compact"/>
              <w:jc w:val="left"/>
            </w:pPr>
            <w:r>
              <w:t xml:space="preserve">NAM</w:t>
            </w:r>
          </w:p>
        </w:tc>
        <w:tc>
          <w:tcPr>
            <w:tcW w:w="927" w:type="dxa"/>
          </w:tcPr>
          <w:tcPr/>
          <w:p>
            <w:pPr>
              <w:pStyle w:val="Compact"/>
              <w:jc w:val="left"/>
            </w:pPr>
            <w:r>
              <w:t xml:space="preserve">±</w:t>
            </w:r>
          </w:p>
        </w:tc>
        <w:tc>
          <w:tcPr>
            <w:tcW w:w="9917" w:type="dxa"/>
          </w:tcPr>
          <w:tcPr/>
          <w:p>
            <w:pPr>
              <w:pStyle w:val="Compact"/>
              <w:jc w:val="left"/>
            </w:pPr>
            <w:r>
              <w:t xml:space="preserve">« AT&amp;C 11,1 % » = transport seul (+) ; « No » au recouvrement des coûts malgré les profits (−)</w:t>
            </w:r>
          </w:p>
        </w:tc>
        <w:tc>
          <w:tcPr>
            <w:tcW w:w="2718" w:type="dxa"/>
          </w:tcPr>
          <w:tcPr/>
          <w:p>
            <w:pPr>
              <w:pStyle w:val="Compact"/>
              <w:jc w:val="left"/>
            </w:pPr>
            <w:r>
              <w:t xml:space="preserve">Mixte</w:t>
            </w:r>
          </w:p>
        </w:tc>
      </w:tr>
      <w:tr>
        <w:tc>
          <w:tcPr>
            <w:tcW w:w="1007" w:type="dxa"/>
          </w:tcPr>
          <w:tcPr/>
          <w:p>
            <w:pPr>
              <w:pStyle w:val="Compact"/>
              <w:jc w:val="left"/>
            </w:pPr>
            <w:r>
              <w:t xml:space="preserve">NER</w:t>
            </w:r>
          </w:p>
        </w:tc>
        <w:tc>
          <w:tcPr>
            <w:tcW w:w="927" w:type="dxa"/>
          </w:tcPr>
          <w:tcPr/>
          <w:p>
            <w:pPr>
              <w:pStyle w:val="Compact"/>
              <w:jc w:val="left"/>
            </w:pPr>
            <w:r>
              <w:t xml:space="preserve">+</w:t>
            </w:r>
          </w:p>
        </w:tc>
        <w:tc>
          <w:tcPr>
            <w:tcW w:w="9917" w:type="dxa"/>
          </w:tcPr>
          <w:tcPr/>
          <w:p>
            <w:pPr>
              <w:pStyle w:val="Compact"/>
              <w:jc w:val="left"/>
            </w:pPr>
            <w:r>
              <w:t xml:space="preserve">NIGELEC décrite à capitaux mixtes alors qu’elle est nationalisée ; résultat positif adossé aux subventions</w:t>
            </w:r>
          </w:p>
        </w:tc>
        <w:tc>
          <w:tcPr>
            <w:tcW w:w="2718" w:type="dxa"/>
          </w:tcPr>
          <w:tcPr/>
          <w:p>
            <w:pPr>
              <w:pStyle w:val="Compact"/>
              <w:jc w:val="left"/>
            </w:pPr>
            <w:r>
              <w:t xml:space="preserve">Obsolescence</w:t>
            </w:r>
          </w:p>
        </w:tc>
      </w:tr>
      <w:tr>
        <w:tc>
          <w:tcPr>
            <w:tcW w:w="1007" w:type="dxa"/>
          </w:tcPr>
          <w:tcPr/>
          <w:p>
            <w:pPr>
              <w:pStyle w:val="Compact"/>
              <w:jc w:val="left"/>
            </w:pPr>
            <w:r>
              <w:t xml:space="preserve">NGA</w:t>
            </w:r>
          </w:p>
        </w:tc>
        <w:tc>
          <w:tcPr>
            <w:tcW w:w="927" w:type="dxa"/>
          </w:tcPr>
          <w:tcPr/>
          <w:p>
            <w:pPr>
              <w:pStyle w:val="Compact"/>
              <w:jc w:val="left"/>
            </w:pPr>
            <w:r>
              <w:t xml:space="preserve">+</w:t>
            </w:r>
          </w:p>
        </w:tc>
        <w:tc>
          <w:tcPr>
            <w:tcW w:w="9917" w:type="dxa"/>
          </w:tcPr>
          <w:tcPr/>
          <w:p>
            <w:pPr>
              <w:pStyle w:val="Compact"/>
              <w:jc w:val="left"/>
            </w:pPr>
            <w:r>
              <w:t xml:space="preserve">Dette « Completed » contre ≈ 7,66 T NGN ; notes MU omises</w:t>
            </w:r>
          </w:p>
        </w:tc>
        <w:tc>
          <w:tcPr>
            <w:tcW w:w="2718" w:type="dxa"/>
          </w:tcPr>
          <w:tcPr/>
          <w:p>
            <w:pPr>
              <w:pStyle w:val="Compact"/>
              <w:jc w:val="left"/>
            </w:pPr>
            <w:r>
              <w:t xml:space="preserve">Réforme dite acquise</w:t>
            </w:r>
          </w:p>
        </w:tc>
      </w:tr>
      <w:tr>
        <w:tc>
          <w:tcPr>
            <w:tcW w:w="1007" w:type="dxa"/>
          </w:tcPr>
          <w:tcPr/>
          <w:p>
            <w:pPr>
              <w:pStyle w:val="Compact"/>
              <w:jc w:val="left"/>
            </w:pPr>
            <w:r>
              <w:t xml:space="preserve">RWA</w:t>
            </w:r>
          </w:p>
        </w:tc>
        <w:tc>
          <w:tcPr>
            <w:tcW w:w="927" w:type="dxa"/>
          </w:tcPr>
          <w:tcPr/>
          <w:p>
            <w:pPr>
              <w:pStyle w:val="Compact"/>
              <w:jc w:val="left"/>
            </w:pPr>
            <w:r>
              <w:t xml:space="preserve">+</w:t>
            </w:r>
          </w:p>
        </w:tc>
        <w:tc>
          <w:tcPr>
            <w:tcW w:w="9917" w:type="dxa"/>
          </w:tcPr>
          <w:tcPr/>
          <w:p>
            <w:pPr>
              <w:pStyle w:val="Compact"/>
              <w:jc w:val="left"/>
            </w:pPr>
            <w:r>
              <w:t xml:space="preserve">466 MW contre ≈ 171 MW fermes</w:t>
            </w:r>
          </w:p>
        </w:tc>
        <w:tc>
          <w:tcPr>
            <w:tcW w:w="2718" w:type="dxa"/>
          </w:tcPr>
          <w:tcPr/>
          <w:p>
            <w:pPr>
              <w:pStyle w:val="Compact"/>
              <w:jc w:val="left"/>
            </w:pPr>
            <w:r>
              <w:t xml:space="preserve">Indicateur</w:t>
            </w:r>
          </w:p>
        </w:tc>
      </w:tr>
      <w:tr>
        <w:tc>
          <w:tcPr>
            <w:tcW w:w="1007" w:type="dxa"/>
          </w:tcPr>
          <w:tcPr/>
          <w:p>
            <w:pPr>
              <w:pStyle w:val="Compact"/>
              <w:jc w:val="left"/>
            </w:pPr>
            <w:r>
              <w:t xml:space="preserve">SEN</w:t>
            </w:r>
          </w:p>
        </w:tc>
        <w:tc>
          <w:tcPr>
            <w:tcW w:w="927" w:type="dxa"/>
          </w:tcPr>
          <w:tcPr/>
          <w:p>
            <w:pPr>
              <w:pStyle w:val="Compact"/>
              <w:jc w:val="left"/>
            </w:pPr>
            <w:r>
              <w:t xml:space="preserve">+</w:t>
            </w:r>
          </w:p>
        </w:tc>
        <w:tc>
          <w:tcPr>
            <w:tcW w:w="9917" w:type="dxa"/>
          </w:tcPr>
          <w:tcPr/>
          <w:p>
            <w:pPr>
              <w:pStyle w:val="Compact"/>
              <w:jc w:val="left"/>
            </w:pPr>
            <w:r>
              <w:t xml:space="preserve">Subvention « 30 % » contre ≈ 36 % [E] ; « baisse » contre hausse ; bénéfices minorés (−)</w:t>
            </w:r>
          </w:p>
        </w:tc>
        <w:tc>
          <w:tcPr>
            <w:tcW w:w="2718" w:type="dxa"/>
          </w:tcPr>
          <w:tcPr/>
          <w:p>
            <w:pPr>
              <w:pStyle w:val="Compact"/>
              <w:jc w:val="left"/>
            </w:pPr>
            <w:r>
              <w:t xml:space="preserve">Trajectoire inverse</w:t>
            </w:r>
          </w:p>
        </w:tc>
      </w:tr>
      <w:tr>
        <w:tc>
          <w:tcPr>
            <w:tcW w:w="1007" w:type="dxa"/>
          </w:tcPr>
          <w:tcPr/>
          <w:p>
            <w:pPr>
              <w:pStyle w:val="Compact"/>
              <w:jc w:val="left"/>
            </w:pPr>
            <w:r>
              <w:t xml:space="preserve">SLE</w:t>
            </w:r>
          </w:p>
        </w:tc>
        <w:tc>
          <w:tcPr>
            <w:tcW w:w="927" w:type="dxa"/>
          </w:tcPr>
          <w:tcPr/>
          <w:p>
            <w:pPr>
              <w:pStyle w:val="Compact"/>
              <w:jc w:val="left"/>
            </w:pPr>
            <w:r>
              <w:t xml:space="preserve">+</w:t>
            </w:r>
          </w:p>
        </w:tc>
        <w:tc>
          <w:tcPr>
            <w:tcW w:w="9917" w:type="dxa"/>
          </w:tcPr>
          <w:tcPr/>
          <w:p>
            <w:pPr>
              <w:pStyle w:val="Compact"/>
              <w:jc w:val="left"/>
            </w:pPr>
            <w:r>
              <w:t xml:space="preserve">Arriérés 26 M contre 113 M USD ; subventions 40 M contre 61,3 M USD ; concession décalée d’≥ 14 mois</w:t>
            </w:r>
          </w:p>
        </w:tc>
        <w:tc>
          <w:tcPr>
            <w:tcW w:w="2718" w:type="dxa"/>
          </w:tcPr>
          <w:tcPr/>
          <w:p>
            <w:pPr>
              <w:pStyle w:val="Compact"/>
              <w:jc w:val="left"/>
            </w:pPr>
            <w:r>
              <w:t xml:space="preserve">Omission, calendrier</w:t>
            </w:r>
          </w:p>
        </w:tc>
      </w:tr>
      <w:tr>
        <w:tc>
          <w:tcPr>
            <w:tcW w:w="1007" w:type="dxa"/>
          </w:tcPr>
          <w:tcPr/>
          <w:p>
            <w:pPr>
              <w:pStyle w:val="Compact"/>
              <w:jc w:val="left"/>
            </w:pPr>
            <w:r>
              <w:t xml:space="preserve">STP</w:t>
            </w:r>
          </w:p>
        </w:tc>
        <w:tc>
          <w:tcPr>
            <w:tcW w:w="927" w:type="dxa"/>
          </w:tcPr>
          <w:tcPr/>
          <w:p>
            <w:pPr>
              <w:pStyle w:val="Compact"/>
              <w:jc w:val="left"/>
            </w:pPr>
            <w:r>
              <w:t xml:space="preserve">+</w:t>
            </w:r>
          </w:p>
        </w:tc>
        <w:tc>
          <w:tcPr>
            <w:tcW w:w="9917" w:type="dxa"/>
          </w:tcPr>
          <w:tcPr/>
          <w:p>
            <w:pPr>
              <w:pStyle w:val="Compact"/>
              <w:jc w:val="left"/>
            </w:pPr>
            <w:r>
              <w:t xml:space="preserve">Dette ENCO ≈ 28 % du PIB omise ; gel depuis 2007, et non 2018</w:t>
            </w:r>
          </w:p>
        </w:tc>
        <w:tc>
          <w:tcPr>
            <w:tcW w:w="2718" w:type="dxa"/>
          </w:tcPr>
          <w:tcPr/>
          <w:p>
            <w:pPr>
              <w:pStyle w:val="Compact"/>
              <w:jc w:val="left"/>
            </w:pPr>
            <w:r>
              <w:t xml:space="preserve">Omission</w:t>
            </w:r>
          </w:p>
        </w:tc>
      </w:tr>
      <w:tr>
        <w:tc>
          <w:tcPr>
            <w:tcW w:w="1007" w:type="dxa"/>
          </w:tcPr>
          <w:tcPr/>
          <w:p>
            <w:pPr>
              <w:pStyle w:val="Compact"/>
              <w:jc w:val="left"/>
            </w:pPr>
            <w:r>
              <w:t xml:space="preserve">TCD</w:t>
            </w:r>
          </w:p>
        </w:tc>
        <w:tc>
          <w:tcPr>
            <w:tcW w:w="927" w:type="dxa"/>
          </w:tcPr>
          <w:tcPr/>
          <w:p>
            <w:pPr>
              <w:pStyle w:val="Compact"/>
              <w:jc w:val="left"/>
            </w:pPr>
            <w:r>
              <w:t xml:space="preserve">+</w:t>
            </w:r>
          </w:p>
        </w:tc>
        <w:tc>
          <w:tcPr>
            <w:tcW w:w="9917" w:type="dxa"/>
          </w:tcPr>
          <w:tcPr/>
          <w:p>
            <w:pPr>
              <w:pStyle w:val="Compact"/>
              <w:jc w:val="left"/>
            </w:pPr>
            <w:r>
              <w:t xml:space="preserve">Subvention en nature d’≈ 88-89 Md FCFA/an non chiffrée ; comptes « déjà publiés »</w:t>
            </w:r>
          </w:p>
        </w:tc>
        <w:tc>
          <w:tcPr>
            <w:tcW w:w="2718" w:type="dxa"/>
          </w:tcPr>
          <w:tcPr/>
          <w:p>
            <w:pPr>
              <w:pStyle w:val="Compact"/>
              <w:jc w:val="left"/>
            </w:pPr>
            <w:r>
              <w:t xml:space="preserve">Omission</w:t>
            </w:r>
          </w:p>
        </w:tc>
      </w:tr>
      <w:tr>
        <w:tc>
          <w:tcPr>
            <w:tcW w:w="1007" w:type="dxa"/>
          </w:tcPr>
          <w:tcPr/>
          <w:p>
            <w:pPr>
              <w:pStyle w:val="Compact"/>
              <w:jc w:val="left"/>
            </w:pPr>
            <w:r>
              <w:t xml:space="preserve">TGO</w:t>
            </w:r>
          </w:p>
        </w:tc>
        <w:tc>
          <w:tcPr>
            <w:tcW w:w="927" w:type="dxa"/>
          </w:tcPr>
          <w:tcPr/>
          <w:p>
            <w:pPr>
              <w:pStyle w:val="Compact"/>
              <w:jc w:val="left"/>
            </w:pPr>
            <w:r>
              <w:t xml:space="preserve">+</w:t>
            </w:r>
          </w:p>
        </w:tc>
        <w:tc>
          <w:tcPr>
            <w:tcW w:w="9917" w:type="dxa"/>
          </w:tcPr>
          <w:tcPr/>
          <w:p>
            <w:pPr>
              <w:pStyle w:val="Compact"/>
              <w:jc w:val="left"/>
            </w:pPr>
            <w:r>
              <w:t xml:space="preserve">Couverture de 80-84 % contre ≈ 70 % ; 84,99 % copié</w:t>
            </w:r>
          </w:p>
        </w:tc>
        <w:tc>
          <w:tcPr>
            <w:tcW w:w="2718" w:type="dxa"/>
          </w:tcPr>
          <w:tcPr/>
          <w:p>
            <w:pPr>
              <w:pStyle w:val="Compact"/>
              <w:jc w:val="left"/>
            </w:pPr>
            <w:r>
              <w:t xml:space="preserve">Copie</w:t>
            </w:r>
          </w:p>
        </w:tc>
      </w:tr>
      <w:tr>
        <w:tc>
          <w:tcPr>
            <w:tcW w:w="1007" w:type="dxa"/>
          </w:tcPr>
          <w:tcPr/>
          <w:p>
            <w:pPr>
              <w:pStyle w:val="Compact"/>
              <w:jc w:val="left"/>
            </w:pPr>
            <w:r>
              <w:t xml:space="preserve">TZA</w:t>
            </w:r>
          </w:p>
        </w:tc>
        <w:tc>
          <w:tcPr>
            <w:tcW w:w="927" w:type="dxa"/>
          </w:tcPr>
          <w:tcPr/>
          <w:p>
            <w:pPr>
              <w:pStyle w:val="Compact"/>
              <w:jc w:val="left"/>
            </w:pPr>
            <w:r>
              <w:t xml:space="preserve">+</w:t>
            </w:r>
          </w:p>
        </w:tc>
        <w:tc>
          <w:tcPr>
            <w:tcW w:w="9917" w:type="dxa"/>
          </w:tcPr>
          <w:tcPr/>
          <w:p>
            <w:pPr>
              <w:pStyle w:val="Compact"/>
              <w:jc w:val="left"/>
            </w:pPr>
            <w:r>
              <w:t xml:space="preserve">RN 20,3 M USD contre ≈ 2,4 M ; pertes « acceptables » malgré la cible manquée (couverture de 80 % contre 91 % : −)</w:t>
            </w:r>
          </w:p>
        </w:tc>
        <w:tc>
          <w:tcPr>
            <w:tcW w:w="2718" w:type="dxa"/>
          </w:tcPr>
          <w:tcPr/>
          <w:p>
            <w:pPr>
              <w:pStyle w:val="Compact"/>
              <w:jc w:val="left"/>
            </w:pPr>
            <w:r>
              <w:t xml:space="preserve">Chiffre non sourcé</w:t>
            </w:r>
          </w:p>
        </w:tc>
      </w:tr>
      <w:tr>
        <w:tc>
          <w:tcPr>
            <w:tcW w:w="1007" w:type="dxa"/>
          </w:tcPr>
          <w:tcPr/>
          <w:p>
            <w:pPr>
              <w:pStyle w:val="Compact"/>
              <w:jc w:val="left"/>
            </w:pPr>
            <w:r>
              <w:t xml:space="preserve">UGA</w:t>
            </w:r>
          </w:p>
        </w:tc>
        <w:tc>
          <w:tcPr>
            <w:tcW w:w="927" w:type="dxa"/>
          </w:tcPr>
          <w:tcPr/>
          <w:p>
            <w:pPr>
              <w:pStyle w:val="Compact"/>
              <w:jc w:val="left"/>
            </w:pPr>
            <w:r>
              <w:t xml:space="preserve">+</w:t>
            </w:r>
          </w:p>
        </w:tc>
        <w:tc>
          <w:tcPr>
            <w:tcW w:w="9917" w:type="dxa"/>
          </w:tcPr>
          <w:tcPr/>
          <w:p>
            <w:pPr>
              <w:pStyle w:val="Compact"/>
              <w:jc w:val="left"/>
            </w:pPr>
            <w:r>
              <w:t xml:space="preserve">Pertes de 16 % contre 18 % ; finances d’UEDCL passées sous silence</w:t>
            </w:r>
          </w:p>
        </w:tc>
        <w:tc>
          <w:tcPr>
            <w:tcW w:w="2718" w:type="dxa"/>
          </w:tcPr>
          <w:tcPr/>
          <w:p>
            <w:pPr>
              <w:pStyle w:val="Compact"/>
              <w:jc w:val="left"/>
            </w:pPr>
            <w:r>
              <w:t xml:space="preserve">Base ancienne</w:t>
            </w:r>
          </w:p>
        </w:tc>
      </w:tr>
      <w:tr>
        <w:tc>
          <w:tcPr>
            <w:tcW w:w="1007" w:type="dxa"/>
          </w:tcPr>
          <w:tcPr/>
          <w:p>
            <w:pPr>
              <w:pStyle w:val="Compact"/>
              <w:jc w:val="left"/>
            </w:pPr>
            <w:r>
              <w:t xml:space="preserve">ZMB</w:t>
            </w:r>
          </w:p>
        </w:tc>
        <w:tc>
          <w:tcPr>
            <w:tcW w:w="927" w:type="dxa"/>
          </w:tcPr>
          <w:tcPr/>
          <w:p>
            <w:pPr>
              <w:pStyle w:val="Compact"/>
              <w:jc w:val="left"/>
            </w:pPr>
            <w:r>
              <w:t xml:space="preserve">+</w:t>
            </w:r>
          </w:p>
        </w:tc>
        <w:tc>
          <w:tcPr>
            <w:tcW w:w="9917" w:type="dxa"/>
          </w:tcPr>
          <w:tcPr/>
          <w:p>
            <w:pPr>
              <w:pStyle w:val="Compact"/>
              <w:jc w:val="left"/>
            </w:pPr>
            <w:r>
              <w:t xml:space="preserve">« Not available » ; 3,86 M de compteurs prépayés contre 1,44 M de clients ; délestages « 3-7 h » contre ≈ 20 h/jour</w:t>
            </w:r>
          </w:p>
        </w:tc>
        <w:tc>
          <w:tcPr>
            <w:tcW w:w="2718" w:type="dxa"/>
          </w:tcPr>
          <w:tcPr/>
          <w:p>
            <w:pPr>
              <w:pStyle w:val="Compact"/>
              <w:jc w:val="left"/>
            </w:pPr>
            <w:r>
              <w:t xml:space="preserve">Omission, erreur</w:t>
            </w:r>
          </w:p>
        </w:tc>
      </w:tr>
      <w:tr>
        <w:tc>
          <w:tcPr>
            <w:tcW w:w="1007" w:type="dxa"/>
          </w:tcPr>
          <w:tcPr/>
          <w:p>
            <w:pPr>
              <w:pStyle w:val="Compact"/>
              <w:jc w:val="left"/>
            </w:pPr>
            <w:r>
              <w:t xml:space="preserve">ZWE</w:t>
            </w:r>
          </w:p>
        </w:tc>
        <w:tc>
          <w:tcPr>
            <w:tcW w:w="927" w:type="dxa"/>
          </w:tcPr>
          <w:tcPr/>
          <w:p>
            <w:pPr>
              <w:pStyle w:val="Compact"/>
              <w:jc w:val="left"/>
            </w:pPr>
            <w:r>
              <w:t xml:space="preserve">+</w:t>
            </w:r>
          </w:p>
        </w:tc>
        <w:tc>
          <w:tcPr>
            <w:tcW w:w="9917" w:type="dxa"/>
          </w:tcPr>
          <w:tcPr/>
          <w:p>
            <w:pPr>
              <w:pStyle w:val="Compact"/>
              <w:jc w:val="left"/>
            </w:pPr>
            <w:r>
              <w:t xml:space="preserve">« Au coût » contre tarif &lt; coût ; pertes techniques de 18-20 % contre ATCC ≈ 60 % dans l’annexe du pacte</w:t>
            </w:r>
          </w:p>
        </w:tc>
        <w:tc>
          <w:tcPr>
            <w:tcW w:w="2718" w:type="dxa"/>
          </w:tcPr>
          <w:tcPr/>
          <w:p>
            <w:pPr>
              <w:pStyle w:val="Compact"/>
              <w:jc w:val="left"/>
            </w:pPr>
            <w:r>
              <w:t xml:space="preserve">Indicateur</w:t>
            </w:r>
          </w:p>
        </w:tc>
      </w:tr>
    </w:tbl>
    <w:p>
      <w:pPr>
        <w:pStyle w:val="BodyText"/>
      </w:pPr>
      <w:r>
        <w:rPr>
          <w:bCs/>
          <w:b/>
        </w:rPr>
        <w:t xml:space="preserve">Bilan [E]</w:t>
      </w:r>
      <w:r>
        <w:t xml:space="preserve"> </w:t>
      </w:r>
      <w:r>
        <w:t xml:space="preserve">: + = 30 ; ± = 4 (CAF, ETH, KEN, NAM) ; = 1 (GMB) ; − = 1 (BEN). Les pactes embellissent donc la situation de façon systématique, par six mécanismes récurrents :</w:t>
      </w:r>
      <w:r>
        <w:t xml:space="preserve"> </w:t>
      </w:r>
      <w:r>
        <w:t xml:space="preserve">1. Indicateur le plus flatteur : LBR, NAM, ZWE, RWA, MRT, CIV.</w:t>
      </w:r>
      <w:r>
        <w:t xml:space="preserve"> </w:t>
      </w:r>
      <w:r>
        <w:t xml:space="preserve">2. Année la plus favorable : MWI, BWA, COM.</w:t>
      </w:r>
      <w:r>
        <w:t xml:space="preserve"> </w:t>
      </w:r>
      <w:r>
        <w:t xml:space="preserve">3. Omission des passifs : GIN, STP, TCD, CMR, SLE, BFA, GAB.</w:t>
      </w:r>
      <w:r>
        <w:t xml:space="preserve"> </w:t>
      </w:r>
      <w:r>
        <w:t xml:space="preserve">4. Réforme présentée comme acquise : COG, COD, MDG, NGA, COM.</w:t>
      </w:r>
      <w:r>
        <w:t xml:space="preserve"> </w:t>
      </w:r>
      <w:r>
        <w:t xml:space="preserve">5. Calendriers intenables : BDI, GHA, SLE, DJI.</w:t>
      </w:r>
      <w:r>
        <w:t xml:space="preserve"> </w:t>
      </w:r>
      <w:r>
        <w:t xml:space="preserve">6. Chiffres non sourcés ou copiés : LSO/TZA (20,3 M USD), TGO (84,99 %).</w:t>
      </w:r>
    </w:p>
    <w:p>
      <w:pPr>
        <w:pStyle w:val="BodyText"/>
      </w:pPr>
      <w:r>
        <w:t xml:space="preserve">La phase 2</w:t>
      </w:r>
      <w:r>
        <w:t xml:space="preserve"> </w:t>
      </w:r>
      <w:r>
        <w:rPr>
          <w:bCs/>
          <w:b/>
        </w:rPr>
        <w:t xml:space="preserve">renforce l’hypothèse de copie LSO/TZA</w:t>
      </w:r>
      <w:r>
        <w:t xml:space="preserve"> </w:t>
      </w:r>
      <w:r>
        <w:t xml:space="preserve">formulée en phase 1 (P1 §4.6) : le chiffre de 20,3 M USD est incompatible avec les sources des deux pays (cf. LSO, TZA). Elle confirme aussi la copie CIV→TGO (cf. TGO).</w:t>
      </w:r>
    </w:p>
    <w:bookmarkEnd w:id="25"/>
    <w:bookmarkStart w:id="26" w:name="Xf04ac3e60e47e7f5d1cc66db6b6e597a53e586e"/>
    <w:p>
      <w:pPr>
        <w:pStyle w:val="Heading2"/>
      </w:pPr>
      <w:r>
        <w:t xml:space="preserve">(c) Arriérés de l’État ou niveau tarifaire : quelle cause première ?</w:t>
      </w:r>
    </w:p>
    <w:tbl>
      <w:tblPr>
        <w:tblStyle w:val="Table"/>
        <w:tblW w:type="dxa" w:w="14570"/>
        <w:tblLook w:firstRow="1" w:lastRow="0" w:firstColumn="0" w:lastColumn="0" w:noHBand="0" w:noVBand="0" w:val="0020"/>
        <w:jc w:val="start"/>
      </w:tblPr>
      <w:tblGrid>
        <w:gridCol w:w="3234"/>
        <w:gridCol w:w="3603"/>
        <w:gridCol w:w="7732"/>
      </w:tblGrid>
      <w:tr>
        <w:trPr>
          <w:tblHeader w:val="true"/>
        </w:trPr>
        <w:tc>
          <w:tcPr>
            <w:tcW w:w="3234" w:type="dxa"/>
          </w:tcPr>
          <w:tcPr/>
          <w:p>
            <w:pPr>
              <w:pStyle w:val="Compact"/>
              <w:jc w:val="left"/>
            </w:pPr>
            <w:r>
              <w:t xml:space="preserve">Profil [E]</w:t>
            </w:r>
          </w:p>
        </w:tc>
        <w:tc>
          <w:tcPr>
            <w:tcW w:w="3603" w:type="dxa"/>
          </w:tcPr>
          <w:tcPr/>
          <w:p>
            <w:pPr>
              <w:pStyle w:val="Compact"/>
              <w:jc w:val="left"/>
            </w:pPr>
            <w:r>
              <w:t xml:space="preserve">Pays</w:t>
            </w:r>
          </w:p>
        </w:tc>
        <w:tc>
          <w:tcPr>
            <w:tcW w:w="7732" w:type="dxa"/>
          </w:tcPr>
          <w:tcPr/>
          <w:p>
            <w:pPr>
              <w:pStyle w:val="Compact"/>
              <w:jc w:val="left"/>
            </w:pPr>
            <w:r>
              <w:t xml:space="preserve">Éléments (fiche)</w:t>
            </w:r>
          </w:p>
        </w:tc>
      </w:tr>
      <w:tr>
        <w:tc>
          <w:tcPr>
            <w:tcW w:w="3234" w:type="dxa"/>
          </w:tcPr>
          <w:tcPr/>
          <w:p>
            <w:pPr>
              <w:pStyle w:val="Compact"/>
              <w:jc w:val="left"/>
            </w:pPr>
            <w:r>
              <w:rPr>
                <w:bCs/>
                <w:b/>
              </w:rPr>
              <w:t xml:space="preserve">Tarif suffisant ; l’État ou les collectivités sont la cause première</w:t>
            </w:r>
          </w:p>
        </w:tc>
        <w:tc>
          <w:tcPr>
            <w:tcW w:w="3603" w:type="dxa"/>
          </w:tcPr>
          <w:tcPr/>
          <w:p>
            <w:pPr>
              <w:pStyle w:val="Compact"/>
              <w:jc w:val="left"/>
            </w:pPr>
            <w:r>
              <w:t xml:space="preserve">DJI, KEN, UGA, NAM, CAF</w:t>
            </w:r>
          </w:p>
        </w:tc>
        <w:tc>
          <w:tcPr>
            <w:tcW w:w="7732" w:type="dxa"/>
          </w:tcPr>
          <w:tcPr/>
          <w:p>
            <w:pPr>
              <w:pStyle w:val="Compact"/>
              <w:jc w:val="left"/>
            </w:pPr>
            <w:r>
              <w:t xml:space="preserve">DJI : prix 29 c contre coût 9-11 c ; 330 M USD d’arriérés publics ≈ 1,4 an de CA ; le FMI note que l’opérateur « surtarife » les autres clients (cf. DJI). KEN : recette ≈ 114 % du coût [E], mais 55 Md KES de créances publiques, dont le déficit RES de 34,8 Md ; 19,4 Md budgétés non décaissés (cf. KEN). UGA : recouvrement de 100 % côté clients, mais 194,7 Md UGX de factures publiques héritées impayées (cf. UGA). NAM : NamPower bénéficiaire ; 557 M NAD d’arriérés des collectivités et EP (cf. NAM). CAF : profits après l’apurement par l’État en déc. 2023 (cf. CAF)</w:t>
            </w:r>
          </w:p>
        </w:tc>
      </w:tr>
      <w:tr>
        <w:tc>
          <w:tcPr>
            <w:tcW w:w="3234" w:type="dxa"/>
          </w:tcPr>
          <w:tcPr/>
          <w:p>
            <w:pPr>
              <w:pStyle w:val="Compact"/>
              <w:jc w:val="left"/>
            </w:pPr>
            <w:r>
              <w:rPr>
                <w:bCs/>
                <w:b/>
              </w:rPr>
              <w:t xml:space="preserve">Les deux causes se cumulent</w:t>
            </w:r>
          </w:p>
        </w:tc>
        <w:tc>
          <w:tcPr>
            <w:tcW w:w="3603" w:type="dxa"/>
          </w:tcPr>
          <w:tcPr/>
          <w:p>
            <w:pPr>
              <w:pStyle w:val="Compact"/>
              <w:jc w:val="left"/>
            </w:pPr>
            <w:r>
              <w:t xml:space="preserve">CMR, MDG, GAB, SEN, GIN, COD, CIV</w:t>
            </w:r>
          </w:p>
        </w:tc>
        <w:tc>
          <w:tcPr>
            <w:tcW w:w="7732" w:type="dxa"/>
          </w:tcPr>
          <w:tcPr/>
          <w:p>
            <w:pPr>
              <w:pStyle w:val="Compact"/>
              <w:jc w:val="left"/>
            </w:pPr>
            <w:r>
              <w:t xml:space="preserve">CMR : arriérés &gt; 700 Md FCFA et écart MAR de 9,5 % (cf. CMR). MDG : l’administration représente ≈ 61 % des créances clients ; tarif ≈ 71 % du coût [E] (cf. MDG). GAB : 58,6 % des impayés dus par l’État, tarif gelé depuis 2018 (cf. GAB). SEN : la compensation due (≈ 179 Md FCFA) est elle-même un arriéré de l’État (cf. SEN). GIN : 163 M USD dus par l’administration, recouvrement public de 50 % ; tarif ≈ 40 % du coût (cf. GIN). COD : 110 M USD + électricité gratuite pour des « ayants droit » ; tarif ≈ 23 % du coût [E, fragile] (cf. COD). CIV : impayés publics et à l’export (EDM-Mali) (cf. CIV)</w:t>
            </w:r>
          </w:p>
        </w:tc>
      </w:tr>
      <w:tr>
        <w:tc>
          <w:tcPr>
            <w:tcW w:w="3234" w:type="dxa"/>
          </w:tcPr>
          <w:tcPr/>
          <w:p>
            <w:pPr>
              <w:pStyle w:val="Compact"/>
              <w:jc w:val="left"/>
            </w:pPr>
            <w:r>
              <w:rPr>
                <w:bCs/>
                <w:b/>
              </w:rPr>
              <w:t xml:space="preserve">Le tarif est la cause dominante</w:t>
            </w:r>
          </w:p>
        </w:tc>
        <w:tc>
          <w:tcPr>
            <w:tcW w:w="3603" w:type="dxa"/>
          </w:tcPr>
          <w:tcPr/>
          <w:p>
            <w:pPr>
              <w:pStyle w:val="Compact"/>
              <w:jc w:val="left"/>
            </w:pPr>
            <w:r>
              <w:t xml:space="preserve">BWA, TZA, LSO, SLE, STP, COM, TGO, BFA, ZWE, ETH, ZMB, MWI</w:t>
            </w:r>
          </w:p>
        </w:tc>
        <w:tc>
          <w:tcPr>
            <w:tcW w:w="7732" w:type="dxa"/>
          </w:tcPr>
          <w:tcPr/>
          <w:p>
            <w:pPr>
              <w:pStyle w:val="Compact"/>
              <w:jc w:val="left"/>
            </w:pPr>
            <w:r>
              <w:t xml:space="preserve">Couverture de 35-83 % [E/V] ; arriérés publics secondaires ou non chiffrés. ZWE : 38 % des arriérés viennent du secteur public, mais l’écart en devises domine (cf. ZWE)</w:t>
            </w:r>
          </w:p>
        </w:tc>
      </w:tr>
      <w:tr>
        <w:tc>
          <w:tcPr>
            <w:tcW w:w="3234" w:type="dxa"/>
          </w:tcPr>
          <w:tcPr/>
          <w:p>
            <w:pPr>
              <w:pStyle w:val="Compact"/>
              <w:jc w:val="left"/>
            </w:pPr>
            <w:r>
              <w:t xml:space="preserve">Indéterminé</w:t>
            </w:r>
          </w:p>
        </w:tc>
        <w:tc>
          <w:tcPr>
            <w:tcW w:w="3603" w:type="dxa"/>
          </w:tcPr>
          <w:tcPr/>
          <w:p>
            <w:pPr>
              <w:pStyle w:val="Compact"/>
              <w:jc w:val="left"/>
            </w:pPr>
            <w:r>
              <w:t xml:space="preserve">BDI, BEN, GHA, GMB, LBR, MOZ, MRT, NER, NGA, RWA, TCD</w:t>
            </w:r>
          </w:p>
        </w:tc>
        <w:tc>
          <w:tcPr>
            <w:tcW w:w="7732" w:type="dxa"/>
          </w:tcPr>
          <w:tcPr/>
          <w:p>
            <w:pPr>
              <w:pStyle w:val="Compact"/>
              <w:jc w:val="left"/>
            </w:pPr>
            <w:r>
              <w:t xml:space="preserve">Données insuffisantes ou cause sectorielle : NGA (subvention fédérale non versée = arriéré de l’État envers la chaîne), GHA (take-or-pay)</w:t>
            </w:r>
          </w:p>
        </w:tc>
      </w:tr>
    </w:tbl>
    <w:p>
      <w:pPr>
        <w:pStyle w:val="BodyText"/>
      </w:pPr>
      <w:r>
        <w:rPr>
          <w:bCs/>
          <w:b/>
        </w:rPr>
        <w:t xml:space="preserve">Constats :</w:t>
      </w:r>
      <w:r>
        <w:t xml:space="preserve"> </w:t>
      </w:r>
      <w:r>
        <w:t xml:space="preserve">-</w:t>
      </w:r>
      <w:r>
        <w:t xml:space="preserve"> </w:t>
      </w:r>
      <w:r>
        <w:rPr>
          <w:bCs/>
          <w:b/>
        </w:rPr>
        <w:t xml:space="preserve">Dans 5 pays, un relèvement du tarif aggraverait l’iniquité sans résoudre la crise.</w:t>
      </w:r>
      <w:r>
        <w:t xml:space="preserve"> </w:t>
      </w:r>
      <w:r>
        <w:t xml:space="preserve">DJI vise même une baisse. L’enjeu y est l’apurement et la budgétisation des factures publiques : prépaiement des administrations (LBR, CIV, TGO), escrow (LBR), MoU (COD), plan d’apurement (KEN DLI 3, « off-track »).</w:t>
      </w:r>
      <w:r>
        <w:t xml:space="preserve"> </w:t>
      </w:r>
      <w:r>
        <w:t xml:space="preserve">-</w:t>
      </w:r>
      <w:r>
        <w:t xml:space="preserve"> </w:t>
      </w:r>
      <w:r>
        <w:rPr>
          <w:bCs/>
          <w:b/>
        </w:rPr>
        <w:t xml:space="preserve">La frontière entre subvention tarifaire et arriéré est floue.</w:t>
      </w:r>
      <w:r>
        <w:t xml:space="preserve"> </w:t>
      </w:r>
      <w:r>
        <w:t xml:space="preserve">Les compensations dues mais non versées (SEN, CMR, NGA : 4 % versés) transforment une décision tarifaire en dette de l’État.</w:t>
      </w:r>
    </w:p>
    <w:bookmarkEnd w:id="26"/>
    <w:bookmarkStart w:id="27" w:name="d-pertes-et-recouvrement"/>
    <w:p>
      <w:pPr>
        <w:pStyle w:val="Heading2"/>
      </w:pPr>
      <w:r>
        <w:t xml:space="preserve">(d) Pertes et recouvrement</w:t>
      </w:r>
    </w:p>
    <w:p>
      <w:pPr>
        <w:numPr>
          <w:ilvl w:val="0"/>
          <w:numId w:val="1005"/>
        </w:numPr>
        <w:pStyle w:val="Compact"/>
      </w:pPr>
      <w:r>
        <w:rPr>
          <w:bCs/>
          <w:b/>
        </w:rPr>
        <w:t xml:space="preserve">Pertes (meilleure donnée primaire)</w:t>
      </w:r>
    </w:p>
    <w:p>
      <w:pPr>
        <w:numPr>
          <w:ilvl w:val="1"/>
          <w:numId w:val="1006"/>
        </w:numPr>
        <w:pStyle w:val="Compact"/>
      </w:pPr>
      <w:r>
        <w:t xml:space="preserve">Très élevées : SLE 43-62 %, COD 49 % (en hausse), COG 42 %, LBR ≈ 42 % [S], MRT 35 %, NGA 35 % ATC&amp;C (17,97 % T&amp;C).</w:t>
      </w:r>
    </w:p>
    <w:p>
      <w:pPr>
        <w:numPr>
          <w:ilvl w:val="1"/>
          <w:numId w:val="1006"/>
        </w:numPr>
        <w:pStyle w:val="Compact"/>
      </w:pPr>
      <w:r>
        <w:t xml:space="preserve">Élevées : BDI 30-32 %, COM ≈ 31 %, GAB 29,4 %, MDG 28 %, GHA ≈ 27 %, MOZ 26 %.</w:t>
      </w:r>
    </w:p>
    <w:p>
      <w:pPr>
        <w:numPr>
          <w:ilvl w:val="1"/>
          <w:numId w:val="1006"/>
        </w:numPr>
        <w:pStyle w:val="Compact"/>
      </w:pPr>
      <w:r>
        <w:t xml:space="preserve">Moyennes : MWI 22,6 %, KEN 21,2 %, GMB 21 %, NER 20 %, EEU 20 %, BEN 19,5 %, UGA 18 %, SEN 16 % ATC&amp;C, RWA 16,3 %, CIV ≈ 16,3 %.</w:t>
      </w:r>
    </w:p>
    <w:p>
      <w:pPr>
        <w:numPr>
          <w:ilvl w:val="1"/>
          <w:numId w:val="1006"/>
        </w:numPr>
        <w:pStyle w:val="Compact"/>
      </w:pPr>
      <w:r>
        <w:t xml:space="preserve">Basses : TZA 14,6 % ; NAM 11,1 % (transport seul) ; ZMB 9,5 % (distribution seule).</w:t>
      </w:r>
    </w:p>
    <w:p>
      <w:pPr>
        <w:numPr>
          <w:ilvl w:val="1"/>
          <w:numId w:val="1006"/>
        </w:numPr>
        <w:pStyle w:val="Compact"/>
      </w:pPr>
      <w:r>
        <w:t xml:space="preserve">Sans source primaire : TCD 39 %, GIN 30 %, TGO 16 %, DJI 17 %, LSO 10 % (pacte).</w:t>
      </w:r>
    </w:p>
    <w:p>
      <w:pPr>
        <w:numPr>
          <w:ilvl w:val="0"/>
          <w:numId w:val="1005"/>
        </w:numPr>
        <w:pStyle w:val="Compact"/>
      </w:pPr>
      <w:r>
        <w:rPr>
          <w:bCs/>
          <w:b/>
        </w:rPr>
        <w:t xml:space="preserve">Tendances</w:t>
      </w:r>
    </w:p>
    <w:p>
      <w:pPr>
        <w:numPr>
          <w:ilvl w:val="1"/>
          <w:numId w:val="1007"/>
        </w:numPr>
        <w:pStyle w:val="Compact"/>
      </w:pPr>
      <w:r>
        <w:t xml:space="preserve">En hausse : COD (45,9 → 49,06 %), UGA (16 → 18 %), TZA (14,57 → 14,61 %).</w:t>
      </w:r>
    </w:p>
    <w:p>
      <w:pPr>
        <w:numPr>
          <w:ilvl w:val="1"/>
          <w:numId w:val="1007"/>
        </w:numPr>
        <w:pStyle w:val="Compact"/>
      </w:pPr>
      <w:r>
        <w:t xml:space="preserve">En baisse : BEN (−5,7 points), NGA (39,6 → 34,9 % en 2025), KEN (23,2 → 21,2 %), LBR (commerciales 47,7 → 31,4 %), ZMB (distribution), COM.</w:t>
      </w:r>
    </w:p>
    <w:p>
      <w:pPr>
        <w:numPr>
          <w:ilvl w:val="1"/>
          <w:numId w:val="1007"/>
        </w:numPr>
        <w:pStyle w:val="Compact"/>
      </w:pPr>
      <w:r>
        <w:t xml:space="preserve">Stagnantes : GHA, COG, CIV (zone NEDA 13 %), NER (aucun progrès entre mai et sept. 2026).</w:t>
      </w:r>
    </w:p>
    <w:p>
      <w:pPr>
        <w:numPr>
          <w:ilvl w:val="0"/>
          <w:numId w:val="1005"/>
        </w:numPr>
        <w:pStyle w:val="Compact"/>
      </w:pPr>
      <w:r>
        <w:rPr>
          <w:bCs/>
          <w:b/>
        </w:rPr>
        <w:t xml:space="preserve">Les cibles des pactes sont souvent plus ambitieuses que celles des bailleurs</w:t>
      </w:r>
      <w:r>
        <w:t xml:space="preserve"> </w:t>
      </w:r>
      <w:r>
        <w:t xml:space="preserve">: MDG &lt; 16 % (pacte) contre 21 % (PforR) ; KEN 15 % contre 18 % ; COD 15 % contre 40 %.</w:t>
      </w:r>
      <w:r>
        <w:t xml:space="preserve"> </w:t>
      </w:r>
      <w:r>
        <w:rPr>
          <w:bCs/>
          <w:b/>
        </w:rPr>
        <w:t xml:space="preserve">Elles sont aussi déjà manquées</w:t>
      </w:r>
      <w:r>
        <w:t xml:space="preserve"> </w:t>
      </w:r>
      <w:r>
        <w:t xml:space="preserve">: TZA (12 % EWURA), UGA (13,65 % ERA), RWA (15 % ESSP).</w:t>
      </w:r>
    </w:p>
    <w:p>
      <w:pPr>
        <w:numPr>
          <w:ilvl w:val="0"/>
          <w:numId w:val="1005"/>
        </w:numPr>
        <w:pStyle w:val="Compact"/>
      </w:pPr>
      <w:r>
        <w:rPr>
          <w:bCs/>
          <w:b/>
        </w:rPr>
        <w:t xml:space="preserve">Recouvrement</w:t>
      </w:r>
    </w:p>
    <w:p>
      <w:pPr>
        <w:numPr>
          <w:ilvl w:val="1"/>
          <w:numId w:val="1008"/>
        </w:numPr>
        <w:pStyle w:val="Compact"/>
      </w:pPr>
      <w:r>
        <w:t xml:space="preserve">Très faible : MRT 35 %, TCD 45-51 %, GIN 50-64 %, SLE 0,57, STP ≈ 30 % de clients en règle.</w:t>
      </w:r>
    </w:p>
    <w:p>
      <w:pPr>
        <w:numPr>
          <w:ilvl w:val="1"/>
          <w:numId w:val="1008"/>
        </w:numPr>
        <w:pStyle w:val="Compact"/>
      </w:pPr>
      <w:r>
        <w:t xml:space="preserve">Moyen : COD 60-71 %, COM 70 %, CMR 72 %, BDI 75 %, NGA 79 %.</w:t>
      </w:r>
    </w:p>
    <w:p>
      <w:pPr>
        <w:numPr>
          <w:ilvl w:val="1"/>
          <w:numId w:val="1008"/>
        </w:numPr>
        <w:pStyle w:val="Compact"/>
      </w:pPr>
      <w:r>
        <w:t xml:space="preserve">Élevé : GHA 85 %, ZMB 90 % (2025), SEN 94,65 %, TZA 96 %, UGA 100 %.</w:t>
      </w:r>
    </w:p>
    <w:p>
      <w:pPr>
        <w:numPr>
          <w:ilvl w:val="0"/>
          <w:numId w:val="1005"/>
        </w:numPr>
        <w:pStyle w:val="Compact"/>
      </w:pPr>
      <w:r>
        <w:rPr>
          <w:bCs/>
          <w:b/>
        </w:rPr>
        <w:t xml:space="preserve">Le prépaiement explique l’essentiel des bons taux de recouvrement</w:t>
      </w:r>
      <w:r>
        <w:t xml:space="preserve"> </w:t>
      </w:r>
      <w:r>
        <w:t xml:space="preserve">: UGA 99 % de clients prépayés, TZA quasi-total, GMB &gt; 97 % (pacte). Il ne résout pas les pertes : UGA reste à 18 %. Il ne couvre pas les factures publiques (UGA, KEN). Le comptage reste lacunaire : NGA 57 % de clients comptés, GIN 85 % au forfait, COG &gt; 40 % non comptés, TGO 26 % de compteurs intelligents.</w:t>
      </w:r>
    </w:p>
    <w:bookmarkEnd w:id="27"/>
    <w:bookmarkStart w:id="28" w:name="e-dépendance-thermique-ppa-et-change"/>
    <w:p>
      <w:pPr>
        <w:pStyle w:val="Heading2"/>
      </w:pPr>
      <w:r>
        <w:t xml:space="preserve">(e) Dépendance thermique, PPA et change</w:t>
      </w:r>
    </w:p>
    <w:p>
      <w:pPr>
        <w:numPr>
          <w:ilvl w:val="0"/>
          <w:numId w:val="1009"/>
        </w:numPr>
        <w:pStyle w:val="Compact"/>
      </w:pPr>
      <w:r>
        <w:rPr>
          <w:bCs/>
          <w:b/>
        </w:rPr>
        <w:t xml:space="preserve">Thermique ou diesel dominant</w:t>
      </w:r>
      <w:r>
        <w:t xml:space="preserve"> </w:t>
      </w:r>
      <w:r>
        <w:t xml:space="preserve">:</w:t>
      </w:r>
    </w:p>
    <w:p>
      <w:pPr>
        <w:numPr>
          <w:ilvl w:val="1"/>
          <w:numId w:val="1010"/>
        </w:numPr>
        <w:pStyle w:val="Compact"/>
      </w:pPr>
      <w:r>
        <w:t xml:space="preserve">insulaires : COM &gt; 90 % diesel, STP &gt; 93 % ;</w:t>
      </w:r>
    </w:p>
    <w:p>
      <w:pPr>
        <w:numPr>
          <w:ilvl w:val="1"/>
          <w:numId w:val="1010"/>
        </w:numPr>
        <w:pStyle w:val="Compact"/>
      </w:pPr>
      <w:r>
        <w:t xml:space="preserve">TCD ≈ 90 % ; SEN 72 % de la capacité ; CIV 75 % de la production au gaz ; NGA 79 % au gaz ;</w:t>
      </w:r>
    </w:p>
    <w:p>
      <w:pPr>
        <w:numPr>
          <w:ilvl w:val="1"/>
          <w:numId w:val="1010"/>
        </w:numPr>
        <w:pStyle w:val="Compact"/>
      </w:pPr>
      <w:r>
        <w:t xml:space="preserve">MDG : combustible ≈ 56 % des coûts + achats ≈ 30 % ;</w:t>
      </w:r>
    </w:p>
    <w:p>
      <w:pPr>
        <w:numPr>
          <w:ilvl w:val="1"/>
          <w:numId w:val="1010"/>
        </w:numPr>
        <w:pStyle w:val="Compact"/>
      </w:pPr>
      <w:r>
        <w:t xml:space="preserve">BFA : 1 029 MW de PPA thermiques ; BWA : 97 % charbon ; MRT : thermique ≈ 40 c ; TZA : gaz 67 %.</w:t>
      </w:r>
    </w:p>
    <w:p>
      <w:pPr>
        <w:numPr>
          <w:ilvl w:val="0"/>
          <w:numId w:val="1009"/>
        </w:numPr>
        <w:pStyle w:val="Compact"/>
      </w:pPr>
      <w:r>
        <w:rPr>
          <w:bCs/>
          <w:b/>
        </w:rPr>
        <w:t xml:space="preserve">Locations d’urgence (Karpowership)</w:t>
      </w:r>
      <w:r>
        <w:t xml:space="preserve"> </w:t>
      </w:r>
      <w:r>
        <w:t xml:space="preserve">: SEN 360,62 MW, GIN ≈ 110 MW, GAB (arriérés, menace de suspension), CIV.</w:t>
      </w:r>
    </w:p>
    <w:p>
      <w:pPr>
        <w:numPr>
          <w:ilvl w:val="0"/>
          <w:numId w:val="1009"/>
        </w:numPr>
        <w:pStyle w:val="Compact"/>
      </w:pPr>
      <w:r>
        <w:rPr>
          <w:bCs/>
          <w:b/>
        </w:rPr>
        <w:t xml:space="preserve">Take-or-pay et surcapacité</w:t>
      </w:r>
      <w:r>
        <w:t xml:space="preserve"> </w:t>
      </w:r>
      <w:r>
        <w:t xml:space="preserve">: GHA (cause « structurelle » du déficit), GIN (Souapiti), CMR (Nachtigal : LC tirée, production bloquée par le transport), BWA (Mmamabula 600 MW), UGA (« deemed energy », Karuma ≈ 21 %), BEN (généralisé côté SBPE), TGO.</w:t>
      </w:r>
    </w:p>
    <w:p>
      <w:pPr>
        <w:numPr>
          <w:ilvl w:val="0"/>
          <w:numId w:val="1009"/>
        </w:numPr>
        <w:pStyle w:val="Compact"/>
      </w:pPr>
      <w:r>
        <w:rPr>
          <w:bCs/>
          <w:b/>
        </w:rPr>
        <w:t xml:space="preserve">Dépendance aux importations</w:t>
      </w:r>
      <w:r>
        <w:t xml:space="preserve"> </w:t>
      </w:r>
      <w:r>
        <w:t xml:space="preserve">: LSO jusqu’à 89 %, DJI 63 % (Éthiopie, ligne unique), NAM 45-58 %, GMB 57 %, ZMB jusqu’à 52 % (T4 2024), BFA 48 %, BWA ≈ 38 % ; NER (≈ 71 %, interrompues en 2023).</w:t>
      </w:r>
    </w:p>
    <w:p>
      <w:pPr>
        <w:numPr>
          <w:ilvl w:val="0"/>
          <w:numId w:val="1009"/>
        </w:numPr>
        <w:pStyle w:val="Compact"/>
      </w:pPr>
      <w:r>
        <w:rPr>
          <w:bCs/>
          <w:b/>
        </w:rPr>
        <w:t xml:space="preserve">Le change pilote les résultats</w:t>
      </w:r>
      <w:r>
        <w:t xml:space="preserve"> </w:t>
      </w:r>
      <w:r>
        <w:t xml:space="preserve">:</w:t>
      </w:r>
    </w:p>
    <w:p>
      <w:pPr>
        <w:numPr>
          <w:ilvl w:val="1"/>
          <w:numId w:val="1011"/>
        </w:numPr>
        <w:pStyle w:val="Compact"/>
      </w:pPr>
      <w:r>
        <w:t xml:space="preserve">MWI : dévaluation de 44 %, pertes de change ≈ 83 Md MWK ;</w:t>
      </w:r>
    </w:p>
    <w:p>
      <w:pPr>
        <w:numPr>
          <w:ilvl w:val="1"/>
          <w:numId w:val="1011"/>
        </w:numPr>
        <w:pStyle w:val="Compact"/>
      </w:pPr>
      <w:r>
        <w:t xml:space="preserve">ZMB : perte de change de 13,8 Md ZMW (2024), puis gain de 5,9 Md (2025) ;</w:t>
      </w:r>
    </w:p>
    <w:p>
      <w:pPr>
        <w:numPr>
          <w:ilvl w:val="1"/>
          <w:numId w:val="1011"/>
        </w:numPr>
        <w:pStyle w:val="Compact"/>
      </w:pPr>
      <w:r>
        <w:t xml:space="preserve">GHA : gain de change de 12,16 Md GHS en 2025 ;</w:t>
      </w:r>
    </w:p>
    <w:p>
      <w:pPr>
        <w:numPr>
          <w:ilvl w:val="1"/>
          <w:numId w:val="1011"/>
        </w:numPr>
        <w:pStyle w:val="Compact"/>
      </w:pPr>
      <w:r>
        <w:t xml:space="preserve">MOZ : gains financiers de 9,49 Md MZN ;</w:t>
      </w:r>
    </w:p>
    <w:p>
      <w:pPr>
        <w:numPr>
          <w:ilvl w:val="1"/>
          <w:numId w:val="1011"/>
        </w:numPr>
        <w:pStyle w:val="Compact"/>
      </w:pPr>
      <w:r>
        <w:t xml:space="preserve">ETH : libéralisation du birr ; ZWE : multidevises, dette en USD ; BDI : prime de change de 97 %.</w:t>
      </w:r>
    </w:p>
    <w:p>
      <w:pPr>
        <w:numPr>
          <w:ilvl w:val="1"/>
          <w:numId w:val="1011"/>
        </w:numPr>
        <w:pStyle w:val="Compact"/>
      </w:pPr>
      <w:r>
        <w:rPr>
          <w:bCs/>
          <w:b/>
        </w:rPr>
        <w:t xml:space="preserve">Trois des « redressements » 2025 (ZMB, GHA, MOZ) tiennent au change, pas à l’exploitation</w:t>
      </w:r>
      <w:r>
        <w:t xml:space="preserve"> </w:t>
      </w:r>
      <w:r>
        <w:t xml:space="preserve">[E].</w:t>
      </w:r>
    </w:p>
    <w:p>
      <w:pPr>
        <w:numPr>
          <w:ilvl w:val="0"/>
          <w:numId w:val="1009"/>
        </w:numPr>
        <w:pStyle w:val="Compact"/>
      </w:pPr>
      <w:r>
        <w:rPr>
          <w:bCs/>
          <w:b/>
        </w:rPr>
        <w:t xml:space="preserve">Contre-exemples à faible coût</w:t>
      </w:r>
      <w:r>
        <w:t xml:space="preserve"> </w:t>
      </w:r>
      <w:r>
        <w:t xml:space="preserve">: les solaires adjugés à 4,9 c USD/kWh (RESPITE TCD) et à ≈ 0,05 USD (PROLER MOZ), à comparer aux IPP domestiques à ≥ 10 c (ZMB) et aux IPP de 0,28 USD (MDG, pacte).</w:t>
      </w:r>
    </w:p>
    <w:bookmarkEnd w:id="28"/>
    <w:bookmarkStart w:id="29" w:name="Xc9d4215c93c6aa1c22a3f072a5473f69a412c85"/>
    <w:p>
      <w:pPr>
        <w:pStyle w:val="Heading2"/>
      </w:pPr>
      <w:r>
        <w:t xml:space="preserve">(f) Changements de structure récents absents des pactes</w:t>
      </w:r>
    </w:p>
    <w:tbl>
      <w:tblPr>
        <w:tblStyle w:val="Table"/>
        <w:tblW w:type="dxa" w:w="14570"/>
        <w:tblLook w:firstRow="1" w:lastRow="0" w:firstColumn="0" w:lastColumn="0" w:noHBand="0" w:noVBand="0" w:val="0020"/>
        <w:jc w:val="start"/>
      </w:tblPr>
      <w:tblGrid>
        <w:gridCol w:w="937"/>
        <w:gridCol w:w="7499"/>
        <w:gridCol w:w="1837"/>
        <w:gridCol w:w="4296"/>
      </w:tblGrid>
      <w:tr>
        <w:trPr>
          <w:tblHeader w:val="true"/>
        </w:trPr>
        <w:tc>
          <w:tcPr>
            <w:tcW w:w="937" w:type="dxa"/>
          </w:tcPr>
          <w:tcPr/>
          <w:p>
            <w:pPr>
              <w:pStyle w:val="Compact"/>
              <w:jc w:val="left"/>
            </w:pPr>
            <w:r>
              <w:t xml:space="preserve">Pays</w:t>
            </w:r>
          </w:p>
        </w:tc>
        <w:tc>
          <w:tcPr>
            <w:tcW w:w="7499" w:type="dxa"/>
          </w:tcPr>
          <w:tcPr/>
          <w:p>
            <w:pPr>
              <w:pStyle w:val="Compact"/>
              <w:jc w:val="left"/>
            </w:pPr>
            <w:r>
              <w:t xml:space="preserve">Changement</w:t>
            </w:r>
          </w:p>
        </w:tc>
        <w:tc>
          <w:tcPr>
            <w:tcW w:w="1837" w:type="dxa"/>
          </w:tcPr>
          <w:tcPr/>
          <w:p>
            <w:pPr>
              <w:pStyle w:val="Compact"/>
              <w:jc w:val="left"/>
            </w:pPr>
            <w:r>
              <w:t xml:space="preserve">Date</w:t>
            </w:r>
          </w:p>
        </w:tc>
        <w:tc>
          <w:tcPr>
            <w:tcW w:w="4296" w:type="dxa"/>
          </w:tcPr>
          <w:tcPr/>
          <w:p>
            <w:pPr>
              <w:pStyle w:val="Compact"/>
              <w:jc w:val="left"/>
            </w:pPr>
            <w:r>
              <w:t xml:space="preserve">Présence dans le pacte</w:t>
            </w:r>
          </w:p>
        </w:tc>
      </w:tr>
      <w:tr>
        <w:tc>
          <w:tcPr>
            <w:tcW w:w="937" w:type="dxa"/>
          </w:tcPr>
          <w:tcPr/>
          <w:p>
            <w:pPr>
              <w:pStyle w:val="Compact"/>
              <w:jc w:val="left"/>
            </w:pPr>
            <w:r>
              <w:t xml:space="preserve">TCD</w:t>
            </w:r>
          </w:p>
        </w:tc>
        <w:tc>
          <w:tcPr>
            <w:tcW w:w="7499" w:type="dxa"/>
          </w:tcPr>
          <w:tcPr/>
          <w:p>
            <w:pPr>
              <w:pStyle w:val="Compact"/>
              <w:jc w:val="left"/>
            </w:pPr>
            <w:r>
              <w:t xml:space="preserve">La SNE perd la délégation ; création de</w:t>
            </w:r>
            <w:r>
              <w:t xml:space="preserve"> </w:t>
            </w:r>
            <w:r>
              <w:rPr>
                <w:bCs/>
                <w:b/>
              </w:rPr>
              <w:t xml:space="preserve">TchadElec</w:t>
            </w:r>
            <w:r>
              <w:t xml:space="preserve"> </w:t>
            </w:r>
            <w:r>
              <w:t xml:space="preserve">(100 % État) ; ouverture au privé annoncée en juil. 2026</w:t>
            </w:r>
          </w:p>
        </w:tc>
        <w:tc>
          <w:tcPr>
            <w:tcW w:w="1837" w:type="dxa"/>
          </w:tcPr>
          <w:tcPr/>
          <w:p>
            <w:pPr>
              <w:pStyle w:val="Compact"/>
              <w:jc w:val="left"/>
            </w:pPr>
            <w:r>
              <w:t xml:space="preserve">décret du 07/07/2025</w:t>
            </w:r>
          </w:p>
        </w:tc>
        <w:tc>
          <w:tcPr>
            <w:tcW w:w="4296" w:type="dxa"/>
          </w:tcPr>
          <w:tcPr/>
          <w:p>
            <w:pPr>
              <w:pStyle w:val="Compact"/>
              <w:jc w:val="left"/>
            </w:pPr>
            <w:r>
              <w:t xml:space="preserve">Absent (pacte de déc. 2024, cibles fixées à la SNE) (cf. TCD)</w:t>
            </w:r>
          </w:p>
        </w:tc>
      </w:tr>
      <w:tr>
        <w:tc>
          <w:tcPr>
            <w:tcW w:w="937" w:type="dxa"/>
          </w:tcPr>
          <w:tcPr/>
          <w:p>
            <w:pPr>
              <w:pStyle w:val="Compact"/>
              <w:jc w:val="left"/>
            </w:pPr>
            <w:r>
              <w:t xml:space="preserve">CMR</w:t>
            </w:r>
          </w:p>
        </w:tc>
        <w:tc>
          <w:tcPr>
            <w:tcW w:w="7499" w:type="dxa"/>
          </w:tcPr>
          <w:tcPr/>
          <w:p>
            <w:pPr>
              <w:pStyle w:val="Compact"/>
              <w:jc w:val="left"/>
            </w:pPr>
            <w:r>
              <w:t xml:space="preserve">Rachat des 51 % d’Actis (≈ 78 Md FCFA [S]) ; ENEO devient</w:t>
            </w:r>
            <w:r>
              <w:t xml:space="preserve"> </w:t>
            </w:r>
            <w:r>
              <w:rPr>
                <w:bCs/>
                <w:b/>
              </w:rPr>
              <w:t xml:space="preserve">SOCADEL</w:t>
            </w:r>
          </w:p>
        </w:tc>
        <w:tc>
          <w:tcPr>
            <w:tcW w:w="1837" w:type="dxa"/>
          </w:tcPr>
          <w:tcPr/>
          <w:p>
            <w:pPr>
              <w:pStyle w:val="Compact"/>
              <w:jc w:val="left"/>
            </w:pPr>
            <w:r>
              <w:t xml:space="preserve">nov. 2025 – 04/05/2026</w:t>
            </w:r>
          </w:p>
        </w:tc>
        <w:tc>
          <w:tcPr>
            <w:tcW w:w="4296" w:type="dxa"/>
          </w:tcPr>
          <w:tcPr/>
          <w:p>
            <w:pPr>
              <w:pStyle w:val="Compact"/>
              <w:jc w:val="left"/>
            </w:pPr>
            <w:r>
              <w:t xml:space="preserve">Rachat annoncé ; transformation et gouvernance (DG nommé hors recrutement compétitif) absentes (cf. CMR)</w:t>
            </w:r>
          </w:p>
        </w:tc>
      </w:tr>
      <w:tr>
        <w:tc>
          <w:tcPr>
            <w:tcW w:w="937" w:type="dxa"/>
          </w:tcPr>
          <w:tcPr/>
          <w:p>
            <w:pPr>
              <w:pStyle w:val="Compact"/>
              <w:jc w:val="left"/>
            </w:pPr>
            <w:r>
              <w:t xml:space="preserve">NER</w:t>
            </w:r>
          </w:p>
        </w:tc>
        <w:tc>
          <w:tcPr>
            <w:tcW w:w="7499" w:type="dxa"/>
          </w:tcPr>
          <w:tcPr/>
          <w:p>
            <w:pPr>
              <w:pStyle w:val="Compact"/>
              <w:jc w:val="left"/>
            </w:pPr>
            <w:r>
              <w:rPr>
                <w:bCs/>
                <w:b/>
              </w:rPr>
              <w:t xml:space="preserve">Nationalisation</w:t>
            </w:r>
            <w:r>
              <w:t xml:space="preserve"> </w:t>
            </w:r>
            <w:r>
              <w:t xml:space="preserve">de la NIGELEC, dissolution du conseil</w:t>
            </w:r>
          </w:p>
        </w:tc>
        <w:tc>
          <w:tcPr>
            <w:tcW w:w="1837" w:type="dxa"/>
          </w:tcPr>
          <w:tcPr/>
          <w:p>
            <w:pPr>
              <w:pStyle w:val="Compact"/>
              <w:jc w:val="left"/>
            </w:pPr>
            <w:r>
              <w:t xml:space="preserve">S2 2025</w:t>
            </w:r>
          </w:p>
        </w:tc>
        <w:tc>
          <w:tcPr>
            <w:tcW w:w="4296" w:type="dxa"/>
          </w:tcPr>
          <w:tcPr/>
          <w:p>
            <w:pPr>
              <w:pStyle w:val="Compact"/>
              <w:jc w:val="left"/>
            </w:pPr>
            <w:r>
              <w:t xml:space="preserve">Absent (cf. NER)</w:t>
            </w:r>
          </w:p>
        </w:tc>
      </w:tr>
      <w:tr>
        <w:tc>
          <w:tcPr>
            <w:tcW w:w="937" w:type="dxa"/>
          </w:tcPr>
          <w:tcPr/>
          <w:p>
            <w:pPr>
              <w:pStyle w:val="Compact"/>
              <w:jc w:val="left"/>
            </w:pPr>
            <w:r>
              <w:t xml:space="preserve">ZWE</w:t>
            </w:r>
          </w:p>
        </w:tc>
        <w:tc>
          <w:tcPr>
            <w:tcW w:w="7499" w:type="dxa"/>
          </w:tcPr>
          <w:tcPr/>
          <w:p>
            <w:pPr>
              <w:pStyle w:val="Compact"/>
              <w:jc w:val="left"/>
            </w:pPr>
            <w:r>
              <w:rPr>
                <w:bCs/>
                <w:b/>
              </w:rPr>
              <w:t xml:space="preserve">Regroupement</w:t>
            </w:r>
            <w:r>
              <w:t xml:space="preserve"> </w:t>
            </w:r>
            <w:r>
              <w:t xml:space="preserve">de ZESA en une structure unique (ZESA Private Limited)</w:t>
            </w:r>
          </w:p>
        </w:tc>
        <w:tc>
          <w:tcPr>
            <w:tcW w:w="1837" w:type="dxa"/>
          </w:tcPr>
          <w:tcPr/>
          <w:p>
            <w:pPr>
              <w:pStyle w:val="Compact"/>
              <w:jc w:val="left"/>
            </w:pPr>
            <w:r>
              <w:t xml:space="preserve">août 2026</w:t>
            </w:r>
          </w:p>
        </w:tc>
        <w:tc>
          <w:tcPr>
            <w:tcW w:w="4296" w:type="dxa"/>
          </w:tcPr>
          <w:tcPr/>
          <w:p>
            <w:pPr>
              <w:pStyle w:val="Compact"/>
              <w:jc w:val="left"/>
            </w:pPr>
            <w:r>
              <w:t xml:space="preserve">À rebours de la logique de séparation du pacte (cf. ZWE)</w:t>
            </w:r>
          </w:p>
        </w:tc>
      </w:tr>
      <w:tr>
        <w:tc>
          <w:tcPr>
            <w:tcW w:w="937" w:type="dxa"/>
          </w:tcPr>
          <w:tcPr/>
          <w:p>
            <w:pPr>
              <w:pStyle w:val="Compact"/>
              <w:jc w:val="left"/>
            </w:pPr>
            <w:r>
              <w:t xml:space="preserve">UGA</w:t>
            </w:r>
          </w:p>
        </w:tc>
        <w:tc>
          <w:tcPr>
            <w:tcW w:w="7499" w:type="dxa"/>
          </w:tcPr>
          <w:tcPr/>
          <w:p>
            <w:pPr>
              <w:pStyle w:val="Compact"/>
              <w:jc w:val="left"/>
            </w:pPr>
            <w:r>
              <w:t xml:space="preserve">Reprise d’Umeme par</w:t>
            </w:r>
            <w:r>
              <w:t xml:space="preserve"> </w:t>
            </w:r>
            <w:r>
              <w:rPr>
                <w:bCs/>
                <w:b/>
              </w:rPr>
              <w:t xml:space="preserve">UEDCL</w:t>
            </w:r>
            <w:r>
              <w:t xml:space="preserve"> </w:t>
            </w:r>
            <w:r>
              <w:t xml:space="preserve">; pertes 16 → 18 % ; président du conseil révoqué, DG en congé forcé [S]</w:t>
            </w:r>
          </w:p>
        </w:tc>
        <w:tc>
          <w:tcPr>
            <w:tcW w:w="1837" w:type="dxa"/>
          </w:tcPr>
          <w:tcPr/>
          <w:p>
            <w:pPr>
              <w:pStyle w:val="Compact"/>
              <w:jc w:val="left"/>
            </w:pPr>
            <w:r>
              <w:t xml:space="preserve">01/04/2025 ; 2026</w:t>
            </w:r>
          </w:p>
        </w:tc>
        <w:tc>
          <w:tcPr>
            <w:tcW w:w="4296" w:type="dxa"/>
          </w:tcPr>
          <w:tcPr/>
          <w:p>
            <w:pPr>
              <w:pStyle w:val="Compact"/>
              <w:jc w:val="left"/>
            </w:pPr>
            <w:r>
              <w:t xml:space="preserve">Reprise citée ; dégradation absente (cf. UGA)</w:t>
            </w:r>
          </w:p>
        </w:tc>
      </w:tr>
      <w:tr>
        <w:tc>
          <w:tcPr>
            <w:tcW w:w="937" w:type="dxa"/>
          </w:tcPr>
          <w:tcPr/>
          <w:p>
            <w:pPr>
              <w:pStyle w:val="Compact"/>
              <w:jc w:val="left"/>
            </w:pPr>
            <w:r>
              <w:t xml:space="preserve">COG</w:t>
            </w:r>
          </w:p>
        </w:tc>
        <w:tc>
          <w:tcPr>
            <w:tcW w:w="7499" w:type="dxa"/>
          </w:tcPr>
          <w:tcPr/>
          <w:p>
            <w:pPr>
              <w:pStyle w:val="Compact"/>
              <w:jc w:val="left"/>
            </w:pPr>
            <w:r>
              <w:t xml:space="preserve">Affermage de la distribution (SENELEC présélectionnée)</w:t>
            </w:r>
            <w:r>
              <w:t xml:space="preserve"> </w:t>
            </w:r>
            <w:r>
              <w:rPr>
                <w:bCs/>
                <w:b/>
              </w:rPr>
              <w:t xml:space="preserve">suspendu</w:t>
            </w:r>
          </w:p>
        </w:tc>
        <w:tc>
          <w:tcPr>
            <w:tcW w:w="1837" w:type="dxa"/>
          </w:tcPr>
          <w:tcPr/>
          <w:p>
            <w:pPr>
              <w:pStyle w:val="Compact"/>
              <w:jc w:val="left"/>
            </w:pPr>
            <w:r>
              <w:t xml:space="preserve">2024-2026</w:t>
            </w:r>
          </w:p>
        </w:tc>
        <w:tc>
          <w:tcPr>
            <w:tcW w:w="4296" w:type="dxa"/>
          </w:tcPr>
          <w:tcPr/>
          <w:p>
            <w:pPr>
              <w:pStyle w:val="Compact"/>
              <w:jc w:val="left"/>
            </w:pPr>
            <w:r>
              <w:t xml:space="preserve">Absent (cf. COG)</w:t>
            </w:r>
          </w:p>
        </w:tc>
      </w:tr>
      <w:tr>
        <w:tc>
          <w:tcPr>
            <w:tcW w:w="937" w:type="dxa"/>
          </w:tcPr>
          <w:tcPr/>
          <w:p>
            <w:pPr>
              <w:pStyle w:val="Compact"/>
              <w:jc w:val="left"/>
            </w:pPr>
            <w:r>
              <w:t xml:space="preserve">GAB</w:t>
            </w:r>
          </w:p>
        </w:tc>
        <w:tc>
          <w:tcPr>
            <w:tcW w:w="7499" w:type="dxa"/>
          </w:tcPr>
          <w:tcPr/>
          <w:p>
            <w:pPr>
              <w:pStyle w:val="Compact"/>
              <w:jc w:val="left"/>
            </w:pPr>
            <w:r>
              <w:t xml:space="preserve">Fraude, administration provisoire (levée le 28/05/2025), prêt-relais pour Karpowership</w:t>
            </w:r>
          </w:p>
        </w:tc>
        <w:tc>
          <w:tcPr>
            <w:tcW w:w="1837" w:type="dxa"/>
          </w:tcPr>
          <w:tcPr/>
          <w:p>
            <w:pPr>
              <w:pStyle w:val="Compact"/>
              <w:jc w:val="left"/>
            </w:pPr>
            <w:r>
              <w:t xml:space="preserve">2024-2026</w:t>
            </w:r>
          </w:p>
        </w:tc>
        <w:tc>
          <w:tcPr>
            <w:tcW w:w="4296" w:type="dxa"/>
          </w:tcPr>
          <w:tcPr/>
          <w:p>
            <w:pPr>
              <w:pStyle w:val="Compact"/>
              <w:jc w:val="left"/>
            </w:pPr>
            <w:r>
              <w:t xml:space="preserve">Partiel (cf. GAB)</w:t>
            </w:r>
          </w:p>
        </w:tc>
      </w:tr>
      <w:tr>
        <w:tc>
          <w:tcPr>
            <w:tcW w:w="937" w:type="dxa"/>
          </w:tcPr>
          <w:tcPr/>
          <w:p>
            <w:pPr>
              <w:pStyle w:val="Compact"/>
              <w:jc w:val="left"/>
            </w:pPr>
            <w:r>
              <w:t xml:space="preserve">MDG</w:t>
            </w:r>
          </w:p>
        </w:tc>
        <w:tc>
          <w:tcPr>
            <w:tcW w:w="7499" w:type="dxa"/>
          </w:tcPr>
          <w:tcPr/>
          <w:p>
            <w:pPr>
              <w:pStyle w:val="Compact"/>
              <w:jc w:val="left"/>
            </w:pPr>
            <w:r>
              <w:t xml:space="preserve">Nouveaux statuts (mars 2025), transition politique fin 2025, plan de restructuration de la dette (janv. 2026)</w:t>
            </w:r>
          </w:p>
        </w:tc>
        <w:tc>
          <w:tcPr>
            <w:tcW w:w="1837" w:type="dxa"/>
          </w:tcPr>
          <w:tcPr/>
          <w:p>
            <w:pPr>
              <w:pStyle w:val="Compact"/>
              <w:jc w:val="left"/>
            </w:pPr>
            <w:r>
              <w:t xml:space="preserve">2025-26</w:t>
            </w:r>
          </w:p>
        </w:tc>
        <w:tc>
          <w:tcPr>
            <w:tcW w:w="4296" w:type="dxa"/>
          </w:tcPr>
          <w:tcPr/>
          <w:p>
            <w:pPr>
              <w:pStyle w:val="Compact"/>
              <w:jc w:val="left"/>
            </w:pPr>
            <w:r>
              <w:t xml:space="preserve">Partiel (cf. MDG)</w:t>
            </w:r>
          </w:p>
        </w:tc>
      </w:tr>
      <w:tr>
        <w:tc>
          <w:tcPr>
            <w:tcW w:w="937" w:type="dxa"/>
          </w:tcPr>
          <w:tcPr/>
          <w:p>
            <w:pPr>
              <w:pStyle w:val="Compact"/>
              <w:jc w:val="left"/>
            </w:pPr>
            <w:r>
              <w:t xml:space="preserve">SEN</w:t>
            </w:r>
          </w:p>
        </w:tc>
        <w:tc>
          <w:tcPr>
            <w:tcW w:w="7499" w:type="dxa"/>
          </w:tcPr>
          <w:tcPr/>
          <w:p>
            <w:pPr>
              <w:pStyle w:val="Compact"/>
              <w:jc w:val="left"/>
            </w:pPr>
            <w:r>
              <w:t xml:space="preserve">Crise de la dette cachée, DPF BM</w:t>
            </w:r>
            <w:r>
              <w:t xml:space="preserve"> </w:t>
            </w:r>
            <w:r>
              <w:rPr>
                <w:iCs/>
                <w:i/>
              </w:rPr>
              <w:t xml:space="preserve">Dropped</w:t>
            </w:r>
            <w:r>
              <w:t xml:space="preserve">, baisse tarifaire en 2025</w:t>
            </w:r>
          </w:p>
        </w:tc>
        <w:tc>
          <w:tcPr>
            <w:tcW w:w="1837" w:type="dxa"/>
          </w:tcPr>
          <w:tcPr/>
          <w:p>
            <w:pPr>
              <w:pStyle w:val="Compact"/>
              <w:jc w:val="left"/>
            </w:pPr>
            <w:r>
              <w:t xml:space="preserve">2025-26</w:t>
            </w:r>
          </w:p>
        </w:tc>
        <w:tc>
          <w:tcPr>
            <w:tcW w:w="4296" w:type="dxa"/>
          </w:tcPr>
          <w:tcPr/>
          <w:p>
            <w:pPr>
              <w:pStyle w:val="Compact"/>
              <w:jc w:val="left"/>
            </w:pPr>
            <w:r>
              <w:t xml:space="preserve">Absent (pacte de janv. 2025) (cf. SEN)</w:t>
            </w:r>
          </w:p>
        </w:tc>
      </w:tr>
      <w:tr>
        <w:tc>
          <w:tcPr>
            <w:tcW w:w="937" w:type="dxa"/>
          </w:tcPr>
          <w:tcPr/>
          <w:p>
            <w:pPr>
              <w:pStyle w:val="Compact"/>
              <w:jc w:val="left"/>
            </w:pPr>
            <w:r>
              <w:t xml:space="preserve">KEN</w:t>
            </w:r>
          </w:p>
        </w:tc>
        <w:tc>
          <w:tcPr>
            <w:tcW w:w="7499" w:type="dxa"/>
          </w:tcPr>
          <w:tcPr/>
          <w:p>
            <w:pPr>
              <w:pStyle w:val="Compact"/>
              <w:jc w:val="left"/>
            </w:pPr>
            <w:r>
              <w:t xml:space="preserve">Retrait ministériel de la demande tarifaire 2026-2029</w:t>
            </w:r>
          </w:p>
        </w:tc>
        <w:tc>
          <w:tcPr>
            <w:tcW w:w="1837" w:type="dxa"/>
          </w:tcPr>
          <w:tcPr/>
          <w:p>
            <w:pPr>
              <w:pStyle w:val="Compact"/>
              <w:jc w:val="left"/>
            </w:pPr>
            <w:r>
              <w:t xml:space="preserve">03/06/2026</w:t>
            </w:r>
          </w:p>
        </w:tc>
        <w:tc>
          <w:tcPr>
            <w:tcW w:w="4296" w:type="dxa"/>
          </w:tcPr>
          <w:tcPr/>
          <w:p>
            <w:pPr>
              <w:pStyle w:val="Compact"/>
              <w:jc w:val="left"/>
            </w:pPr>
            <w:r>
              <w:t xml:space="preserve">Contredit le pacte (cf. KEN)</w:t>
            </w:r>
          </w:p>
        </w:tc>
      </w:tr>
      <w:tr>
        <w:tc>
          <w:tcPr>
            <w:tcW w:w="937" w:type="dxa"/>
          </w:tcPr>
          <w:tcPr/>
          <w:p>
            <w:pPr>
              <w:pStyle w:val="Compact"/>
              <w:jc w:val="left"/>
            </w:pPr>
            <w:r>
              <w:t xml:space="preserve">STP / LSO / LBR</w:t>
            </w:r>
          </w:p>
        </w:tc>
        <w:tc>
          <w:tcPr>
            <w:tcW w:w="7499" w:type="dxa"/>
          </w:tcPr>
          <w:tcPr/>
          <w:p>
            <w:pPr>
              <w:pStyle w:val="Compact"/>
              <w:jc w:val="left"/>
            </w:pPr>
            <w:r>
              <w:t xml:space="preserve">Intervention dans la gestion puis concours de recrutement (STP) ; direction suspendue (LSO) ; instabilité de la direction (LBR)</w:t>
            </w:r>
          </w:p>
        </w:tc>
        <w:tc>
          <w:tcPr>
            <w:tcW w:w="1837" w:type="dxa"/>
          </w:tcPr>
          <w:tcPr/>
          <w:p>
            <w:pPr>
              <w:pStyle w:val="Compact"/>
              <w:jc w:val="left"/>
            </w:pPr>
            <w:r>
              <w:t xml:space="preserve">2024-2026</w:t>
            </w:r>
          </w:p>
        </w:tc>
        <w:tc>
          <w:tcPr>
            <w:tcW w:w="4296" w:type="dxa"/>
          </w:tcPr>
          <w:tcPr/>
          <w:p>
            <w:pPr>
              <w:pStyle w:val="Compact"/>
              <w:jc w:val="left"/>
            </w:pPr>
            <w:r>
              <w:t xml:space="preserve">Absents</w:t>
            </w:r>
          </w:p>
        </w:tc>
      </w:tr>
      <w:tr>
        <w:tc>
          <w:tcPr>
            <w:tcW w:w="937" w:type="dxa"/>
          </w:tcPr>
          <w:tcPr/>
          <w:p>
            <w:pPr>
              <w:pStyle w:val="Compact"/>
              <w:jc w:val="left"/>
            </w:pPr>
            <w:r>
              <w:t xml:space="preserve">SLE</w:t>
            </w:r>
          </w:p>
        </w:tc>
        <w:tc>
          <w:tcPr>
            <w:tcW w:w="7499" w:type="dxa"/>
          </w:tcPr>
          <w:tcPr/>
          <w:p>
            <w:pPr>
              <w:pStyle w:val="Compact"/>
              <w:jc w:val="left"/>
            </w:pPr>
            <w:r>
              <w:t xml:space="preserve">Concession EDSA repoussée à fin mai 2027 ; Umeme cité comme concessionnaire [S, non vérifié]</w:t>
            </w:r>
          </w:p>
        </w:tc>
        <w:tc>
          <w:tcPr>
            <w:tcW w:w="1837" w:type="dxa"/>
          </w:tcPr>
          <w:tcPr/>
          <w:p>
            <w:pPr>
              <w:pStyle w:val="Compact"/>
              <w:jc w:val="left"/>
            </w:pPr>
            <w:r>
              <w:t xml:space="preserve">2026</w:t>
            </w:r>
          </w:p>
        </w:tc>
        <w:tc>
          <w:tcPr>
            <w:tcW w:w="4296" w:type="dxa"/>
          </w:tcPr>
          <w:tcPr/>
          <w:p>
            <w:pPr>
              <w:pStyle w:val="Compact"/>
              <w:jc w:val="left"/>
            </w:pPr>
            <w:r>
              <w:t xml:space="preserve">Calendrier du pacte dépassé (cf. SLE)</w:t>
            </w:r>
          </w:p>
        </w:tc>
      </w:tr>
    </w:tbl>
    <w:p>
      <w:pPr>
        <w:pStyle w:val="BodyText"/>
      </w:pPr>
      <w:r>
        <w:rPr>
          <w:bCs/>
          <w:b/>
        </w:rPr>
        <w:t xml:space="preserve">Constat [E]</w:t>
      </w:r>
      <w:r>
        <w:t xml:space="preserve"> </w:t>
      </w:r>
      <w:r>
        <w:t xml:space="preserve">: le mouvement net de 2025-2026 est un</w:t>
      </w:r>
      <w:r>
        <w:t xml:space="preserve"> </w:t>
      </w:r>
      <w:r>
        <w:rPr>
          <w:bCs/>
          <w:b/>
        </w:rPr>
        <w:t xml:space="preserve">retour à l’État</w:t>
      </w:r>
      <w:r>
        <w:t xml:space="preserve"> </w:t>
      </w:r>
      <w:r>
        <w:t xml:space="preserve">(CMR, NER, UGA, TCD, regroupement ZWE, gel de l’affermage COG). La délégation au privé est, elle, reportée : GHA en juin 2027, SLE en mai 2027, STP sans trace.</w:t>
      </w:r>
    </w:p>
    <w:p>
      <w:pPr>
        <w:pStyle w:val="BodyText"/>
      </w:pPr>
      <w:r>
        <w:t xml:space="preserve">Deux connexions croisées entre fiches méritent d’être suivies :</w:t>
      </w:r>
      <w:r>
        <w:t xml:space="preserve"> </w:t>
      </w:r>
      <w:r>
        <w:rPr>
          <w:bCs/>
          <w:b/>
        </w:rPr>
        <w:t xml:space="preserve">Umeme</w:t>
      </w:r>
      <w:r>
        <w:t xml:space="preserve">, qui sort d’Ouganda et se positionne en Sierra Leone [S] ;</w:t>
      </w:r>
      <w:r>
        <w:t xml:space="preserve"> </w:t>
      </w:r>
      <w:r>
        <w:rPr>
          <w:bCs/>
          <w:b/>
        </w:rPr>
        <w:t xml:space="preserve">SENELEC</w:t>
      </w:r>
      <w:r>
        <w:t xml:space="preserve">, présélectionnée comme fermier au Congo alors que sa propre fiche n’en dit rien (cf. COG, SEN).</w:t>
      </w:r>
    </w:p>
    <w:bookmarkEnd w:id="29"/>
    <w:bookmarkStart w:id="30" w:name="g-efficacité-des-programmes-bmbad"/>
    <w:p>
      <w:pPr>
        <w:pStyle w:val="Heading2"/>
      </w:pPr>
      <w:r>
        <w:t xml:space="preserve">(g) Efficacité des programmes BM/BAD</w:t>
      </w:r>
    </w:p>
    <w:p>
      <w:pPr>
        <w:pStyle w:val="FirstParagraph"/>
      </w:pPr>
      <w:r>
        <w:rPr>
          <w:bCs/>
          <w:b/>
        </w:rPr>
        <w:t xml:space="preserve">Décaissements et résultats des opérations ciblant l’opérateur (au dernier ISR cité) :</w:t>
      </w:r>
    </w:p>
    <w:tbl>
      <w:tblPr>
        <w:tblStyle w:val="Table"/>
        <w:tblW w:type="dxa" w:w="14570"/>
        <w:tblLook w:firstRow="1" w:lastRow="0" w:firstColumn="0" w:lastColumn="0" w:noHBand="0" w:noVBand="0" w:val="0020"/>
        <w:jc w:val="start"/>
      </w:tblPr>
      <w:tblGrid>
        <w:gridCol w:w="3597"/>
        <w:gridCol w:w="3162"/>
        <w:gridCol w:w="6707"/>
        <w:gridCol w:w="1102"/>
      </w:tblGrid>
      <w:tr>
        <w:trPr>
          <w:tblHeader w:val="true"/>
        </w:trPr>
        <w:tc>
          <w:tcPr>
            <w:tcW w:w="3597" w:type="dxa"/>
          </w:tcPr>
          <w:tcPr/>
          <w:p>
            <w:pPr>
              <w:pStyle w:val="Compact"/>
              <w:jc w:val="left"/>
            </w:pPr>
            <w:r>
              <w:t xml:space="preserve">Programme (ID)</w:t>
            </w:r>
          </w:p>
        </w:tc>
        <w:tc>
          <w:tcPr>
            <w:tcW w:w="3162" w:type="dxa"/>
          </w:tcPr>
          <w:tcPr/>
          <w:p>
            <w:pPr>
              <w:pStyle w:val="Compact"/>
              <w:jc w:val="left"/>
            </w:pPr>
            <w:r>
              <w:t xml:space="preserve">Décaissement</w:t>
            </w:r>
          </w:p>
        </w:tc>
        <w:tc>
          <w:tcPr>
            <w:tcW w:w="6707" w:type="dxa"/>
          </w:tcPr>
          <w:tcPr/>
          <w:p>
            <w:pPr>
              <w:pStyle w:val="Compact"/>
              <w:jc w:val="left"/>
            </w:pPr>
            <w:r>
              <w:t xml:space="preserve">DLI / PBC</w:t>
            </w:r>
          </w:p>
        </w:tc>
        <w:tc>
          <w:tcPr>
            <w:tcW w:w="1102" w:type="dxa"/>
          </w:tcPr>
          <w:tcPr/>
          <w:p>
            <w:pPr>
              <w:pStyle w:val="Compact"/>
              <w:jc w:val="left"/>
            </w:pPr>
            <w:r>
              <w:t xml:space="preserve">Fiche</w:t>
            </w:r>
          </w:p>
        </w:tc>
      </w:tr>
      <w:tr>
        <w:tc>
          <w:tcPr>
            <w:tcW w:w="3597" w:type="dxa"/>
          </w:tcPr>
          <w:tcPr/>
          <w:p>
            <w:pPr>
              <w:pStyle w:val="Compact"/>
              <w:jc w:val="left"/>
            </w:pPr>
            <w:r>
              <w:t xml:space="preserve">DISREP NGA (P172891)</w:t>
            </w:r>
          </w:p>
        </w:tc>
        <w:tc>
          <w:tcPr>
            <w:tcW w:w="3162" w:type="dxa"/>
          </w:tcPr>
          <w:tcPr/>
          <w:p>
            <w:pPr>
              <w:pStyle w:val="Compact"/>
              <w:jc w:val="left"/>
            </w:pPr>
            <w:r>
              <w:rPr>
                <w:bCs/>
                <w:b/>
              </w:rPr>
              <w:t xml:space="preserve">2,77 %</w:t>
            </w:r>
            <w:r>
              <w:t xml:space="preserve"> </w:t>
            </w:r>
            <w:r>
              <w:t xml:space="preserve">(janv. 2025) du prêt BIRD de 500 M USD</w:t>
            </w:r>
          </w:p>
        </w:tc>
        <w:tc>
          <w:tcPr>
            <w:tcW w:w="6707" w:type="dxa"/>
          </w:tcPr>
          <w:tcPr/>
          <w:p>
            <w:pPr>
              <w:pStyle w:val="Compact"/>
              <w:jc w:val="left"/>
            </w:pPr>
            <w:r>
              <w:t xml:space="preserve">DLI réduits de 5 à 2 ; notes MU</w:t>
            </w:r>
          </w:p>
        </w:tc>
        <w:tc>
          <w:tcPr>
            <w:tcW w:w="1102" w:type="dxa"/>
          </w:tcPr>
          <w:tcPr/>
          <w:p>
            <w:pPr>
              <w:pStyle w:val="Compact"/>
              <w:jc w:val="left"/>
            </w:pPr>
            <w:r>
              <w:t xml:space="preserve">NGA</w:t>
            </w:r>
          </w:p>
        </w:tc>
      </w:tr>
      <w:tr>
        <w:tc>
          <w:tcPr>
            <w:tcW w:w="3597" w:type="dxa"/>
          </w:tcPr>
          <w:tcPr/>
          <w:p>
            <w:pPr>
              <w:pStyle w:val="Compact"/>
              <w:jc w:val="left"/>
            </w:pPr>
            <w:r>
              <w:t xml:space="preserve">AGREE COD (P173506)</w:t>
            </w:r>
          </w:p>
        </w:tc>
        <w:tc>
          <w:tcPr>
            <w:tcW w:w="3162" w:type="dxa"/>
          </w:tcPr>
          <w:tcPr/>
          <w:p>
            <w:pPr>
              <w:pStyle w:val="Compact"/>
              <w:jc w:val="left"/>
            </w:pPr>
            <w:r>
              <w:rPr>
                <w:bCs/>
                <w:b/>
              </w:rPr>
              <w:t xml:space="preserve">6,88 %</w:t>
            </w:r>
            <w:r>
              <w:t xml:space="preserve"> </w:t>
            </w:r>
            <w:r>
              <w:t xml:space="preserve">(déc. 2025)</w:t>
            </w:r>
          </w:p>
        </w:tc>
        <w:tc>
          <w:tcPr>
            <w:tcW w:w="6707" w:type="dxa"/>
          </w:tcPr>
          <w:tcPr/>
          <w:p>
            <w:pPr>
              <w:pStyle w:val="Compact"/>
              <w:jc w:val="left"/>
            </w:pPr>
            <w:r>
              <w:rPr>
                <w:bCs/>
                <w:b/>
              </w:rPr>
              <w:t xml:space="preserve">PBC supprimés</w:t>
            </w:r>
            <w:r>
              <w:t xml:space="preserve"> </w:t>
            </w:r>
            <w:r>
              <w:t xml:space="preserve">(déc. 2024) ; IDA ramenée de 600 à 500 M ; périmètre réduit d’≈ 50 %</w:t>
            </w:r>
          </w:p>
        </w:tc>
        <w:tc>
          <w:tcPr>
            <w:tcW w:w="1102" w:type="dxa"/>
          </w:tcPr>
          <w:tcPr/>
          <w:p>
            <w:pPr>
              <w:pStyle w:val="Compact"/>
              <w:jc w:val="left"/>
            </w:pPr>
            <w:r>
              <w:t xml:space="preserve">COD</w:t>
            </w:r>
          </w:p>
        </w:tc>
      </w:tr>
      <w:tr>
        <w:tc>
          <w:tcPr>
            <w:tcW w:w="3597" w:type="dxa"/>
          </w:tcPr>
          <w:tcPr/>
          <w:p>
            <w:pPr>
              <w:pStyle w:val="Compact"/>
              <w:jc w:val="left"/>
            </w:pPr>
            <w:r>
              <w:t xml:space="preserve">PASEL COG (P501343)</w:t>
            </w:r>
          </w:p>
        </w:tc>
        <w:tc>
          <w:tcPr>
            <w:tcW w:w="3162" w:type="dxa"/>
          </w:tcPr>
          <w:tcPr/>
          <w:p>
            <w:pPr>
              <w:pStyle w:val="Compact"/>
              <w:jc w:val="left"/>
            </w:pPr>
            <w:r>
              <w:t xml:space="preserve">≈ 9 %</w:t>
            </w:r>
          </w:p>
        </w:tc>
        <w:tc>
          <w:tcPr>
            <w:tcW w:w="6707" w:type="dxa"/>
          </w:tcPr>
          <w:tcPr/>
          <w:p>
            <w:pPr>
              <w:pStyle w:val="Compact"/>
              <w:jc w:val="left"/>
            </w:pPr>
            <w:r>
              <w:t xml:space="preserve">PBC 1.1, 1.2 hors trajectoire ; PBC 3 (tarif social) bloqué</w:t>
            </w:r>
          </w:p>
        </w:tc>
        <w:tc>
          <w:tcPr>
            <w:tcW w:w="1102" w:type="dxa"/>
          </w:tcPr>
          <w:tcPr/>
          <w:p>
            <w:pPr>
              <w:pStyle w:val="Compact"/>
              <w:jc w:val="left"/>
            </w:pPr>
            <w:r>
              <w:t xml:space="preserve">COG</w:t>
            </w:r>
          </w:p>
        </w:tc>
      </w:tr>
      <w:tr>
        <w:tc>
          <w:tcPr>
            <w:tcW w:w="3597" w:type="dxa"/>
          </w:tcPr>
          <w:tcPr/>
          <w:p>
            <w:pPr>
              <w:pStyle w:val="Compact"/>
              <w:jc w:val="left"/>
            </w:pPr>
            <w:r>
              <w:t xml:space="preserve">PRSEC CMR (P178136)</w:t>
            </w:r>
          </w:p>
        </w:tc>
        <w:tc>
          <w:tcPr>
            <w:tcW w:w="3162" w:type="dxa"/>
          </w:tcPr>
          <w:tcPr/>
          <w:p>
            <w:pPr>
              <w:pStyle w:val="Compact"/>
              <w:jc w:val="left"/>
            </w:pPr>
            <w:r>
              <w:t xml:space="preserve">35,75 %</w:t>
            </w:r>
          </w:p>
        </w:tc>
        <w:tc>
          <w:tcPr>
            <w:tcW w:w="6707" w:type="dxa"/>
          </w:tcPr>
          <w:tcPr/>
          <w:p>
            <w:pPr>
              <w:pStyle w:val="Compact"/>
              <w:jc w:val="left"/>
            </w:pPr>
            <w:r>
              <w:rPr>
                <w:bCs/>
                <w:b/>
              </w:rPr>
              <w:t xml:space="preserve">Aucun DLI atteint</w:t>
            </w:r>
            <w:r>
              <w:t xml:space="preserve"> </w:t>
            </w:r>
            <w:r>
              <w:t xml:space="preserve">en 2025 (vérificateur non recruté) ; 20 690 personnes raccordées sur 1 055 000</w:t>
            </w:r>
          </w:p>
        </w:tc>
        <w:tc>
          <w:tcPr>
            <w:tcW w:w="1102" w:type="dxa"/>
          </w:tcPr>
          <w:tcPr/>
          <w:p>
            <w:pPr>
              <w:pStyle w:val="Compact"/>
              <w:jc w:val="left"/>
            </w:pPr>
            <w:r>
              <w:t xml:space="preserve">CMR</w:t>
            </w:r>
          </w:p>
        </w:tc>
      </w:tr>
      <w:tr>
        <w:tc>
          <w:tcPr>
            <w:tcW w:w="3597" w:type="dxa"/>
          </w:tcPr>
          <w:tcPr/>
          <w:p>
            <w:pPr>
              <w:pStyle w:val="Compact"/>
              <w:jc w:val="left"/>
            </w:pPr>
            <w:r>
              <w:t xml:space="preserve">ASCENT BDI (P181494)</w:t>
            </w:r>
          </w:p>
        </w:tc>
        <w:tc>
          <w:tcPr>
            <w:tcW w:w="3162" w:type="dxa"/>
          </w:tcPr>
          <w:tcPr/>
          <w:p>
            <w:pPr>
              <w:pStyle w:val="Compact"/>
              <w:jc w:val="left"/>
            </w:pPr>
            <w:r>
              <w:t xml:space="preserve">[?]</w:t>
            </w:r>
          </w:p>
        </w:tc>
        <w:tc>
          <w:tcPr>
            <w:tcW w:w="6707" w:type="dxa"/>
          </w:tcPr>
          <w:tcPr/>
          <w:p>
            <w:pPr>
              <w:pStyle w:val="Compact"/>
              <w:jc w:val="left"/>
            </w:pPr>
            <w:r>
              <w:t xml:space="preserve">0 PBC atteinte, 0 raccordement (août 2026)</w:t>
            </w:r>
          </w:p>
        </w:tc>
        <w:tc>
          <w:tcPr>
            <w:tcW w:w="1102" w:type="dxa"/>
          </w:tcPr>
          <w:tcPr/>
          <w:p>
            <w:pPr>
              <w:pStyle w:val="Compact"/>
              <w:jc w:val="left"/>
            </w:pPr>
            <w:r>
              <w:t xml:space="preserve">BDI</w:t>
            </w:r>
          </w:p>
        </w:tc>
      </w:tr>
      <w:tr>
        <w:tc>
          <w:tcPr>
            <w:tcW w:w="3597" w:type="dxa"/>
          </w:tcPr>
          <w:tcPr/>
          <w:p>
            <w:pPr>
              <w:pStyle w:val="Compact"/>
              <w:jc w:val="left"/>
            </w:pPr>
            <w:r>
              <w:t xml:space="preserve">ESRP GHA (P173258)</w:t>
            </w:r>
          </w:p>
        </w:tc>
        <w:tc>
          <w:tcPr>
            <w:tcW w:w="3162" w:type="dxa"/>
          </w:tcPr>
          <w:tcPr/>
          <w:p>
            <w:pPr>
              <w:pStyle w:val="Compact"/>
              <w:jc w:val="left"/>
            </w:pPr>
            <w:r>
              <w:t xml:space="preserve">0 % (dernier ISR consulté)</w:t>
            </w:r>
          </w:p>
        </w:tc>
        <w:tc>
          <w:tcPr>
            <w:tcW w:w="6707" w:type="dxa"/>
          </w:tcPr>
          <w:tcPr/>
          <w:p>
            <w:pPr>
              <w:pStyle w:val="Compact"/>
              <w:jc w:val="left"/>
            </w:pPr>
            <w:r>
              <w:t xml:space="preserve">[S] note « Unsatisfactory » en 2026, non vérifiée</w:t>
            </w:r>
          </w:p>
        </w:tc>
        <w:tc>
          <w:tcPr>
            <w:tcW w:w="1102" w:type="dxa"/>
          </w:tcPr>
          <w:tcPr/>
          <w:p>
            <w:pPr>
              <w:pStyle w:val="Compact"/>
              <w:jc w:val="left"/>
            </w:pPr>
            <w:r>
              <w:t xml:space="preserve">GHA</w:t>
            </w:r>
          </w:p>
        </w:tc>
      </w:tr>
      <w:tr>
        <w:tc>
          <w:tcPr>
            <w:tcW w:w="3597" w:type="dxa"/>
          </w:tcPr>
          <w:tcPr/>
          <w:p>
            <w:pPr>
              <w:pStyle w:val="Compact"/>
              <w:jc w:val="left"/>
            </w:pPr>
            <w:r>
              <w:t xml:space="preserve">GREEN KEN (P176698)</w:t>
            </w:r>
          </w:p>
        </w:tc>
        <w:tc>
          <w:tcPr>
            <w:tcW w:w="3162" w:type="dxa"/>
          </w:tcPr>
          <w:tcPr/>
          <w:p>
            <w:pPr>
              <w:pStyle w:val="Compact"/>
              <w:jc w:val="left"/>
            </w:pPr>
            <w:r>
              <w:t xml:space="preserve">36 % / 45 %</w:t>
            </w:r>
          </w:p>
        </w:tc>
        <w:tc>
          <w:tcPr>
            <w:tcW w:w="6707" w:type="dxa"/>
          </w:tcPr>
          <w:tcPr/>
          <w:p>
            <w:pPr>
              <w:pStyle w:val="Compact"/>
              <w:jc w:val="left"/>
            </w:pPr>
            <w:r>
              <w:t xml:space="preserve">DLI 3.2 hors trajectoire, DLI 2.1 non atteint</w:t>
            </w:r>
          </w:p>
        </w:tc>
        <w:tc>
          <w:tcPr>
            <w:tcW w:w="1102" w:type="dxa"/>
          </w:tcPr>
          <w:tcPr/>
          <w:p>
            <w:pPr>
              <w:pStyle w:val="Compact"/>
              <w:jc w:val="left"/>
            </w:pPr>
            <w:r>
              <w:t xml:space="preserve">KEN</w:t>
            </w:r>
          </w:p>
        </w:tc>
      </w:tr>
      <w:tr>
        <w:tc>
          <w:tcPr>
            <w:tcW w:w="3597" w:type="dxa"/>
          </w:tcPr>
          <w:tcPr/>
          <w:p>
            <w:pPr>
              <w:pStyle w:val="Compact"/>
              <w:jc w:val="left"/>
            </w:pPr>
            <w:r>
              <w:t xml:space="preserve">PSRO NGA (P164001)</w:t>
            </w:r>
          </w:p>
        </w:tc>
        <w:tc>
          <w:tcPr>
            <w:tcW w:w="3162" w:type="dxa"/>
          </w:tcPr>
          <w:tcPr/>
          <w:p>
            <w:pPr>
              <w:pStyle w:val="Compact"/>
              <w:jc w:val="left"/>
            </w:pPr>
            <w:r>
              <w:t xml:space="preserve">1re tranche 97 % ; AF BIRD 0,25 %</w:t>
            </w:r>
          </w:p>
        </w:tc>
        <w:tc>
          <w:tcPr>
            <w:tcW w:w="6707" w:type="dxa"/>
          </w:tcPr>
          <w:tcPr/>
          <w:p>
            <w:pPr>
              <w:pStyle w:val="Compact"/>
              <w:jc w:val="left"/>
            </w:pPr>
            <w:r>
              <w:t xml:space="preserve">MU, risque élevé</w:t>
            </w:r>
          </w:p>
        </w:tc>
        <w:tc>
          <w:tcPr>
            <w:tcW w:w="1102" w:type="dxa"/>
          </w:tcPr>
          <w:tcPr/>
          <w:p>
            <w:pPr>
              <w:pStyle w:val="Compact"/>
              <w:jc w:val="left"/>
            </w:pPr>
            <w:r>
              <w:t xml:space="preserve">NGA</w:t>
            </w:r>
          </w:p>
        </w:tc>
      </w:tr>
      <w:tr>
        <w:tc>
          <w:tcPr>
            <w:tcW w:w="3597" w:type="dxa"/>
          </w:tcPr>
          <w:tcPr/>
          <w:p>
            <w:pPr>
              <w:pStyle w:val="Compact"/>
              <w:jc w:val="left"/>
            </w:pPr>
            <w:r>
              <w:t xml:space="preserve">BEAS BEN (P173749)</w:t>
            </w:r>
          </w:p>
        </w:tc>
        <w:tc>
          <w:tcPr>
            <w:tcW w:w="3162" w:type="dxa"/>
          </w:tcPr>
          <w:tcPr/>
          <w:p>
            <w:pPr>
              <w:pStyle w:val="Compact"/>
              <w:jc w:val="left"/>
            </w:pPr>
            <w:r>
              <w:t xml:space="preserve">56,7 %</w:t>
            </w:r>
          </w:p>
        </w:tc>
        <w:tc>
          <w:tcPr>
            <w:tcW w:w="6707" w:type="dxa"/>
          </w:tcPr>
          <w:tcPr/>
          <w:p>
            <w:pPr>
              <w:pStyle w:val="Compact"/>
              <w:jc w:val="left"/>
            </w:pPr>
            <w:r>
              <w:t xml:space="preserve">Composante PBC réduite de 7 M à 0,004 M USD</w:t>
            </w:r>
          </w:p>
        </w:tc>
        <w:tc>
          <w:tcPr>
            <w:tcW w:w="1102" w:type="dxa"/>
          </w:tcPr>
          <w:tcPr/>
          <w:p>
            <w:pPr>
              <w:pStyle w:val="Compact"/>
              <w:jc w:val="left"/>
            </w:pPr>
            <w:r>
              <w:t xml:space="preserve">BEN</w:t>
            </w:r>
          </w:p>
        </w:tc>
      </w:tr>
      <w:tr>
        <w:tc>
          <w:tcPr>
            <w:tcW w:w="3597" w:type="dxa"/>
          </w:tcPr>
          <w:tcPr/>
          <w:p>
            <w:pPr>
              <w:pStyle w:val="Compact"/>
              <w:jc w:val="left"/>
            </w:pPr>
            <w:r>
              <w:t xml:space="preserve">IDEA TGO (P176769)</w:t>
            </w:r>
          </w:p>
        </w:tc>
        <w:tc>
          <w:tcPr>
            <w:tcW w:w="3162" w:type="dxa"/>
          </w:tcPr>
          <w:tcPr/>
          <w:p>
            <w:pPr>
              <w:pStyle w:val="Compact"/>
              <w:jc w:val="left"/>
            </w:pPr>
            <w:r>
              <w:t xml:space="preserve">40,7 %</w:t>
            </w:r>
          </w:p>
        </w:tc>
        <w:tc>
          <w:tcPr>
            <w:tcW w:w="6707" w:type="dxa"/>
          </w:tcPr>
          <w:tcPr/>
          <w:p>
            <w:pPr>
              <w:pStyle w:val="Compact"/>
              <w:jc w:val="left"/>
            </w:pPr>
            <w:r>
              <w:rPr>
                <w:bCs/>
                <w:b/>
              </w:rPr>
              <w:t xml:space="preserve">4 PBC atteintes</w:t>
            </w:r>
            <w:r>
              <w:t xml:space="preserve"> </w:t>
            </w:r>
            <w:r>
              <w:t xml:space="preserve">(comptage, comptes, dette, revenu requis) ; travaux en retard</w:t>
            </w:r>
          </w:p>
        </w:tc>
        <w:tc>
          <w:tcPr>
            <w:tcW w:w="1102" w:type="dxa"/>
          </w:tcPr>
          <w:tcPr/>
          <w:p>
            <w:pPr>
              <w:pStyle w:val="Compact"/>
              <w:jc w:val="left"/>
            </w:pPr>
            <w:r>
              <w:t xml:space="preserve">TGO</w:t>
            </w:r>
          </w:p>
        </w:tc>
      </w:tr>
      <w:tr>
        <w:tc>
          <w:tcPr>
            <w:tcW w:w="3597" w:type="dxa"/>
          </w:tcPr>
          <w:tcPr/>
          <w:p>
            <w:pPr>
              <w:pStyle w:val="Compact"/>
              <w:jc w:val="left"/>
            </w:pPr>
            <w:r>
              <w:t xml:space="preserve">NEDA CIV (P176776)</w:t>
            </w:r>
          </w:p>
        </w:tc>
        <w:tc>
          <w:tcPr>
            <w:tcW w:w="3162" w:type="dxa"/>
          </w:tcPr>
          <w:tcPr/>
          <w:p>
            <w:pPr>
              <w:pStyle w:val="Compact"/>
              <w:jc w:val="left"/>
            </w:pPr>
            <w:r>
              <w:rPr>
                <w:bCs/>
                <w:b/>
              </w:rPr>
              <w:t xml:space="preserve">79 %</w:t>
            </w:r>
          </w:p>
        </w:tc>
        <w:tc>
          <w:tcPr>
            <w:tcW w:w="6707" w:type="dxa"/>
          </w:tcPr>
          <w:tcPr/>
          <w:p>
            <w:pPr>
              <w:pStyle w:val="Compact"/>
              <w:jc w:val="left"/>
            </w:pPr>
            <w:r>
              <w:t xml:space="preserve">DLI de raccordement ; notes « Satisfactory »</w:t>
            </w:r>
          </w:p>
        </w:tc>
        <w:tc>
          <w:tcPr>
            <w:tcW w:w="1102" w:type="dxa"/>
          </w:tcPr>
          <w:tcPr/>
          <w:p>
            <w:pPr>
              <w:pStyle w:val="Compact"/>
              <w:jc w:val="left"/>
            </w:pPr>
            <w:r>
              <w:t xml:space="preserve">CIV</w:t>
            </w:r>
          </w:p>
        </w:tc>
      </w:tr>
      <w:tr>
        <w:tc>
          <w:tcPr>
            <w:tcW w:w="3597" w:type="dxa"/>
          </w:tcPr>
          <w:tcPr/>
          <w:p>
            <w:pPr>
              <w:pStyle w:val="Compact"/>
              <w:jc w:val="left"/>
            </w:pPr>
            <w:r>
              <w:t xml:space="preserve">ASCENT ETH (P506061)</w:t>
            </w:r>
          </w:p>
        </w:tc>
        <w:tc>
          <w:tcPr>
            <w:tcW w:w="3162" w:type="dxa"/>
          </w:tcPr>
          <w:tcPr/>
          <w:p>
            <w:pPr>
              <w:pStyle w:val="Compact"/>
              <w:jc w:val="left"/>
            </w:pPr>
            <w:r>
              <w:t xml:space="preserve">32 %</w:t>
            </w:r>
          </w:p>
        </w:tc>
        <w:tc>
          <w:tcPr>
            <w:tcW w:w="6707" w:type="dxa"/>
          </w:tcPr>
          <w:tcPr/>
          <w:p>
            <w:pPr>
              <w:pStyle w:val="Compact"/>
              <w:jc w:val="left"/>
            </w:pPr>
            <w:r>
              <w:t xml:space="preserve">En vigueur depuis le 12/03/2026</w:t>
            </w:r>
          </w:p>
        </w:tc>
        <w:tc>
          <w:tcPr>
            <w:tcW w:w="1102" w:type="dxa"/>
          </w:tcPr>
          <w:tcPr/>
          <w:p>
            <w:pPr>
              <w:pStyle w:val="Compact"/>
              <w:jc w:val="left"/>
            </w:pPr>
            <w:r>
              <w:t xml:space="preserve">ETH</w:t>
            </w:r>
          </w:p>
        </w:tc>
      </w:tr>
      <w:tr>
        <w:tc>
          <w:tcPr>
            <w:tcW w:w="3597" w:type="dxa"/>
          </w:tcPr>
          <w:tcPr/>
          <w:p>
            <w:pPr>
              <w:pStyle w:val="Compact"/>
              <w:jc w:val="left"/>
            </w:pPr>
            <w:r>
              <w:t xml:space="preserve">Projets non effectifs ou à 0 %</w:t>
            </w:r>
          </w:p>
        </w:tc>
        <w:tc>
          <w:tcPr>
            <w:tcW w:w="3162" w:type="dxa"/>
          </w:tcPr>
          <w:tcPr/>
          <w:p>
            <w:pPr>
              <w:pStyle w:val="Compact"/>
              <w:jc w:val="left"/>
            </w:pPr>
            <w:r>
              <w:t xml:space="preserve">—</w:t>
            </w:r>
          </w:p>
        </w:tc>
        <w:tc>
          <w:tcPr>
            <w:tcW w:w="6707" w:type="dxa"/>
          </w:tcPr>
          <w:tcPr/>
          <w:p>
            <w:pPr>
              <w:pStyle w:val="Compact"/>
              <w:jc w:val="left"/>
            </w:pPr>
            <w:r>
              <w:t xml:space="preserve">RESAA BWA, TEES NAM, PASBAP GAB, ASCENT MDG (non entré en vigueur en août 2026), Green Energy Corridors MOZ, Inga 3 COD</w:t>
            </w:r>
          </w:p>
        </w:tc>
        <w:tc>
          <w:tcPr>
            <w:tcW w:w="1102" w:type="dxa"/>
          </w:tcPr>
          <w:tcPr/>
          <w:p>
            <w:pPr>
              <w:pStyle w:val="Compact"/>
              <w:jc w:val="left"/>
            </w:pPr>
            <w:r>
              <w:t xml:space="preserve">—</w:t>
            </w:r>
          </w:p>
        </w:tc>
      </w:tr>
      <w:tr>
        <w:tc>
          <w:tcPr>
            <w:tcW w:w="3597" w:type="dxa"/>
          </w:tcPr>
          <w:tcPr/>
          <w:p>
            <w:pPr>
              <w:pStyle w:val="Compact"/>
              <w:jc w:val="left"/>
            </w:pPr>
            <w:r>
              <w:t xml:space="preserve">Interconnexions</w:t>
            </w:r>
          </w:p>
        </w:tc>
        <w:tc>
          <w:tcPr>
            <w:tcW w:w="3162" w:type="dxa"/>
          </w:tcPr>
          <w:tcPr/>
          <w:p>
            <w:pPr>
              <w:pStyle w:val="Compact"/>
              <w:jc w:val="left"/>
            </w:pPr>
            <w:r>
              <w:t xml:space="preserve">DJI P173763 20,35 % (0 km) ; WA-REMP MRT 4,3 % (févr. 2026) / 6,7 % (mai 2026, REG) ; RETRADE-SA ph. 1 6,6 %</w:t>
            </w:r>
          </w:p>
        </w:tc>
        <w:tc>
          <w:tcPr>
            <w:tcW w:w="6707" w:type="dxa"/>
          </w:tcPr>
          <w:tcPr/>
          <w:p>
            <w:pPr>
              <w:pStyle w:val="Compact"/>
              <w:jc w:val="left"/>
            </w:pPr>
            <w:r>
              <w:t xml:space="preserve">—</w:t>
            </w:r>
          </w:p>
        </w:tc>
        <w:tc>
          <w:tcPr>
            <w:tcW w:w="1102" w:type="dxa"/>
          </w:tcPr>
          <w:tcPr/>
          <w:p>
            <w:pPr>
              <w:pStyle w:val="Compact"/>
              <w:jc w:val="left"/>
            </w:pPr>
            <w:r>
              <w:t xml:space="preserve">DJI, MRT, REG</w:t>
            </w:r>
          </w:p>
        </w:tc>
      </w:tr>
    </w:tbl>
    <w:p>
      <w:pPr>
        <w:pStyle w:val="BodyText"/>
      </w:pPr>
      <w:r>
        <w:rPr>
          <w:bCs/>
          <w:b/>
        </w:rPr>
        <w:t xml:space="preserve">Conditionnalités des DPO : l’Éthiopie face à la RDC et au Cameroun.</w:t>
      </w:r>
      <w:r>
        <w:t xml:space="preserve"> </w:t>
      </w:r>
      <w:r>
        <w:t xml:space="preserve">-</w:t>
      </w:r>
      <w:r>
        <w:t xml:space="preserve"> </w:t>
      </w:r>
      <w:r>
        <w:rPr>
          <w:bCs/>
          <w:b/>
        </w:rPr>
        <w:t xml:space="preserve">Éthiopie.</w:t>
      </w:r>
      <w:r>
        <w:t xml:space="preserve"> </w:t>
      </w:r>
      <w:r>
        <w:t xml:space="preserve">- Le DPO1 (P181591) avait pour action préalable la reprise de 100 % de la dette d’EEP envers la CBE et un plan tarifaire de hausses ≥ 10 % par trimestre.</w:t>
      </w:r>
      <w:r>
        <w:t xml:space="preserve"> </w:t>
      </w:r>
      <w:r>
        <w:t xml:space="preserve">- Le DPO2 (P506352) a ajouté la publication d’une revue des revenus requis, un plan de moindre coût obligatoire et la mise en concurrence des PPP.</w:t>
      </w:r>
      <w:r>
        <w:t xml:space="preserve"> </w:t>
      </w:r>
      <w:r>
        <w:t xml:space="preserve">- Le FMI double ces mesures d’un repère structurel sur les hausses trimestrielles (hausse d’oct. 2025 conforme).</w:t>
      </w:r>
      <w:r>
        <w:t xml:space="preserve"> </w:t>
      </w:r>
      <w:r>
        <w:t xml:space="preserve">- Résultat : indicateur RI8 de recouvrement des coûts passé de</w:t>
      </w:r>
      <w:r>
        <w:t xml:space="preserve"> </w:t>
      </w:r>
      <w:r>
        <w:rPr>
          <w:bCs/>
          <w:b/>
        </w:rPr>
        <w:t xml:space="preserve">18 % à 76 %</w:t>
      </w:r>
      <w:r>
        <w:t xml:space="preserve"> </w:t>
      </w:r>
      <w:r>
        <w:t xml:space="preserve">(FY25) (cf. ETH).</w:t>
      </w:r>
      <w:r>
        <w:t xml:space="preserve"> </w:t>
      </w:r>
      <w:r>
        <w:t xml:space="preserve">-</w:t>
      </w:r>
      <w:r>
        <w:t xml:space="preserve"> </w:t>
      </w:r>
      <w:r>
        <w:rPr>
          <w:bCs/>
          <w:b/>
        </w:rPr>
        <w:t xml:space="preserve">RDC.</w:t>
      </w:r>
      <w:r>
        <w:t xml:space="preserve"> </w:t>
      </w:r>
      <w:r>
        <w:t xml:space="preserve">- Les actions préalables étaient des actes ponctuels, réalisés : contrat de performance (02/10/2024), MoU sur les arriérés (22/01/2025).</w:t>
      </w:r>
      <w:r>
        <w:t xml:space="preserve"> </w:t>
      </w:r>
      <w:r>
        <w:t xml:space="preserve">- Le déclencheur 10 (option de restructuration de la SNEL) n’est pas arrêté.</w:t>
      </w:r>
      <w:r>
        <w:t xml:space="preserve"> </w:t>
      </w:r>
      <w:r>
        <w:t xml:space="preserve">- Les pertes montent de 45,9 % à 49,06 % alors que la cible est de 40 %. L’ajustement tarifaire est bloqué à l’ARE (cf. COD).</w:t>
      </w:r>
      <w:r>
        <w:t xml:space="preserve"> </w:t>
      </w:r>
      <w:r>
        <w:t xml:space="preserve">-</w:t>
      </w:r>
      <w:r>
        <w:t xml:space="preserve"> </w:t>
      </w:r>
      <w:r>
        <w:rPr>
          <w:bCs/>
          <w:b/>
        </w:rPr>
        <w:t xml:space="preserve">Cameroun.</w:t>
      </w:r>
      <w:r>
        <w:t xml:space="preserve"> </w:t>
      </w:r>
      <w:r>
        <w:t xml:space="preserve">- Le déclencheur DPF3 n° 11 exige un recrutement compétitif du DG.</w:t>
      </w:r>
      <w:r>
        <w:t xml:space="preserve"> </w:t>
      </w:r>
      <w:r>
        <w:t xml:space="preserve">- Or le DG de SOCADEL a été nommé par un conseil présidé par le ministre ; la conformité est [?] (cf. CMR).</w:t>
      </w:r>
      <w:r>
        <w:t xml:space="preserve"> </w:t>
      </w:r>
      <w:r>
        <w:t xml:space="preserve">-</w:t>
      </w:r>
      <w:r>
        <w:t xml:space="preserve"> </w:t>
      </w:r>
      <w:r>
        <w:rPr>
          <w:bCs/>
          <w:b/>
        </w:rPr>
        <w:t xml:space="preserve">Autres cas qui confirment le schéma.</w:t>
      </w:r>
      <w:r>
        <w:t xml:space="preserve"> </w:t>
      </w:r>
      <w:r>
        <w:t xml:space="preserve">- Au Congo, la mesure électricité de la DPF3 a été</w:t>
      </w:r>
      <w:r>
        <w:t xml:space="preserve"> </w:t>
      </w:r>
      <w:r>
        <w:rPr>
          <w:bCs/>
          <w:b/>
        </w:rPr>
        <w:t xml:space="preserve">retirée à la demande du gouvernement</w:t>
      </w:r>
      <w:r>
        <w:t xml:space="preserve"> </w:t>
      </w:r>
      <w:r>
        <w:t xml:space="preserve">(cf. COG).</w:t>
      </w:r>
      <w:r>
        <w:t xml:space="preserve"> </w:t>
      </w:r>
      <w:r>
        <w:t xml:space="preserve">- Au Mozambique, le décret tarifaire (action préalable de la DPF2, 2023) n’est pas appliqué (cf. MOZ).</w:t>
      </w:r>
      <w:r>
        <w:t xml:space="preserve"> </w:t>
      </w:r>
      <w:r>
        <w:t xml:space="preserve">- Au Kenya, les DPO 2024 et 2026 ne comportent aucune action préalable sur l’énergie (cf. KEN).</w:t>
      </w:r>
      <w:r>
        <w:t xml:space="preserve"> </w:t>
      </w:r>
      <w:r>
        <w:t xml:space="preserve">- Au Sénégal, la DPF a été abandonnée (cf. SEN).</w:t>
      </w:r>
      <w:r>
        <w:t xml:space="preserve"> </w:t>
      </w:r>
      <w:r>
        <w:t xml:space="preserve">- Au Togo, la hausse de +12,5 % était une action préalable et a été appliquée (cf. TGO).</w:t>
      </w:r>
      <w:r>
        <w:t xml:space="preserve"> </w:t>
      </w:r>
      <w:r>
        <w:t xml:space="preserve">-</w:t>
      </w:r>
      <w:r>
        <w:t xml:space="preserve"> </w:t>
      </w:r>
      <w:r>
        <w:rPr>
          <w:bCs/>
          <w:b/>
        </w:rPr>
        <w:t xml:space="preserve">Leçon [E]</w:t>
      </w:r>
      <w:r>
        <w:t xml:space="preserve"> </w:t>
      </w:r>
      <w:r>
        <w:t xml:space="preserve">: la conditionnalité fonctionne quand elle porte sur une</w:t>
      </w:r>
      <w:r>
        <w:t xml:space="preserve"> </w:t>
      </w:r>
      <w:r>
        <w:rPr>
          <w:bCs/>
          <w:b/>
        </w:rPr>
        <w:t xml:space="preserve">trajectoire tarifaire répétée</w:t>
      </w:r>
      <w:r>
        <w:t xml:space="preserve">, adossée à un repère du FMI et à une reprise de dette (ETH, TGO). Elle échoue quand elle se limite à des actes ponctuels (contrats, statuts, décrets) dont l’application n’est pas suivie (COD, MOZ, CMR).</w:t>
      </w:r>
    </w:p>
    <w:p>
      <w:pPr>
        <w:pStyle w:val="BodyText"/>
      </w:pPr>
      <w:r>
        <w:rPr>
          <w:bCs/>
          <w:b/>
        </w:rPr>
        <w:t xml:space="preserve">Asymétrie ASCENT (Afrique de l’Est et australe) / Ouest et Centre.</w:t>
      </w:r>
      <w:r>
        <w:t xml:space="preserve"> </w:t>
      </w:r>
      <w:r>
        <w:t xml:space="preserve">- ASCENT (MPA P180547) couvre RWA, TZA, BDI, STP, MDG, ETH, ZMB, MOZ et MWI ; UGA et KEN sont en pipeline (cf. REG).</w:t>
      </w:r>
      <w:r>
        <w:t xml:space="preserve"> </w:t>
      </w:r>
      <w:r>
        <w:t xml:space="preserve">- Ses phases nationales portent des</w:t>
      </w:r>
      <w:r>
        <w:t xml:space="preserve"> </w:t>
      </w:r>
      <w:r>
        <w:rPr>
          <w:bCs/>
          <w:b/>
        </w:rPr>
        <w:t xml:space="preserve">DLI opérateur</w:t>
      </w:r>
      <w:r>
        <w:t xml:space="preserve"> </w:t>
      </w:r>
      <w:r>
        <w:t xml:space="preserve">:</w:t>
      </w:r>
      <w:r>
        <w:t xml:space="preserve"> </w:t>
      </w:r>
      <w:r>
        <w:t xml:space="preserve">- MDG : 9 DLI, dont subvention budgétée et versée, arriérés, pertes 28 → 21 %, comptes 2025 ;</w:t>
      </w:r>
      <w:r>
        <w:t xml:space="preserve"> </w:t>
      </w:r>
      <w:r>
        <w:t xml:space="preserve">- ETH : comptes IFRS d’EEU ;</w:t>
      </w:r>
      <w:r>
        <w:t xml:space="preserve"> </w:t>
      </w:r>
      <w:r>
        <w:t xml:space="preserve">- MWI : 3 PBC ESCOM (géolocalisation de ≥ 95 % des clients, MIS) ;</w:t>
      </w:r>
      <w:r>
        <w:t xml:space="preserve"> </w:t>
      </w:r>
      <w:r>
        <w:t xml:space="preserve">- BDI : PBC 3 sur le tarif social.</w:t>
      </w:r>
      <w:r>
        <w:t xml:space="preserve"> </w:t>
      </w:r>
      <w:r>
        <w:t xml:space="preserve">-</w:t>
      </w:r>
      <w:r>
        <w:t xml:space="preserve"> </w:t>
      </w:r>
      <w:r>
        <w:rPr>
          <w:bCs/>
          <w:b/>
        </w:rPr>
        <w:t xml:space="preserve">Aucun équivalent en Afrique de l’Ouest et du Centre</w:t>
      </w:r>
      <w:r>
        <w:t xml:space="preserve"> </w:t>
      </w:r>
      <w:r>
        <w:t xml:space="preserve">(REG). Les réformes d’opérateur y passent par des PforR et projets nationaux (NEDA CIV, IDEA TGO, PRSEC CMR, PASEL COG, PADAES SEN, Haské NER, PAAET TCD, AGREE COD, DISREP NGA, ESRP GHA) et par des DPF. CAPP-RIA (P508320) n’est que « proposé » (vote prévu le 07/12/2026).</w:t>
      </w:r>
      <w:r>
        <w:t xml:space="preserve"> </w:t>
      </w:r>
      <w:r>
        <w:t xml:space="preserve">- Conséquence [E] : en Ouest et Centre, les résultats sont très dispersés (CIV et TGO bons ; CMR, COG, COD et NGA mauvais). En Est et austral, le cadre est plus homogène mais encore jeune : ASCENT MDG non effectif, ASCENT BDI à 0 PBC.</w:t>
      </w:r>
      <w:r>
        <w:t xml:space="preserve"> </w:t>
      </w:r>
      <w:r>
        <w:t xml:space="preserve">- Côté</w:t>
      </w:r>
      <w:r>
        <w:t xml:space="preserve"> </w:t>
      </w:r>
      <w:r>
        <w:rPr>
          <w:bCs/>
          <w:b/>
        </w:rPr>
        <w:t xml:space="preserve">BAD</w:t>
      </w:r>
      <w:r>
        <w:t xml:space="preserve">, l’appui aux opérateurs reste marginal : AESTAP (3,9 M USD pour 13 pays), appuis budgétaires PAGSEC-I NER et PAGFSE COM, PRG Sahofika (risque JIRAMA). L’essentiel va au transport et à la production (REG ; fiches).</w:t>
      </w:r>
    </w:p>
    <w:p>
      <w:r>
        <w:pict>
          <v:rect style="width:0;height:1.5pt" o:hralign="center" o:hrstd="t" o:hr="t"/>
        </w:pict>
      </w:r>
    </w:p>
    <w:bookmarkEnd w:id="30"/>
    <w:bookmarkEnd w:id="31"/>
    <w:bookmarkStart w:id="32" w:name="révision-du-classement-de-la-phase-1-e"/>
    <w:p>
      <w:pPr>
        <w:pStyle w:val="Heading1"/>
      </w:pPr>
      <w:r>
        <w:t xml:space="preserve">5. Révision du classement de la phase 1 [E]</w:t>
      </w:r>
    </w:p>
    <w:p>
      <w:pPr>
        <w:pStyle w:val="FirstParagraph"/>
      </w:pPr>
      <w:r>
        <w:t xml:space="preserve">Rappel des catégories de P1 §3 : 1 = trajectoire chiffrée et datée ; 2a = résultat daté sans chiffre ; 2b = processus daté ; 3 = vague ou évitement ; 4 = déjà au coût ou objectif de baisse. La révision ne juge plus seulement le texte du pacte : elle ajoute la</w:t>
      </w:r>
      <w:r>
        <w:t xml:space="preserve"> </w:t>
      </w:r>
      <w:r>
        <w:rPr>
          <w:bCs/>
          <w:b/>
        </w:rPr>
        <w:t xml:space="preserve">crédibilité observée</w:t>
      </w:r>
      <w:r>
        <w:t xml:space="preserve"> </w:t>
      </w:r>
      <w:r>
        <w:t xml:space="preserve">(application, données primaires).</w:t>
      </w:r>
    </w:p>
    <w:tbl>
      <w:tblPr>
        <w:tblStyle w:val="Table"/>
        <w:tblW w:type="dxa" w:w="14570"/>
        <w:tblLook w:firstRow="1" w:lastRow="0" w:firstColumn="0" w:lastColumn="0" w:noHBand="0" w:noVBand="0" w:val="0020"/>
        <w:jc w:val="start"/>
      </w:tblPr>
      <w:tblGrid>
        <w:gridCol w:w="1212"/>
        <w:gridCol w:w="863"/>
        <w:gridCol w:w="3690"/>
        <w:gridCol w:w="8804"/>
      </w:tblGrid>
      <w:tr>
        <w:trPr>
          <w:tblHeader w:val="true"/>
        </w:trPr>
        <w:tc>
          <w:tcPr>
            <w:tcW w:w="1212" w:type="dxa"/>
          </w:tcPr>
          <w:tcPr/>
          <w:p>
            <w:pPr>
              <w:pStyle w:val="Compact"/>
              <w:jc w:val="left"/>
            </w:pPr>
            <w:r>
              <w:t xml:space="preserve">Pays</w:t>
            </w:r>
          </w:p>
        </w:tc>
        <w:tc>
          <w:tcPr>
            <w:tcW w:w="863" w:type="dxa"/>
          </w:tcPr>
          <w:tcPr/>
          <w:p>
            <w:pPr>
              <w:pStyle w:val="Compact"/>
              <w:jc w:val="left"/>
            </w:pPr>
            <w:r>
              <w:t xml:space="preserve">Phase 1</w:t>
            </w:r>
          </w:p>
        </w:tc>
        <w:tc>
          <w:tcPr>
            <w:tcW w:w="3690" w:type="dxa"/>
          </w:tcPr>
          <w:tcPr/>
          <w:p>
            <w:pPr>
              <w:pStyle w:val="Compact"/>
              <w:jc w:val="left"/>
            </w:pPr>
            <w:r>
              <w:t xml:space="preserve">Révision proposée</w:t>
            </w:r>
          </w:p>
        </w:tc>
        <w:tc>
          <w:tcPr>
            <w:tcW w:w="8804" w:type="dxa"/>
          </w:tcPr>
          <w:tcPr/>
          <w:p>
            <w:pPr>
              <w:pStyle w:val="Compact"/>
              <w:jc w:val="left"/>
            </w:pPr>
            <w:r>
              <w:t xml:space="preserve">Justification (fiche)</w:t>
            </w:r>
          </w:p>
        </w:tc>
      </w:tr>
      <w:tr>
        <w:tc>
          <w:tcPr>
            <w:tcW w:w="1212" w:type="dxa"/>
          </w:tcPr>
          <w:tcPr/>
          <w:p>
            <w:pPr>
              <w:pStyle w:val="Compact"/>
              <w:jc w:val="left"/>
            </w:pPr>
            <w:r>
              <w:rPr>
                <w:bCs/>
                <w:b/>
              </w:rPr>
              <w:t xml:space="preserve">MOZ</w:t>
            </w:r>
          </w:p>
        </w:tc>
        <w:tc>
          <w:tcPr>
            <w:tcW w:w="863" w:type="dxa"/>
          </w:tcPr>
          <w:tcPr/>
          <w:p>
            <w:pPr>
              <w:pStyle w:val="Compact"/>
              <w:jc w:val="left"/>
            </w:pPr>
            <w:r>
              <w:t xml:space="preserve">4</w:t>
            </w:r>
          </w:p>
        </w:tc>
        <w:tc>
          <w:tcPr>
            <w:tcW w:w="3690" w:type="dxa"/>
          </w:tcPr>
          <w:tcPr/>
          <w:p>
            <w:pPr>
              <w:pStyle w:val="Compact"/>
              <w:jc w:val="left"/>
            </w:pPr>
            <w:r>
              <w:rPr>
                <w:bCs/>
                <w:b/>
              </w:rPr>
              <w:t xml:space="preserve">2b</w:t>
            </w:r>
            <w:r>
              <w:t xml:space="preserve"> </w:t>
            </w:r>
            <w:r>
              <w:t xml:space="preserve">(méthode existante, non appliquée)</w:t>
            </w:r>
          </w:p>
        </w:tc>
        <w:tc>
          <w:tcPr>
            <w:tcW w:w="8804" w:type="dxa"/>
          </w:tcPr>
          <w:tcPr/>
          <w:p>
            <w:pPr>
              <w:pStyle w:val="Compact"/>
              <w:jc w:val="left"/>
            </w:pPr>
            <w:r>
              <w:t xml:space="preserve">Tarifs ≈ 85 % des coûts d’exploitation du secteur ; bénéfice d’EDM dû aux gains financiers (9,5 contre 2,5 Md MZN) ; décret tarifaire de 2023 non appliqué (cf. MOZ)</w:t>
            </w:r>
          </w:p>
        </w:tc>
      </w:tr>
      <w:tr>
        <w:tc>
          <w:tcPr>
            <w:tcW w:w="1212" w:type="dxa"/>
          </w:tcPr>
          <w:tcPr/>
          <w:p>
            <w:pPr>
              <w:pStyle w:val="Compact"/>
              <w:jc w:val="left"/>
            </w:pPr>
            <w:r>
              <w:rPr>
                <w:bCs/>
                <w:b/>
              </w:rPr>
              <w:t xml:space="preserve">BWA</w:t>
            </w:r>
          </w:p>
        </w:tc>
        <w:tc>
          <w:tcPr>
            <w:tcW w:w="863" w:type="dxa"/>
          </w:tcPr>
          <w:tcPr/>
          <w:p>
            <w:pPr>
              <w:pStyle w:val="Compact"/>
              <w:jc w:val="left"/>
            </w:pPr>
            <w:r>
              <w:t xml:space="preserve">2b</w:t>
            </w:r>
          </w:p>
        </w:tc>
        <w:tc>
          <w:tcPr>
            <w:tcW w:w="3690" w:type="dxa"/>
          </w:tcPr>
          <w:tcPr/>
          <w:p>
            <w:pPr>
              <w:pStyle w:val="Compact"/>
              <w:jc w:val="left"/>
            </w:pPr>
            <w:r>
              <w:rPr>
                <w:bCs/>
                <w:b/>
              </w:rPr>
              <w:t xml:space="preserve">2b maintenu</w:t>
            </w:r>
            <w:r>
              <w:t xml:space="preserve">, mais diagnostic aggravé ;</w:t>
            </w:r>
            <w:r>
              <w:t xml:space="preserve"> </w:t>
            </w:r>
            <w:r>
              <w:rPr>
                <w:bCs/>
                <w:b/>
              </w:rPr>
              <w:t xml:space="preserve">promu cas d’étude du noyau</w:t>
            </w:r>
          </w:p>
        </w:tc>
        <w:tc>
          <w:tcPr>
            <w:tcW w:w="8804" w:type="dxa"/>
          </w:tcPr>
          <w:tcPr/>
          <w:p>
            <w:pPr>
              <w:pStyle w:val="Compact"/>
              <w:jc w:val="left"/>
            </w:pPr>
            <w:r>
              <w:t xml:space="preserve">Couverture ≈ 53 % en 2024 [E], et non 80 % (127/159) ; hausses réelles de +24 % et +9 % mais 46 % demandés ; écart ≈ 3,5 Md BWP non financé alors que le pacte promettait sa couverture par l’État ; série BERA auditée publique, idéale pour la phase 3 (cf. BWA)</w:t>
            </w:r>
          </w:p>
        </w:tc>
      </w:tr>
      <w:tr>
        <w:tc>
          <w:tcPr>
            <w:tcW w:w="1212" w:type="dxa"/>
          </w:tcPr>
          <w:tcPr/>
          <w:p>
            <w:pPr>
              <w:pStyle w:val="Compact"/>
              <w:jc w:val="left"/>
            </w:pPr>
            <w:r>
              <w:rPr>
                <w:bCs/>
                <w:b/>
              </w:rPr>
              <w:t xml:space="preserve">KEN</w:t>
            </w:r>
          </w:p>
        </w:tc>
        <w:tc>
          <w:tcPr>
            <w:tcW w:w="863" w:type="dxa"/>
          </w:tcPr>
          <w:tcPr/>
          <w:p>
            <w:pPr>
              <w:pStyle w:val="Compact"/>
              <w:jc w:val="left"/>
            </w:pPr>
            <w:r>
              <w:t xml:space="preserve">2b</w:t>
            </w:r>
          </w:p>
        </w:tc>
        <w:tc>
          <w:tcPr>
            <w:tcW w:w="3690" w:type="dxa"/>
          </w:tcPr>
          <w:tcPr/>
          <w:p>
            <w:pPr>
              <w:pStyle w:val="Compact"/>
              <w:jc w:val="left"/>
            </w:pPr>
            <w:r>
              <w:rPr>
                <w:bCs/>
                <w:b/>
              </w:rPr>
              <w:t xml:space="preserve">4 bis — « tarif suffisant, État débiteur »</w:t>
            </w:r>
            <w:r>
              <w:t xml:space="preserve"> </w:t>
            </w:r>
            <w:r>
              <w:t xml:space="preserve">(avec DJI)</w:t>
            </w:r>
          </w:p>
        </w:tc>
        <w:tc>
          <w:tcPr>
            <w:tcW w:w="8804" w:type="dxa"/>
          </w:tcPr>
          <w:tcPr/>
          <w:p>
            <w:pPr>
              <w:pStyle w:val="Compact"/>
              <w:jc w:val="left"/>
            </w:pPr>
            <w:r>
              <w:t xml:space="preserve">Recette ≈ 114 % du coût [E], KPLC bénéficiaire ; 55 Md KES de créances publiques (cf. KEN)</w:t>
            </w:r>
          </w:p>
        </w:tc>
      </w:tr>
      <w:tr>
        <w:tc>
          <w:tcPr>
            <w:tcW w:w="1212" w:type="dxa"/>
          </w:tcPr>
          <w:tcPr/>
          <w:p>
            <w:pPr>
              <w:pStyle w:val="Compact"/>
              <w:jc w:val="left"/>
            </w:pPr>
            <w:r>
              <w:t xml:space="preserve">DJI</w:t>
            </w:r>
          </w:p>
        </w:tc>
        <w:tc>
          <w:tcPr>
            <w:tcW w:w="863" w:type="dxa"/>
          </w:tcPr>
          <w:tcPr/>
          <w:p>
            <w:pPr>
              <w:pStyle w:val="Compact"/>
              <w:jc w:val="left"/>
            </w:pPr>
            <w:r>
              <w:t xml:space="preserve">4</w:t>
            </w:r>
          </w:p>
        </w:tc>
        <w:tc>
          <w:tcPr>
            <w:tcW w:w="3690" w:type="dxa"/>
          </w:tcPr>
          <w:tcPr/>
          <w:p>
            <w:pPr>
              <w:pStyle w:val="Compact"/>
              <w:jc w:val="left"/>
            </w:pPr>
            <w:r>
              <w:t xml:space="preserve">4 bis (confirmé)</w:t>
            </w:r>
          </w:p>
        </w:tc>
        <w:tc>
          <w:tcPr>
            <w:tcW w:w="8804" w:type="dxa"/>
          </w:tcPr>
          <w:tcPr/>
          <w:p>
            <w:pPr>
              <w:pStyle w:val="Compact"/>
              <w:jc w:val="left"/>
            </w:pPr>
            <w:r>
              <w:t xml:space="preserve">Prix ≈ 3 fois le coût ; 330 M USD d’arriérés publics (cf. DJI)</w:t>
            </w:r>
          </w:p>
        </w:tc>
      </w:tr>
      <w:tr>
        <w:tc>
          <w:tcPr>
            <w:tcW w:w="1212" w:type="dxa"/>
          </w:tcPr>
          <w:tcPr/>
          <w:p>
            <w:pPr>
              <w:pStyle w:val="Compact"/>
              <w:jc w:val="left"/>
            </w:pPr>
            <w:r>
              <w:t xml:space="preserve">NAM</w:t>
            </w:r>
          </w:p>
        </w:tc>
        <w:tc>
          <w:tcPr>
            <w:tcW w:w="863" w:type="dxa"/>
          </w:tcPr>
          <w:tcPr/>
          <w:p>
            <w:pPr>
              <w:pStyle w:val="Compact"/>
              <w:jc w:val="left"/>
            </w:pPr>
            <w:r>
              <w:t xml:space="preserve">4</w:t>
            </w:r>
          </w:p>
        </w:tc>
        <w:tc>
          <w:tcPr>
            <w:tcW w:w="3690" w:type="dxa"/>
          </w:tcPr>
          <w:tcPr/>
          <w:p>
            <w:pPr>
              <w:pStyle w:val="Compact"/>
              <w:jc w:val="left"/>
            </w:pPr>
            <w:r>
              <w:t xml:space="preserve">4 (confirmé pour NamPower) ; distribution municipale en 3</w:t>
            </w:r>
          </w:p>
        </w:tc>
        <w:tc>
          <w:tcPr>
            <w:tcW w:w="8804" w:type="dxa"/>
          </w:tcPr>
          <w:tcPr/>
          <w:p>
            <w:pPr>
              <w:pStyle w:val="Compact"/>
              <w:jc w:val="left"/>
            </w:pPr>
            <w:r>
              <w:t xml:space="preserve">Profits, dette faible ; REDs sans comptes, 557 M NAD d’arriérés (cf. NAM)</w:t>
            </w:r>
          </w:p>
        </w:tc>
      </w:tr>
      <w:tr>
        <w:tc>
          <w:tcPr>
            <w:tcW w:w="1212" w:type="dxa"/>
          </w:tcPr>
          <w:tcPr/>
          <w:p>
            <w:pPr>
              <w:pStyle w:val="Compact"/>
              <w:jc w:val="left"/>
            </w:pPr>
            <w:r>
              <w:t xml:space="preserve">ZWE</w:t>
            </w:r>
          </w:p>
        </w:tc>
        <w:tc>
          <w:tcPr>
            <w:tcW w:w="863" w:type="dxa"/>
          </w:tcPr>
          <w:tcPr/>
          <w:p>
            <w:pPr>
              <w:pStyle w:val="Compact"/>
              <w:jc w:val="left"/>
            </w:pPr>
            <w:r>
              <w:t xml:space="preserve">2a (« au coût » en remarque)</w:t>
            </w:r>
          </w:p>
        </w:tc>
        <w:tc>
          <w:tcPr>
            <w:tcW w:w="3690" w:type="dxa"/>
          </w:tcPr>
          <w:tcPr/>
          <w:p>
            <w:pPr>
              <w:pStyle w:val="Compact"/>
              <w:jc w:val="left"/>
            </w:pPr>
            <w:r>
              <w:t xml:space="preserve">2a ;</w:t>
            </w:r>
            <w:r>
              <w:t xml:space="preserve"> </w:t>
            </w:r>
            <w:r>
              <w:rPr>
                <w:bCs/>
                <w:b/>
              </w:rPr>
              <w:t xml:space="preserve">retirer la remarque « au coût »</w:t>
            </w:r>
          </w:p>
        </w:tc>
        <w:tc>
          <w:tcPr>
            <w:tcW w:w="8804" w:type="dxa"/>
          </w:tcPr>
          <w:tcPr/>
          <w:p>
            <w:pPr>
              <w:pStyle w:val="Compact"/>
              <w:jc w:val="left"/>
            </w:pPr>
            <w:r>
              <w:t xml:space="preserve">Achat ≈ 12 contre vente ≈ 10 USc ; dette en défaut (cf. ZWE)</w:t>
            </w:r>
          </w:p>
        </w:tc>
      </w:tr>
      <w:tr>
        <w:tc>
          <w:tcPr>
            <w:tcW w:w="1212" w:type="dxa"/>
          </w:tcPr>
          <w:tcPr/>
          <w:p>
            <w:pPr>
              <w:pStyle w:val="Compact"/>
              <w:jc w:val="left"/>
            </w:pPr>
            <w:r>
              <w:rPr>
                <w:bCs/>
                <w:b/>
              </w:rPr>
              <w:t xml:space="preserve">GIN</w:t>
            </w:r>
          </w:p>
        </w:tc>
        <w:tc>
          <w:tcPr>
            <w:tcW w:w="863" w:type="dxa"/>
          </w:tcPr>
          <w:tcPr/>
          <w:p>
            <w:pPr>
              <w:pStyle w:val="Compact"/>
              <w:jc w:val="left"/>
            </w:pPr>
            <w:r>
              <w:t xml:space="preserve">1</w:t>
            </w:r>
          </w:p>
        </w:tc>
        <w:tc>
          <w:tcPr>
            <w:tcW w:w="3690" w:type="dxa"/>
          </w:tcPr>
          <w:tcPr/>
          <w:p>
            <w:pPr>
              <w:pStyle w:val="Compact"/>
              <w:jc w:val="left"/>
            </w:pPr>
            <w:r>
              <w:rPr>
                <w:bCs/>
                <w:b/>
              </w:rPr>
              <w:t xml:space="preserve">3</w:t>
            </w:r>
            <w:r>
              <w:t xml:space="preserve"> </w:t>
            </w:r>
            <w:r>
              <w:t xml:space="preserve">(trajectoire non appliquée)</w:t>
            </w:r>
          </w:p>
        </w:tc>
        <w:tc>
          <w:tcPr>
            <w:tcW w:w="8804" w:type="dxa"/>
          </w:tcPr>
          <w:tcPr/>
          <w:p>
            <w:pPr>
              <w:pStyle w:val="Compact"/>
              <w:jc w:val="left"/>
            </w:pPr>
            <w:r>
              <w:t xml:space="preserve">Aucune hausse depuis sept. 2021 ; dotation de 2 844,93 → 3 000 Md GNF (+5,5 %) (cf. GIN)</w:t>
            </w:r>
          </w:p>
        </w:tc>
      </w:tr>
      <w:tr>
        <w:tc>
          <w:tcPr>
            <w:tcW w:w="1212" w:type="dxa"/>
          </w:tcPr>
          <w:tcPr/>
          <w:p>
            <w:pPr>
              <w:pStyle w:val="Compact"/>
              <w:jc w:val="left"/>
            </w:pPr>
            <w:r>
              <w:rPr>
                <w:bCs/>
                <w:b/>
              </w:rPr>
              <w:t xml:space="preserve">STP</w:t>
            </w:r>
          </w:p>
        </w:tc>
        <w:tc>
          <w:tcPr>
            <w:tcW w:w="863" w:type="dxa"/>
          </w:tcPr>
          <w:tcPr/>
          <w:p>
            <w:pPr>
              <w:pStyle w:val="Compact"/>
              <w:jc w:val="left"/>
            </w:pPr>
            <w:r>
              <w:t xml:space="preserve">1</w:t>
            </w:r>
          </w:p>
        </w:tc>
        <w:tc>
          <w:tcPr>
            <w:tcW w:w="3690" w:type="dxa"/>
          </w:tcPr>
          <w:tcPr/>
          <w:p>
            <w:pPr>
              <w:pStyle w:val="Compact"/>
              <w:jc w:val="left"/>
            </w:pPr>
            <w:r>
              <w:rPr>
                <w:bCs/>
                <w:b/>
              </w:rPr>
              <w:t xml:space="preserve">2a</w:t>
            </w:r>
            <w:r>
              <w:t xml:space="preserve"> </w:t>
            </w:r>
            <w:r>
              <w:t xml:space="preserve">(trajectoire suspendue)</w:t>
            </w:r>
          </w:p>
        </w:tc>
        <w:tc>
          <w:tcPr>
            <w:tcW w:w="8804" w:type="dxa"/>
          </w:tcPr>
          <w:tcPr/>
          <w:p>
            <w:pPr>
              <w:pStyle w:val="Compact"/>
              <w:jc w:val="left"/>
            </w:pPr>
            <w:r>
              <w:t xml:space="preserve">Hausses postérieures à janv. 2025 « mises en suspens » (cf. STP)</w:t>
            </w:r>
          </w:p>
        </w:tc>
      </w:tr>
      <w:tr>
        <w:tc>
          <w:tcPr>
            <w:tcW w:w="1212" w:type="dxa"/>
          </w:tcPr>
          <w:tcPr/>
          <w:p>
            <w:pPr>
              <w:pStyle w:val="Compact"/>
              <w:jc w:val="left"/>
            </w:pPr>
            <w:r>
              <w:rPr>
                <w:bCs/>
                <w:b/>
              </w:rPr>
              <w:t xml:space="preserve">CMR</w:t>
            </w:r>
          </w:p>
        </w:tc>
        <w:tc>
          <w:tcPr>
            <w:tcW w:w="863" w:type="dxa"/>
          </w:tcPr>
          <w:tcPr/>
          <w:p>
            <w:pPr>
              <w:pStyle w:val="Compact"/>
              <w:jc w:val="left"/>
            </w:pPr>
            <w:r>
              <w:t xml:space="preserve">1 (partielle)</w:t>
            </w:r>
          </w:p>
        </w:tc>
        <w:tc>
          <w:tcPr>
            <w:tcW w:w="3690" w:type="dxa"/>
          </w:tcPr>
          <w:tcPr/>
          <w:p>
            <w:pPr>
              <w:pStyle w:val="Compact"/>
              <w:jc w:val="left"/>
            </w:pPr>
            <w:r>
              <w:rPr>
                <w:bCs/>
                <w:b/>
              </w:rPr>
              <w:t xml:space="preserve">2a</w:t>
            </w:r>
          </w:p>
        </w:tc>
        <w:tc>
          <w:tcPr>
            <w:tcW w:w="8804" w:type="dxa"/>
          </w:tcPr>
          <w:tcPr/>
          <w:p>
            <w:pPr>
              <w:pStyle w:val="Compact"/>
              <w:jc w:val="left"/>
            </w:pPr>
            <w:r>
              <w:t xml:space="preserve">Écart MAR figé à 9,5 % depuis 2022 ; DLI 1 hors trajectoire (cf. CMR)</w:t>
            </w:r>
          </w:p>
        </w:tc>
      </w:tr>
      <w:tr>
        <w:tc>
          <w:tcPr>
            <w:tcW w:w="1212" w:type="dxa"/>
          </w:tcPr>
          <w:tcPr/>
          <w:p>
            <w:pPr>
              <w:pStyle w:val="Compact"/>
              <w:jc w:val="left"/>
            </w:pPr>
            <w:r>
              <w:t xml:space="preserve">GHA</w:t>
            </w:r>
          </w:p>
        </w:tc>
        <w:tc>
          <w:tcPr>
            <w:tcW w:w="863" w:type="dxa"/>
          </w:tcPr>
          <w:tcPr/>
          <w:p>
            <w:pPr>
              <w:pStyle w:val="Compact"/>
              <w:jc w:val="left"/>
            </w:pPr>
            <w:r>
              <w:t xml:space="preserve">1</w:t>
            </w:r>
          </w:p>
        </w:tc>
        <w:tc>
          <w:tcPr>
            <w:tcW w:w="3690" w:type="dxa"/>
          </w:tcPr>
          <w:tcPr/>
          <w:p>
            <w:pPr>
              <w:pStyle w:val="Compact"/>
              <w:jc w:val="left"/>
            </w:pPr>
            <w:r>
              <w:t xml:space="preserve">1 (confirmé)</w:t>
            </w:r>
          </w:p>
        </w:tc>
        <w:tc>
          <w:tcPr>
            <w:tcW w:w="8804" w:type="dxa"/>
          </w:tcPr>
          <w:tcPr/>
          <w:p>
            <w:pPr>
              <w:pStyle w:val="Compact"/>
              <w:jc w:val="left"/>
            </w:pPr>
            <w:r>
              <w:t xml:space="preserve">MYTO 2026-2030 appliqué trimestriellement (+9,86 %, −4,81 %, +3,49 %) (cf. GHA)</w:t>
            </w:r>
          </w:p>
        </w:tc>
      </w:tr>
      <w:tr>
        <w:tc>
          <w:tcPr>
            <w:tcW w:w="1212" w:type="dxa"/>
          </w:tcPr>
          <w:tcPr/>
          <w:p>
            <w:pPr>
              <w:pStyle w:val="Compact"/>
              <w:jc w:val="left"/>
            </w:pPr>
            <w:r>
              <w:t xml:space="preserve">ETH</w:t>
            </w:r>
          </w:p>
        </w:tc>
        <w:tc>
          <w:tcPr>
            <w:tcW w:w="863" w:type="dxa"/>
          </w:tcPr>
          <w:tcPr/>
          <w:p>
            <w:pPr>
              <w:pStyle w:val="Compact"/>
              <w:jc w:val="left"/>
            </w:pPr>
            <w:r>
              <w:t xml:space="preserve">1</w:t>
            </w:r>
          </w:p>
        </w:tc>
        <w:tc>
          <w:tcPr>
            <w:tcW w:w="3690" w:type="dxa"/>
          </w:tcPr>
          <w:tcPr/>
          <w:p>
            <w:pPr>
              <w:pStyle w:val="Compact"/>
              <w:jc w:val="left"/>
            </w:pPr>
            <w:r>
              <w:t xml:space="preserve">1 (confirmé, plus avancé que le pacte)</w:t>
            </w:r>
          </w:p>
        </w:tc>
        <w:tc>
          <w:tcPr>
            <w:tcW w:w="8804" w:type="dxa"/>
          </w:tcPr>
          <w:tcPr/>
          <w:p>
            <w:pPr>
              <w:pStyle w:val="Compact"/>
              <w:jc w:val="left"/>
            </w:pPr>
            <w:r>
              <w:t xml:space="preserve">Recouvrement des coûts à 76 % en FY25 ; repère FMI respecté (cf. ETH)</w:t>
            </w:r>
          </w:p>
        </w:tc>
      </w:tr>
      <w:tr>
        <w:tc>
          <w:tcPr>
            <w:tcW w:w="1212" w:type="dxa"/>
          </w:tcPr>
          <w:tcPr/>
          <w:p>
            <w:pPr>
              <w:pStyle w:val="Compact"/>
              <w:jc w:val="left"/>
            </w:pPr>
            <w:r>
              <w:t xml:space="preserve">RWA</w:t>
            </w:r>
          </w:p>
        </w:tc>
        <w:tc>
          <w:tcPr>
            <w:tcW w:w="863" w:type="dxa"/>
          </w:tcPr>
          <w:tcPr/>
          <w:p>
            <w:pPr>
              <w:pStyle w:val="Compact"/>
              <w:jc w:val="left"/>
            </w:pPr>
            <w:r>
              <w:t xml:space="preserve">1</w:t>
            </w:r>
          </w:p>
        </w:tc>
        <w:tc>
          <w:tcPr>
            <w:tcW w:w="3690" w:type="dxa"/>
          </w:tcPr>
          <w:tcPr/>
          <w:p>
            <w:pPr>
              <w:pStyle w:val="Compact"/>
              <w:jc w:val="left"/>
            </w:pPr>
            <w:r>
              <w:t xml:space="preserve">1 (confirmé)</w:t>
            </w:r>
          </w:p>
        </w:tc>
        <w:tc>
          <w:tcPr>
            <w:tcW w:w="8804" w:type="dxa"/>
          </w:tcPr>
          <w:tcPr/>
          <w:p>
            <w:pPr>
              <w:pStyle w:val="Compact"/>
              <w:jc w:val="left"/>
            </w:pPr>
            <w:r>
              <w:t xml:space="preserve">Hausse d’oct. 2025 confirmée (cf. RWA)</w:t>
            </w:r>
          </w:p>
        </w:tc>
      </w:tr>
      <w:tr>
        <w:tc>
          <w:tcPr>
            <w:tcW w:w="1212" w:type="dxa"/>
          </w:tcPr>
          <w:tcPr/>
          <w:p>
            <w:pPr>
              <w:pStyle w:val="Compact"/>
              <w:jc w:val="left"/>
            </w:pPr>
            <w:r>
              <w:rPr>
                <w:bCs/>
                <w:b/>
              </w:rPr>
              <w:t xml:space="preserve">TGO</w:t>
            </w:r>
          </w:p>
        </w:tc>
        <w:tc>
          <w:tcPr>
            <w:tcW w:w="863" w:type="dxa"/>
          </w:tcPr>
          <w:tcPr/>
          <w:p>
            <w:pPr>
              <w:pStyle w:val="Compact"/>
              <w:jc w:val="left"/>
            </w:pPr>
            <w:r>
              <w:t xml:space="preserve">2a</w:t>
            </w:r>
          </w:p>
        </w:tc>
        <w:tc>
          <w:tcPr>
            <w:tcW w:w="3690" w:type="dxa"/>
          </w:tcPr>
          <w:tcPr/>
          <w:p>
            <w:pPr>
              <w:pStyle w:val="Compact"/>
              <w:jc w:val="left"/>
            </w:pPr>
            <w:r>
              <w:rPr>
                <w:bCs/>
                <w:b/>
              </w:rPr>
              <w:t xml:space="preserve">1</w:t>
            </w:r>
            <w:r>
              <w:t xml:space="preserve"> </w:t>
            </w:r>
            <w:r>
              <w:t xml:space="preserve">(partielle)</w:t>
            </w:r>
          </w:p>
        </w:tc>
        <w:tc>
          <w:tcPr>
            <w:tcW w:w="8804" w:type="dxa"/>
          </w:tcPr>
          <w:tcPr/>
          <w:p>
            <w:pPr>
              <w:pStyle w:val="Compact"/>
              <w:jc w:val="left"/>
            </w:pPr>
            <w:r>
              <w:t xml:space="preserve">+12,5 % au 15/05/2025, formule de revenu requis adoptée (PBC 4) ; ne couvre qu’≈ ⅓ de l’écart (cf. TGO)</w:t>
            </w:r>
          </w:p>
        </w:tc>
      </w:tr>
      <w:tr>
        <w:tc>
          <w:tcPr>
            <w:tcW w:w="1212" w:type="dxa"/>
          </w:tcPr>
          <w:tcPr/>
          <w:p>
            <w:pPr>
              <w:pStyle w:val="Compact"/>
              <w:jc w:val="left"/>
            </w:pPr>
            <w:r>
              <w:rPr>
                <w:bCs/>
                <w:b/>
              </w:rPr>
              <w:t xml:space="preserve">CIV</w:t>
            </w:r>
          </w:p>
        </w:tc>
        <w:tc>
          <w:tcPr>
            <w:tcW w:w="863" w:type="dxa"/>
          </w:tcPr>
          <w:tcPr/>
          <w:p>
            <w:pPr>
              <w:pStyle w:val="Compact"/>
              <w:jc w:val="left"/>
            </w:pPr>
            <w:r>
              <w:t xml:space="preserve">2b</w:t>
            </w:r>
          </w:p>
        </w:tc>
        <w:tc>
          <w:tcPr>
            <w:tcW w:w="3690" w:type="dxa"/>
          </w:tcPr>
          <w:tcPr/>
          <w:p>
            <w:pPr>
              <w:pStyle w:val="Compact"/>
              <w:jc w:val="left"/>
            </w:pPr>
            <w:r>
              <w:rPr>
                <w:bCs/>
                <w:b/>
              </w:rPr>
              <w:t xml:space="preserve">2a</w:t>
            </w:r>
            <w:r>
              <w:t xml:space="preserve"> </w:t>
            </w:r>
            <w:r>
              <w:t xml:space="preserve">(résultat chiffré via la DPF)</w:t>
            </w:r>
          </w:p>
        </w:tc>
        <w:tc>
          <w:tcPr>
            <w:tcW w:w="8804" w:type="dxa"/>
          </w:tcPr>
          <w:tcPr/>
          <w:p>
            <w:pPr>
              <w:pStyle w:val="Compact"/>
              <w:jc w:val="left"/>
            </w:pPr>
            <w:r>
              <w:t xml:space="preserve">Ratio 0,91 → 1,10 en 2028 (DPF1) ; hausses de 10 % en 2023 et 2024 (cf. CIV)</w:t>
            </w:r>
          </w:p>
        </w:tc>
      </w:tr>
      <w:tr>
        <w:tc>
          <w:tcPr>
            <w:tcW w:w="1212" w:type="dxa"/>
          </w:tcPr>
          <w:tcPr/>
          <w:p>
            <w:pPr>
              <w:pStyle w:val="Compact"/>
              <w:jc w:val="left"/>
            </w:pPr>
            <w:r>
              <w:rPr>
                <w:bCs/>
                <w:b/>
              </w:rPr>
              <w:t xml:space="preserve">COD</w:t>
            </w:r>
          </w:p>
        </w:tc>
        <w:tc>
          <w:tcPr>
            <w:tcW w:w="863" w:type="dxa"/>
          </w:tcPr>
          <w:tcPr/>
          <w:p>
            <w:pPr>
              <w:pStyle w:val="Compact"/>
              <w:jc w:val="left"/>
            </w:pPr>
            <w:r>
              <w:t xml:space="preserve">2a</w:t>
            </w:r>
          </w:p>
        </w:tc>
        <w:tc>
          <w:tcPr>
            <w:tcW w:w="3690" w:type="dxa"/>
          </w:tcPr>
          <w:tcPr/>
          <w:p>
            <w:pPr>
              <w:pStyle w:val="Compact"/>
              <w:jc w:val="left"/>
            </w:pPr>
            <w:r>
              <w:rPr>
                <w:bCs/>
                <w:b/>
              </w:rPr>
              <w:t xml:space="preserve">3</w:t>
            </w:r>
          </w:p>
        </w:tc>
        <w:tc>
          <w:tcPr>
            <w:tcW w:w="8804" w:type="dxa"/>
          </w:tcPr>
          <w:tcPr/>
          <w:p>
            <w:pPr>
              <w:pStyle w:val="Compact"/>
              <w:jc w:val="left"/>
            </w:pPr>
            <w:r>
              <w:t xml:space="preserve">Indicateur « tarifs ajustés » à « Non » (juin 2026) ; dossier bloqué à l’ARE (cf. COD)</w:t>
            </w:r>
          </w:p>
        </w:tc>
      </w:tr>
      <w:tr>
        <w:tc>
          <w:tcPr>
            <w:tcW w:w="1212" w:type="dxa"/>
          </w:tcPr>
          <w:tcPr/>
          <w:p>
            <w:pPr>
              <w:pStyle w:val="Compact"/>
              <w:jc w:val="left"/>
            </w:pPr>
            <w:r>
              <w:rPr>
                <w:bCs/>
                <w:b/>
              </w:rPr>
              <w:t xml:space="preserve">COG</w:t>
            </w:r>
          </w:p>
        </w:tc>
        <w:tc>
          <w:tcPr>
            <w:tcW w:w="863" w:type="dxa"/>
          </w:tcPr>
          <w:tcPr/>
          <w:p>
            <w:pPr>
              <w:pStyle w:val="Compact"/>
              <w:jc w:val="left"/>
            </w:pPr>
            <w:r>
              <w:t xml:space="preserve">2a</w:t>
            </w:r>
          </w:p>
        </w:tc>
        <w:tc>
          <w:tcPr>
            <w:tcW w:w="3690" w:type="dxa"/>
          </w:tcPr>
          <w:tcPr/>
          <w:p>
            <w:pPr>
              <w:pStyle w:val="Compact"/>
              <w:jc w:val="left"/>
            </w:pPr>
            <w:r>
              <w:rPr>
                <w:bCs/>
                <w:b/>
              </w:rPr>
              <w:t xml:space="preserve">3</w:t>
            </w:r>
          </w:p>
        </w:tc>
        <w:tc>
          <w:tcPr>
            <w:tcW w:w="8804" w:type="dxa"/>
          </w:tcPr>
          <w:tcPr/>
          <w:p>
            <w:pPr>
              <w:pStyle w:val="Compact"/>
              <w:jc w:val="left"/>
            </w:pPr>
            <w:r>
              <w:t xml:space="preserve">Tarif social refusé avant les élections ; affermage gelé (cf. COG)</w:t>
            </w:r>
          </w:p>
        </w:tc>
      </w:tr>
      <w:tr>
        <w:tc>
          <w:tcPr>
            <w:tcW w:w="1212" w:type="dxa"/>
          </w:tcPr>
          <w:tcPr/>
          <w:p>
            <w:pPr>
              <w:pStyle w:val="Compact"/>
              <w:jc w:val="left"/>
            </w:pPr>
            <w:r>
              <w:rPr>
                <w:bCs/>
                <w:b/>
              </w:rPr>
              <w:t xml:space="preserve">NGA</w:t>
            </w:r>
          </w:p>
        </w:tc>
        <w:tc>
          <w:tcPr>
            <w:tcW w:w="863" w:type="dxa"/>
          </w:tcPr>
          <w:tcPr/>
          <w:p>
            <w:pPr>
              <w:pStyle w:val="Compact"/>
              <w:jc w:val="left"/>
            </w:pPr>
            <w:r>
              <w:t xml:space="preserve">2a</w:t>
            </w:r>
          </w:p>
        </w:tc>
        <w:tc>
          <w:tcPr>
            <w:tcW w:w="3690" w:type="dxa"/>
          </w:tcPr>
          <w:tcPr/>
          <w:p>
            <w:pPr>
              <w:pStyle w:val="Compact"/>
              <w:jc w:val="left"/>
            </w:pPr>
            <w:r>
              <w:rPr>
                <w:bCs/>
                <w:b/>
              </w:rPr>
              <w:t xml:space="preserve">3</w:t>
            </w:r>
          </w:p>
        </w:tc>
        <w:tc>
          <w:tcPr>
            <w:tcW w:w="8804" w:type="dxa"/>
          </w:tcPr>
          <w:tcPr/>
          <w:p>
            <w:pPr>
              <w:pStyle w:val="Compact"/>
              <w:jc w:val="left"/>
            </w:pPr>
            <w:r>
              <w:t xml:space="preserve">Bandes B-E gelées en 2025 ; 4 % de la subvention versés (cf. NGA)</w:t>
            </w:r>
          </w:p>
        </w:tc>
      </w:tr>
      <w:tr>
        <w:tc>
          <w:tcPr>
            <w:tcW w:w="1212" w:type="dxa"/>
          </w:tcPr>
          <w:tcPr/>
          <w:p>
            <w:pPr>
              <w:pStyle w:val="Compact"/>
              <w:jc w:val="left"/>
            </w:pPr>
            <w:r>
              <w:rPr>
                <w:bCs/>
                <w:b/>
              </w:rPr>
              <w:t xml:space="preserve">SEN</w:t>
            </w:r>
          </w:p>
        </w:tc>
        <w:tc>
          <w:tcPr>
            <w:tcW w:w="863" w:type="dxa"/>
          </w:tcPr>
          <w:tcPr/>
          <w:p>
            <w:pPr>
              <w:pStyle w:val="Compact"/>
              <w:jc w:val="left"/>
            </w:pPr>
            <w:r>
              <w:t xml:space="preserve">2b</w:t>
            </w:r>
          </w:p>
        </w:tc>
        <w:tc>
          <w:tcPr>
            <w:tcW w:w="3690" w:type="dxa"/>
          </w:tcPr>
          <w:tcPr/>
          <w:p>
            <w:pPr>
              <w:pStyle w:val="Compact"/>
              <w:jc w:val="left"/>
            </w:pPr>
            <w:r>
              <w:rPr>
                <w:bCs/>
                <w:b/>
              </w:rPr>
              <w:t xml:space="preserve">3</w:t>
            </w:r>
            <w:r>
              <w:t xml:space="preserve"> </w:t>
            </w:r>
            <w:r>
              <w:t xml:space="preserve">(trajectoire inverse)</w:t>
            </w:r>
          </w:p>
        </w:tc>
        <w:tc>
          <w:tcPr>
            <w:tcW w:w="8804" w:type="dxa"/>
          </w:tcPr>
          <w:tcPr/>
          <w:p>
            <w:pPr>
              <w:pStyle w:val="Compact"/>
              <w:jc w:val="left"/>
            </w:pPr>
            <w:r>
              <w:t xml:space="preserve">Baisse tarifaire en 2025 ; projet BM « sans ajustement immédiat » (cf. SEN)</w:t>
            </w:r>
          </w:p>
        </w:tc>
      </w:tr>
      <w:tr>
        <w:tc>
          <w:tcPr>
            <w:tcW w:w="1212" w:type="dxa"/>
          </w:tcPr>
          <w:tcPr/>
          <w:p>
            <w:pPr>
              <w:pStyle w:val="Compact"/>
              <w:jc w:val="left"/>
            </w:pPr>
            <w:r>
              <w:rPr>
                <w:bCs/>
                <w:b/>
              </w:rPr>
              <w:t xml:space="preserve">BEN</w:t>
            </w:r>
          </w:p>
        </w:tc>
        <w:tc>
          <w:tcPr>
            <w:tcW w:w="863" w:type="dxa"/>
          </w:tcPr>
          <w:tcPr/>
          <w:p>
            <w:pPr>
              <w:pStyle w:val="Compact"/>
              <w:jc w:val="left"/>
            </w:pPr>
            <w:r>
              <w:t xml:space="preserve">3</w:t>
            </w:r>
          </w:p>
        </w:tc>
        <w:tc>
          <w:tcPr>
            <w:tcW w:w="3690" w:type="dxa"/>
          </w:tcPr>
          <w:tcPr/>
          <w:p>
            <w:pPr>
              <w:pStyle w:val="Compact"/>
              <w:jc w:val="left"/>
            </w:pPr>
            <w:r>
              <w:rPr>
                <w:bCs/>
                <w:b/>
              </w:rPr>
              <w:t xml:space="preserve">4</w:t>
            </w:r>
            <w:r>
              <w:t xml:space="preserve"> </w:t>
            </w:r>
            <w:r>
              <w:t xml:space="preserve">(SBEE à l’équilibre, « zéro subvention »)</w:t>
            </w:r>
          </w:p>
        </w:tc>
        <w:tc>
          <w:tcPr>
            <w:tcW w:w="8804" w:type="dxa"/>
          </w:tcPr>
          <w:tcPr/>
          <w:p>
            <w:pPr>
              <w:pStyle w:val="Compact"/>
              <w:jc w:val="left"/>
            </w:pPr>
            <w:r>
              <w:t xml:space="preserve">Règlement ARE de 2025, SBEE bénéficiaire ; réserve sur la SBPE et la CEB (cf. BEN)</w:t>
            </w:r>
          </w:p>
        </w:tc>
      </w:tr>
      <w:tr>
        <w:tc>
          <w:tcPr>
            <w:tcW w:w="1212" w:type="dxa"/>
          </w:tcPr>
          <w:tcPr/>
          <w:p>
            <w:pPr>
              <w:pStyle w:val="Compact"/>
              <w:jc w:val="left"/>
            </w:pPr>
            <w:r>
              <w:rPr>
                <w:bCs/>
                <w:b/>
              </w:rPr>
              <w:t xml:space="preserve">MRT</w:t>
            </w:r>
          </w:p>
        </w:tc>
        <w:tc>
          <w:tcPr>
            <w:tcW w:w="863" w:type="dxa"/>
          </w:tcPr>
          <w:tcPr/>
          <w:p>
            <w:pPr>
              <w:pStyle w:val="Compact"/>
              <w:jc w:val="left"/>
            </w:pPr>
            <w:r>
              <w:t xml:space="preserve">3</w:t>
            </w:r>
          </w:p>
        </w:tc>
        <w:tc>
          <w:tcPr>
            <w:tcW w:w="3690" w:type="dxa"/>
          </w:tcPr>
          <w:tcPr/>
          <w:p>
            <w:pPr>
              <w:pStyle w:val="Compact"/>
              <w:jc w:val="left"/>
            </w:pPr>
            <w:r>
              <w:rPr>
                <w:bCs/>
                <w:b/>
              </w:rPr>
              <w:t xml:space="preserve">2b</w:t>
            </w:r>
            <w:r>
              <w:t xml:space="preserve"> </w:t>
            </w:r>
            <w:r>
              <w:t xml:space="preserve">(engagement FMI hors pacte)</w:t>
            </w:r>
          </w:p>
        </w:tc>
        <w:tc>
          <w:tcPr>
            <w:tcW w:w="8804" w:type="dxa"/>
          </w:tcPr>
          <w:tcPr/>
          <w:p>
            <w:pPr>
              <w:pStyle w:val="Compact"/>
              <w:jc w:val="left"/>
            </w:pPr>
            <w:r>
              <w:t xml:space="preserve">Stratégie tarifaire fondée sur les coûts à partir de sept. 2027 (MEFP 2026) (cf. MRT)</w:t>
            </w:r>
          </w:p>
        </w:tc>
      </w:tr>
      <w:tr>
        <w:tc>
          <w:tcPr>
            <w:tcW w:w="1212" w:type="dxa"/>
          </w:tcPr>
          <w:tcPr/>
          <w:p>
            <w:pPr>
              <w:pStyle w:val="Compact"/>
              <w:jc w:val="left"/>
            </w:pPr>
            <w:r>
              <w:t xml:space="preserve">TZA</w:t>
            </w:r>
          </w:p>
        </w:tc>
        <w:tc>
          <w:tcPr>
            <w:tcW w:w="863" w:type="dxa"/>
          </w:tcPr>
          <w:tcPr/>
          <w:p>
            <w:pPr>
              <w:pStyle w:val="Compact"/>
              <w:jc w:val="left"/>
            </w:pPr>
            <w:r>
              <w:t xml:space="preserve">2b</w:t>
            </w:r>
          </w:p>
        </w:tc>
        <w:tc>
          <w:tcPr>
            <w:tcW w:w="3690" w:type="dxa"/>
          </w:tcPr>
          <w:tcPr/>
          <w:p>
            <w:pPr>
              <w:pStyle w:val="Compact"/>
              <w:jc w:val="left"/>
            </w:pPr>
            <w:r>
              <w:t xml:space="preserve">2b (glissement)</w:t>
            </w:r>
          </w:p>
        </w:tc>
        <w:tc>
          <w:tcPr>
            <w:tcW w:w="8804" w:type="dxa"/>
          </w:tcPr>
          <w:tcPr/>
          <w:p>
            <w:pPr>
              <w:pStyle w:val="Compact"/>
              <w:jc w:val="left"/>
            </w:pPr>
            <w:r>
              <w:t xml:space="preserve">RM9 du FMI (mars 2026) contre août 2026 dans le pacte ; grille de 2016 (cf. TZA)</w:t>
            </w:r>
          </w:p>
        </w:tc>
      </w:tr>
      <w:tr>
        <w:tc>
          <w:tcPr>
            <w:tcW w:w="1212" w:type="dxa"/>
          </w:tcPr>
          <w:tcPr/>
          <w:p>
            <w:pPr>
              <w:pStyle w:val="Compact"/>
              <w:jc w:val="left"/>
            </w:pPr>
            <w:r>
              <w:t xml:space="preserve">BDI</w:t>
            </w:r>
          </w:p>
        </w:tc>
        <w:tc>
          <w:tcPr>
            <w:tcW w:w="863" w:type="dxa"/>
          </w:tcPr>
          <w:tcPr/>
          <w:p>
            <w:pPr>
              <w:pStyle w:val="Compact"/>
              <w:jc w:val="left"/>
            </w:pPr>
            <w:r>
              <w:t xml:space="preserve">2b</w:t>
            </w:r>
          </w:p>
        </w:tc>
        <w:tc>
          <w:tcPr>
            <w:tcW w:w="3690" w:type="dxa"/>
          </w:tcPr>
          <w:tcPr/>
          <w:p>
            <w:pPr>
              <w:pStyle w:val="Compact"/>
              <w:jc w:val="left"/>
            </w:pPr>
            <w:r>
              <w:t xml:space="preserve">2b (glissement d’un an)</w:t>
            </w:r>
          </w:p>
        </w:tc>
        <w:tc>
          <w:tcPr>
            <w:tcW w:w="8804" w:type="dxa"/>
          </w:tcPr>
          <w:tcPr/>
          <w:p>
            <w:pPr>
              <w:pStyle w:val="Compact"/>
              <w:jc w:val="left"/>
            </w:pPr>
            <w:r>
              <w:t xml:space="preserve">PBC 3 calée sur déc. 2027 (cf. BDI)</w:t>
            </w:r>
          </w:p>
        </w:tc>
      </w:tr>
      <w:tr>
        <w:tc>
          <w:tcPr>
            <w:tcW w:w="1212" w:type="dxa"/>
          </w:tcPr>
          <w:tcPr/>
          <w:p>
            <w:pPr>
              <w:pStyle w:val="Compact"/>
              <w:jc w:val="left"/>
            </w:pPr>
            <w:r>
              <w:t xml:space="preserve">MDG, MWI, ZMB, LBR, COM</w:t>
            </w:r>
          </w:p>
        </w:tc>
        <w:tc>
          <w:tcPr>
            <w:tcW w:w="863" w:type="dxa"/>
          </w:tcPr>
          <w:tcPr/>
          <w:p>
            <w:pPr>
              <w:pStyle w:val="Compact"/>
              <w:jc w:val="left"/>
            </w:pPr>
            <w:r>
              <w:t xml:space="preserve">2a</w:t>
            </w:r>
          </w:p>
        </w:tc>
        <w:tc>
          <w:tcPr>
            <w:tcW w:w="3690" w:type="dxa"/>
          </w:tcPr>
          <w:tcPr/>
          <w:p>
            <w:pPr>
              <w:pStyle w:val="Compact"/>
              <w:jc w:val="left"/>
            </w:pPr>
            <w:r>
              <w:t xml:space="preserve">2a (inchangé)</w:t>
            </w:r>
          </w:p>
        </w:tc>
        <w:tc>
          <w:tcPr>
            <w:tcW w:w="8804" w:type="dxa"/>
          </w:tcPr>
          <w:tcPr/>
          <w:p>
            <w:pPr>
              <w:pStyle w:val="Compact"/>
              <w:jc w:val="left"/>
            </w:pPr>
            <w:r>
              <w:t xml:space="preserve">Hausses partielles (MDG entreprises +20/+16/+16 % ; MWI +16 % en févr. 2025 ; ZMB tarifs d’urgence) sans trajectoire complète</w:t>
            </w:r>
          </w:p>
        </w:tc>
      </w:tr>
      <w:tr>
        <w:tc>
          <w:tcPr>
            <w:tcW w:w="1212" w:type="dxa"/>
          </w:tcPr>
          <w:tcPr/>
          <w:p>
            <w:pPr>
              <w:pStyle w:val="Compact"/>
              <w:jc w:val="left"/>
            </w:pPr>
            <w:r>
              <w:t xml:space="preserve">UGA, LSO</w:t>
            </w:r>
          </w:p>
        </w:tc>
        <w:tc>
          <w:tcPr>
            <w:tcW w:w="863" w:type="dxa"/>
          </w:tcPr>
          <w:tcPr/>
          <w:p>
            <w:pPr>
              <w:pStyle w:val="Compact"/>
              <w:jc w:val="left"/>
            </w:pPr>
            <w:r>
              <w:t xml:space="preserve">2b</w:t>
            </w:r>
          </w:p>
        </w:tc>
        <w:tc>
          <w:tcPr>
            <w:tcW w:w="3690" w:type="dxa"/>
          </w:tcPr>
          <w:tcPr/>
          <w:p>
            <w:pPr>
              <w:pStyle w:val="Compact"/>
              <w:jc w:val="left"/>
            </w:pPr>
            <w:r>
              <w:t xml:space="preserve">2b (inchangé)</w:t>
            </w:r>
          </w:p>
        </w:tc>
        <w:tc>
          <w:tcPr>
            <w:tcW w:w="8804" w:type="dxa"/>
          </w:tcPr>
          <w:tcPr/>
          <w:p>
            <w:pPr>
              <w:pStyle w:val="Compact"/>
              <w:jc w:val="left"/>
            </w:pPr>
            <w:r>
              <w:t xml:space="preserve">LEWA +9,6 % (LSO) ; aucune base de coût (UGA)</w:t>
            </w:r>
          </w:p>
        </w:tc>
      </w:tr>
      <w:tr>
        <w:tc>
          <w:tcPr>
            <w:tcW w:w="1212" w:type="dxa"/>
          </w:tcPr>
          <w:tcPr/>
          <w:p>
            <w:pPr>
              <w:pStyle w:val="Compact"/>
              <w:jc w:val="left"/>
            </w:pPr>
            <w:r>
              <w:t xml:space="preserve">SLE</w:t>
            </w:r>
          </w:p>
        </w:tc>
        <w:tc>
          <w:tcPr>
            <w:tcW w:w="863" w:type="dxa"/>
          </w:tcPr>
          <w:tcPr/>
          <w:p>
            <w:pPr>
              <w:pStyle w:val="Compact"/>
              <w:jc w:val="left"/>
            </w:pPr>
            <w:r>
              <w:t xml:space="preserve">2b</w:t>
            </w:r>
          </w:p>
        </w:tc>
        <w:tc>
          <w:tcPr>
            <w:tcW w:w="3690" w:type="dxa"/>
          </w:tcPr>
          <w:tcPr/>
          <w:p>
            <w:pPr>
              <w:pStyle w:val="Compact"/>
              <w:jc w:val="left"/>
            </w:pPr>
            <w:r>
              <w:t xml:space="preserve">2b (glissement)</w:t>
            </w:r>
          </w:p>
        </w:tc>
        <w:tc>
          <w:tcPr>
            <w:tcW w:w="8804" w:type="dxa"/>
          </w:tcPr>
          <w:tcPr/>
          <w:p>
            <w:pPr>
              <w:pStyle w:val="Compact"/>
              <w:jc w:val="left"/>
            </w:pPr>
            <w:r>
              <w:t xml:space="preserve">MYTO reflet des coûts renvoyé au déclencheur DPF3 ; concession repoussée à mai 2027 (cf. SLE)</w:t>
            </w:r>
          </w:p>
        </w:tc>
      </w:tr>
      <w:tr>
        <w:tc>
          <w:tcPr>
            <w:tcW w:w="1212" w:type="dxa"/>
          </w:tcPr>
          <w:tcPr/>
          <w:p>
            <w:pPr>
              <w:pStyle w:val="Compact"/>
              <w:jc w:val="left"/>
            </w:pPr>
            <w:r>
              <w:t xml:space="preserve">NER, TCD, CAF, GAB, BFA, GMB</w:t>
            </w:r>
          </w:p>
        </w:tc>
        <w:tc>
          <w:tcPr>
            <w:tcW w:w="863" w:type="dxa"/>
          </w:tcPr>
          <w:tcPr/>
          <w:p>
            <w:pPr>
              <w:pStyle w:val="Compact"/>
              <w:jc w:val="left"/>
            </w:pPr>
            <w:r>
              <w:t xml:space="preserve">3</w:t>
            </w:r>
          </w:p>
        </w:tc>
        <w:tc>
          <w:tcPr>
            <w:tcW w:w="3690" w:type="dxa"/>
          </w:tcPr>
          <w:tcPr/>
          <w:p>
            <w:pPr>
              <w:pStyle w:val="Compact"/>
              <w:jc w:val="left"/>
            </w:pPr>
            <w:r>
              <w:t xml:space="preserve">3 (confirmé)</w:t>
            </w:r>
          </w:p>
        </w:tc>
        <w:tc>
          <w:tcPr>
            <w:tcW w:w="8804" w:type="dxa"/>
          </w:tcPr>
          <w:tcPr/>
          <w:p>
            <w:pPr>
              <w:pStyle w:val="Compact"/>
              <w:jc w:val="left"/>
            </w:pPr>
            <w:r>
              <w:t xml:space="preserve">Aucune donnée ne contredit l’évitement ; BFA : subvention maintenue en 2026</w:t>
            </w:r>
          </w:p>
        </w:tc>
      </w:tr>
    </w:tbl>
    <w:p>
      <w:pPr>
        <w:pStyle w:val="BodyText"/>
      </w:pPr>
      <w:r>
        <w:rPr>
          <w:bCs/>
          <w:b/>
        </w:rPr>
        <w:t xml:space="preserve">Bilan révisé [E]</w:t>
      </w:r>
      <w:r>
        <w:t xml:space="preserve"> </w:t>
      </w:r>
      <w:r>
        <w:t xml:space="preserve">: 1 = 4 (ETH, GHA, RWA, TGO) ; 2a = 9 (CIV, CMR, STP, MDG, MWI, ZMB, LBR, COM, ZWE) ; 2b = 8 (MOZ, BWA, MRT, TZA, BDI, UGA, LSO, SLE) ; 3 = 11 (GIN, COD, COG, NGA, SEN, NER, TCD, CAF, GAB, BFA, GMB) ; 4/4 bis = 4 (NAM, BEN, DJI, KEN). Total 36.</w:t>
      </w:r>
    </w:p>
    <w:p>
      <w:pPr>
        <w:pStyle w:val="BodyText"/>
      </w:pPr>
      <w:r>
        <w:t xml:space="preserve">La catégorie 1 passe de 6 à 4, et la catégorie 3 de 8 à 11 :</w:t>
      </w:r>
      <w:r>
        <w:t xml:space="preserve"> </w:t>
      </w:r>
      <w:r>
        <w:rPr>
          <w:bCs/>
          <w:b/>
        </w:rPr>
        <w:t xml:space="preserve">les données dégradent nettement la crédibilité des engagements tarifaires.</w:t>
      </w:r>
    </w:p>
    <w:p>
      <w:pPr>
        <w:pStyle w:val="BodyText"/>
      </w:pPr>
      <w:r>
        <w:rPr>
          <w:bCs/>
          <w:b/>
        </w:rPr>
        <w:t xml:space="preserve">Cas d’étude (révision de P1 §5.4)</w:t>
      </w:r>
      <w:r>
        <w:t xml:space="preserve"> </w:t>
      </w:r>
      <w:r>
        <w:t xml:space="preserve">:</w:t>
      </w:r>
      <w:r>
        <w:t xml:space="preserve"> </w:t>
      </w:r>
      <w:r>
        <w:t xml:space="preserve">-</w:t>
      </w:r>
      <w:r>
        <w:t xml:space="preserve"> </w:t>
      </w:r>
      <w:r>
        <w:rPr>
          <w:bCs/>
          <w:b/>
        </w:rPr>
        <w:t xml:space="preserve">Ajouter au noyau</w:t>
      </w:r>
      <w:r>
        <w:t xml:space="preserve"> </w:t>
      </w:r>
      <w:r>
        <w:t xml:space="preserve">: BWA (meilleure série tarif/coût auditée) et KEN (cas « État débiteur »).</w:t>
      </w:r>
      <w:r>
        <w:t xml:space="preserve"> </w:t>
      </w:r>
      <w:r>
        <w:t xml:space="preserve">-</w:t>
      </w:r>
      <w:r>
        <w:t xml:space="preserve"> </w:t>
      </w:r>
      <w:r>
        <w:rPr>
          <w:bCs/>
          <w:b/>
        </w:rPr>
        <w:t xml:space="preserve">Renforcer</w:t>
      </w:r>
      <w:r>
        <w:t xml:space="preserve"> </w:t>
      </w:r>
      <w:r>
        <w:t xml:space="preserve">: GHA et ETH, confirmés.</w:t>
      </w:r>
      <w:r>
        <w:t xml:space="preserve"> </w:t>
      </w:r>
      <w:r>
        <w:t xml:space="preserve">-</w:t>
      </w:r>
      <w:r>
        <w:t xml:space="preserve"> </w:t>
      </w:r>
      <w:r>
        <w:rPr>
          <w:bCs/>
          <w:b/>
        </w:rPr>
        <w:t xml:space="preserve">Remplacer</w:t>
      </w:r>
      <w:r>
        <w:t xml:space="preserve"> </w:t>
      </w:r>
      <w:r>
        <w:t xml:space="preserve">: MWI par MDG, pour la richesse des données (comptes, DLI ASCENT, FMI).</w:t>
      </w:r>
      <w:r>
        <w:t xml:space="preserve"> </w:t>
      </w:r>
      <w:r>
        <w:t xml:space="preserve">-</w:t>
      </w:r>
      <w:r>
        <w:t xml:space="preserve"> </w:t>
      </w:r>
      <w:r>
        <w:rPr>
          <w:bCs/>
          <w:b/>
        </w:rPr>
        <w:t xml:space="preserve">Conserver en complément</w:t>
      </w:r>
      <w:r>
        <w:t xml:space="preserve"> </w:t>
      </w:r>
      <w:r>
        <w:t xml:space="preserve">: GIN, mais comme cas d’</w:t>
      </w:r>
      <w:r>
        <w:rPr>
          <w:bCs/>
          <w:b/>
        </w:rPr>
        <w:t xml:space="preserve">échec</w:t>
      </w:r>
      <w:r>
        <w:t xml:space="preserve"> </w:t>
      </w:r>
      <w:r>
        <w:t xml:space="preserve">de trajectoire.</w:t>
      </w:r>
    </w:p>
    <w:p>
      <w:r>
        <w:pict>
          <v:rect style="width:0;height:1.5pt" o:hralign="center" o:hrstd="t" o:hr="t"/>
        </w:pict>
      </w:r>
    </w:p>
    <w:bookmarkEnd w:id="32"/>
    <w:bookmarkStart w:id="35" w:name="implications-pour-les-phases-3-et-4"/>
    <w:p>
      <w:pPr>
        <w:pStyle w:val="Heading1"/>
      </w:pPr>
      <w:r>
        <w:t xml:space="preserve">6. Implications pour les phases 3 et 4</w:t>
      </w:r>
    </w:p>
    <w:bookmarkStart w:id="33" w:name="Xe8ff0c50b7a364ae295a644b07ab0b07b13a6d6"/>
    <w:p>
      <w:pPr>
        <w:pStyle w:val="Heading2"/>
      </w:pPr>
      <w:r>
        <w:t xml:space="preserve">Phase 3 — structure tarifaire et coûts par segment</w:t>
      </w:r>
    </w:p>
    <w:p>
      <w:pPr>
        <w:pStyle w:val="FirstParagraph"/>
      </w:pPr>
      <w:r>
        <w:rPr>
          <w:bCs/>
          <w:b/>
        </w:rPr>
        <w:t xml:space="preserve">Questions :</w:t>
      </w:r>
      <w:r>
        <w:t xml:space="preserve"> </w:t>
      </w:r>
      <w:r>
        <w:t xml:space="preserve">1. Quelle couverture réelle des coûts, avec une définition homogène (OPEX, OPEX + dette, coût complet, avec ou sans pertes de change) ? Les écarts actuels tiennent souvent à la définition : MWI 77 % (pacte) contre 100 % hors change (BM) ; MOZ ≥ 100 % contre 85 % ; ETH &lt; 60 % contre 76 %.</w:t>
      </w:r>
      <w:r>
        <w:t xml:space="preserve"> </w:t>
      </w:r>
      <w:r>
        <w:t xml:space="preserve">2. Quelle part du coût vient de l’achat d’énergie, notamment des IPP thermiques et des locations ? Quelques ordres de grandeur : achats ≈ 66 % des charges à la SBEE, ≈ 66 % des produits à KPLC, ≈ 51 % des charges à SENELEC, et combustible + achats ≈ 86 % des coûts à la JIRAMA.</w:t>
      </w:r>
      <w:r>
        <w:t xml:space="preserve"> </w:t>
      </w:r>
      <w:r>
        <w:t xml:space="preserve">3. Quel coût du take-or-pay et de la surcapacité ? Cas : Nachtigal, Mmamabula, Karuma, Souapiti, PPA ghanéens.</w:t>
      </w:r>
      <w:r>
        <w:t xml:space="preserve"> </w:t>
      </w:r>
      <w:r>
        <w:t xml:space="preserve">4. Quels prix de cession intra-sectoriels ? EGENCO→ESCOM, UETCL→UEDCL (BST), SBPE→SBEE, SONABHY→SONABEL, gaz CEC (COG).</w:t>
      </w:r>
      <w:r>
        <w:t xml:space="preserve"> </w:t>
      </w:r>
      <w:r>
        <w:t xml:space="preserve">5. Quelle structure des subventions croisées ? Tarif « Government » à 3,56 BWP contre 0,90 pour les ménages (BWA) ; tarifs miniers (ZMB) ; péréquation au détriment du privé (DJI) ; Band A (NGA).</w:t>
      </w:r>
    </w:p>
    <w:p>
      <w:pPr>
        <w:pStyle w:val="BodyText"/>
      </w:pPr>
      <w:r>
        <w:rPr>
          <w:bCs/>
          <w:b/>
        </w:rPr>
        <w:t xml:space="preserve">Pays cas d’étude</w:t>
      </w:r>
      <w:r>
        <w:t xml:space="preserve"> </w:t>
      </w:r>
      <w:r>
        <w:t xml:space="preserve">: BWA, KEN, TZA, SEN, CIV/TGO, GHA, ETH, MDG, ZMB, NGA.</w:t>
      </w:r>
    </w:p>
    <w:p>
      <w:pPr>
        <w:pStyle w:val="BodyText"/>
      </w:pPr>
      <w:r>
        <w:rPr>
          <w:bCs/>
          <w:b/>
        </w:rPr>
        <w:t xml:space="preserve">Données manquantes à chercher</w:t>
      </w:r>
      <w:r>
        <w:t xml:space="preserve"> </w:t>
      </w:r>
      <w:r>
        <w:t xml:space="preserve">(études et grilles citées dans les fiches) :</w:t>
      </w:r>
      <w:r>
        <w:t xml:space="preserve"> </w:t>
      </w:r>
      <w:r>
        <w:t xml:space="preserve">-</w:t>
      </w:r>
      <w:r>
        <w:t xml:space="preserve"> </w:t>
      </w:r>
      <w:r>
        <w:rPr>
          <w:bCs/>
          <w:b/>
        </w:rPr>
        <w:t xml:space="preserve">Études de coût de service</w:t>
      </w:r>
      <w:r>
        <w:t xml:space="preserve"> </w:t>
      </w:r>
      <w:r>
        <w:t xml:space="preserve">: ESMAP/BM COG (mai 2025) ; étude tarifaire BM BDI (2024) ; revue PEA ETH (2025) ; coût de service BERA/BAD (BWA) ; EWURA (TZA, 2026) ; ERA (UGA, 2026) ; DJI (T4 2026) ; LEWA (LSO) ; ZWE (2020) ; CAF (2021) ; étude PSRP (STP) ; PURA (GMB) ; méthodologie PAAET (TCD) ; segmentation (BFA).</w:t>
      </w:r>
      <w:r>
        <w:t xml:space="preserve"> </w:t>
      </w:r>
      <w:r>
        <w:t xml:space="preserve">-</w:t>
      </w:r>
      <w:r>
        <w:t xml:space="preserve"> </w:t>
      </w:r>
      <w:r>
        <w:rPr>
          <w:bCs/>
          <w:b/>
        </w:rPr>
        <w:t xml:space="preserve">Grilles et décisions</w:t>
      </w:r>
      <w:r>
        <w:t xml:space="preserve"> </w:t>
      </w:r>
      <w:r>
        <w:t xml:space="preserve">:</w:t>
      </w:r>
      <w:r>
        <w:t xml:space="preserve"> </w:t>
      </w:r>
      <w:r>
        <w:t xml:space="preserve">- TZA GN 2016-010 (D1 : 100 TZS jusqu’à 75 kWh) ; RWA oct. 2025 ; TGO mai 2025 ; BEN ARE 2026-27 ;</w:t>
      </w:r>
      <w:r>
        <w:t xml:space="preserve"> </w:t>
      </w:r>
      <w:r>
        <w:t xml:space="preserve">- MYTO GHA 2026-30 ; MYTF ZMB 2025-27 ; MYTO bandes NGA ;</w:t>
      </w:r>
      <w:r>
        <w:t xml:space="preserve"> </w:t>
      </w:r>
      <w:r>
        <w:t xml:space="preserve">- RMA CRSE SEN ; MAR ARSEL CMR 2026 ; BERA 2026/27 ; ECB/REDs NAM ;</w:t>
      </w:r>
      <w:r>
        <w:t xml:space="preserve"> </w:t>
      </w:r>
      <w:r>
        <w:t xml:space="preserve">- décrets d’indexation MDG ; décret de 2023 MOZ ; base 2023-27 MWI ; ARSE 2022 NER ;</w:t>
      </w:r>
      <w:r>
        <w:t xml:space="preserve"> </w:t>
      </w:r>
      <w:r>
        <w:t xml:space="preserve">- structure tarifaire en préparation CIV (déclencheur DPF3).</w:t>
      </w:r>
      <w:r>
        <w:t xml:space="preserve"> </w:t>
      </w:r>
      <w:r>
        <w:t xml:space="preserve">-</w:t>
      </w:r>
      <w:r>
        <w:t xml:space="preserve"> </w:t>
      </w:r>
      <w:r>
        <w:rPr>
          <w:bCs/>
          <w:b/>
        </w:rPr>
        <w:t xml:space="preserve">Comptes et dettes</w:t>
      </w:r>
      <w:r>
        <w:t xml:space="preserve"> </w:t>
      </w:r>
      <w:r>
        <w:t xml:space="preserve">: comptes de CI-ENERGIES, de la SBPE et de la CEB, d’UETCL et d’UEGCL, de KenGen ; bilan d’ouverture de TchadElec et de SOCADEL ; rapport E&amp;Y sur la dette de la SNEL ; rapport Forvis Mazars (JIRAMA).</w:t>
      </w:r>
      <w:r>
        <w:t xml:space="preserve"> </w:t>
      </w:r>
      <w:r>
        <w:t xml:space="preserve">-</w:t>
      </w:r>
      <w:r>
        <w:t xml:space="preserve"> </w:t>
      </w:r>
      <w:r>
        <w:rPr>
          <w:bCs/>
          <w:b/>
        </w:rPr>
        <w:t xml:space="preserve">Coûts des PPA</w:t>
      </w:r>
      <w:r>
        <w:t xml:space="preserve"> </w:t>
      </w:r>
      <w:r>
        <w:t xml:space="preserve">: Karpowership (SEN, GIN, GAB) ; 7 PPA thermiques (BFA) ; HCB (MOZ).</w:t>
      </w:r>
    </w:p>
    <w:bookmarkEnd w:id="33"/>
    <w:bookmarkStart w:id="34" w:name="phase-4-équité-tarifaire"/>
    <w:p>
      <w:pPr>
        <w:pStyle w:val="Heading2"/>
      </w:pPr>
      <w:r>
        <w:t xml:space="preserve">Phase 4 — équité tarifaire</w:t>
      </w:r>
    </w:p>
    <w:p>
      <w:pPr>
        <w:pStyle w:val="FirstParagraph"/>
      </w:pPr>
      <w:r>
        <w:rPr>
          <w:bCs/>
          <w:b/>
        </w:rPr>
        <w:t xml:space="preserve">Questions :</w:t>
      </w:r>
      <w:r>
        <w:t xml:space="preserve"> </w:t>
      </w:r>
      <w:r>
        <w:t xml:space="preserve">1. Qui supporte l’ajustement ? Les ménages ont été exclus de l’ATAM au MWI (2024). Les hausses n’ont visé que les entreprises à MDG (+20/+16/+16 %). Le Togo maintient une baisse de 30 % pour plus de 1,5 M de petits consommateurs. Le Lesotho a relevé le lifeline de +5 % contre +9,6 % pour les autres tarifs.</w:t>
      </w:r>
      <w:r>
        <w:t xml:space="preserve"> </w:t>
      </w:r>
      <w:r>
        <w:t xml:space="preserve">2. Quelle protection face aux chocs ? ETH : tarif des ménages ≈ 0,005 USD/kWh (DG d’EEU) avant des hausses de ≥ 10 % par trimestre, avec un chiffrage des obligations de service public encore au stade pilote. RWA : +45 % pour le résidentiel, avec un bloc social porté de 15 à 20 kWh.</w:t>
      </w:r>
      <w:r>
        <w:t xml:space="preserve"> </w:t>
      </w:r>
      <w:r>
        <w:t xml:space="preserve">3. Qui supporte le délestage ? En ZMB, il est concentré sur les ménages (mines prioritaires), avec ≈ 4 h d’électricité par jour.</w:t>
      </w:r>
      <w:r>
        <w:t xml:space="preserve"> </w:t>
      </w:r>
      <w:r>
        <w:t xml:space="preserve">4. Quelle équité si l’État ne paie pas ? DJI, KEN, UGA : les clients privés paient pour les administrations.</w:t>
      </w:r>
      <w:r>
        <w:t xml:space="preserve"> </w:t>
      </w:r>
      <w:r>
        <w:t xml:space="preserve">5. Raccordement : à l’EEU, les frais de raccordement représentent 31,8 % du CA (S1) et un paiement échelonné est prévu (DPO PA7). Le raccordement est gratuit au BWA depuis avril 2024. UGA prévoit des raccordements « no-pole/one-pole ».</w:t>
      </w:r>
      <w:r>
        <w:t xml:space="preserve"> </w:t>
      </w:r>
      <w:r>
        <w:t xml:space="preserve">6. Transfert du risque de change : pass-through mensuel au KEN ; indexation trimestrielle en UGA ; recouvrement « en devises » au ZWE.</w:t>
      </w:r>
    </w:p>
    <w:p>
      <w:pPr>
        <w:pStyle w:val="BodyText"/>
      </w:pPr>
      <w:r>
        <w:rPr>
          <w:bCs/>
          <w:b/>
        </w:rPr>
        <w:t xml:space="preserve">Pays cas d’étude</w:t>
      </w:r>
      <w:r>
        <w:t xml:space="preserve"> </w:t>
      </w:r>
      <w:r>
        <w:t xml:space="preserve">: ETH (choc tarifaire), RWA (hausse accompagnée), ZMB (délestage inégal), TGO (protection des petits consommateurs), NGA (bandes), DJI (baisse visée), COG (tarif social &lt; 50 kWh/mois, PBC 3 bloquée).</w:t>
      </w:r>
    </w:p>
    <w:p>
      <w:pPr>
        <w:pStyle w:val="BodyText"/>
      </w:pPr>
      <w:r>
        <w:rPr>
          <w:bCs/>
          <w:b/>
        </w:rPr>
        <w:t xml:space="preserve">Données manquantes</w:t>
      </w:r>
      <w:r>
        <w:t xml:space="preserve"> </w:t>
      </w:r>
      <w:r>
        <w:t xml:space="preserve">:</w:t>
      </w:r>
      <w:r>
        <w:t xml:space="preserve"> </w:t>
      </w:r>
      <w:r>
        <w:t xml:space="preserve">- grilles par tranche ;</w:t>
      </w:r>
      <w:r>
        <w:t xml:space="preserve"> </w:t>
      </w:r>
      <w:r>
        <w:t xml:space="preserve">- volumes par tranche (aucun dans les fiches) ;</w:t>
      </w:r>
      <w:r>
        <w:t xml:space="preserve"> </w:t>
      </w:r>
      <w:r>
        <w:t xml:space="preserve">- enquêtes MTF et ménages ;</w:t>
      </w:r>
      <w:r>
        <w:t xml:space="preserve"> </w:t>
      </w:r>
      <w:r>
        <w:t xml:space="preserve">- incidence par décile (seuls NGA et SEN en P1) ;</w:t>
      </w:r>
      <w:r>
        <w:t xml:space="preserve"> </w:t>
      </w:r>
      <w:r>
        <w:t xml:space="preserve">- montant et ciblage des tarifs sociaux : BEN 88 FCFA ; GIN 90 kWh (plan de 2020) ; lifeline ZMB (DPF1) ; décret « tarifs abordables » au MOZ.</w:t>
      </w:r>
    </w:p>
    <w:p>
      <w:r>
        <w:pict>
          <v:rect style="width:0;height:1.5pt" o:hralign="center" o:hrstd="t" o:hr="t"/>
        </w:pict>
      </w:r>
    </w:p>
    <w:bookmarkEnd w:id="34"/>
    <w:bookmarkEnd w:id="35"/>
    <w:bookmarkStart w:id="36" w:name="limites"/>
    <w:p>
      <w:pPr>
        <w:pStyle w:val="Heading1"/>
      </w:pPr>
      <w:r>
        <w:t xml:space="preserve">7. Limites</w:t>
      </w:r>
    </w:p>
    <w:p>
      <w:pPr>
        <w:numPr>
          <w:ilvl w:val="0"/>
          <w:numId w:val="1012"/>
        </w:numPr>
        <w:pStyle w:val="Compact"/>
      </w:pPr>
      <w:r>
        <w:rPr>
          <w:bCs/>
          <w:b/>
        </w:rPr>
        <w:t xml:space="preserve">afdb.org est inaccessible</w:t>
      </w:r>
      <w:r>
        <w:t xml:space="preserve"> </w:t>
      </w:r>
      <w:r>
        <w:t xml:space="preserve">(erreur 403). Les données BAD viennent d’IATI/d-portal, de l’EWS, des communiqués APO et de la presse [S]. Les montants et statuts BAD sont souvent [?] : BWA, MWI, MOZ, LSO, ZMB, KEN, COM, COG, CMR, COD.</w:t>
      </w:r>
    </w:p>
    <w:p>
      <w:pPr>
        <w:numPr>
          <w:ilvl w:val="0"/>
          <w:numId w:val="1012"/>
        </w:numPr>
        <w:pStyle w:val="Compact"/>
      </w:pPr>
      <w:r>
        <w:rPr>
          <w:bCs/>
          <w:b/>
        </w:rPr>
        <w:t xml:space="preserve">Les ISR de la BM sont anciens pour plusieurs pays</w:t>
      </w:r>
      <w:r>
        <w:t xml:space="preserve"> </w:t>
      </w:r>
      <w:r>
        <w:t xml:space="preserve">(pas après fin 2024 ou début 2025) : NGA (PSRO mars 2025, DISREP janv. 2025), GHA (ESRP 2024), ZMB (NEAT déc. 2024), MOZ, BWA, NAM, LBR, GMB, GIN (déc. 2024), LSO (janv. 2025), MWI (févr. 2025). Les taux de décaissement cités peuvent être dépassés.</w:t>
      </w:r>
    </w:p>
    <w:p>
      <w:pPr>
        <w:numPr>
          <w:ilvl w:val="0"/>
          <w:numId w:val="1012"/>
        </w:numPr>
        <w:pStyle w:val="Compact"/>
      </w:pPr>
      <w:r>
        <w:rPr>
          <w:bCs/>
          <w:b/>
        </w:rPr>
        <w:t xml:space="preserve">Les comptes sont rares</w:t>
      </w:r>
      <w:r>
        <w:t xml:space="preserve"> </w:t>
      </w:r>
      <w:r>
        <w:t xml:space="preserve">: 20 opérateurs sans comptes audités accessibles. Plusieurs chiffres financiers clés viennent de la</w:t>
      </w:r>
      <w:r>
        <w:t xml:space="preserve"> </w:t>
      </w:r>
      <w:r>
        <w:rPr>
          <w:bCs/>
          <w:b/>
        </w:rPr>
        <w:t xml:space="preserve">presse</w:t>
      </w:r>
      <w:r>
        <w:t xml:space="preserve"> </w:t>
      </w:r>
      <w:r>
        <w:t xml:space="preserve">[S] : comptes ECG 2025 (GHA), EDM 2025 (MOZ), ESCOM (MWI), LEC (LSO), ZETDC (ZWE), E²C (COG), EDD (DJI). Des rapports FMI étaient inaccessibles (COM, erreur 429 ; GMB, erreurs 403/404).</w:t>
      </w:r>
    </w:p>
    <w:p>
      <w:pPr>
        <w:numPr>
          <w:ilvl w:val="0"/>
          <w:numId w:val="1012"/>
        </w:numPr>
        <w:pStyle w:val="Compact"/>
      </w:pPr>
      <w:r>
        <w:rPr>
          <w:bCs/>
          <w:b/>
        </w:rPr>
        <w:t xml:space="preserve">Les définitions ne sont pas harmonisées</w:t>
      </w:r>
      <w:r>
        <w:t xml:space="preserve"> </w:t>
      </w:r>
      <w:r>
        <w:t xml:space="preserve">: pertes (transport seul, distribution, T&amp;D, ATC&amp;C), recouvrement (encaissements/facturation, avec ou sans arriérés), couverture des coûts. Les ratios [E] du §2 ne sont qu’indicatifs. Les conversions de devises viennent des fiches.</w:t>
      </w:r>
    </w:p>
    <w:p>
      <w:pPr>
        <w:numPr>
          <w:ilvl w:val="0"/>
          <w:numId w:val="1012"/>
        </w:numPr>
        <w:pStyle w:val="Compact"/>
      </w:pPr>
      <w:r>
        <w:rPr>
          <w:bCs/>
          <w:b/>
        </w:rPr>
        <w:t xml:space="preserve">Les notations, groupes et révisions de classement sont des jugements de l’auteur [E].</w:t>
      </w:r>
      <w:r>
        <w:t xml:space="preserve"> </w:t>
      </w:r>
      <w:r>
        <w:t xml:space="preserve">Plusieurs notes sont plus sévères que la fiche (↓, §3).</w:t>
      </w:r>
    </w:p>
    <w:p>
      <w:pPr>
        <w:numPr>
          <w:ilvl w:val="0"/>
          <w:numId w:val="1012"/>
        </w:numPr>
        <w:pStyle w:val="Compact"/>
      </w:pPr>
      <w:r>
        <w:rPr>
          <w:bCs/>
          <w:b/>
        </w:rPr>
        <w:t xml:space="preserve">Notes de vérification de l’orchestrateur</w:t>
      </w:r>
      <w:r>
        <w:t xml:space="preserve"> </w:t>
      </w:r>
      <w:r>
        <w:t xml:space="preserve">:</w:t>
      </w:r>
    </w:p>
    <w:p>
      <w:pPr>
        <w:numPr>
          <w:ilvl w:val="1"/>
          <w:numId w:val="1013"/>
        </w:numPr>
        <w:pStyle w:val="Compact"/>
      </w:pPr>
      <w:r>
        <w:t xml:space="preserve">≈ 35 ID BM vérifiés par l’API officielle de la BM ;</w:t>
      </w:r>
      <w:r>
        <w:t xml:space="preserve"> </w:t>
      </w:r>
      <w:r>
        <w:rPr>
          <w:bCs/>
          <w:b/>
        </w:rPr>
        <w:t xml:space="preserve">P513494</w:t>
      </w:r>
      <w:r>
        <w:t xml:space="preserve"> </w:t>
      </w:r>
      <w:r>
        <w:t xml:space="preserve">(interconnexion Ouganda-Tanzanie) n’est pas renvoyé par l’API ;</w:t>
      </w:r>
      <w:r>
        <w:t xml:space="preserve"> </w:t>
      </w:r>
      <w:r>
        <w:rPr>
          <w:bCs/>
          <w:b/>
        </w:rPr>
        <w:t xml:space="preserve">P515164</w:t>
      </w:r>
      <w:r>
        <w:t xml:space="preserve"> </w:t>
      </w:r>
      <w:r>
        <w:t xml:space="preserve">(ASCENT Madagascar) est confirmé par son ISR.</w:t>
      </w:r>
    </w:p>
    <w:p>
      <w:pPr>
        <w:numPr>
          <w:ilvl w:val="1"/>
          <w:numId w:val="1013"/>
        </w:numPr>
        <w:pStyle w:val="Compact"/>
      </w:pPr>
      <w:r>
        <w:rPr>
          <w:bCs/>
          <w:b/>
        </w:rPr>
        <w:t xml:space="preserve">ASCENT Malawi P502464</w:t>
      </w:r>
      <w:r>
        <w:t xml:space="preserve"> </w:t>
      </w:r>
      <w:r>
        <w:t xml:space="preserve">: 245,8 M USD selon le PAD (cf. MWI) contre</w:t>
      </w:r>
      <w:r>
        <w:t xml:space="preserve"> </w:t>
      </w:r>
      <w:r>
        <w:rPr>
          <w:bCs/>
          <w:b/>
        </w:rPr>
        <w:t xml:space="preserve">500 M USD</w:t>
      </w:r>
      <w:r>
        <w:t xml:space="preserve"> </w:t>
      </w:r>
      <w:r>
        <w:t xml:space="preserve">dans l’API et dans REG.</w:t>
      </w:r>
      <w:r>
        <w:t xml:space="preserve"> </w:t>
      </w:r>
      <w:r>
        <w:rPr>
          <w:bCs/>
          <w:b/>
        </w:rPr>
        <w:t xml:space="preserve">Écart non résolu.</w:t>
      </w:r>
    </w:p>
    <w:p>
      <w:pPr>
        <w:numPr>
          <w:ilvl w:val="1"/>
          <w:numId w:val="1013"/>
        </w:numPr>
        <w:pStyle w:val="Compact"/>
      </w:pPr>
      <w:r>
        <w:rPr>
          <w:bCs/>
          <w:b/>
        </w:rPr>
        <w:t xml:space="preserve">DISREP P172891</w:t>
      </w:r>
      <w:r>
        <w:t xml:space="preserve"> </w:t>
      </w:r>
      <w:r>
        <w:t xml:space="preserve">: prêt BIRD de 500 M USD décaissé à 2,77 % (cf. NGA), contre un coût total de</w:t>
      </w:r>
      <w:r>
        <w:t xml:space="preserve"> </w:t>
      </w:r>
      <w:r>
        <w:rPr>
          <w:bCs/>
          <w:b/>
        </w:rPr>
        <w:t xml:space="preserve">1,2 Md USD</w:t>
      </w:r>
      <w:r>
        <w:t xml:space="preserve"> </w:t>
      </w:r>
      <w:r>
        <w:t xml:space="preserve">dans l’API (différence de périmètre probable).</w:t>
      </w:r>
    </w:p>
    <w:p>
      <w:pPr>
        <w:numPr>
          <w:ilvl w:val="1"/>
          <w:numId w:val="1013"/>
        </w:numPr>
        <w:pStyle w:val="Compact"/>
      </w:pPr>
      <w:r>
        <w:rPr>
          <w:bCs/>
          <w:b/>
        </w:rPr>
        <w:t xml:space="preserve">P180547 (ASCENT)</w:t>
      </w:r>
      <w:r>
        <w:t xml:space="preserve"> </w:t>
      </w:r>
      <w:r>
        <w:t xml:space="preserve">: l’API affiche 50 M USD d’engagement (1re phase, REAAP) ; les « 5 Md USD » sont l’enveloppe du MPA,</w:t>
      </w:r>
      <w:r>
        <w:t xml:space="preserve"> </w:t>
      </w:r>
      <w:r>
        <w:rPr>
          <w:bCs/>
          <w:b/>
        </w:rPr>
        <w:t xml:space="preserve">non vérifiée</w:t>
      </w:r>
      <w:r>
        <w:t xml:space="preserve">.</w:t>
      </w:r>
    </w:p>
    <w:p>
      <w:pPr>
        <w:numPr>
          <w:ilvl w:val="0"/>
          <w:numId w:val="1012"/>
        </w:numPr>
        <w:pStyle w:val="Compact"/>
      </w:pPr>
      <w:r>
        <w:rPr>
          <w:bCs/>
          <w:b/>
        </w:rPr>
        <w:t xml:space="preserve">Contradictions entre fiches</w:t>
      </w:r>
      <w:r>
        <w:t xml:space="preserve"> </w:t>
      </w:r>
      <w:r>
        <w:t xml:space="preserve">(non résolues) :</w:t>
      </w:r>
    </w:p>
    <w:p>
      <w:pPr>
        <w:numPr>
          <w:ilvl w:val="1"/>
          <w:numId w:val="1014"/>
        </w:numPr>
        <w:pStyle w:val="Compact"/>
      </w:pPr>
      <w:r>
        <w:rPr>
          <w:bCs/>
          <w:b/>
        </w:rPr>
        <w:t xml:space="preserve">Statut des phases ASCENT</w:t>
      </w:r>
      <w:r>
        <w:t xml:space="preserve"> </w:t>
      </w:r>
      <w:r>
        <w:t xml:space="preserve">: REG classe ETH P506061, ZMB P507635 et MOZ P507759 en « pipeline », alors que les fiches les disent approuvées (ZMB 28/07/2025 ; MOZ 21/03/2025) ou en vigueur (ETH 12/03/2026). MWI : « approuvé [E] », mais « pipeline » dans l’API.</w:t>
      </w:r>
    </w:p>
    <w:p>
      <w:pPr>
        <w:numPr>
          <w:ilvl w:val="1"/>
          <w:numId w:val="1014"/>
        </w:numPr>
        <w:pStyle w:val="Compact"/>
      </w:pPr>
      <w:r>
        <w:rPr>
          <w:bCs/>
          <w:b/>
        </w:rPr>
        <w:t xml:space="preserve">Interconnexion Ouganda-Tanzanie</w:t>
      </w:r>
      <w:r>
        <w:t xml:space="preserve"> </w:t>
      </w:r>
      <w:r>
        <w:t xml:space="preserve">: UGA la donne approuvée le 04/06/2026 sous P513494 (250 M USD) ; REG la date du 18/06/2026 (RETRADE-EA, ID [?]) ; TZA cite le volet tanzanien P512145 (pipeline, 11/12/2026).</w:t>
      </w:r>
    </w:p>
    <w:p>
      <w:pPr>
        <w:numPr>
          <w:ilvl w:val="1"/>
          <w:numId w:val="1014"/>
        </w:numPr>
        <w:pStyle w:val="Compact"/>
      </w:pPr>
      <w:r>
        <w:rPr>
          <w:bCs/>
          <w:b/>
        </w:rPr>
        <w:t xml:space="preserve">RESPITE P179267</w:t>
      </w:r>
      <w:r>
        <w:t xml:space="preserve"> </w:t>
      </w:r>
      <w:r>
        <w:t xml:space="preserve">: 311 M USD (LBR, SLE, TCD) contre 381 M (TGO, AF P512092 incluse). Cohérent si l’AF est comptée.</w:t>
      </w:r>
    </w:p>
    <w:p>
      <w:pPr>
        <w:numPr>
          <w:ilvl w:val="1"/>
          <w:numId w:val="1014"/>
        </w:numPr>
        <w:pStyle w:val="Compact"/>
      </w:pPr>
      <w:r>
        <w:rPr>
          <w:bCs/>
          <w:b/>
        </w:rPr>
        <w:t xml:space="preserve">WA-REMP</w:t>
      </w:r>
      <w:r>
        <w:t xml:space="preserve"> </w:t>
      </w:r>
      <w:r>
        <w:t xml:space="preserve">: CIV range P178923 (interconnexion Ghana-CIV, 314 M) dans le MPA ; REG fait de P505173 (Mauritanie) la phase 1.</w:t>
      </w:r>
    </w:p>
    <w:p>
      <w:pPr>
        <w:numPr>
          <w:ilvl w:val="1"/>
          <w:numId w:val="1014"/>
        </w:numPr>
        <w:pStyle w:val="Compact"/>
      </w:pPr>
      <w:r>
        <w:rPr>
          <w:bCs/>
          <w:b/>
        </w:rPr>
        <w:t xml:space="preserve">Recouvrement de la SNEL</w:t>
      </w:r>
      <w:r>
        <w:t xml:space="preserve"> </w:t>
      </w:r>
      <w:r>
        <w:t xml:space="preserve">: 70,87 % (DPF) contre 60 % (AGREE) dans la même fiche.</w:t>
      </w:r>
    </w:p>
    <w:p>
      <w:pPr>
        <w:numPr>
          <w:ilvl w:val="1"/>
          <w:numId w:val="1014"/>
        </w:numPr>
        <w:pStyle w:val="Compact"/>
      </w:pPr>
      <w:r>
        <w:rPr>
          <w:bCs/>
          <w:b/>
        </w:rPr>
        <w:t xml:space="preserve">SEEG</w:t>
      </w:r>
      <w:r>
        <w:t xml:space="preserve"> </w:t>
      </w:r>
      <w:r>
        <w:t xml:space="preserve">: 70 %, 90 % ou 60,5 % selon la source.</w:t>
      </w:r>
    </w:p>
    <w:p>
      <w:pPr>
        <w:numPr>
          <w:ilvl w:val="1"/>
          <w:numId w:val="1014"/>
        </w:numPr>
        <w:pStyle w:val="Compact"/>
      </w:pPr>
      <w:r>
        <w:rPr>
          <w:bCs/>
          <w:b/>
        </w:rPr>
        <w:t xml:space="preserve">Bénéfice 2025 de ZESCO</w:t>
      </w:r>
      <w:r>
        <w:t xml:space="preserve"> </w:t>
      </w:r>
      <w:r>
        <w:t xml:space="preserve">: 6,3 ou 5,3 Md ZMW.</w:t>
      </w:r>
    </w:p>
    <w:p>
      <w:pPr>
        <w:numPr>
          <w:ilvl w:val="1"/>
          <w:numId w:val="1014"/>
        </w:numPr>
        <w:pStyle w:val="Compact"/>
      </w:pPr>
      <w:r>
        <w:rPr>
          <w:bCs/>
          <w:b/>
        </w:rPr>
        <w:t xml:space="preserve">DPF P180017 (CMR)</w:t>
      </w:r>
      <w:r>
        <w:t xml:space="preserve"> </w:t>
      </w:r>
      <w:r>
        <w:t xml:space="preserve">: 189,4 M EUR contre 400 M USD.</w:t>
      </w:r>
    </w:p>
    <w:p>
      <w:pPr>
        <w:numPr>
          <w:ilvl w:val="1"/>
          <w:numId w:val="1014"/>
        </w:numPr>
        <w:pStyle w:val="Compact"/>
      </w:pPr>
      <w:r>
        <w:rPr>
          <w:bCs/>
          <w:b/>
        </w:rPr>
        <w:t xml:space="preserve">Compte « État – protocoles » de la JIRAMA</w:t>
      </w:r>
      <w:r>
        <w:t xml:space="preserve"> </w:t>
      </w:r>
      <w:r>
        <w:t xml:space="preserve">: 2 678,6 contre 1 553 Mds MGA.</w:t>
      </w:r>
    </w:p>
    <w:p>
      <w:pPr>
        <w:numPr>
          <w:ilvl w:val="1"/>
          <w:numId w:val="1014"/>
        </w:numPr>
        <w:pStyle w:val="Compact"/>
      </w:pPr>
      <w:r>
        <w:rPr>
          <w:bCs/>
          <w:b/>
        </w:rPr>
        <w:t xml:space="preserve">SAIDI CIV 2024</w:t>
      </w:r>
      <w:r>
        <w:t xml:space="preserve"> </w:t>
      </w:r>
      <w:r>
        <w:t xml:space="preserve">: 26 h 13 (DGE) contre 18,22 h (FMI).</w:t>
      </w:r>
    </w:p>
    <w:p>
      <w:pPr>
        <w:numPr>
          <w:ilvl w:val="1"/>
          <w:numId w:val="1014"/>
        </w:numPr>
        <w:pStyle w:val="Compact"/>
      </w:pPr>
      <w:r>
        <w:rPr>
          <w:bCs/>
          <w:b/>
        </w:rPr>
        <w:t xml:space="preserve">Dates</w:t>
      </w:r>
      <w:r>
        <w:t xml:space="preserve"> </w:t>
      </w:r>
      <w:r>
        <w:t xml:space="preserve">: délégation SBEE (déc. 2023 ou janv. 2024) ; convention SENELEC–Congo (déc. 2024 ou févr. 2024 [S]).</w:t>
      </w:r>
    </w:p>
    <w:p>
      <w:pPr>
        <w:numPr>
          <w:ilvl w:val="1"/>
          <w:numId w:val="1014"/>
        </w:numPr>
        <w:pStyle w:val="Compact"/>
      </w:pPr>
      <w:r>
        <w:rPr>
          <w:bCs/>
          <w:b/>
        </w:rPr>
        <w:t xml:space="preserve">Contradictions de P1 non tranchées</w:t>
      </w:r>
      <w:r>
        <w:t xml:space="preserve"> </w:t>
      </w:r>
      <w:r>
        <w:t xml:space="preserve">: interconnexion Cameroun-Tchad (PIRECT, clôture 06/2027 dans TCD) ; MOMA (50 MW garantis selon MWI, contre +70 MW selon MOZ en P1) ; importations nigérianes du Niger (interrompues en 2023 selon NER, statut 2025-26 [?], absentes de NGA).</w:t>
      </w:r>
    </w:p>
    <w:p>
      <w:pPr>
        <w:numPr>
          <w:ilvl w:val="1"/>
          <w:numId w:val="1014"/>
        </w:numPr>
        <w:pStyle w:val="Compact"/>
      </w:pPr>
      <w:r>
        <w:rPr>
          <w:bCs/>
          <w:b/>
        </w:rPr>
        <w:t xml:space="preserve">LSO/TZA</w:t>
      </w:r>
      <w:r>
        <w:t xml:space="preserve"> </w:t>
      </w:r>
      <w:r>
        <w:t xml:space="preserve">: la valeur commune de 20,3 M USD est démentie par les deux fiches, ce qui renforce l’hypothèse de copie (P1 §4.6).</w:t>
      </w:r>
    </w:p>
    <w:bookmarkEnd w:id="36"/>
    <w:bookmarkStart w:id="42" w:name="X8a0408574e457aca884791d05e6c34347f78acd"/>
    <w:p>
      <w:pPr>
        <w:pStyle w:val="Heading1"/>
      </w:pPr>
      <w:r>
        <w:t xml:space="preserve">Annexe A — Programmes régionaux Banque mondiale / BAD</w:t>
      </w:r>
    </w:p>
    <w:bookmarkStart w:id="41" w:name="X15b9a9c344af285cb3f55078ddc210e6dc831fa"/>
    <w:p>
      <w:pPr>
        <w:pStyle w:val="Heading2"/>
      </w:pPr>
      <w:r>
        <w:t xml:space="preserve">Programmes régionaux et multi-pays BM / BAD liés à Mission 300 et à la performance des opérateurs</w:t>
      </w:r>
    </w:p>
    <w:p>
      <w:pPr>
        <w:pStyle w:val="BlockText"/>
      </w:pPr>
      <w:r>
        <w:t xml:space="preserve">Phase 2 — Mission 300. Recensement au 18/10/2026. Statuts :</w:t>
      </w:r>
      <w:r>
        <w:t xml:space="preserve"> </w:t>
      </w:r>
      <w:r>
        <w:rPr>
          <w:bCs/>
          <w:b/>
        </w:rPr>
        <w:t xml:space="preserve">[V]</w:t>
      </w:r>
      <w:r>
        <w:t xml:space="preserve"> </w:t>
      </w:r>
      <w:r>
        <w:t xml:space="preserve">document primaire (BM, BAD, FMI, GCF) ·</w:t>
      </w:r>
      <w:r>
        <w:t xml:space="preserve"> </w:t>
      </w:r>
      <w:r>
        <w:rPr>
          <w:bCs/>
          <w:b/>
        </w:rPr>
        <w:t xml:space="preserve">[S]</w:t>
      </w:r>
      <w:r>
        <w:t xml:space="preserve"> </w:t>
      </w:r>
      <w:r>
        <w:t xml:space="preserve">source secondaire (presse, base EWS, communiqué relayé) ·</w:t>
      </w:r>
      <w:r>
        <w:t xml:space="preserve"> </w:t>
      </w:r>
      <w:r>
        <w:rPr>
          <w:bCs/>
          <w:b/>
        </w:rPr>
        <w:t xml:space="preserve">[E]</w:t>
      </w:r>
      <w:r>
        <w:t xml:space="preserve"> </w:t>
      </w:r>
      <w:r>
        <w:t xml:space="preserve">estimation ·</w:t>
      </w:r>
      <w:r>
        <w:t xml:space="preserve"> </w:t>
      </w:r>
      <w:r>
        <w:rPr>
          <w:bCs/>
          <w:b/>
        </w:rPr>
        <w:t xml:space="preserve">[?]</w:t>
      </w:r>
      <w:r>
        <w:t xml:space="preserve"> </w:t>
      </w:r>
      <w:r>
        <w:t xml:space="preserve">inconnu.</w:t>
      </w:r>
      <w:r>
        <w:t xml:space="preserve"> </w:t>
      </w:r>
      <w:r>
        <w:t xml:space="preserve">Colonne « Composantes opérateur » : mesures touchant directement la performance des sociétés d’électricité (pertes, recouvrement, compteurs, apurement d’arriérés, liquidité, garanties de paiement). « Aucune identifiée » signifie que les documents consultés n’en mentionnent pas ; cela ne prouve pas qu’il n’y en a pas.</w:t>
      </w:r>
      <w:r>
        <w:t xml:space="preserve"> </w:t>
      </w:r>
      <w:r>
        <w:t xml:space="preserve">Les montants s’entendent à l’approbation, sauf mention contraire.</w:t>
      </w:r>
    </w:p>
    <w:bookmarkStart w:id="37" w:name="synthèse"/>
    <w:p>
      <w:pPr>
        <w:pStyle w:val="Heading3"/>
      </w:pPr>
      <w:r>
        <w:t xml:space="preserve">Synthèse</w:t>
      </w:r>
    </w:p>
    <w:p>
      <w:pPr>
        <w:numPr>
          <w:ilvl w:val="0"/>
          <w:numId w:val="1015"/>
        </w:numPr>
        <w:pStyle w:val="Compact"/>
      </w:pPr>
      <w:r>
        <w:rPr>
          <w:bCs/>
          <w:b/>
        </w:rPr>
        <w:t xml:space="preserve">Côté BM</w:t>
      </w:r>
      <w:r>
        <w:t xml:space="preserve">, Mission 300 passe surtout par de grands</w:t>
      </w:r>
      <w:r>
        <w:t xml:space="preserve"> </w:t>
      </w:r>
      <w:r>
        <w:rPr>
          <w:bCs/>
          <w:b/>
        </w:rPr>
        <w:t xml:space="preserve">programmes multiphases (MPA)</w:t>
      </w:r>
      <w:r>
        <w:t xml:space="preserve"> </w:t>
      </w:r>
      <w:r>
        <w:t xml:space="preserve">:</w:t>
      </w:r>
    </w:p>
    <w:p>
      <w:pPr>
        <w:numPr>
          <w:ilvl w:val="1"/>
          <w:numId w:val="1016"/>
        </w:numPr>
        <w:pStyle w:val="Compact"/>
      </w:pPr>
      <w:r>
        <w:t xml:space="preserve">régionaux pour l’accès : ASCENT pour l’Afrique de l’Est et australe ;</w:t>
      </w:r>
    </w:p>
    <w:p>
      <w:pPr>
        <w:numPr>
          <w:ilvl w:val="1"/>
          <w:numId w:val="1016"/>
        </w:numPr>
        <w:pStyle w:val="Compact"/>
      </w:pPr>
      <w:r>
        <w:t xml:space="preserve">par pool énergétique pour le commerce d’électricité : WA-REMP pour le WAPP, RETRADE-SA pour le SAPP, RETRADE-EA pour l’EAPP, CAPP-RIA pour le CAPP (en préparation).</w:t>
      </w:r>
    </w:p>
    <w:p>
      <w:pPr>
        <w:numPr>
          <w:ilvl w:val="0"/>
          <w:numId w:val="1015"/>
        </w:numPr>
        <w:pStyle w:val="Compact"/>
      </w:pPr>
      <w:r>
        <w:rPr>
          <w:bCs/>
          <w:b/>
        </w:rPr>
        <w:t xml:space="preserve">Les conditions « opérateur »</w:t>
      </w:r>
      <w:r>
        <w:t xml:space="preserve"> </w:t>
      </w:r>
      <w:r>
        <w:t xml:space="preserve">(pertes, subventions versées à temps, apurement d’arriérés, publication des comptes) apparaissent surtout dans les</w:t>
      </w:r>
      <w:r>
        <w:t xml:space="preserve"> </w:t>
      </w:r>
      <w:r>
        <w:rPr>
          <w:bCs/>
          <w:b/>
        </w:rPr>
        <w:t xml:space="preserve">phases nationales</w:t>
      </w:r>
      <w:r>
        <w:t xml:space="preserve"> </w:t>
      </w:r>
      <w:r>
        <w:t xml:space="preserve">de ces MPA. L’exemple le plus détaillé est ASCENT Madagascar (PforR, P515164), qui comporte 9 indicateurs liés aux décaissements (DLI). Les DPF nationales vont dans le même sens.</w:t>
      </w:r>
    </w:p>
    <w:p>
      <w:pPr>
        <w:numPr>
          <w:ilvl w:val="0"/>
          <w:numId w:val="1015"/>
        </w:numPr>
        <w:pStyle w:val="Compact"/>
      </w:pPr>
      <w:r>
        <w:rPr>
          <w:bCs/>
          <w:b/>
        </w:rPr>
        <w:t xml:space="preserve">Côté BAD</w:t>
      </w:r>
      <w:r>
        <w:t xml:space="preserve">, les instruments multi-pays visent surtout la production et l’accès hors réseau : Desert to Power, SEFA, LEAF, FEI. Elle intervient aussi par des garanties partielles de risque sur des IPP, qui couvrent le risque de paiement de l’opérateur acheteur, et par l’assistance technique aux unités de suivi des pactes (AESTAP).</w:t>
      </w:r>
    </w:p>
    <w:p>
      <w:pPr>
        <w:numPr>
          <w:ilvl w:val="0"/>
          <w:numId w:val="1015"/>
        </w:numPr>
        <w:pStyle w:val="Compact"/>
      </w:pPr>
      <w:r>
        <w:rPr>
          <w:bCs/>
          <w:b/>
        </w:rPr>
        <w:t xml:space="preserve">La liquidité des opérateurs</w:t>
      </w:r>
      <w:r>
        <w:t xml:space="preserve"> </w:t>
      </w:r>
      <w:r>
        <w:t xml:space="preserve">(risque de non-paiement des IPP) est couverte par des instruments hors BM/BAD stricto sensu : la RLSF de l’ATI (avec KfW et Norad) et la plateforme de garanties du Groupe BM, logée à la MIGA.</w:t>
      </w:r>
    </w:p>
    <w:bookmarkEnd w:id="37"/>
    <w:bookmarkStart w:id="38" w:name="tableau"/>
    <w:p>
      <w:pPr>
        <w:pStyle w:val="Heading3"/>
      </w:pPr>
      <w:r>
        <w:t xml:space="preserve">Tableau</w:t>
      </w:r>
    </w:p>
    <w:tbl>
      <w:tblPr>
        <w:tblStyle w:val="Table"/>
        <w:tblW w:type="dxa" w:w="14570"/>
        <w:tblLook w:firstRow="1" w:lastRow="0" w:firstColumn="0" w:lastColumn="0" w:noHBand="0" w:noVBand="0" w:val="0020"/>
        <w:jc w:val="start"/>
      </w:tblPr>
      <w:tblGrid>
        <w:gridCol w:w="672"/>
        <w:gridCol w:w="2383"/>
        <w:gridCol w:w="956"/>
        <w:gridCol w:w="1097"/>
        <w:gridCol w:w="2087"/>
        <w:gridCol w:w="2194"/>
        <w:gridCol w:w="2825"/>
        <w:gridCol w:w="1679"/>
        <w:gridCol w:w="672"/>
      </w:tblGrid>
      <w:tr>
        <w:trPr>
          <w:tblHeader w:val="true"/>
        </w:trPr>
        <w:tc>
          <w:tcPr>
            <w:tcW w:w="672" w:type="dxa"/>
          </w:tcPr>
          <w:tcPr/>
          <w:p>
            <w:pPr>
              <w:pStyle w:val="Compact"/>
              <w:jc w:val="left"/>
            </w:pPr>
            <w:r>
              <w:t xml:space="preserve">#</w:t>
            </w:r>
          </w:p>
        </w:tc>
        <w:tc>
          <w:tcPr>
            <w:tcW w:w="2383" w:type="dxa"/>
          </w:tcPr>
          <w:tcPr/>
          <w:p>
            <w:pPr>
              <w:pStyle w:val="Compact"/>
              <w:jc w:val="left"/>
            </w:pPr>
            <w:r>
              <w:t xml:space="preserve">Programme (nom exact)</w:t>
            </w:r>
          </w:p>
        </w:tc>
        <w:tc>
          <w:tcPr>
            <w:tcW w:w="956" w:type="dxa"/>
          </w:tcPr>
          <w:tcPr/>
          <w:p>
            <w:pPr>
              <w:pStyle w:val="Compact"/>
              <w:jc w:val="left"/>
            </w:pPr>
            <w:r>
              <w:t xml:space="preserve">Bailleur</w:t>
            </w:r>
          </w:p>
        </w:tc>
        <w:tc>
          <w:tcPr>
            <w:tcW w:w="1097" w:type="dxa"/>
          </w:tcPr>
          <w:tcPr/>
          <w:p>
            <w:pPr>
              <w:pStyle w:val="Compact"/>
              <w:jc w:val="left"/>
            </w:pPr>
            <w:r>
              <w:t xml:space="preserve">ID projet</w:t>
            </w:r>
          </w:p>
        </w:tc>
        <w:tc>
          <w:tcPr>
            <w:tcW w:w="2087" w:type="dxa"/>
          </w:tcPr>
          <w:tcPr/>
          <w:p>
            <w:pPr>
              <w:pStyle w:val="Compact"/>
              <w:jc w:val="left"/>
            </w:pPr>
            <w:r>
              <w:t xml:space="preserve">Montant</w:t>
            </w:r>
          </w:p>
        </w:tc>
        <w:tc>
          <w:tcPr>
            <w:tcW w:w="2194" w:type="dxa"/>
          </w:tcPr>
          <w:tcPr/>
          <w:p>
            <w:pPr>
              <w:pStyle w:val="Compact"/>
              <w:jc w:val="left"/>
            </w:pPr>
            <w:r>
              <w:t xml:space="preserve">Pays couverts</w:t>
            </w:r>
          </w:p>
        </w:tc>
        <w:tc>
          <w:tcPr>
            <w:tcW w:w="2825" w:type="dxa"/>
          </w:tcPr>
          <w:tcPr/>
          <w:p>
            <w:pPr>
              <w:pStyle w:val="Compact"/>
              <w:jc w:val="left"/>
            </w:pPr>
            <w:r>
              <w:t xml:space="preserve">Composantes opérateur</w:t>
            </w:r>
          </w:p>
        </w:tc>
        <w:tc>
          <w:tcPr>
            <w:tcW w:w="1679" w:type="dxa"/>
          </w:tcPr>
          <w:tcPr/>
          <w:p>
            <w:pPr>
              <w:pStyle w:val="Compact"/>
              <w:jc w:val="left"/>
            </w:pPr>
            <w:r>
              <w:t xml:space="preserve">Statut</w:t>
            </w:r>
          </w:p>
        </w:tc>
        <w:tc>
          <w:tcPr>
            <w:tcW w:w="672" w:type="dxa"/>
          </w:tcPr>
          <w:tcPr/>
          <w:p>
            <w:pPr>
              <w:pStyle w:val="Compact"/>
              <w:jc w:val="left"/>
            </w:pPr>
            <w:r>
              <w:t xml:space="preserve">Sources</w:t>
            </w:r>
          </w:p>
        </w:tc>
      </w:tr>
      <w:tr>
        <w:tc>
          <w:tcPr>
            <w:tcW w:w="672" w:type="dxa"/>
          </w:tcPr>
          <w:tcPr/>
          <w:p>
            <w:pPr>
              <w:pStyle w:val="Compact"/>
              <w:jc w:val="left"/>
            </w:pPr>
            <w:r>
              <w:t xml:space="preserve">1</w:t>
            </w:r>
          </w:p>
        </w:tc>
        <w:tc>
          <w:tcPr>
            <w:tcW w:w="2383" w:type="dxa"/>
          </w:tcPr>
          <w:tcPr/>
          <w:p>
            <w:pPr>
              <w:pStyle w:val="Compact"/>
              <w:jc w:val="left"/>
            </w:pPr>
            <w:r>
              <w:t xml:space="preserve">Accelerating Sustainable and Clean Energy Access Transformation (ASCENT) Program — MPA</w:t>
            </w:r>
          </w:p>
        </w:tc>
        <w:tc>
          <w:tcPr>
            <w:tcW w:w="956" w:type="dxa"/>
          </w:tcPr>
          <w:tcPr/>
          <w:p>
            <w:pPr>
              <w:pStyle w:val="Compact"/>
              <w:jc w:val="left"/>
            </w:pPr>
            <w:r>
              <w:t xml:space="preserve">BM (IDA)</w:t>
            </w:r>
          </w:p>
        </w:tc>
        <w:tc>
          <w:tcPr>
            <w:tcW w:w="1097" w:type="dxa"/>
          </w:tcPr>
          <w:tcPr/>
          <w:p>
            <w:pPr>
              <w:pStyle w:val="Compact"/>
              <w:jc w:val="left"/>
            </w:pPr>
            <w:r>
              <w:rPr>
                <w:bCs/>
                <w:b/>
              </w:rPr>
              <w:t xml:space="preserve">P180547</w:t>
            </w:r>
            <w:r>
              <w:t xml:space="preserve">. Phase 1 = REAAP, mise en œuvre par le COMESA</w:t>
            </w:r>
          </w:p>
        </w:tc>
        <w:tc>
          <w:tcPr>
            <w:tcW w:w="2087" w:type="dxa"/>
          </w:tcPr>
          <w:tcPr/>
          <w:p>
            <w:pPr>
              <w:pStyle w:val="Compact"/>
              <w:jc w:val="left"/>
            </w:pPr>
            <w:r>
              <w:t xml:space="preserve">Enveloppe MPA de</w:t>
            </w:r>
            <w:r>
              <w:t xml:space="preserve"> </w:t>
            </w:r>
            <w:r>
              <w:rPr>
                <w:bCs/>
                <w:b/>
              </w:rPr>
              <w:t xml:space="preserve">5 Mds USD</w:t>
            </w:r>
            <w:r>
              <w:t xml:space="preserve"> </w:t>
            </w:r>
            <w:r>
              <w:t xml:space="preserve">IDA (objectif : 100 M de personnes). Phase 1 : 50 M USD + FA GCF de 5 M USD (2026)</w:t>
            </w:r>
          </w:p>
        </w:tc>
        <w:tc>
          <w:tcPr>
            <w:tcW w:w="2194" w:type="dxa"/>
          </w:tcPr>
          <w:tcPr/>
          <w:p>
            <w:pPr>
              <w:pStyle w:val="Compact"/>
              <w:jc w:val="left"/>
            </w:pPr>
            <w:r>
              <w:t xml:space="preserve">Afrique de l’Est et australe. Phases identifiées : Rwanda P180575 (300 M), Tanzanie P179631 (300 M), Somalie P181341 (100 M), São Tomé P177099 (38 M), plateforme de financement régional P181328 (275 M), Burundi P181494 (100 M, 2024),</w:t>
            </w:r>
            <w:r>
              <w:t xml:space="preserve"> </w:t>
            </w:r>
            <w:r>
              <w:rPr>
                <w:bCs/>
                <w:b/>
              </w:rPr>
              <w:t xml:space="preserve">Madagascar P515164 (phase 14, 250 M, 2026)</w:t>
            </w:r>
            <w:r>
              <w:t xml:space="preserve">. Pipeline : Malawi P502464 (500 M), Éthiopie P506061, Zambie P507635, Mozambique P507759, Eswatini P508960, plateforme 2 « equity » P506221</w:t>
            </w:r>
          </w:p>
        </w:tc>
        <w:tc>
          <w:tcPr>
            <w:tcW w:w="2825" w:type="dxa"/>
          </w:tcPr>
          <w:tcPr/>
          <w:p>
            <w:pPr>
              <w:pStyle w:val="Compact"/>
              <w:jc w:val="left"/>
            </w:pPr>
            <w:r>
              <w:t xml:space="preserve">Le niveau MPA porte sur l’accès. Les</w:t>
            </w:r>
            <w:r>
              <w:t xml:space="preserve"> </w:t>
            </w:r>
            <w:r>
              <w:rPr>
                <w:bCs/>
                <w:b/>
              </w:rPr>
              <w:t xml:space="preserve">phases nationales</w:t>
            </w:r>
            <w:r>
              <w:t xml:space="preserve"> </w:t>
            </w:r>
            <w:r>
              <w:t xml:space="preserve">peuvent inclure des DLI opérateur. Exemple Madagascar : subvention d’exploitation inscrite en loi de finances et versée en entier ; paiement courant des IPP et des fournisseurs de carburant ; baisse du stock d’arriérés (affacturage, plan de restructuration) ; pertes de 28 % à 21 % ; publication des comptes audités ; rapports semestriels de performance ; DGA recruté de façon compétitive</w:t>
            </w:r>
          </w:p>
        </w:tc>
        <w:tc>
          <w:tcPr>
            <w:tcW w:w="1679" w:type="dxa"/>
          </w:tcPr>
          <w:tcPr/>
          <w:p>
            <w:pPr>
              <w:pStyle w:val="Compact"/>
              <w:jc w:val="left"/>
            </w:pPr>
            <w:r>
              <w:t xml:space="preserve">MPA approuvé le 28/11/2023 ; phase 1 en vigueur le 05/04/2024. GCF « ASCENT-GREEN » : 250 M USD (approuvé le 28/03/2026)</w:t>
            </w:r>
          </w:p>
        </w:tc>
        <w:tc>
          <w:tcPr>
            <w:tcW w:w="672" w:type="dxa"/>
          </w:tcPr>
          <w:tcPr/>
          <w:p>
            <w:pPr>
              <w:pStyle w:val="Compact"/>
              <w:jc w:val="left"/>
            </w:pPr>
            <w:r>
              <w:t xml:space="preserve">[1][2][3][4]</w:t>
            </w:r>
          </w:p>
        </w:tc>
      </w:tr>
      <w:tr>
        <w:tc>
          <w:tcPr>
            <w:tcW w:w="672" w:type="dxa"/>
          </w:tcPr>
          <w:tcPr/>
          <w:p>
            <w:pPr>
              <w:pStyle w:val="Compact"/>
              <w:jc w:val="left"/>
            </w:pPr>
            <w:r>
              <w:t xml:space="preserve">2</w:t>
            </w:r>
          </w:p>
        </w:tc>
        <w:tc>
          <w:tcPr>
            <w:tcW w:w="2383" w:type="dxa"/>
          </w:tcPr>
          <w:tcPr/>
          <w:p>
            <w:pPr>
              <w:pStyle w:val="Compact"/>
              <w:jc w:val="left"/>
            </w:pPr>
            <w:r>
              <w:t xml:space="preserve">West Africa Regional Electricity Market Program (WA-REMP) — MPA</w:t>
            </w:r>
          </w:p>
        </w:tc>
        <w:tc>
          <w:tcPr>
            <w:tcW w:w="956" w:type="dxa"/>
          </w:tcPr>
          <w:tcPr/>
          <w:p>
            <w:pPr>
              <w:pStyle w:val="Compact"/>
              <w:jc w:val="left"/>
            </w:pPr>
            <w:r>
              <w:t xml:space="preserve">BM (IDA)</w:t>
            </w:r>
          </w:p>
        </w:tc>
        <w:tc>
          <w:tcPr>
            <w:tcW w:w="1097" w:type="dxa"/>
          </w:tcPr>
          <w:tcPr/>
          <w:p>
            <w:pPr>
              <w:pStyle w:val="Compact"/>
              <w:jc w:val="left"/>
            </w:pPr>
            <w:r>
              <w:rPr>
                <w:bCs/>
                <w:b/>
              </w:rPr>
              <w:t xml:space="preserve">P505173</w:t>
            </w:r>
            <w:r>
              <w:t xml:space="preserve"> </w:t>
            </w:r>
            <w:r>
              <w:t xml:space="preserve">(phase 1 : Mauritania Transmission Corridor)</w:t>
            </w:r>
          </w:p>
        </w:tc>
        <w:tc>
          <w:tcPr>
            <w:tcW w:w="2087" w:type="dxa"/>
          </w:tcPr>
          <w:tcPr/>
          <w:p>
            <w:pPr>
              <w:pStyle w:val="Compact"/>
              <w:jc w:val="left"/>
            </w:pPr>
            <w:r>
              <w:rPr>
                <w:bCs/>
                <w:b/>
              </w:rPr>
              <w:t xml:space="preserve">1,6 Md USD</w:t>
            </w:r>
            <w:r>
              <w:t xml:space="preserve"> </w:t>
            </w:r>
            <w:r>
              <w:t xml:space="preserve">(MPA). Une page événement BM parle d’une « initiative de 2,8 Mds USD ». Phase 1 Mauritanie : IDA-76960, 129 M USD (révisé à 137,82)</w:t>
            </w:r>
          </w:p>
        </w:tc>
        <w:tc>
          <w:tcPr>
            <w:tcW w:w="2194" w:type="dxa"/>
          </w:tcPr>
          <w:tcPr/>
          <w:p>
            <w:pPr>
              <w:pStyle w:val="Compact"/>
              <w:jc w:val="left"/>
            </w:pPr>
            <w:r>
              <w:t xml:space="preserve">WAPP. Nommés : Ghana, Côte d’Ivoire (interconnexion), Mauritanie</w:t>
            </w:r>
          </w:p>
        </w:tc>
        <w:tc>
          <w:tcPr>
            <w:tcW w:w="2825" w:type="dxa"/>
          </w:tcPr>
          <w:tcPr/>
          <w:p>
            <w:pPr>
              <w:pStyle w:val="Compact"/>
              <w:jc w:val="left"/>
            </w:pPr>
            <w:r>
              <w:t xml:space="preserve">Aucune identifiée. Le programme vise le marché régional et les institutions de régulation (ERERA/WAPP)</w:t>
            </w:r>
          </w:p>
        </w:tc>
        <w:tc>
          <w:tcPr>
            <w:tcW w:w="1679" w:type="dxa"/>
          </w:tcPr>
          <w:tcPr/>
          <w:p>
            <w:pPr>
              <w:pStyle w:val="Compact"/>
              <w:jc w:val="left"/>
            </w:pPr>
            <w:r>
              <w:t xml:space="preserve">Approuvé le 24/01/2025 ; phase 1 décaissée à 6,7 % (mai 2026)</w:t>
            </w:r>
          </w:p>
        </w:tc>
        <w:tc>
          <w:tcPr>
            <w:tcW w:w="672" w:type="dxa"/>
          </w:tcPr>
          <w:tcPr/>
          <w:p>
            <w:pPr>
              <w:pStyle w:val="Compact"/>
              <w:jc w:val="left"/>
            </w:pPr>
            <w:r>
              <w:t xml:space="preserve">[5][6]</w:t>
            </w:r>
          </w:p>
        </w:tc>
      </w:tr>
      <w:tr>
        <w:tc>
          <w:tcPr>
            <w:tcW w:w="672" w:type="dxa"/>
          </w:tcPr>
          <w:tcPr/>
          <w:p>
            <w:pPr>
              <w:pStyle w:val="Compact"/>
              <w:jc w:val="left"/>
            </w:pPr>
            <w:r>
              <w:t xml:space="preserve">3</w:t>
            </w:r>
          </w:p>
        </w:tc>
        <w:tc>
          <w:tcPr>
            <w:tcW w:w="2383" w:type="dxa"/>
          </w:tcPr>
          <w:tcPr/>
          <w:p>
            <w:pPr>
              <w:pStyle w:val="Compact"/>
              <w:jc w:val="left"/>
            </w:pPr>
            <w:r>
              <w:t xml:space="preserve">Regional Electricity Access and Battery-Energy Storage Technology (BEST) Project</w:t>
            </w:r>
          </w:p>
        </w:tc>
        <w:tc>
          <w:tcPr>
            <w:tcW w:w="956" w:type="dxa"/>
          </w:tcPr>
          <w:tcPr/>
          <w:p>
            <w:pPr>
              <w:pStyle w:val="Compact"/>
              <w:jc w:val="left"/>
            </w:pPr>
            <w:r>
              <w:t xml:space="preserve">BM (IDA)</w:t>
            </w:r>
          </w:p>
        </w:tc>
        <w:tc>
          <w:tcPr>
            <w:tcW w:w="1097" w:type="dxa"/>
          </w:tcPr>
          <w:tcPr/>
          <w:p>
            <w:pPr>
              <w:pStyle w:val="Compact"/>
              <w:jc w:val="left"/>
            </w:pPr>
            <w:r>
              <w:rPr>
                <w:bCs/>
                <w:b/>
              </w:rPr>
              <w:t xml:space="preserve">P167569</w:t>
            </w:r>
          </w:p>
        </w:tc>
        <w:tc>
          <w:tcPr>
            <w:tcW w:w="2087" w:type="dxa"/>
          </w:tcPr>
          <w:tcPr/>
          <w:p>
            <w:pPr>
              <w:pStyle w:val="Compact"/>
              <w:jc w:val="left"/>
            </w:pPr>
            <w:r>
              <w:t xml:space="preserve">465 M USD (presse, 2021). Plusieurs crédits par pays (IDA-68860, -68940, -68950, -69030, D8200, D8260, D8270), plus de nouveaux crédits 2026 (IDA-81140 : 100 M ; -81150, -81160 : 20 M chacun ; -81180 : 6 M), non encore effectifs</w:t>
            </w:r>
          </w:p>
        </w:tc>
        <w:tc>
          <w:tcPr>
            <w:tcW w:w="2194" w:type="dxa"/>
          </w:tcPr>
          <w:tcPr/>
          <w:p>
            <w:pPr>
              <w:pStyle w:val="Compact"/>
              <w:jc w:val="left"/>
            </w:pPr>
            <w:r>
              <w:t xml:space="preserve">Côte d’Ivoire, Mali, Mauritanie, Niger, Sénégal (selon les documents)</w:t>
            </w:r>
          </w:p>
        </w:tc>
        <w:tc>
          <w:tcPr>
            <w:tcW w:w="2825" w:type="dxa"/>
          </w:tcPr>
          <w:tcPr/>
          <w:p>
            <w:pPr>
              <w:pStyle w:val="Compact"/>
              <w:jc w:val="left"/>
            </w:pPr>
            <w:r>
              <w:t xml:space="preserve">Accès réseau et stabilité du système (stockage). Composante opérateur : [?] non vérifiée</w:t>
            </w:r>
          </w:p>
        </w:tc>
        <w:tc>
          <w:tcPr>
            <w:tcW w:w="1679" w:type="dxa"/>
          </w:tcPr>
          <w:tcPr/>
          <w:p>
            <w:pPr>
              <w:pStyle w:val="Compact"/>
              <w:jc w:val="left"/>
            </w:pPr>
            <w:r>
              <w:t xml:space="preserve">Approuvé le 10/06/2021 ; Project Paper (restructuration/FA) de juin 2026</w:t>
            </w:r>
          </w:p>
        </w:tc>
        <w:tc>
          <w:tcPr>
            <w:tcW w:w="672" w:type="dxa"/>
          </w:tcPr>
          <w:tcPr/>
          <w:p>
            <w:pPr>
              <w:pStyle w:val="Compact"/>
              <w:jc w:val="left"/>
            </w:pPr>
            <w:r>
              <w:t xml:space="preserve">[7][S][8]</w:t>
            </w:r>
          </w:p>
        </w:tc>
      </w:tr>
      <w:tr>
        <w:tc>
          <w:tcPr>
            <w:tcW w:w="672" w:type="dxa"/>
          </w:tcPr>
          <w:tcPr/>
          <w:p>
            <w:pPr>
              <w:pStyle w:val="Compact"/>
              <w:jc w:val="left"/>
            </w:pPr>
            <w:r>
              <w:t xml:space="preserve">4</w:t>
            </w:r>
          </w:p>
        </w:tc>
        <w:tc>
          <w:tcPr>
            <w:tcW w:w="2383" w:type="dxa"/>
          </w:tcPr>
          <w:tcPr/>
          <w:p>
            <w:pPr>
              <w:pStyle w:val="Compact"/>
              <w:jc w:val="left"/>
            </w:pPr>
            <w:r>
              <w:t xml:space="preserve">Regional Off-Grid Electricity Access Project (ROGEP)</w:t>
            </w:r>
          </w:p>
        </w:tc>
        <w:tc>
          <w:tcPr>
            <w:tcW w:w="956" w:type="dxa"/>
          </w:tcPr>
          <w:tcPr/>
          <w:p>
            <w:pPr>
              <w:pStyle w:val="Compact"/>
              <w:jc w:val="left"/>
            </w:pPr>
            <w:r>
              <w:t xml:space="preserve">BM (IDA)</w:t>
            </w:r>
          </w:p>
        </w:tc>
        <w:tc>
          <w:tcPr>
            <w:tcW w:w="1097" w:type="dxa"/>
          </w:tcPr>
          <w:tcPr/>
          <w:p>
            <w:pPr>
              <w:pStyle w:val="Compact"/>
              <w:jc w:val="left"/>
            </w:pPr>
            <w:r>
              <w:rPr>
                <w:bCs/>
                <w:b/>
              </w:rPr>
              <w:t xml:space="preserve">P160708</w:t>
            </w:r>
          </w:p>
        </w:tc>
        <w:tc>
          <w:tcPr>
            <w:tcW w:w="2087" w:type="dxa"/>
          </w:tcPr>
          <w:tcPr/>
          <w:p>
            <w:pPr>
              <w:pStyle w:val="Compact"/>
              <w:jc w:val="left"/>
            </w:pPr>
            <w:r>
              <w:t xml:space="preserve">150 M USD</w:t>
            </w:r>
          </w:p>
        </w:tc>
        <w:tc>
          <w:tcPr>
            <w:tcW w:w="2194" w:type="dxa"/>
          </w:tcPr>
          <w:tcPr/>
          <w:p>
            <w:pPr>
              <w:pStyle w:val="Compact"/>
              <w:jc w:val="left"/>
            </w:pPr>
            <w:r>
              <w:t xml:space="preserve">Afrique de l’Ouest et centrale (CEDEAO, Cameroun, RCA, Mauritanie, Tchad) [E : couverture usuelle, non relue]</w:t>
            </w:r>
          </w:p>
        </w:tc>
        <w:tc>
          <w:tcPr>
            <w:tcW w:w="2825" w:type="dxa"/>
          </w:tcPr>
          <w:tcPr/>
          <w:p>
            <w:pPr>
              <w:pStyle w:val="Compact"/>
              <w:jc w:val="left"/>
            </w:pPr>
            <w:r>
              <w:t xml:space="preserve">Aucune (hors réseau privé)</w:t>
            </w:r>
          </w:p>
        </w:tc>
        <w:tc>
          <w:tcPr>
            <w:tcW w:w="1679" w:type="dxa"/>
          </w:tcPr>
          <w:tcPr/>
          <w:p>
            <w:pPr>
              <w:pStyle w:val="Compact"/>
              <w:jc w:val="left"/>
            </w:pPr>
            <w:r>
              <w:t xml:space="preserve">Actif ; restructuration de juin 2026</w:t>
            </w:r>
          </w:p>
        </w:tc>
        <w:tc>
          <w:tcPr>
            <w:tcW w:w="672" w:type="dxa"/>
          </w:tcPr>
          <w:tcPr/>
          <w:p>
            <w:pPr>
              <w:pStyle w:val="Compact"/>
              <w:jc w:val="left"/>
            </w:pPr>
            <w:r>
              <w:t xml:space="preserve">[8]</w:t>
            </w:r>
          </w:p>
        </w:tc>
      </w:tr>
      <w:tr>
        <w:tc>
          <w:tcPr>
            <w:tcW w:w="672" w:type="dxa"/>
          </w:tcPr>
          <w:tcPr/>
          <w:p>
            <w:pPr>
              <w:pStyle w:val="Compact"/>
              <w:jc w:val="left"/>
            </w:pPr>
            <w:r>
              <w:t xml:space="preserve">5</w:t>
            </w:r>
          </w:p>
        </w:tc>
        <w:tc>
          <w:tcPr>
            <w:tcW w:w="2383" w:type="dxa"/>
          </w:tcPr>
          <w:tcPr/>
          <w:p>
            <w:pPr>
              <w:pStyle w:val="Compact"/>
              <w:jc w:val="left"/>
            </w:pPr>
            <w:r>
              <w:t xml:space="preserve">ECOWAS-Regional Electricity Access Project</w:t>
            </w:r>
          </w:p>
        </w:tc>
        <w:tc>
          <w:tcPr>
            <w:tcW w:w="956" w:type="dxa"/>
          </w:tcPr>
          <w:tcPr/>
          <w:p>
            <w:pPr>
              <w:pStyle w:val="Compact"/>
              <w:jc w:val="left"/>
            </w:pPr>
            <w:r>
              <w:t xml:space="preserve">BM (IDA)</w:t>
            </w:r>
          </w:p>
        </w:tc>
        <w:tc>
          <w:tcPr>
            <w:tcW w:w="1097" w:type="dxa"/>
          </w:tcPr>
          <w:tcPr/>
          <w:p>
            <w:pPr>
              <w:pStyle w:val="Compact"/>
              <w:jc w:val="left"/>
            </w:pPr>
            <w:r>
              <w:rPr>
                <w:bCs/>
                <w:b/>
              </w:rPr>
              <w:t xml:space="preserve">P164044</w:t>
            </w:r>
          </w:p>
        </w:tc>
        <w:tc>
          <w:tcPr>
            <w:tcW w:w="2087" w:type="dxa"/>
          </w:tcPr>
          <w:tcPr/>
          <w:p>
            <w:pPr>
              <w:pStyle w:val="Compact"/>
              <w:jc w:val="left"/>
            </w:pPr>
            <w:r>
              <w:t xml:space="preserve">225 M USD</w:t>
            </w:r>
          </w:p>
        </w:tc>
        <w:tc>
          <w:tcPr>
            <w:tcW w:w="2194" w:type="dxa"/>
          </w:tcPr>
          <w:tcPr/>
          <w:p>
            <w:pPr>
              <w:pStyle w:val="Compact"/>
              <w:jc w:val="left"/>
            </w:pPr>
            <w:r>
              <w:t xml:space="preserve">Afrique de l’Ouest (pays exacts non relus) [?]</w:t>
            </w:r>
          </w:p>
        </w:tc>
        <w:tc>
          <w:tcPr>
            <w:tcW w:w="2825" w:type="dxa"/>
          </w:tcPr>
          <w:tcPr/>
          <w:p>
            <w:pPr>
              <w:pStyle w:val="Compact"/>
              <w:jc w:val="left"/>
            </w:pPr>
            <w:r>
              <w:t xml:space="preserve">Extension de réseau par les opérateurs nationaux ; composante performance : [?]</w:t>
            </w:r>
          </w:p>
        </w:tc>
        <w:tc>
          <w:tcPr>
            <w:tcW w:w="1679" w:type="dxa"/>
          </w:tcPr>
          <w:tcPr/>
          <w:p>
            <w:pPr>
              <w:pStyle w:val="Compact"/>
              <w:jc w:val="left"/>
            </w:pPr>
            <w:r>
              <w:t xml:space="preserve">Approuvé le 13/12/2018 ; restructuration de déc. 2025</w:t>
            </w:r>
          </w:p>
        </w:tc>
        <w:tc>
          <w:tcPr>
            <w:tcW w:w="672" w:type="dxa"/>
          </w:tcPr>
          <w:tcPr/>
          <w:p>
            <w:pPr>
              <w:pStyle w:val="Compact"/>
              <w:jc w:val="left"/>
            </w:pPr>
            <w:r>
              <w:t xml:space="preserve">[8]</w:t>
            </w:r>
          </w:p>
        </w:tc>
      </w:tr>
      <w:tr>
        <w:tc>
          <w:tcPr>
            <w:tcW w:w="672" w:type="dxa"/>
          </w:tcPr>
          <w:tcPr/>
          <w:p>
            <w:pPr>
              <w:pStyle w:val="Compact"/>
              <w:jc w:val="left"/>
            </w:pPr>
            <w:r>
              <w:t xml:space="preserve">6</w:t>
            </w:r>
          </w:p>
        </w:tc>
        <w:tc>
          <w:tcPr>
            <w:tcW w:w="2383" w:type="dxa"/>
          </w:tcPr>
          <w:tcPr/>
          <w:p>
            <w:pPr>
              <w:pStyle w:val="Compact"/>
              <w:jc w:val="left"/>
            </w:pPr>
            <w:r>
              <w:t xml:space="preserve">Regional Energy Transmission, Trade and Decarbonization – Southern Africa (RETRADE-SA) — MPA</w:t>
            </w:r>
          </w:p>
        </w:tc>
        <w:tc>
          <w:tcPr>
            <w:tcW w:w="956" w:type="dxa"/>
          </w:tcPr>
          <w:tcPr/>
          <w:p>
            <w:pPr>
              <w:pStyle w:val="Compact"/>
              <w:jc w:val="left"/>
            </w:pPr>
            <w:r>
              <w:t xml:space="preserve">BM (IDA + fonds fiduciaires)</w:t>
            </w:r>
          </w:p>
        </w:tc>
        <w:tc>
          <w:tcPr>
            <w:tcW w:w="1097" w:type="dxa"/>
          </w:tcPr>
          <w:tcPr/>
          <w:p>
            <w:pPr>
              <w:pStyle w:val="Compact"/>
              <w:jc w:val="left"/>
            </w:pPr>
            <w:r>
              <w:t xml:space="preserve">Phase 1 :</w:t>
            </w:r>
            <w:r>
              <w:t xml:space="preserve"> </w:t>
            </w:r>
            <w:r>
              <w:rPr>
                <w:bCs/>
                <w:b/>
              </w:rPr>
              <w:t xml:space="preserve">P507033</w:t>
            </w:r>
            <w:r>
              <w:t xml:space="preserve"> </w:t>
            </w:r>
            <w:r>
              <w:t xml:space="preserve">(interconnexion Zambie–Tanzanie). Phase 2 :</w:t>
            </w:r>
            <w:r>
              <w:t xml:space="preserve"> </w:t>
            </w:r>
            <w:r>
              <w:rPr>
                <w:bCs/>
                <w:b/>
              </w:rPr>
              <w:t xml:space="preserve">P512662</w:t>
            </w:r>
            <w:r>
              <w:t xml:space="preserve"> </w:t>
            </w:r>
            <w:r>
              <w:t xml:space="preserve">(AT au SAPP). Phase 4 : P515018 (Zambie–Malawi). Ancien ID d’AT SAPP en pipeline : P175190</w:t>
            </w:r>
          </w:p>
        </w:tc>
        <w:tc>
          <w:tcPr>
            <w:tcW w:w="2087" w:type="dxa"/>
          </w:tcPr>
          <w:tcPr/>
          <w:p>
            <w:pPr>
              <w:pStyle w:val="Compact"/>
              <w:jc w:val="left"/>
            </w:pPr>
            <w:r>
              <w:t xml:space="preserve">Phase 1 : IDA-E3960, 245 M USD + TF 17 M + TF 30 M. Phase 2 : 12 M USD (10 IDA + 2 ESMAP) en 1re tranche, puis 10 et 16 M USD. Enveloppe MPA : [?]</w:t>
            </w:r>
          </w:p>
        </w:tc>
        <w:tc>
          <w:tcPr>
            <w:tcW w:w="2194" w:type="dxa"/>
          </w:tcPr>
          <w:tcPr/>
          <w:p>
            <w:pPr>
              <w:pStyle w:val="Compact"/>
              <w:jc w:val="left"/>
            </w:pPr>
            <w:r>
              <w:t xml:space="preserve">SAPP (Zambie, Tanzanie, Malawi ; secrétariat SAPP, Harare)</w:t>
            </w:r>
          </w:p>
        </w:tc>
        <w:tc>
          <w:tcPr>
            <w:tcW w:w="2825" w:type="dxa"/>
          </w:tcPr>
          <w:tcPr/>
          <w:p>
            <w:pPr>
              <w:pStyle w:val="Compact"/>
              <w:jc w:val="left"/>
            </w:pPr>
            <w:r>
              <w:t xml:space="preserve">Aucune pour les opérateurs nationaux. Commerce régional, transport privé (IPT)</w:t>
            </w:r>
          </w:p>
        </w:tc>
        <w:tc>
          <w:tcPr>
            <w:tcW w:w="1679" w:type="dxa"/>
          </w:tcPr>
          <w:tcPr/>
          <w:p>
            <w:pPr>
              <w:pStyle w:val="Compact"/>
              <w:jc w:val="left"/>
            </w:pPr>
            <w:r>
              <w:t xml:space="preserve">Phase 1 approuvée le 21/01/2025 (décaissée à 6,6 %, juin 2026) ; phase 2 approuvée le 04/11/2025</w:t>
            </w:r>
          </w:p>
        </w:tc>
        <w:tc>
          <w:tcPr>
            <w:tcW w:w="672" w:type="dxa"/>
          </w:tcPr>
          <w:tcPr/>
          <w:p>
            <w:pPr>
              <w:pStyle w:val="Compact"/>
              <w:jc w:val="left"/>
            </w:pPr>
            <w:r>
              <w:t xml:space="preserve">[9][10][S]</w:t>
            </w:r>
          </w:p>
        </w:tc>
      </w:tr>
      <w:tr>
        <w:tc>
          <w:tcPr>
            <w:tcW w:w="672" w:type="dxa"/>
          </w:tcPr>
          <w:tcPr/>
          <w:p>
            <w:pPr>
              <w:pStyle w:val="Compact"/>
              <w:jc w:val="left"/>
            </w:pPr>
            <w:r>
              <w:t xml:space="preserve">7</w:t>
            </w:r>
          </w:p>
        </w:tc>
        <w:tc>
          <w:tcPr>
            <w:tcW w:w="2383" w:type="dxa"/>
          </w:tcPr>
          <w:tcPr/>
          <w:p>
            <w:pPr>
              <w:pStyle w:val="Compact"/>
              <w:jc w:val="left"/>
            </w:pPr>
            <w:r>
              <w:t xml:space="preserve">Southern Africa – Program for Accelerating Transformational Energy Projects (SAPP PATEP / RI-SAPP)</w:t>
            </w:r>
          </w:p>
        </w:tc>
        <w:tc>
          <w:tcPr>
            <w:tcW w:w="956" w:type="dxa"/>
          </w:tcPr>
          <w:tcPr/>
          <w:p>
            <w:pPr>
              <w:pStyle w:val="Compact"/>
              <w:jc w:val="left"/>
            </w:pPr>
            <w:r>
              <w:t xml:space="preserve">BM (MDTF)</w:t>
            </w:r>
          </w:p>
        </w:tc>
        <w:tc>
          <w:tcPr>
            <w:tcW w:w="1097" w:type="dxa"/>
          </w:tcPr>
          <w:tcPr/>
          <w:p>
            <w:pPr>
              <w:pStyle w:val="Compact"/>
              <w:jc w:val="left"/>
            </w:pPr>
            <w:r>
              <w:rPr>
                <w:bCs/>
                <w:b/>
              </w:rPr>
              <w:t xml:space="preserve">P126661</w:t>
            </w:r>
            <w:r>
              <w:t xml:space="preserve"> </w:t>
            </w:r>
            <w:r>
              <w:t xml:space="preserve">(+ AF P163545)</w:t>
            </w:r>
          </w:p>
        </w:tc>
        <w:tc>
          <w:tcPr>
            <w:tcW w:w="2087" w:type="dxa"/>
          </w:tcPr>
          <w:tcPr/>
          <w:p>
            <w:pPr>
              <w:pStyle w:val="Compact"/>
              <w:jc w:val="left"/>
            </w:pPr>
            <w:r>
              <w:t xml:space="preserve">[?]</w:t>
            </w:r>
          </w:p>
        </w:tc>
        <w:tc>
          <w:tcPr>
            <w:tcW w:w="2194" w:type="dxa"/>
          </w:tcPr>
          <w:tcPr/>
          <w:p>
            <w:pPr>
              <w:pStyle w:val="Compact"/>
              <w:jc w:val="left"/>
            </w:pPr>
            <w:r>
              <w:t xml:space="preserve">SAPP</w:t>
            </w:r>
          </w:p>
        </w:tc>
        <w:tc>
          <w:tcPr>
            <w:tcW w:w="2825" w:type="dxa"/>
          </w:tcPr>
          <w:tcPr/>
          <w:p>
            <w:pPr>
              <w:pStyle w:val="Compact"/>
              <w:jc w:val="left"/>
            </w:pPr>
            <w:r>
              <w:t xml:space="preserve">Préparation de projets</w:t>
            </w:r>
          </w:p>
        </w:tc>
        <w:tc>
          <w:tcPr>
            <w:tcW w:w="1679" w:type="dxa"/>
          </w:tcPr>
          <w:tcPr/>
          <w:p>
            <w:pPr>
              <w:pStyle w:val="Compact"/>
              <w:jc w:val="left"/>
            </w:pPr>
            <w:r>
              <w:t xml:space="preserve">Clôturé ; ICR de déc. 2024</w:t>
            </w:r>
          </w:p>
        </w:tc>
        <w:tc>
          <w:tcPr>
            <w:tcW w:w="672" w:type="dxa"/>
          </w:tcPr>
          <w:tcPr/>
          <w:p>
            <w:pPr>
              <w:pStyle w:val="Compact"/>
              <w:jc w:val="left"/>
            </w:pPr>
            <w:r>
              <w:t xml:space="preserve">[8]</w:t>
            </w:r>
          </w:p>
        </w:tc>
      </w:tr>
      <w:tr>
        <w:tc>
          <w:tcPr>
            <w:tcW w:w="672" w:type="dxa"/>
          </w:tcPr>
          <w:tcPr/>
          <w:p>
            <w:pPr>
              <w:pStyle w:val="Compact"/>
              <w:jc w:val="left"/>
            </w:pPr>
            <w:r>
              <w:t xml:space="preserve">8</w:t>
            </w:r>
          </w:p>
        </w:tc>
        <w:tc>
          <w:tcPr>
            <w:tcW w:w="2383" w:type="dxa"/>
          </w:tcPr>
          <w:tcPr/>
          <w:p>
            <w:pPr>
              <w:pStyle w:val="Compact"/>
              <w:jc w:val="left"/>
            </w:pPr>
            <w:r>
              <w:t xml:space="preserve">Regional Energy Transmission, Trade &amp; Decarbonization for Eastern Africa (RETRADE-EA)</w:t>
            </w:r>
          </w:p>
        </w:tc>
        <w:tc>
          <w:tcPr>
            <w:tcW w:w="956" w:type="dxa"/>
          </w:tcPr>
          <w:tcPr/>
          <w:p>
            <w:pPr>
              <w:pStyle w:val="Compact"/>
              <w:jc w:val="left"/>
            </w:pPr>
            <w:r>
              <w:t xml:space="preserve">BM (IDA + ESMAP)</w:t>
            </w:r>
          </w:p>
        </w:tc>
        <w:tc>
          <w:tcPr>
            <w:tcW w:w="1097" w:type="dxa"/>
          </w:tcPr>
          <w:tcPr/>
          <w:p>
            <w:pPr>
              <w:pStyle w:val="Compact"/>
              <w:jc w:val="left"/>
            </w:pPr>
            <w:r>
              <w:t xml:space="preserve">Phase 1 : UTIP (Ouganda–Tanzanie) et RTMP (EAPP). ID : [?] (EWS cite WB-P513494, non vérifié)</w:t>
            </w:r>
          </w:p>
        </w:tc>
        <w:tc>
          <w:tcPr>
            <w:tcW w:w="2087" w:type="dxa"/>
          </w:tcPr>
          <w:tcPr/>
          <w:p>
            <w:pPr>
              <w:pStyle w:val="Compact"/>
              <w:jc w:val="left"/>
            </w:pPr>
            <w:r>
              <w:rPr>
                <w:bCs/>
                <w:b/>
              </w:rPr>
              <w:t xml:space="preserve">1,6 Md USD</w:t>
            </w:r>
            <w:r>
              <w:t xml:space="preserve"> </w:t>
            </w:r>
            <w:r>
              <w:t xml:space="preserve">sur 10 ans. UTIP : 250 M USD IDA (Ouganda) ; RTMP : 10 M USD IDA + 3,5 M USD ESMAP</w:t>
            </w:r>
          </w:p>
        </w:tc>
        <w:tc>
          <w:tcPr>
            <w:tcW w:w="2194" w:type="dxa"/>
          </w:tcPr>
          <w:tcPr/>
          <w:p>
            <w:pPr>
              <w:pStyle w:val="Compact"/>
              <w:jc w:val="left"/>
            </w:pPr>
            <w:r>
              <w:t xml:space="preserve">EAPP : Ouganda, Tanzanie, intégration de la Somalie</w:t>
            </w:r>
          </w:p>
        </w:tc>
        <w:tc>
          <w:tcPr>
            <w:tcW w:w="2825" w:type="dxa"/>
          </w:tcPr>
          <w:tcPr/>
          <w:p>
            <w:pPr>
              <w:pStyle w:val="Compact"/>
              <w:jc w:val="left"/>
            </w:pPr>
            <w:r>
              <w:t xml:space="preserve">Aucune pour les opérateurs nationaux (marché day-ahead EAPP, gouvernance régionale)</w:t>
            </w:r>
          </w:p>
        </w:tc>
        <w:tc>
          <w:tcPr>
            <w:tcW w:w="1679" w:type="dxa"/>
          </w:tcPr>
          <w:tcPr/>
          <w:p>
            <w:pPr>
              <w:pStyle w:val="Compact"/>
              <w:jc w:val="left"/>
            </w:pPr>
            <w:r>
              <w:t xml:space="preserve">Approuvé le 18/06/2026</w:t>
            </w:r>
          </w:p>
        </w:tc>
        <w:tc>
          <w:tcPr>
            <w:tcW w:w="672" w:type="dxa"/>
          </w:tcPr>
          <w:tcPr/>
          <w:p>
            <w:pPr>
              <w:pStyle w:val="Compact"/>
              <w:jc w:val="left"/>
            </w:pPr>
            <w:r>
              <w:t xml:space="preserve">[11]</w:t>
            </w:r>
          </w:p>
        </w:tc>
      </w:tr>
      <w:tr>
        <w:tc>
          <w:tcPr>
            <w:tcW w:w="672" w:type="dxa"/>
          </w:tcPr>
          <w:tcPr/>
          <w:p>
            <w:pPr>
              <w:pStyle w:val="Compact"/>
              <w:jc w:val="left"/>
            </w:pPr>
            <w:r>
              <w:t xml:space="preserve">9</w:t>
            </w:r>
          </w:p>
        </w:tc>
        <w:tc>
          <w:tcPr>
            <w:tcW w:w="2383" w:type="dxa"/>
          </w:tcPr>
          <w:tcPr/>
          <w:p>
            <w:pPr>
              <w:pStyle w:val="Compact"/>
              <w:jc w:val="left"/>
            </w:pPr>
            <w:r>
              <w:t xml:space="preserve">Central African Power Pool Regional Interconnection and Access (CAPP-RIA) — phase 1</w:t>
            </w:r>
          </w:p>
        </w:tc>
        <w:tc>
          <w:tcPr>
            <w:tcW w:w="956" w:type="dxa"/>
          </w:tcPr>
          <w:tcPr/>
          <w:p>
            <w:pPr>
              <w:pStyle w:val="Compact"/>
              <w:jc w:val="left"/>
            </w:pPr>
            <w:r>
              <w:t xml:space="preserve">BM</w:t>
            </w:r>
          </w:p>
        </w:tc>
        <w:tc>
          <w:tcPr>
            <w:tcW w:w="1097" w:type="dxa"/>
          </w:tcPr>
          <w:tcPr/>
          <w:p>
            <w:pPr>
              <w:pStyle w:val="Compact"/>
              <w:jc w:val="left"/>
            </w:pPr>
            <w:r>
              <w:rPr>
                <w:bCs/>
                <w:b/>
              </w:rPr>
              <w:t xml:space="preserve">P508320</w:t>
            </w:r>
          </w:p>
        </w:tc>
        <w:tc>
          <w:tcPr>
            <w:tcW w:w="2087" w:type="dxa"/>
          </w:tcPr>
          <w:tcPr/>
          <w:p>
            <w:pPr>
              <w:pStyle w:val="Compact"/>
              <w:jc w:val="left"/>
            </w:pPr>
            <w:r>
              <w:t xml:space="preserve">Coût total de 280,5 M USD (EWS)</w:t>
            </w:r>
          </w:p>
        </w:tc>
        <w:tc>
          <w:tcPr>
            <w:tcW w:w="2194" w:type="dxa"/>
          </w:tcPr>
          <w:tcPr/>
          <w:p>
            <w:pPr>
              <w:pStyle w:val="Compact"/>
              <w:jc w:val="left"/>
            </w:pPr>
            <w:r>
              <w:t xml:space="preserve">Cameroun, RCA, Tchad, Congo, Gabon</w:t>
            </w:r>
          </w:p>
        </w:tc>
        <w:tc>
          <w:tcPr>
            <w:tcW w:w="2825" w:type="dxa"/>
          </w:tcPr>
          <w:tcPr/>
          <w:p>
            <w:pPr>
              <w:pStyle w:val="Compact"/>
              <w:jc w:val="left"/>
            </w:pPr>
            <w:r>
              <w:t xml:space="preserve">Accès + capacité institutionnelle ; détail : [?]</w:t>
            </w:r>
          </w:p>
        </w:tc>
        <w:tc>
          <w:tcPr>
            <w:tcW w:w="1679" w:type="dxa"/>
          </w:tcPr>
          <w:tcPr/>
          <w:p>
            <w:pPr>
              <w:pStyle w:val="Compact"/>
              <w:jc w:val="left"/>
            </w:pPr>
            <w:r>
              <w:rPr>
                <w:bCs/>
                <w:b/>
              </w:rPr>
              <w:t xml:space="preserve">Proposé</w:t>
            </w:r>
            <w:r>
              <w:t xml:space="preserve">, vote prévu le 07/12/2026 (EWS)</w:t>
            </w:r>
          </w:p>
        </w:tc>
        <w:tc>
          <w:tcPr>
            <w:tcW w:w="672" w:type="dxa"/>
          </w:tcPr>
          <w:tcPr/>
          <w:p>
            <w:pPr>
              <w:pStyle w:val="Compact"/>
              <w:jc w:val="left"/>
            </w:pPr>
            <w:r>
              <w:t xml:space="preserve">[12][S]</w:t>
            </w:r>
          </w:p>
        </w:tc>
      </w:tr>
      <w:tr>
        <w:tc>
          <w:tcPr>
            <w:tcW w:w="672" w:type="dxa"/>
          </w:tcPr>
          <w:tcPr/>
          <w:p>
            <w:pPr>
              <w:pStyle w:val="Compact"/>
              <w:jc w:val="left"/>
            </w:pPr>
            <w:r>
              <w:t xml:space="preserve">10</w:t>
            </w:r>
          </w:p>
        </w:tc>
        <w:tc>
          <w:tcPr>
            <w:tcW w:w="2383" w:type="dxa"/>
          </w:tcPr>
          <w:tcPr/>
          <w:p>
            <w:pPr>
              <w:pStyle w:val="Compact"/>
              <w:jc w:val="left"/>
            </w:pPr>
            <w:r>
              <w:t xml:space="preserve">Desert to Power G5 Sahel Financing Facility</w:t>
            </w:r>
          </w:p>
        </w:tc>
        <w:tc>
          <w:tcPr>
            <w:tcW w:w="956" w:type="dxa"/>
          </w:tcPr>
          <w:tcPr/>
          <w:p>
            <w:pPr>
              <w:pStyle w:val="Compact"/>
              <w:jc w:val="left"/>
            </w:pPr>
            <w:r>
              <w:t xml:space="preserve">BAD (+ GCF)</w:t>
            </w:r>
          </w:p>
        </w:tc>
        <w:tc>
          <w:tcPr>
            <w:tcW w:w="1097" w:type="dxa"/>
          </w:tcPr>
          <w:tcPr/>
          <w:p>
            <w:pPr>
              <w:pStyle w:val="Compact"/>
              <w:jc w:val="left"/>
            </w:pPr>
            <w:r>
              <w:t xml:space="preserve">GCF : 150 M USD (approuvé en oct. 2021). ID BAD : [?]</w:t>
            </w:r>
          </w:p>
        </w:tc>
        <w:tc>
          <w:tcPr>
            <w:tcW w:w="2087" w:type="dxa"/>
          </w:tcPr>
          <w:tcPr/>
          <w:p>
            <w:pPr>
              <w:pStyle w:val="Compact"/>
              <w:jc w:val="left"/>
            </w:pPr>
            <w:r>
              <w:t xml:space="preserve">Jusqu’à 379,6 M USD d’engagements BAD sur 7 ans ; mobilisation annoncée de 966 M USD</w:t>
            </w:r>
          </w:p>
        </w:tc>
        <w:tc>
          <w:tcPr>
            <w:tcW w:w="2194" w:type="dxa"/>
          </w:tcPr>
          <w:tcPr/>
          <w:p>
            <w:pPr>
              <w:pStyle w:val="Compact"/>
              <w:jc w:val="left"/>
            </w:pPr>
            <w:r>
              <w:t xml:space="preserve">Burkina Faso, Tchad, Mali, Mauritanie, Niger</w:t>
            </w:r>
          </w:p>
        </w:tc>
        <w:tc>
          <w:tcPr>
            <w:tcW w:w="2825" w:type="dxa"/>
          </w:tcPr>
          <w:tcPr/>
          <w:p>
            <w:pPr>
              <w:pStyle w:val="Compact"/>
              <w:jc w:val="left"/>
            </w:pPr>
            <w:r>
              <w:t xml:space="preserve">Solaire IPP et stockage. Composante opérateur : [?] (atténuation du risque acheteur prévue, non vérifiée)</w:t>
            </w:r>
          </w:p>
        </w:tc>
        <w:tc>
          <w:tcPr>
            <w:tcW w:w="1679" w:type="dxa"/>
          </w:tcPr>
          <w:tcPr/>
          <w:p>
            <w:pPr>
              <w:pStyle w:val="Compact"/>
              <w:jc w:val="left"/>
            </w:pPr>
            <w:r>
              <w:t xml:space="preserve">Approuvé en févr. 2022</w:t>
            </w:r>
          </w:p>
        </w:tc>
        <w:tc>
          <w:tcPr>
            <w:tcW w:w="672" w:type="dxa"/>
          </w:tcPr>
          <w:tcPr/>
          <w:p>
            <w:pPr>
              <w:pStyle w:val="Compact"/>
              <w:jc w:val="left"/>
            </w:pPr>
            <w:r>
              <w:t xml:space="preserve">[13][S]</w:t>
            </w:r>
          </w:p>
        </w:tc>
      </w:tr>
      <w:tr>
        <w:tc>
          <w:tcPr>
            <w:tcW w:w="672" w:type="dxa"/>
          </w:tcPr>
          <w:tcPr/>
          <w:p>
            <w:pPr>
              <w:pStyle w:val="Compact"/>
              <w:jc w:val="left"/>
            </w:pPr>
            <w:r>
              <w:t xml:space="preserve">11</w:t>
            </w:r>
          </w:p>
        </w:tc>
        <w:tc>
          <w:tcPr>
            <w:tcW w:w="2383" w:type="dxa"/>
          </w:tcPr>
          <w:tcPr/>
          <w:p>
            <w:pPr>
              <w:pStyle w:val="Compact"/>
              <w:jc w:val="left"/>
            </w:pPr>
            <w:r>
              <w:t xml:space="preserve">Sustainable Energy Fund for Africa (SEFA)</w:t>
            </w:r>
          </w:p>
        </w:tc>
        <w:tc>
          <w:tcPr>
            <w:tcW w:w="956" w:type="dxa"/>
          </w:tcPr>
          <w:tcPr/>
          <w:p>
            <w:pPr>
              <w:pStyle w:val="Compact"/>
              <w:jc w:val="left"/>
            </w:pPr>
            <w:r>
              <w:t xml:space="preserve">BAD (fonds multi-bailleurs)</w:t>
            </w:r>
          </w:p>
        </w:tc>
        <w:tc>
          <w:tcPr>
            <w:tcW w:w="1097" w:type="dxa"/>
          </w:tcPr>
          <w:tcPr/>
          <w:p>
            <w:pPr>
              <w:pStyle w:val="Compact"/>
              <w:jc w:val="left"/>
            </w:pPr>
            <w:r>
              <w:t xml:space="preserve">—</w:t>
            </w:r>
          </w:p>
        </w:tc>
        <w:tc>
          <w:tcPr>
            <w:tcW w:w="2087" w:type="dxa"/>
          </w:tcPr>
          <w:tcPr/>
          <w:p>
            <w:pPr>
              <w:pStyle w:val="Compact"/>
              <w:jc w:val="left"/>
            </w:pPr>
            <w:r>
              <w:t xml:space="preserve">577 M USD de contributions cumulées. En 2025 : 88 M USD de contributions nouvelles et 13 projets approuvés pour 97 M USD</w:t>
            </w:r>
          </w:p>
        </w:tc>
        <w:tc>
          <w:tcPr>
            <w:tcW w:w="2194" w:type="dxa"/>
          </w:tcPr>
          <w:tcPr/>
          <w:p>
            <w:pPr>
              <w:pStyle w:val="Compact"/>
              <w:jc w:val="left"/>
            </w:pPr>
            <w:r>
              <w:t xml:space="preserve">Afrique (multi-pays)</w:t>
            </w:r>
          </w:p>
        </w:tc>
        <w:tc>
          <w:tcPr>
            <w:tcW w:w="2825" w:type="dxa"/>
          </w:tcPr>
          <w:tcPr/>
          <w:p>
            <w:pPr>
              <w:pStyle w:val="Compact"/>
              <w:jc w:val="left"/>
            </w:pPr>
            <w:r>
              <w:t xml:space="preserve">AT pour la réforme du secteur et la préparation de projets, mini-réseaux, hydrogène vert. Appui direct aux opérateurs : [?] au cas par cas</w:t>
            </w:r>
          </w:p>
        </w:tc>
        <w:tc>
          <w:tcPr>
            <w:tcW w:w="1679" w:type="dxa"/>
          </w:tcPr>
          <w:tcPr/>
          <w:p>
            <w:pPr>
              <w:pStyle w:val="Compact"/>
              <w:jc w:val="left"/>
            </w:pPr>
            <w:r>
              <w:t xml:space="preserve">Actif</w:t>
            </w:r>
          </w:p>
        </w:tc>
        <w:tc>
          <w:tcPr>
            <w:tcW w:w="672" w:type="dxa"/>
          </w:tcPr>
          <w:tcPr/>
          <w:p>
            <w:pPr>
              <w:pStyle w:val="Compact"/>
              <w:jc w:val="left"/>
            </w:pPr>
            <w:r>
              <w:t xml:space="preserve">[14][S]</w:t>
            </w:r>
          </w:p>
        </w:tc>
      </w:tr>
      <w:tr>
        <w:tc>
          <w:tcPr>
            <w:tcW w:w="672" w:type="dxa"/>
          </w:tcPr>
          <w:tcPr/>
          <w:p>
            <w:pPr>
              <w:pStyle w:val="Compact"/>
              <w:jc w:val="left"/>
            </w:pPr>
            <w:r>
              <w:t xml:space="preserve">12</w:t>
            </w:r>
          </w:p>
        </w:tc>
        <w:tc>
          <w:tcPr>
            <w:tcW w:w="2383" w:type="dxa"/>
          </w:tcPr>
          <w:tcPr/>
          <w:p>
            <w:pPr>
              <w:pStyle w:val="Compact"/>
              <w:jc w:val="left"/>
            </w:pPr>
            <w:r>
              <w:t xml:space="preserve">Leveraging Energy Access Finance (LEAF) Framework</w:t>
            </w:r>
          </w:p>
        </w:tc>
        <w:tc>
          <w:tcPr>
            <w:tcW w:w="956" w:type="dxa"/>
          </w:tcPr>
          <w:tcPr/>
          <w:p>
            <w:pPr>
              <w:pStyle w:val="Compact"/>
              <w:jc w:val="left"/>
            </w:pPr>
            <w:r>
              <w:t xml:space="preserve">BAD (+ GCF FP168 : 170,9 M USD)</w:t>
            </w:r>
          </w:p>
        </w:tc>
        <w:tc>
          <w:tcPr>
            <w:tcW w:w="1097" w:type="dxa"/>
          </w:tcPr>
          <w:tcPr/>
          <w:p>
            <w:pPr>
              <w:pStyle w:val="Compact"/>
              <w:jc w:val="left"/>
            </w:pPr>
            <w:r>
              <w:t xml:space="preserve">GCF FP168</w:t>
            </w:r>
          </w:p>
        </w:tc>
        <w:tc>
          <w:tcPr>
            <w:tcW w:w="2087" w:type="dxa"/>
          </w:tcPr>
          <w:tcPr/>
          <w:p>
            <w:pPr>
              <w:pStyle w:val="Compact"/>
              <w:jc w:val="left"/>
            </w:pPr>
            <w:r>
              <w:t xml:space="preserve">Jusqu’à 164 M USD de la BAD ; cadre annoncé à 800 ou 900 M USD</w:t>
            </w:r>
          </w:p>
        </w:tc>
        <w:tc>
          <w:tcPr>
            <w:tcW w:w="2194" w:type="dxa"/>
          </w:tcPr>
          <w:tcPr/>
          <w:p>
            <w:pPr>
              <w:pStyle w:val="Compact"/>
              <w:jc w:val="left"/>
            </w:pPr>
            <w:r>
              <w:t xml:space="preserve">Ghana, Guinée, Éthiopie, Kenya, Nigeria, Tunisie</w:t>
            </w:r>
          </w:p>
        </w:tc>
        <w:tc>
          <w:tcPr>
            <w:tcW w:w="2825" w:type="dxa"/>
          </w:tcPr>
          <w:tcPr/>
          <w:p>
            <w:pPr>
              <w:pStyle w:val="Compact"/>
              <w:jc w:val="left"/>
            </w:pPr>
            <w:r>
              <w:t xml:space="preserve">Aucune (énergies renouvelables décentralisées via des banques locales)</w:t>
            </w:r>
          </w:p>
        </w:tc>
        <w:tc>
          <w:tcPr>
            <w:tcW w:w="1679" w:type="dxa"/>
          </w:tcPr>
          <w:tcPr/>
          <w:p>
            <w:pPr>
              <w:pStyle w:val="Compact"/>
              <w:jc w:val="left"/>
            </w:pPr>
            <w:r>
              <w:t xml:space="preserve">Approuvé (2021-2022)</w:t>
            </w:r>
          </w:p>
        </w:tc>
        <w:tc>
          <w:tcPr>
            <w:tcW w:w="672" w:type="dxa"/>
          </w:tcPr>
          <w:tcPr/>
          <w:p>
            <w:pPr>
              <w:pStyle w:val="Compact"/>
              <w:jc w:val="left"/>
            </w:pPr>
            <w:r>
              <w:t xml:space="preserve">[15][S]</w:t>
            </w:r>
          </w:p>
        </w:tc>
      </w:tr>
      <w:tr>
        <w:tc>
          <w:tcPr>
            <w:tcW w:w="672" w:type="dxa"/>
          </w:tcPr>
          <w:tcPr/>
          <w:p>
            <w:pPr>
              <w:pStyle w:val="Compact"/>
              <w:jc w:val="left"/>
            </w:pPr>
            <w:r>
              <w:t xml:space="preserve">13</w:t>
            </w:r>
          </w:p>
        </w:tc>
        <w:tc>
          <w:tcPr>
            <w:tcW w:w="2383" w:type="dxa"/>
          </w:tcPr>
          <w:tcPr/>
          <w:p>
            <w:pPr>
              <w:pStyle w:val="Compact"/>
              <w:jc w:val="left"/>
            </w:pPr>
            <w:r>
              <w:t xml:space="preserve">Facility for Energy Inclusion (FEI) — dont Off-Grid Energy Access Fund (OGEF)</w:t>
            </w:r>
          </w:p>
        </w:tc>
        <w:tc>
          <w:tcPr>
            <w:tcW w:w="956" w:type="dxa"/>
          </w:tcPr>
          <w:tcPr/>
          <w:p>
            <w:pPr>
              <w:pStyle w:val="Compact"/>
              <w:jc w:val="left"/>
            </w:pPr>
            <w:r>
              <w:t xml:space="preserve">BAD (initiateur) + NDF, IFC ; gestionnaire Cygnum Capital</w:t>
            </w:r>
          </w:p>
        </w:tc>
        <w:tc>
          <w:tcPr>
            <w:tcW w:w="1097" w:type="dxa"/>
          </w:tcPr>
          <w:tcPr/>
          <w:p>
            <w:pPr>
              <w:pStyle w:val="Compact"/>
              <w:jc w:val="left"/>
            </w:pPr>
            <w:r>
              <w:t xml:space="preserve">IFC 52282 ; NDF C103</w:t>
            </w:r>
          </w:p>
        </w:tc>
        <w:tc>
          <w:tcPr>
            <w:tcW w:w="2087" w:type="dxa"/>
          </w:tcPr>
          <w:tcPr/>
          <w:p>
            <w:pPr>
              <w:pStyle w:val="Compact"/>
              <w:jc w:val="left"/>
            </w:pPr>
            <w:r>
              <w:t xml:space="preserve">FEI : environ 361 M USD gérés (cible 750 M) ; OGEF : 100-115 M USD</w:t>
            </w:r>
          </w:p>
        </w:tc>
        <w:tc>
          <w:tcPr>
            <w:tcW w:w="2194" w:type="dxa"/>
          </w:tcPr>
          <w:tcPr/>
          <w:p>
            <w:pPr>
              <w:pStyle w:val="Compact"/>
              <w:jc w:val="left"/>
            </w:pPr>
            <w:r>
              <w:t xml:space="preserve">Afrique subsaharienne</w:t>
            </w:r>
          </w:p>
        </w:tc>
        <w:tc>
          <w:tcPr>
            <w:tcW w:w="2825" w:type="dxa"/>
          </w:tcPr>
          <w:tcPr/>
          <w:p>
            <w:pPr>
              <w:pStyle w:val="Compact"/>
              <w:jc w:val="left"/>
            </w:pPr>
            <w:r>
              <w:t xml:space="preserve">Aucune (dette en monnaie locale pour le hors-réseau et les petits IPP)</w:t>
            </w:r>
          </w:p>
        </w:tc>
        <w:tc>
          <w:tcPr>
            <w:tcW w:w="1679" w:type="dxa"/>
          </w:tcPr>
          <w:tcPr/>
          <w:p>
            <w:pPr>
              <w:pStyle w:val="Compact"/>
              <w:jc w:val="left"/>
            </w:pPr>
            <w:r>
              <w:t xml:space="preserve">Actif ; investissement IFC de 40 M USD proposé (vote le 29/05/2026)</w:t>
            </w:r>
          </w:p>
        </w:tc>
        <w:tc>
          <w:tcPr>
            <w:tcW w:w="672" w:type="dxa"/>
          </w:tcPr>
          <w:tcPr/>
          <w:p>
            <w:pPr>
              <w:pStyle w:val="Compact"/>
              <w:jc w:val="left"/>
            </w:pPr>
            <w:r>
              <w:t xml:space="preserve">[16][S]</w:t>
            </w:r>
          </w:p>
        </w:tc>
      </w:tr>
      <w:tr>
        <w:tc>
          <w:tcPr>
            <w:tcW w:w="672" w:type="dxa"/>
          </w:tcPr>
          <w:tcPr/>
          <w:p>
            <w:pPr>
              <w:pStyle w:val="Compact"/>
              <w:jc w:val="left"/>
            </w:pPr>
            <w:r>
              <w:t xml:space="preserve">14</w:t>
            </w:r>
          </w:p>
        </w:tc>
        <w:tc>
          <w:tcPr>
            <w:tcW w:w="2383" w:type="dxa"/>
          </w:tcPr>
          <w:tcPr/>
          <w:p>
            <w:pPr>
              <w:pStyle w:val="Compact"/>
              <w:jc w:val="left"/>
            </w:pPr>
            <w:r>
              <w:t xml:space="preserve">Garanties partielles de risque (PRG) BAD sur des IPP</w:t>
            </w:r>
          </w:p>
        </w:tc>
        <w:tc>
          <w:tcPr>
            <w:tcW w:w="956" w:type="dxa"/>
          </w:tcPr>
          <w:tcPr/>
          <w:p>
            <w:pPr>
              <w:pStyle w:val="Compact"/>
              <w:jc w:val="left"/>
            </w:pPr>
            <w:r>
              <w:t xml:space="preserve">BAD</w:t>
            </w:r>
          </w:p>
        </w:tc>
        <w:tc>
          <w:tcPr>
            <w:tcW w:w="1097" w:type="dxa"/>
          </w:tcPr>
          <w:tcPr/>
          <w:p>
            <w:pPr>
              <w:pStyle w:val="Compact"/>
              <w:jc w:val="left"/>
            </w:pPr>
            <w:r>
              <w:t xml:space="preserve">Cas par cas. Ex. Sahofika (Madagascar), 100 M USD</w:t>
            </w:r>
          </w:p>
        </w:tc>
        <w:tc>
          <w:tcPr>
            <w:tcW w:w="2087" w:type="dxa"/>
          </w:tcPr>
          <w:tcPr/>
          <w:p>
            <w:pPr>
              <w:pStyle w:val="Compact"/>
              <w:jc w:val="left"/>
            </w:pPr>
            <w:r>
              <w:t xml:space="preserve">—</w:t>
            </w:r>
          </w:p>
        </w:tc>
        <w:tc>
          <w:tcPr>
            <w:tcW w:w="2194" w:type="dxa"/>
          </w:tcPr>
          <w:tcPr/>
          <w:p>
            <w:pPr>
              <w:pStyle w:val="Compact"/>
              <w:jc w:val="left"/>
            </w:pPr>
            <w:r>
              <w:t xml:space="preserve">Multi-pays</w:t>
            </w:r>
          </w:p>
        </w:tc>
        <w:tc>
          <w:tcPr>
            <w:tcW w:w="2825" w:type="dxa"/>
          </w:tcPr>
          <w:tcPr/>
          <w:p>
            <w:pPr>
              <w:pStyle w:val="Compact"/>
              <w:jc w:val="left"/>
            </w:pPr>
            <w:r>
              <w:rPr>
                <w:bCs/>
                <w:b/>
              </w:rPr>
              <w:t xml:space="preserve">Couvre le risque de paiement de l’opérateur acheteur</w:t>
            </w:r>
            <w:r>
              <w:t xml:space="preserve"> </w:t>
            </w:r>
            <w:r>
              <w:t xml:space="preserve">(ex. JIRAMA)</w:t>
            </w:r>
          </w:p>
        </w:tc>
        <w:tc>
          <w:tcPr>
            <w:tcW w:w="1679" w:type="dxa"/>
          </w:tcPr>
          <w:tcPr/>
          <w:p>
            <w:pPr>
              <w:pStyle w:val="Compact"/>
              <w:jc w:val="left"/>
            </w:pPr>
            <w:r>
              <w:t xml:space="preserve">Instrument permanent</w:t>
            </w:r>
          </w:p>
        </w:tc>
        <w:tc>
          <w:tcPr>
            <w:tcW w:w="672" w:type="dxa"/>
          </w:tcPr>
          <w:tcPr/>
          <w:p>
            <w:pPr>
              <w:pStyle w:val="Compact"/>
              <w:jc w:val="left"/>
            </w:pPr>
            <w:r>
              <w:t xml:space="preserve">[17][S]</w:t>
            </w:r>
          </w:p>
        </w:tc>
      </w:tr>
      <w:tr>
        <w:tc>
          <w:tcPr>
            <w:tcW w:w="672" w:type="dxa"/>
          </w:tcPr>
          <w:tcPr/>
          <w:p>
            <w:pPr>
              <w:pStyle w:val="Compact"/>
              <w:jc w:val="left"/>
            </w:pPr>
            <w:r>
              <w:t xml:space="preserve">15</w:t>
            </w:r>
          </w:p>
        </w:tc>
        <w:tc>
          <w:tcPr>
            <w:tcW w:w="2383" w:type="dxa"/>
          </w:tcPr>
          <w:tcPr/>
          <w:p>
            <w:pPr>
              <w:pStyle w:val="Compact"/>
              <w:jc w:val="left"/>
            </w:pPr>
            <w:r>
              <w:t xml:space="preserve">WBG Guarantee Platform (logée à la MIGA) — garanties IDA/IBRD, MIGA, IFC</w:t>
            </w:r>
          </w:p>
        </w:tc>
        <w:tc>
          <w:tcPr>
            <w:tcW w:w="956" w:type="dxa"/>
          </w:tcPr>
          <w:tcPr/>
          <w:p>
            <w:pPr>
              <w:pStyle w:val="Compact"/>
              <w:jc w:val="left"/>
            </w:pPr>
            <w:r>
              <w:t xml:space="preserve">Groupe BM</w:t>
            </w:r>
          </w:p>
        </w:tc>
        <w:tc>
          <w:tcPr>
            <w:tcW w:w="1097" w:type="dxa"/>
          </w:tcPr>
          <w:tcPr/>
          <w:p>
            <w:pPr>
              <w:pStyle w:val="Compact"/>
              <w:jc w:val="left"/>
            </w:pPr>
            <w:r>
              <w:t xml:space="preserve">—</w:t>
            </w:r>
          </w:p>
        </w:tc>
        <w:tc>
          <w:tcPr>
            <w:tcW w:w="2087" w:type="dxa"/>
          </w:tcPr>
          <w:tcPr/>
          <w:p>
            <w:pPr>
              <w:pStyle w:val="Compact"/>
              <w:jc w:val="left"/>
            </w:pPr>
            <w:r>
              <w:t xml:space="preserve">Objectif de 20 Mds USD par an d’émissions en 2030 ; 17,8 Mds USD délivrés en EF2026 (source secondaire)</w:t>
            </w:r>
          </w:p>
        </w:tc>
        <w:tc>
          <w:tcPr>
            <w:tcW w:w="2194" w:type="dxa"/>
          </w:tcPr>
          <w:tcPr/>
          <w:p>
            <w:pPr>
              <w:pStyle w:val="Compact"/>
              <w:jc w:val="left"/>
            </w:pPr>
            <w:r>
              <w:t xml:space="preserve">Monde. Exemples Mission 300 : Burundi (Weza Power, MIGA 10,9 M USD) ; accord-cadre AMEA Power (09/04/2026, 23 projets)</w:t>
            </w:r>
          </w:p>
        </w:tc>
        <w:tc>
          <w:tcPr>
            <w:tcW w:w="2825" w:type="dxa"/>
          </w:tcPr>
          <w:tcPr/>
          <w:p>
            <w:pPr>
              <w:pStyle w:val="Compact"/>
              <w:jc w:val="left"/>
            </w:pPr>
            <w:r>
              <w:rPr>
                <w:bCs/>
                <w:b/>
              </w:rPr>
              <w:t xml:space="preserve">Risque d’acheteur et de rupture de contrat des PPA</w:t>
            </w:r>
            <w:r>
              <w:t xml:space="preserve">, convertibilité, garanties de paiement adossées à des opérateurs publics peu solvables</w:t>
            </w:r>
          </w:p>
        </w:tc>
        <w:tc>
          <w:tcPr>
            <w:tcW w:w="1679" w:type="dxa"/>
          </w:tcPr>
          <w:tcPr/>
          <w:p>
            <w:pPr>
              <w:pStyle w:val="Compact"/>
              <w:jc w:val="left"/>
            </w:pPr>
            <w:r>
              <w:t xml:space="preserve">Lancée en juillet 2024</w:t>
            </w:r>
          </w:p>
        </w:tc>
        <w:tc>
          <w:tcPr>
            <w:tcW w:w="672" w:type="dxa"/>
          </w:tcPr>
          <w:tcPr/>
          <w:p>
            <w:pPr>
              <w:pStyle w:val="Compact"/>
              <w:jc w:val="left"/>
            </w:pPr>
            <w:r>
              <w:t xml:space="preserve">[18][S]</w:t>
            </w:r>
          </w:p>
        </w:tc>
      </w:tr>
      <w:tr>
        <w:tc>
          <w:tcPr>
            <w:tcW w:w="672" w:type="dxa"/>
          </w:tcPr>
          <w:tcPr/>
          <w:p>
            <w:pPr>
              <w:pStyle w:val="Compact"/>
              <w:jc w:val="left"/>
            </w:pPr>
            <w:r>
              <w:t xml:space="preserve">16</w:t>
            </w:r>
          </w:p>
        </w:tc>
        <w:tc>
          <w:tcPr>
            <w:tcW w:w="2383" w:type="dxa"/>
          </w:tcPr>
          <w:tcPr/>
          <w:p>
            <w:pPr>
              <w:pStyle w:val="Compact"/>
              <w:jc w:val="left"/>
            </w:pPr>
            <w:r>
              <w:t xml:space="preserve">Regional Liquidity Support Facility (RLSF)</w:t>
            </w:r>
          </w:p>
        </w:tc>
        <w:tc>
          <w:tcPr>
            <w:tcW w:w="956" w:type="dxa"/>
          </w:tcPr>
          <w:tcPr/>
          <w:p>
            <w:pPr>
              <w:pStyle w:val="Compact"/>
              <w:jc w:val="left"/>
            </w:pPr>
            <w:r>
              <w:t xml:space="preserve">ATI (African Trade &amp; Investment Development Insurance), avec KfW et Norad (grant de 500 M NOK) — hors BM/BAD</w:t>
            </w:r>
          </w:p>
        </w:tc>
        <w:tc>
          <w:tcPr>
            <w:tcW w:w="1097" w:type="dxa"/>
          </w:tcPr>
          <w:tcPr/>
          <w:p>
            <w:pPr>
              <w:pStyle w:val="Compact"/>
              <w:jc w:val="left"/>
            </w:pPr>
            <w:r>
              <w:t xml:space="preserve">—</w:t>
            </w:r>
          </w:p>
        </w:tc>
        <w:tc>
          <w:tcPr>
            <w:tcW w:w="2087" w:type="dxa"/>
          </w:tcPr>
          <w:tcPr/>
          <w:p>
            <w:pPr>
              <w:pStyle w:val="Compact"/>
              <w:jc w:val="left"/>
            </w:pPr>
            <w:r>
              <w:t xml:space="preserve">Environ 56 M USD (Norad) + KfW</w:t>
            </w:r>
          </w:p>
        </w:tc>
        <w:tc>
          <w:tcPr>
            <w:tcW w:w="2194" w:type="dxa"/>
          </w:tcPr>
          <w:tcPr/>
          <w:p>
            <w:pPr>
              <w:pStyle w:val="Compact"/>
              <w:jc w:val="left"/>
            </w:pPr>
            <w:r>
              <w:t xml:space="preserve">Pays membres de l’ATI ayant signé un MoU (Ghana 9e en 2022 ; Kenya ; projets au Burundi, au Malawi, en Ouganda)</w:t>
            </w:r>
          </w:p>
        </w:tc>
        <w:tc>
          <w:tcPr>
            <w:tcW w:w="2825" w:type="dxa"/>
          </w:tcPr>
          <w:tcPr/>
          <w:p>
            <w:pPr>
              <w:pStyle w:val="Compact"/>
              <w:jc w:val="left"/>
            </w:pPr>
            <w:r>
              <w:rPr>
                <w:bCs/>
                <w:b/>
              </w:rPr>
              <w:t xml:space="preserve">Liquidité de court terme pour les IPP en cas de retard de paiement de l’opérateur</w:t>
            </w:r>
            <w:r>
              <w:t xml:space="preserve"> </w:t>
            </w:r>
            <w:r>
              <w:t xml:space="preserve">(lettre de crédit adossée)</w:t>
            </w:r>
          </w:p>
        </w:tc>
        <w:tc>
          <w:tcPr>
            <w:tcW w:w="1679" w:type="dxa"/>
          </w:tcPr>
          <w:tcPr/>
          <w:p>
            <w:pPr>
              <w:pStyle w:val="Compact"/>
              <w:jc w:val="left"/>
            </w:pPr>
            <w:r>
              <w:t xml:space="preserve">Actif. 5 projets (116,3 MW) en mai 2022</w:t>
            </w:r>
          </w:p>
        </w:tc>
        <w:tc>
          <w:tcPr>
            <w:tcW w:w="672" w:type="dxa"/>
          </w:tcPr>
          <w:tcPr/>
          <w:p>
            <w:pPr>
              <w:pStyle w:val="Compact"/>
              <w:jc w:val="left"/>
            </w:pPr>
            <w:r>
              <w:t xml:space="preserve">[19][S]</w:t>
            </w:r>
          </w:p>
        </w:tc>
      </w:tr>
      <w:tr>
        <w:tc>
          <w:tcPr>
            <w:tcW w:w="672" w:type="dxa"/>
          </w:tcPr>
          <w:tcPr/>
          <w:p>
            <w:pPr>
              <w:pStyle w:val="Compact"/>
              <w:jc w:val="left"/>
            </w:pPr>
            <w:r>
              <w:t xml:space="preserve">17</w:t>
            </w:r>
          </w:p>
        </w:tc>
        <w:tc>
          <w:tcPr>
            <w:tcW w:w="2383" w:type="dxa"/>
          </w:tcPr>
          <w:tcPr/>
          <w:p>
            <w:pPr>
              <w:pStyle w:val="Compact"/>
              <w:jc w:val="left"/>
            </w:pPr>
            <w:r>
              <w:t xml:space="preserve">AESTAP Mission 300 — Phase I (déc. 2025, environ 1 M USD) et Phase II</w:t>
            </w:r>
          </w:p>
        </w:tc>
        <w:tc>
          <w:tcPr>
            <w:tcW w:w="956" w:type="dxa"/>
          </w:tcPr>
          <w:tcPr/>
          <w:p>
            <w:pPr>
              <w:pStyle w:val="Compact"/>
              <w:jc w:val="left"/>
            </w:pPr>
            <w:r>
              <w:t xml:space="preserve">BAD</w:t>
            </w:r>
          </w:p>
        </w:tc>
        <w:tc>
          <w:tcPr>
            <w:tcW w:w="1097" w:type="dxa"/>
          </w:tcPr>
          <w:tcPr/>
          <w:p>
            <w:pPr>
              <w:pStyle w:val="Compact"/>
              <w:jc w:val="left"/>
            </w:pPr>
            <w:r>
              <w:t xml:space="preserve">—</w:t>
            </w:r>
          </w:p>
        </w:tc>
        <w:tc>
          <w:tcPr>
            <w:tcW w:w="2087" w:type="dxa"/>
          </w:tcPr>
          <w:tcPr/>
          <w:p>
            <w:pPr>
              <w:pStyle w:val="Compact"/>
              <w:jc w:val="left"/>
            </w:pPr>
            <w:r>
              <w:t xml:space="preserve">Phase II : 3,9 M USD sur 2 ans</w:t>
            </w:r>
          </w:p>
        </w:tc>
        <w:tc>
          <w:tcPr>
            <w:tcW w:w="2194" w:type="dxa"/>
          </w:tcPr>
          <w:tcPr/>
          <w:p>
            <w:pPr>
              <w:pStyle w:val="Compact"/>
              <w:jc w:val="left"/>
            </w:pPr>
            <w:r>
              <w:t xml:space="preserve">Phase II : Tchad, Gabon, Tanzanie, Mauritanie, RDC, Kenya, Nigeria, Madagascar, Éthiopie, Malawi, Lesotho, Namibie, Ouganda</w:t>
            </w:r>
          </w:p>
        </w:tc>
        <w:tc>
          <w:tcPr>
            <w:tcW w:w="2825" w:type="dxa"/>
          </w:tcPr>
          <w:tcPr/>
          <w:p>
            <w:pPr>
              <w:pStyle w:val="Compact"/>
              <w:jc w:val="left"/>
            </w:pPr>
            <w:r>
              <w:t xml:space="preserve">Conseillers dans les CDMU, notamment sur les tarifs, la régulation et la</w:t>
            </w:r>
            <w:r>
              <w:t xml:space="preserve"> </w:t>
            </w:r>
            <w:r>
              <w:rPr>
                <w:bCs/>
                <w:b/>
              </w:rPr>
              <w:t xml:space="preserve">performance des opérateurs</w:t>
            </w:r>
          </w:p>
        </w:tc>
        <w:tc>
          <w:tcPr>
            <w:tcW w:w="1679" w:type="dxa"/>
          </w:tcPr>
          <w:tcPr/>
          <w:p>
            <w:pPr>
              <w:pStyle w:val="Compact"/>
              <w:jc w:val="left"/>
            </w:pPr>
            <w:r>
              <w:t xml:space="preserve">Phase II approuvée fin janv. 2026</w:t>
            </w:r>
          </w:p>
        </w:tc>
        <w:tc>
          <w:tcPr>
            <w:tcW w:w="672" w:type="dxa"/>
          </w:tcPr>
          <w:tcPr/>
          <w:p>
            <w:pPr>
              <w:pStyle w:val="Compact"/>
              <w:jc w:val="left"/>
            </w:pPr>
            <w:r>
              <w:t xml:space="preserve">[20][S]</w:t>
            </w:r>
          </w:p>
        </w:tc>
      </w:tr>
      <w:tr>
        <w:tc>
          <w:tcPr>
            <w:tcW w:w="672" w:type="dxa"/>
          </w:tcPr>
          <w:tcPr/>
          <w:p>
            <w:pPr>
              <w:pStyle w:val="Compact"/>
              <w:jc w:val="left"/>
            </w:pPr>
            <w:r>
              <w:t xml:space="preserve">18</w:t>
            </w:r>
          </w:p>
        </w:tc>
        <w:tc>
          <w:tcPr>
            <w:tcW w:w="2383" w:type="dxa"/>
          </w:tcPr>
          <w:tcPr/>
          <w:p>
            <w:pPr>
              <w:pStyle w:val="Compact"/>
              <w:jc w:val="left"/>
            </w:pPr>
            <w:r>
              <w:t xml:space="preserve">Utility Performance and Behavior in Africa Today (UPBEAT)</w:t>
            </w:r>
          </w:p>
        </w:tc>
        <w:tc>
          <w:tcPr>
            <w:tcW w:w="956" w:type="dxa"/>
          </w:tcPr>
          <w:tcPr/>
          <w:p>
            <w:pPr>
              <w:pStyle w:val="Compact"/>
              <w:jc w:val="left"/>
            </w:pPr>
            <w:r>
              <w:t xml:space="preserve">BM / ESMAP, avec l’APUA et la BAD</w:t>
            </w:r>
          </w:p>
        </w:tc>
        <w:tc>
          <w:tcPr>
            <w:tcW w:w="1097" w:type="dxa"/>
          </w:tcPr>
          <w:tcPr/>
          <w:p>
            <w:pPr>
              <w:pStyle w:val="Compact"/>
              <w:jc w:val="left"/>
            </w:pPr>
            <w:r>
              <w:t xml:space="preserve">—</w:t>
            </w:r>
          </w:p>
        </w:tc>
        <w:tc>
          <w:tcPr>
            <w:tcW w:w="2087" w:type="dxa"/>
          </w:tcPr>
          <w:tcPr/>
          <w:p>
            <w:pPr>
              <w:pStyle w:val="Compact"/>
              <w:jc w:val="left"/>
            </w:pPr>
            <w:r>
              <w:t xml:space="preserve">— (diagnostic)</w:t>
            </w:r>
          </w:p>
        </w:tc>
        <w:tc>
          <w:tcPr>
            <w:tcW w:w="2194" w:type="dxa"/>
          </w:tcPr>
          <w:tcPr/>
          <w:p>
            <w:pPr>
              <w:pStyle w:val="Compact"/>
              <w:jc w:val="left"/>
            </w:pPr>
            <w:r>
              <w:t xml:space="preserve">Plus de 80 opérateurs dans 45 pays (plus de 60 indicateurs)</w:t>
            </w:r>
          </w:p>
        </w:tc>
        <w:tc>
          <w:tcPr>
            <w:tcW w:w="2825" w:type="dxa"/>
          </w:tcPr>
          <w:tcPr/>
          <w:p>
            <w:pPr>
              <w:pStyle w:val="Compact"/>
              <w:jc w:val="left"/>
            </w:pPr>
            <w:r>
              <w:t xml:space="preserve">Base de données de référence : finances, opérations, transparence. Données jusqu’en 2022 au moins</w:t>
            </w:r>
          </w:p>
        </w:tc>
        <w:tc>
          <w:tcPr>
            <w:tcW w:w="1679" w:type="dxa"/>
          </w:tcPr>
          <w:tcPr/>
          <w:p>
            <w:pPr>
              <w:pStyle w:val="Compact"/>
              <w:jc w:val="left"/>
            </w:pPr>
            <w:r>
              <w:t xml:space="preserve">Actif ; édition 2025 non trouvée [?]</w:t>
            </w:r>
          </w:p>
        </w:tc>
        <w:tc>
          <w:tcPr>
            <w:tcW w:w="672" w:type="dxa"/>
          </w:tcPr>
          <w:tcPr/>
          <w:p>
            <w:pPr>
              <w:pStyle w:val="Compact"/>
              <w:jc w:val="left"/>
            </w:pPr>
            <w:r>
              <w:t xml:space="preserve">[21][S]</w:t>
            </w:r>
          </w:p>
        </w:tc>
      </w:tr>
      <w:tr>
        <w:tc>
          <w:tcPr>
            <w:tcW w:w="672" w:type="dxa"/>
          </w:tcPr>
          <w:tcPr/>
          <w:p>
            <w:pPr>
              <w:pStyle w:val="Compact"/>
              <w:jc w:val="left"/>
            </w:pPr>
            <w:r>
              <w:t xml:space="preserve">19</w:t>
            </w:r>
          </w:p>
        </w:tc>
        <w:tc>
          <w:tcPr>
            <w:tcW w:w="2383" w:type="dxa"/>
          </w:tcPr>
          <w:tcPr/>
          <w:p>
            <w:pPr>
              <w:pStyle w:val="Compact"/>
              <w:jc w:val="left"/>
            </w:pPr>
            <w:r>
              <w:t xml:space="preserve">Electricity Regulatory Index (ERI)</w:t>
            </w:r>
          </w:p>
        </w:tc>
        <w:tc>
          <w:tcPr>
            <w:tcW w:w="956" w:type="dxa"/>
          </w:tcPr>
          <w:tcPr/>
          <w:p>
            <w:pPr>
              <w:pStyle w:val="Compact"/>
              <w:jc w:val="left"/>
            </w:pPr>
            <w:r>
              <w:t xml:space="preserve">BAD</w:t>
            </w:r>
          </w:p>
        </w:tc>
        <w:tc>
          <w:tcPr>
            <w:tcW w:w="1097" w:type="dxa"/>
          </w:tcPr>
          <w:tcPr/>
          <w:p>
            <w:pPr>
              <w:pStyle w:val="Compact"/>
              <w:jc w:val="left"/>
            </w:pPr>
            <w:r>
              <w:t xml:space="preserve">—</w:t>
            </w:r>
          </w:p>
        </w:tc>
        <w:tc>
          <w:tcPr>
            <w:tcW w:w="2087" w:type="dxa"/>
          </w:tcPr>
          <w:tcPr/>
          <w:p>
            <w:pPr>
              <w:pStyle w:val="Compact"/>
              <w:jc w:val="left"/>
            </w:pPr>
            <w:r>
              <w:t xml:space="preserve">— (diagnostic)</w:t>
            </w:r>
          </w:p>
        </w:tc>
        <w:tc>
          <w:tcPr>
            <w:tcW w:w="2194" w:type="dxa"/>
          </w:tcPr>
          <w:tcPr/>
          <w:p>
            <w:pPr>
              <w:pStyle w:val="Compact"/>
              <w:jc w:val="left"/>
            </w:pPr>
            <w:r>
              <w:t xml:space="preserve">43 pays (édition 2024, publiée en juin 2025)</w:t>
            </w:r>
          </w:p>
        </w:tc>
        <w:tc>
          <w:tcPr>
            <w:tcW w:w="2825" w:type="dxa"/>
          </w:tcPr>
          <w:tcPr/>
          <w:p>
            <w:pPr>
              <w:pStyle w:val="Compact"/>
              <w:jc w:val="left"/>
            </w:pPr>
            <w:r>
              <w:t xml:space="preserve">Recommande de mieux prendre en compte la viabilité financière des opérateurs</w:t>
            </w:r>
          </w:p>
        </w:tc>
        <w:tc>
          <w:tcPr>
            <w:tcW w:w="1679" w:type="dxa"/>
          </w:tcPr>
          <w:tcPr/>
          <w:p>
            <w:pPr>
              <w:pStyle w:val="Compact"/>
              <w:jc w:val="left"/>
            </w:pPr>
            <w:r>
              <w:t xml:space="preserve">Annuel</w:t>
            </w:r>
          </w:p>
        </w:tc>
        <w:tc>
          <w:tcPr>
            <w:tcW w:w="672" w:type="dxa"/>
          </w:tcPr>
          <w:tcPr/>
          <w:p>
            <w:pPr>
              <w:pStyle w:val="Compact"/>
              <w:jc w:val="left"/>
            </w:pPr>
            <w:r>
              <w:t xml:space="preserve">[22][S]</w:t>
            </w:r>
          </w:p>
        </w:tc>
      </w:tr>
    </w:tbl>
    <w:bookmarkEnd w:id="38"/>
    <w:bookmarkStart w:id="39" w:name="lacunes-et-points-de-vigilance"/>
    <w:p>
      <w:pPr>
        <w:pStyle w:val="Heading3"/>
      </w:pPr>
      <w:r>
        <w:t xml:space="preserve">Lacunes et points de vigilance</w:t>
      </w:r>
    </w:p>
    <w:p>
      <w:pPr>
        <w:numPr>
          <w:ilvl w:val="0"/>
          <w:numId w:val="1017"/>
        </w:numPr>
        <w:pStyle w:val="Compact"/>
      </w:pPr>
      <w:r>
        <w:rPr>
          <w:bCs/>
          <w:b/>
        </w:rPr>
        <w:t xml:space="preserve">Pas d’équivalent ASCENT identifié pour l’Afrique de l’Ouest et centrale</w:t>
      </w:r>
      <w:r>
        <w:t xml:space="preserve"> </w:t>
      </w:r>
      <w:r>
        <w:t xml:space="preserve">(MPA d’accès avec DLI opérateur). Les opérations WCA trouvées sont WA-REMP, BEST, ROGEP, le projet CEDEAO et CAPP-RIA. Les réformes d’opérateur y passent par des opérations nationales (DPF, projets de distribution), recensées dans les fiches pays.</w:t>
      </w:r>
    </w:p>
    <w:p>
      <w:pPr>
        <w:numPr>
          <w:ilvl w:val="0"/>
          <w:numId w:val="1017"/>
        </w:numPr>
        <w:pStyle w:val="Compact"/>
      </w:pPr>
      <w:r>
        <w:rPr>
          <w:bCs/>
          <w:b/>
        </w:rPr>
        <w:t xml:space="preserve">Montants globaux Mission 300</w:t>
      </w:r>
      <w:r>
        <w:t xml:space="preserve"> </w:t>
      </w:r>
      <w:r>
        <w:t xml:space="preserve">: plus de 50 Mds USD de promesses au sommet de Dar es Salaam (janv. 2025), selon la BAD. Une source donne 40 Mds USD BM + BAD.</w:t>
      </w:r>
      <w:r>
        <w:t xml:space="preserve"> </w:t>
      </w:r>
      <w:r>
        <w:rPr>
          <w:bCs/>
          <w:b/>
        </w:rPr>
        <w:t xml:space="preserve">Aucune source primaire trouvée pour une répartition « 30 Mds BM / 18,2 Mds BAD »</w:t>
      </w:r>
      <w:r>
        <w:t xml:space="preserve"> </w:t>
      </w:r>
      <w:r>
        <w:t xml:space="preserve">[S][23].</w:t>
      </w:r>
    </w:p>
    <w:p>
      <w:pPr>
        <w:numPr>
          <w:ilvl w:val="0"/>
          <w:numId w:val="1017"/>
        </w:numPr>
        <w:pStyle w:val="Compact"/>
      </w:pPr>
      <w:r>
        <w:t xml:space="preserve">ID BAD (codes SAP P-Z1-…) de Desert to Power, du SEFA et de LEAF : [?] non vérifiés. afdb.org n’a pas été consulté directement (403 fréquents).</w:t>
      </w:r>
    </w:p>
    <w:p>
      <w:pPr>
        <w:numPr>
          <w:ilvl w:val="0"/>
          <w:numId w:val="1017"/>
        </w:numPr>
        <w:pStyle w:val="Compact"/>
      </w:pPr>
      <w:r>
        <w:t xml:space="preserve">Enveloppe totale de RETRADE-SA et nombre de phases de WA-REMP : [?].</w:t>
      </w:r>
    </w:p>
    <w:bookmarkEnd w:id="39"/>
    <w:bookmarkStart w:id="40" w:name="sources"/>
    <w:p>
      <w:pPr>
        <w:pStyle w:val="Heading3"/>
      </w:pPr>
      <w:r>
        <w:t xml:space="preserve">Sources</w:t>
      </w:r>
    </w:p>
    <w:p>
      <w:pPr>
        <w:pStyle w:val="FirstParagraph"/>
      </w:pPr>
      <w:r>
        <w:t xml:space="preserve">[1] Banque mondiale, PID « Accelerating Sustainable &amp; Clean Energy Access Transformation Program Using the MPA (P180547) – Additional Financing Request 1 », 06/10/2026. https://documents.worldbank.org/curated/en/099100626165522988/pdf/P180547-c2606fc5-0dbb-48b2-ad2a-2ab67fd42bcc.pdf</w:t>
      </w:r>
      <w:r>
        <w:t xml:space="preserve"> </w:t>
      </w:r>
      <w:r>
        <w:t xml:space="preserve">[2] Banque mondiale, ISR P180547, 19/06/2026. https://documents.worldbank.org/curated/en/099061926093533317/pdf/P180547-1a73229c-c388-414a-9ac4-16e86ce2fc4e.pdf</w:t>
      </w:r>
      <w:r>
        <w:t xml:space="preserve"> </w:t>
      </w:r>
      <w:r>
        <w:t xml:space="preserve">[3] Banque mondiale, API Projects (search.worldbank.org/api/v2/projects), consultée le 18/10/2026 (P179631, P180575, P181341, P177099, P181328, P181494, P502464, P506061, P506221, P507635, P507759, P508960).</w:t>
      </w:r>
      <w:r>
        <w:t xml:space="preserve"> </w:t>
      </w:r>
      <w:r>
        <w:t xml:space="preserve">[4] Banque mondiale, Financing Agreement et ISR ASCENT Madagascar (P515164), mai et août 2026 ; voir operateurs/MDG_jirama.md.</w:t>
      </w:r>
      <w:r>
        <w:t xml:space="preserve"> </w:t>
      </w:r>
      <w:r>
        <w:t xml:space="preserve">[5] Banque mondiale, communiqué du 24/01/2025, « Enhancing Regional Power Trade and Energy Access in West Africa ». https://www.worldbank.org/en/news/press-release/2025/01/24/enhancing-regional-power-trade-and-energy-access-in-west-africa</w:t>
      </w:r>
      <w:r>
        <w:t xml:space="preserve"> </w:t>
      </w:r>
      <w:r>
        <w:t xml:space="preserve">[6] Banque mondiale, ISR WA-REMP Phase 1 (P505173), 20/05/2026. https://documents.worldbank.org/curated/en/099052026151041693/pdf/P505173-1817de0b-0c15-4618-86f9-10e9a318caa3.pdf</w:t>
      </w:r>
      <w:r>
        <w:t xml:space="preserve"> </w:t>
      </w:r>
      <w:r>
        <w:t xml:space="preserve">[7] Banque mondiale, ISR Regional Electricity Access and BEST (P167569), 23/06/2026. https://documents.worldbank.org/curated/en/099062326142533868/pdf/P167569-42e6e6aa-3da3-4ea4-935e-6685b0b96307.pdf ; Africa Energy Portal (465 M USD) [S]</w:t>
      </w:r>
      <w:r>
        <w:t xml:space="preserve"> </w:t>
      </w:r>
      <w:r>
        <w:t xml:space="preserve">[8] Banque mondiale, API Documents (P160708, P164044, P126661, P167569), consultée le 18/10/2026.</w:t>
      </w:r>
      <w:r>
        <w:t xml:space="preserve"> </w:t>
      </w:r>
      <w:r>
        <w:t xml:space="preserve">[9] Banque mondiale, ISR RETRADE-SA MPA Phase 1 (P507033), 15/06/2026. https://documents.worldbank.org/curated/en/099061526072021074/pdf/P507033-2649b549-50b2-4b78-a64f-d412e1847a56.pdf</w:t>
      </w:r>
      <w:r>
        <w:t xml:space="preserve"> </w:t>
      </w:r>
      <w:r>
        <w:t xml:space="preserve">[10] Banque mondiale, communiqué du 04/11/2025, « World Bank and Southern African Power Pool Partner to Expand Regional Power Trade » ; SAPP Monthly Report, nov. 2025. https://www.worldbank.org/en/news/press-release/2025/11/04/world-bank-and-southern-african-power-pool-partner-to-expand-regional-power-trade</w:t>
      </w:r>
      <w:r>
        <w:t xml:space="preserve"> </w:t>
      </w:r>
      <w:r>
        <w:t xml:space="preserve">[11] Banque mondiale, communiqué du 18/06/2026, « Eastern Africa set to gain more reliable, affordable power with World Bank Group support ». https://www.worldbank.org/en/news/press-release/2026/06/18/eastern-africa-set-to-gain-more-reliable-affordable-power-with-world-bank-group-support</w:t>
      </w:r>
      <w:r>
        <w:t xml:space="preserve"> </w:t>
      </w:r>
      <w:r>
        <w:t xml:space="preserve">[12] Early Warning System, « CAPP-RIA Phase 1 (WB-P508320) ». https://ewsdata.rightsindevelopment.org/projects/p508320-central-african-power-pool-regional-interconnectio/ [S]</w:t>
      </w:r>
      <w:r>
        <w:t xml:space="preserve"> </w:t>
      </w:r>
      <w:r>
        <w:t xml:space="preserve">[13] AllAfrica / BAD, « African Development Bank Group Approves $379.6 Million Desert to Power Financing Facility for the G5 Sahel Countries », févr. 2022 ; GCF, oct. 2021. https://allafrica.com/stories/202202230309.html [S]</w:t>
      </w:r>
      <w:r>
        <w:t xml:space="preserve"> </w:t>
      </w:r>
      <w:r>
        <w:t xml:space="preserve">[14] AllAfrica / BAD, « SEFA Governing Council Meets in Berlin, Lauds Strong Delivery in 2025 », févr. 2026 ; « COP30 – SEFA mobilises nearly EUR50 million », nov. 2025. https://allafrica.com/stories/202602050123.html [S]</w:t>
      </w:r>
      <w:r>
        <w:t xml:space="preserve"> </w:t>
      </w:r>
      <w:r>
        <w:t xml:space="preserve">[15] GCF, FP168 (LEAF) ; Sovereign Group, « AfDB Group approves LEAF programme ». https://www.greenclimate.fund/project/fp168 [S]</w:t>
      </w:r>
      <w:r>
        <w:t xml:space="preserve"> </w:t>
      </w:r>
      <w:r>
        <w:t xml:space="preserve">[16] NDF, « FEI OGEF [NDF C103] » ; EWS IFC-52282. https://ewsdata.rightsindevelopment.org/projects/52282-facility-for-energy-inclusion/ [S]</w:t>
      </w:r>
      <w:r>
        <w:t xml:space="preserve"> </w:t>
      </w:r>
      <w:r>
        <w:t xml:space="preserve">[17] BAD via APO, garantie Sahofika, déc. 2019. https://afdb.africa-newsroom.com/press/madagascar-african-development-bank-approves-guarantee-of-100-million-to-hydropower-project-to-benefit-over-2-million-people [S]</w:t>
      </w:r>
      <w:r>
        <w:t xml:space="preserve"> </w:t>
      </w:r>
      <w:r>
        <w:t xml:space="preserve">[18] MIGA, « Energy and Mission 300 » ; « Guarantee Platform » (juillet 2024). https://www.miga.org/energy-and-mission-300 ; https://miga.org/sites/default/files/2024-08/Guarantee%20platform_July2024.pdf [S pour les chiffres EF2026]</w:t>
      </w:r>
      <w:r>
        <w:t xml:space="preserve"> </w:t>
      </w:r>
      <w:r>
        <w:t xml:space="preserve">[19] ATI (atidi.africa), pages RLSF ; Afrik21, « $56 million from NORAD » ; B&amp;FT (Ghana, 2022). https://www.afrik21.africa/en/africa-56-million-from-norad-to-guarantee-renewable-energy-projects/ [S]</w:t>
      </w:r>
      <w:r>
        <w:t xml:space="preserve"> </w:t>
      </w:r>
      <w:r>
        <w:t xml:space="preserve">[20] BAD via APO, « AfDB approves new program to help African countries turn energy promises into power for millions », 30/01/2026. https://afdb.africa-newsroom.com/press/african-development-bank-afdb-approves-new-program-to-help-african-countries-turn-energy-promises-into-power-for-millions [S]</w:t>
      </w:r>
      <w:r>
        <w:t xml:space="preserve"> </w:t>
      </w:r>
      <w:r>
        <w:t xml:space="preserve">[21] Banque mondiale, blog « A new tool to measure—and help improve—the performance of Africa’s electric utilities: the UPBEAT data platform » ; utilityperformance.energydata.info. https://utilityperformance.energydata.info/about/ [S]</w:t>
      </w:r>
      <w:r>
        <w:t xml:space="preserve"> </w:t>
      </w:r>
      <w:r>
        <w:t xml:space="preserve">[22] AllAfrica / BAD, « Senegal and Kenya Top AfDB’s Electricity Regulatory Index », 20/06/2025. https://allafrica.com/stories/202506200524.html [S]</w:t>
      </w:r>
      <w:r>
        <w:t xml:space="preserve"> </w:t>
      </w:r>
      <w:r>
        <w:t xml:space="preserve">[23] BAD via APO, « Africa Energy Summit: Leaders commit to energy transformation with more than $50billion backing », 29/01/2025. https://afdb.africa-newsroom.com/press/africa-energy-summit-leaders-commit-to-energy-transformation-with-more-than-50billion-backing-from-global-partners [S]</w:t>
      </w:r>
    </w:p>
    <w:bookmarkEnd w:id="40"/>
    <w:bookmarkEnd w:id="41"/>
    <w:bookmarkEnd w:id="42"/>
    <w:bookmarkStart w:id="403" w:name="annexe-b-diagnostics-des-opérateurs"/>
    <w:p>
      <w:pPr>
        <w:pStyle w:val="Heading1"/>
      </w:pPr>
      <w:r>
        <w:t xml:space="preserve">Annexe B — Diagnostics des opérateurs</w:t>
      </w:r>
    </w:p>
    <w:bookmarkStart w:id="52" w:name="diagnostic-opérateur-regideso-burundi"/>
    <w:p>
      <w:pPr>
        <w:pStyle w:val="Heading2"/>
      </w:pPr>
      <w:r>
        <w:t xml:space="preserve">Diagnostic opérateur — REGIDESO (Burundi)</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Point de départ : fiche phase 1</w:t>
      </w:r>
      <w:r>
        <w:t xml:space="preserve"> </w:t>
      </w:r>
      <w:r>
        <w:rPr>
          <w:rStyle w:val="VerbatimChar"/>
        </w:rPr>
        <w:t xml:space="preserve">../../phase1/fiches/BDI_burundi.md</w:t>
      </w:r>
      <w:r>
        <w:t xml:space="preserve">. Recherche documentaire au 18/10/2026.</w:t>
      </w:r>
    </w:p>
    <w:bookmarkStart w:id="43" w:name="identité"/>
    <w:p>
      <w:pPr>
        <w:pStyle w:val="Heading3"/>
      </w:pPr>
      <w:r>
        <w:t xml:space="preserve">0. Identité</w:t>
      </w:r>
    </w:p>
    <w:p>
      <w:pPr>
        <w:numPr>
          <w:ilvl w:val="0"/>
          <w:numId w:val="1018"/>
        </w:numPr>
        <w:pStyle w:val="Compact"/>
      </w:pPr>
      <w:r>
        <w:rPr>
          <w:bCs/>
          <w:b/>
        </w:rPr>
        <w:t xml:space="preserve">Opérateur</w:t>
      </w:r>
      <w:r>
        <w:t xml:space="preserve"> </w:t>
      </w:r>
      <w:r>
        <w:t xml:space="preserve">: Régie de production et de distribution d’eau et d’électricité (REGIDESO), régie publique intégrée eau + électricité (production, transport, distribution) [1] [V]. Distributeur privé en démarrage :</w:t>
      </w:r>
      <w:r>
        <w:t xml:space="preserve"> </w:t>
      </w:r>
      <w:r>
        <w:rPr>
          <w:bCs/>
          <w:b/>
        </w:rPr>
        <w:t xml:space="preserve">Weza Power</w:t>
      </w:r>
      <w:r>
        <w:t xml:space="preserve"> </w:t>
      </w:r>
      <w:r>
        <w:t xml:space="preserve">(filiale de Virunga Power / Anzana), pilote de distribution soutenu par l’IDA [1][2] [V].</w:t>
      </w:r>
    </w:p>
    <w:p>
      <w:pPr>
        <w:numPr>
          <w:ilvl w:val="0"/>
          <w:numId w:val="1018"/>
        </w:numPr>
        <w:pStyle w:val="Compact"/>
      </w:pPr>
      <w:r>
        <w:rPr>
          <w:bCs/>
          <w:b/>
        </w:rPr>
        <w:t xml:space="preserve">Tutelle</w:t>
      </w:r>
      <w:r>
        <w:t xml:space="preserve"> </w:t>
      </w:r>
      <w:r>
        <w:t xml:space="preserve">: ministère chargé de l’Énergie (MRMEICT) ; ministère des Finances [1] [V].</w:t>
      </w:r>
    </w:p>
    <w:p>
      <w:pPr>
        <w:numPr>
          <w:ilvl w:val="0"/>
          <w:numId w:val="1018"/>
        </w:numPr>
        <w:pStyle w:val="Compact"/>
      </w:pPr>
      <w:r>
        <w:rPr>
          <w:bCs/>
          <w:b/>
        </w:rPr>
        <w:t xml:space="preserve">Régulateur</w:t>
      </w:r>
      <w:r>
        <w:t xml:space="preserve"> </w:t>
      </w:r>
      <w:r>
        <w:t xml:space="preserve">: AREEN — chargé de la méthodologie tarifaire ; une étude tarifaire (financée par la BM) a été finalisée en 2024 et l’UE appuie la méthodologie [1] [V]. Indépendance et capacités faibles (plan de réforme de l’AREEN en retard selon le pacte) [3] (pacte).</w:t>
      </w:r>
    </w:p>
    <w:p>
      <w:pPr>
        <w:numPr>
          <w:ilvl w:val="0"/>
          <w:numId w:val="1018"/>
        </w:numPr>
        <w:pStyle w:val="Compact"/>
      </w:pPr>
      <w:r>
        <w:rPr>
          <w:bCs/>
          <w:b/>
        </w:rPr>
        <w:t xml:space="preserve">Derniers comptes</w:t>
      </w:r>
      <w:r>
        <w:t xml:space="preserve"> </w:t>
      </w:r>
      <w:r>
        <w:t xml:space="preserve">:</w:t>
      </w:r>
      <w:r>
        <w:t xml:space="preserve"> </w:t>
      </w:r>
      <w:r>
        <w:rPr>
          <w:bCs/>
          <w:b/>
        </w:rPr>
        <w:t xml:space="preserve">non publiés</w:t>
      </w:r>
      <w:r>
        <w:t xml:space="preserve"> </w:t>
      </w:r>
      <w:r>
        <w:t xml:space="preserve">(« unpublished financial reports ») [1] [V] ; le pacte prévoit la publication des comptes 2020-2023 en déc. 2025, en retard à fin 2025 [3] (pacte).</w:t>
      </w:r>
    </w:p>
    <w:bookmarkEnd w:id="43"/>
    <w:bookmarkStart w:id="44" w:name="situation-financière"/>
    <w:p>
      <w:pPr>
        <w:pStyle w:val="Heading3"/>
      </w:pPr>
      <w:r>
        <w:t xml:space="preserve">1. Situation financière</w:t>
      </w:r>
    </w:p>
    <w:tbl>
      <w:tblPr>
        <w:tblStyle w:val="Table"/>
        <w:tblW w:type="dxa" w:w="14570"/>
        <w:tblLook w:firstRow="1" w:lastRow="0" w:firstColumn="0" w:lastColumn="0" w:noHBand="0" w:noVBand="0" w:val="0020"/>
        <w:jc w:val="start"/>
      </w:tblPr>
      <w:tblGrid>
        <w:gridCol w:w="3740"/>
        <w:gridCol w:w="7701"/>
        <w:gridCol w:w="1035"/>
        <w:gridCol w:w="1058"/>
        <w:gridCol w:w="1035"/>
      </w:tblGrid>
      <w:tr>
        <w:trPr>
          <w:tblHeader w:val="true"/>
        </w:trPr>
        <w:tc>
          <w:tcPr>
            <w:tcW w:w="3740" w:type="dxa"/>
          </w:tcPr>
          <w:tcPr/>
          <w:p>
            <w:pPr>
              <w:pStyle w:val="Compact"/>
              <w:jc w:val="left"/>
            </w:pPr>
            <w:r>
              <w:t xml:space="preserve">Indicateur</w:t>
            </w:r>
          </w:p>
        </w:tc>
        <w:tc>
          <w:tcPr>
            <w:tcW w:w="7701" w:type="dxa"/>
          </w:tcPr>
          <w:tcPr/>
          <w:p>
            <w:pPr>
              <w:pStyle w:val="Compact"/>
              <w:jc w:val="left"/>
            </w:pPr>
            <w:r>
              <w:t xml:space="preserve">Valeur</w:t>
            </w:r>
          </w:p>
        </w:tc>
        <w:tc>
          <w:tcPr>
            <w:tcW w:w="1035" w:type="dxa"/>
          </w:tcPr>
          <w:tcPr/>
          <w:p>
            <w:pPr>
              <w:pStyle w:val="Compact"/>
              <w:jc w:val="left"/>
            </w:pPr>
            <w:r>
              <w:t xml:space="preserve">Année</w:t>
            </w:r>
          </w:p>
        </w:tc>
        <w:tc>
          <w:tcPr>
            <w:tcW w:w="1058" w:type="dxa"/>
          </w:tcPr>
          <w:tcPr/>
          <w:p>
            <w:pPr>
              <w:pStyle w:val="Compact"/>
              <w:jc w:val="left"/>
            </w:pPr>
            <w:r>
              <w:t xml:space="preserve">Statut</w:t>
            </w:r>
          </w:p>
        </w:tc>
        <w:tc>
          <w:tcPr>
            <w:tcW w:w="1035" w:type="dxa"/>
          </w:tcPr>
          <w:tcPr/>
          <w:p>
            <w:pPr>
              <w:pStyle w:val="Compact"/>
              <w:jc w:val="left"/>
            </w:pPr>
            <w:r>
              <w:t xml:space="preserve">Source</w:t>
            </w:r>
          </w:p>
        </w:tc>
      </w:tr>
      <w:tr>
        <w:tc>
          <w:tcPr>
            <w:tcW w:w="3740" w:type="dxa"/>
          </w:tcPr>
          <w:tcPr/>
          <w:p>
            <w:pPr>
              <w:pStyle w:val="Compact"/>
              <w:jc w:val="left"/>
            </w:pPr>
            <w:r>
              <w:t xml:space="preserve">Chiffre d’affaires</w:t>
            </w:r>
          </w:p>
        </w:tc>
        <w:tc>
          <w:tcPr>
            <w:tcW w:w="7701" w:type="dxa"/>
          </w:tcPr>
          <w:tcPr/>
          <w:p>
            <w:pPr>
              <w:pStyle w:val="Compact"/>
              <w:jc w:val="left"/>
            </w:pPr>
            <w:r>
              <w:t xml:space="preserve">[?] non trouvé</w:t>
            </w:r>
          </w:p>
        </w:tc>
        <w:tc>
          <w:tcPr>
            <w:tcW w:w="1035" w:type="dxa"/>
          </w:tcPr>
          <w:tcPr/>
          <w:p>
            <w:pPr>
              <w:pStyle w:val="Compact"/>
            </w:pPr>
          </w:p>
        </w:tc>
        <w:tc>
          <w:tcPr>
            <w:tcW w:w="1058" w:type="dxa"/>
          </w:tcPr>
          <w:tcPr/>
          <w:p>
            <w:pPr>
              <w:pStyle w:val="Compact"/>
            </w:pPr>
          </w:p>
        </w:tc>
        <w:tc>
          <w:tcPr>
            <w:tcW w:w="1035" w:type="dxa"/>
          </w:tcPr>
          <w:tcPr/>
          <w:p>
            <w:pPr>
              <w:pStyle w:val="Compact"/>
            </w:pPr>
          </w:p>
        </w:tc>
      </w:tr>
      <w:tr>
        <w:tc>
          <w:tcPr>
            <w:tcW w:w="3740" w:type="dxa"/>
          </w:tcPr>
          <w:tcPr/>
          <w:p>
            <w:pPr>
              <w:pStyle w:val="Compact"/>
              <w:jc w:val="left"/>
            </w:pPr>
            <w:r>
              <w:t xml:space="preserve">Résultat net</w:t>
            </w:r>
          </w:p>
        </w:tc>
        <w:tc>
          <w:tcPr>
            <w:tcW w:w="7701" w:type="dxa"/>
          </w:tcPr>
          <w:tcPr/>
          <w:p>
            <w:pPr>
              <w:pStyle w:val="Compact"/>
              <w:jc w:val="left"/>
            </w:pPr>
            <w:r>
              <w:t xml:space="preserve">pertes comptables en 2017–2019 ayant érodé les fonds propres ; trésorerie « nettement améliorée » depuis la nouvelle direction (janv. 2021)</w:t>
            </w:r>
          </w:p>
        </w:tc>
        <w:tc>
          <w:tcPr>
            <w:tcW w:w="1035" w:type="dxa"/>
          </w:tcPr>
          <w:tcPr/>
          <w:p>
            <w:pPr>
              <w:pStyle w:val="Compact"/>
              <w:jc w:val="left"/>
            </w:pPr>
            <w:r>
              <w:t xml:space="preserve">2017–2024</w:t>
            </w:r>
          </w:p>
        </w:tc>
        <w:tc>
          <w:tcPr>
            <w:tcW w:w="1058" w:type="dxa"/>
          </w:tcPr>
          <w:tcPr/>
          <w:p>
            <w:pPr>
              <w:pStyle w:val="Compact"/>
              <w:jc w:val="left"/>
            </w:pPr>
            <w:r>
              <w:t xml:space="preserve">[V]</w:t>
            </w:r>
          </w:p>
        </w:tc>
        <w:tc>
          <w:tcPr>
            <w:tcW w:w="1035" w:type="dxa"/>
          </w:tcPr>
          <w:tcPr/>
          <w:p>
            <w:pPr>
              <w:pStyle w:val="Compact"/>
              <w:jc w:val="left"/>
            </w:pPr>
            <w:r>
              <w:t xml:space="preserve">[1]</w:t>
            </w:r>
          </w:p>
        </w:tc>
      </w:tr>
      <w:tr>
        <w:tc>
          <w:tcPr>
            <w:tcW w:w="3740" w:type="dxa"/>
          </w:tcPr>
          <w:tcPr/>
          <w:p>
            <w:pPr>
              <w:pStyle w:val="Compact"/>
              <w:jc w:val="left"/>
            </w:pPr>
            <w:r>
              <w:t xml:space="preserve">EBITDA / dette totale</w:t>
            </w:r>
          </w:p>
        </w:tc>
        <w:tc>
          <w:tcPr>
            <w:tcW w:w="7701" w:type="dxa"/>
          </w:tcPr>
          <w:tcPr/>
          <w:p>
            <w:pPr>
              <w:pStyle w:val="Compact"/>
              <w:jc w:val="left"/>
            </w:pPr>
            <w:r>
              <w:t xml:space="preserve">[?]</w:t>
            </w:r>
          </w:p>
        </w:tc>
        <w:tc>
          <w:tcPr>
            <w:tcW w:w="1035" w:type="dxa"/>
          </w:tcPr>
          <w:tcPr/>
          <w:p>
            <w:pPr>
              <w:pStyle w:val="Compact"/>
            </w:pPr>
          </w:p>
        </w:tc>
        <w:tc>
          <w:tcPr>
            <w:tcW w:w="1058" w:type="dxa"/>
          </w:tcPr>
          <w:tcPr/>
          <w:p>
            <w:pPr>
              <w:pStyle w:val="Compact"/>
            </w:pPr>
          </w:p>
        </w:tc>
        <w:tc>
          <w:tcPr>
            <w:tcW w:w="1035" w:type="dxa"/>
          </w:tcPr>
          <w:tcPr/>
          <w:p>
            <w:pPr>
              <w:pStyle w:val="Compact"/>
            </w:pPr>
          </w:p>
        </w:tc>
      </w:tr>
      <w:tr>
        <w:tc>
          <w:tcPr>
            <w:tcW w:w="3740" w:type="dxa"/>
          </w:tcPr>
          <w:tcPr/>
          <w:p>
            <w:pPr>
              <w:pStyle w:val="Compact"/>
              <w:jc w:val="left"/>
            </w:pPr>
            <w:r>
              <w:t xml:space="preserve">Dette envers IPP</w:t>
            </w:r>
          </w:p>
        </w:tc>
        <w:tc>
          <w:tcPr>
            <w:tcW w:w="7701" w:type="dxa"/>
          </w:tcPr>
          <w:tcPr/>
          <w:p>
            <w:pPr>
              <w:pStyle w:val="Compact"/>
              <w:jc w:val="left"/>
            </w:pPr>
            <w:r>
              <w:t xml:space="preserve">[?] ; REGIDESO doit devenir « acheteur crédible » (plan de redressement)</w:t>
            </w:r>
          </w:p>
        </w:tc>
        <w:tc>
          <w:tcPr>
            <w:tcW w:w="1035" w:type="dxa"/>
          </w:tcPr>
          <w:tcPr/>
          <w:p>
            <w:pPr>
              <w:pStyle w:val="Compact"/>
            </w:pPr>
          </w:p>
        </w:tc>
        <w:tc>
          <w:tcPr>
            <w:tcW w:w="1058" w:type="dxa"/>
          </w:tcPr>
          <w:tcPr/>
          <w:p>
            <w:pPr>
              <w:pStyle w:val="Compact"/>
              <w:jc w:val="left"/>
            </w:pPr>
            <w:r>
              <w:t xml:space="preserve">[V]</w:t>
            </w:r>
          </w:p>
        </w:tc>
        <w:tc>
          <w:tcPr>
            <w:tcW w:w="1035" w:type="dxa"/>
          </w:tcPr>
          <w:tcPr/>
          <w:p>
            <w:pPr>
              <w:pStyle w:val="Compact"/>
              <w:jc w:val="left"/>
            </w:pPr>
            <w:r>
              <w:t xml:space="preserve">[1]</w:t>
            </w:r>
          </w:p>
        </w:tc>
      </w:tr>
      <w:tr>
        <w:tc>
          <w:tcPr>
            <w:tcW w:w="3740" w:type="dxa"/>
          </w:tcPr>
          <w:tcPr/>
          <w:p>
            <w:pPr>
              <w:pStyle w:val="Compact"/>
              <w:jc w:val="left"/>
            </w:pPr>
            <w:r>
              <w:t xml:space="preserve">Arriérés de l’État</w:t>
            </w:r>
          </w:p>
        </w:tc>
        <w:tc>
          <w:tcPr>
            <w:tcW w:w="7701" w:type="dxa"/>
          </w:tcPr>
          <w:tcPr/>
          <w:p>
            <w:pPr>
              <w:pStyle w:val="Compact"/>
              <w:jc w:val="left"/>
            </w:pPr>
            <w:r>
              <w:t xml:space="preserve">60 Md BIF dus par l’État et ses institutions (article non daté)</w:t>
            </w:r>
          </w:p>
        </w:tc>
        <w:tc>
          <w:tcPr>
            <w:tcW w:w="1035" w:type="dxa"/>
          </w:tcPr>
          <w:tcPr/>
          <w:p>
            <w:pPr>
              <w:pStyle w:val="Compact"/>
              <w:jc w:val="left"/>
            </w:pPr>
            <w:r>
              <w:t xml:space="preserve">[?]</w:t>
            </w:r>
          </w:p>
        </w:tc>
        <w:tc>
          <w:tcPr>
            <w:tcW w:w="1058" w:type="dxa"/>
          </w:tcPr>
          <w:tcPr/>
          <w:p>
            <w:pPr>
              <w:pStyle w:val="Compact"/>
              <w:jc w:val="left"/>
            </w:pPr>
            <w:r>
              <w:t xml:space="preserve">[S]</w:t>
            </w:r>
          </w:p>
        </w:tc>
        <w:tc>
          <w:tcPr>
            <w:tcW w:w="1035" w:type="dxa"/>
          </w:tcPr>
          <w:tcPr/>
          <w:p>
            <w:pPr>
              <w:pStyle w:val="Compact"/>
              <w:jc w:val="left"/>
            </w:pPr>
            <w:r>
              <w:t xml:space="preserve">[5]</w:t>
            </w:r>
          </w:p>
        </w:tc>
      </w:tr>
      <w:tr>
        <w:tc>
          <w:tcPr>
            <w:tcW w:w="3740" w:type="dxa"/>
          </w:tcPr>
          <w:tcPr/>
          <w:p>
            <w:pPr>
              <w:pStyle w:val="Compact"/>
              <w:jc w:val="left"/>
            </w:pPr>
            <w:r>
              <w:t xml:space="preserve">Transferts / subventions</w:t>
            </w:r>
          </w:p>
        </w:tc>
        <w:tc>
          <w:tcPr>
            <w:tcW w:w="7701" w:type="dxa"/>
          </w:tcPr>
          <w:tcPr/>
          <w:p>
            <w:pPr>
              <w:pStyle w:val="Compact"/>
              <w:jc w:val="left"/>
            </w:pPr>
            <w:r>
              <w:t xml:space="preserve">[?]</w:t>
            </w:r>
          </w:p>
        </w:tc>
        <w:tc>
          <w:tcPr>
            <w:tcW w:w="1035" w:type="dxa"/>
          </w:tcPr>
          <w:tcPr/>
          <w:p>
            <w:pPr>
              <w:pStyle w:val="Compact"/>
            </w:pPr>
          </w:p>
        </w:tc>
        <w:tc>
          <w:tcPr>
            <w:tcW w:w="1058" w:type="dxa"/>
          </w:tcPr>
          <w:tcPr/>
          <w:p>
            <w:pPr>
              <w:pStyle w:val="Compact"/>
            </w:pPr>
          </w:p>
        </w:tc>
        <w:tc>
          <w:tcPr>
            <w:tcW w:w="1035" w:type="dxa"/>
          </w:tcPr>
          <w:tcPr/>
          <w:p>
            <w:pPr>
              <w:pStyle w:val="Compact"/>
            </w:pPr>
          </w:p>
        </w:tc>
      </w:tr>
      <w:tr>
        <w:tc>
          <w:tcPr>
            <w:tcW w:w="3740" w:type="dxa"/>
          </w:tcPr>
          <w:tcPr/>
          <w:p>
            <w:pPr>
              <w:pStyle w:val="Compact"/>
              <w:jc w:val="left"/>
            </w:pPr>
            <w:r>
              <w:t xml:space="preserve">Taux de recouvrement</w:t>
            </w:r>
          </w:p>
        </w:tc>
        <w:tc>
          <w:tcPr>
            <w:tcW w:w="7701" w:type="dxa"/>
          </w:tcPr>
          <w:tcPr/>
          <w:p>
            <w:pPr>
              <w:pStyle w:val="Compact"/>
              <w:jc w:val="left"/>
            </w:pPr>
            <w:r>
              <w:rPr>
                <w:bCs/>
                <w:b/>
              </w:rPr>
              <w:t xml:space="preserve">75 % des montants facturés</w:t>
            </w:r>
            <w:r>
              <w:t xml:space="preserve"> </w:t>
            </w:r>
            <w:r>
              <w:t xml:space="preserve">; faibles taux de facturation</w:t>
            </w:r>
          </w:p>
        </w:tc>
        <w:tc>
          <w:tcPr>
            <w:tcW w:w="1035" w:type="dxa"/>
          </w:tcPr>
          <w:tcPr/>
          <w:p>
            <w:pPr>
              <w:pStyle w:val="Compact"/>
              <w:jc w:val="left"/>
            </w:pPr>
            <w:r>
              <w:t xml:space="preserve">2024</w:t>
            </w:r>
          </w:p>
        </w:tc>
        <w:tc>
          <w:tcPr>
            <w:tcW w:w="1058" w:type="dxa"/>
          </w:tcPr>
          <w:tcPr/>
          <w:p>
            <w:pPr>
              <w:pStyle w:val="Compact"/>
              <w:jc w:val="left"/>
            </w:pPr>
            <w:r>
              <w:t xml:space="preserve">[V]</w:t>
            </w:r>
          </w:p>
        </w:tc>
        <w:tc>
          <w:tcPr>
            <w:tcW w:w="1035" w:type="dxa"/>
          </w:tcPr>
          <w:tcPr/>
          <w:p>
            <w:pPr>
              <w:pStyle w:val="Compact"/>
              <w:jc w:val="left"/>
            </w:pPr>
            <w:r>
              <w:t xml:space="preserve">[1]</w:t>
            </w:r>
          </w:p>
        </w:tc>
      </w:tr>
      <w:tr>
        <w:tc>
          <w:tcPr>
            <w:tcW w:w="3740" w:type="dxa"/>
          </w:tcPr>
          <w:tcPr/>
          <w:p>
            <w:pPr>
              <w:pStyle w:val="Compact"/>
              <w:jc w:val="left"/>
            </w:pPr>
            <w:r>
              <w:t xml:space="preserve">Recette moyenne vs coût</w:t>
            </w:r>
          </w:p>
        </w:tc>
        <w:tc>
          <w:tcPr>
            <w:tcW w:w="7701" w:type="dxa"/>
          </w:tcPr>
          <w:tcPr/>
          <w:p>
            <w:pPr>
              <w:pStyle w:val="Compact"/>
              <w:jc w:val="left"/>
            </w:pPr>
            <w:r>
              <w:t xml:space="preserve">« current electricity tariffs do not appear to fully cover incremental supply costs » ; coût marginal d’expansion retenu 170 USD/MWh ; coût moyen du kWh 9,4 c USD selon le pacte</w:t>
            </w:r>
          </w:p>
        </w:tc>
        <w:tc>
          <w:tcPr>
            <w:tcW w:w="1035" w:type="dxa"/>
          </w:tcPr>
          <w:tcPr/>
          <w:p>
            <w:pPr>
              <w:pStyle w:val="Compact"/>
              <w:jc w:val="left"/>
            </w:pPr>
            <w:r>
              <w:t xml:space="preserve">2024</w:t>
            </w:r>
          </w:p>
        </w:tc>
        <w:tc>
          <w:tcPr>
            <w:tcW w:w="1058" w:type="dxa"/>
          </w:tcPr>
          <w:tcPr/>
          <w:p>
            <w:pPr>
              <w:pStyle w:val="Compact"/>
              <w:jc w:val="left"/>
            </w:pPr>
            <w:r>
              <w:t xml:space="preserve">[V] / (pacte)</w:t>
            </w:r>
          </w:p>
        </w:tc>
        <w:tc>
          <w:tcPr>
            <w:tcW w:w="1035" w:type="dxa"/>
          </w:tcPr>
          <w:tcPr/>
          <w:p>
            <w:pPr>
              <w:pStyle w:val="Compact"/>
              <w:jc w:val="left"/>
            </w:pPr>
            <w:r>
              <w:t xml:space="preserve">[1][3]</w:t>
            </w:r>
          </w:p>
        </w:tc>
      </w:tr>
      <w:tr>
        <w:tc>
          <w:tcPr>
            <w:tcW w:w="3740" w:type="dxa"/>
          </w:tcPr>
          <w:tcPr/>
          <w:p>
            <w:pPr>
              <w:pStyle w:val="Compact"/>
              <w:jc w:val="left"/>
            </w:pPr>
            <w:r>
              <w:t xml:space="preserve">Contexte de change</w:t>
            </w:r>
          </w:p>
        </w:tc>
        <w:tc>
          <w:tcPr>
            <w:tcW w:w="7701" w:type="dxa"/>
          </w:tcPr>
          <w:tcPr/>
          <w:p>
            <w:pPr>
              <w:pStyle w:val="Compact"/>
              <w:jc w:val="left"/>
            </w:pPr>
            <w:r>
              <w:t xml:space="preserve">taux parallèle 6 200 BIF/USD vs taux officiel 2 874 BIF/USD (prime de 97 %, mai 2024)</w:t>
            </w:r>
          </w:p>
        </w:tc>
        <w:tc>
          <w:tcPr>
            <w:tcW w:w="1035" w:type="dxa"/>
          </w:tcPr>
          <w:tcPr/>
          <w:p>
            <w:pPr>
              <w:pStyle w:val="Compact"/>
              <w:jc w:val="left"/>
            </w:pPr>
            <w:r>
              <w:t xml:space="preserve">2024</w:t>
            </w:r>
          </w:p>
        </w:tc>
        <w:tc>
          <w:tcPr>
            <w:tcW w:w="1058" w:type="dxa"/>
          </w:tcPr>
          <w:tcPr/>
          <w:p>
            <w:pPr>
              <w:pStyle w:val="Compact"/>
              <w:jc w:val="left"/>
            </w:pPr>
            <w:r>
              <w:t xml:space="preserve">[V]</w:t>
            </w:r>
          </w:p>
        </w:tc>
        <w:tc>
          <w:tcPr>
            <w:tcW w:w="1035" w:type="dxa"/>
          </w:tcPr>
          <w:tcPr/>
          <w:p>
            <w:pPr>
              <w:pStyle w:val="Compact"/>
              <w:jc w:val="left"/>
            </w:pPr>
            <w:r>
              <w:t xml:space="preserve">[1]</w:t>
            </w:r>
          </w:p>
        </w:tc>
      </w:tr>
      <w:tr>
        <w:tc>
          <w:tcPr>
            <w:tcW w:w="3740" w:type="dxa"/>
          </w:tcPr>
          <w:tcPr/>
          <w:p>
            <w:pPr>
              <w:pStyle w:val="Compact"/>
              <w:jc w:val="left"/>
            </w:pPr>
            <w:r>
              <w:t xml:space="preserve">Notation</w:t>
            </w:r>
          </w:p>
        </w:tc>
        <w:tc>
          <w:tcPr>
            <w:tcW w:w="7701" w:type="dxa"/>
          </w:tcPr>
          <w:tcPr/>
          <w:p>
            <w:pPr>
              <w:pStyle w:val="Compact"/>
              <w:jc w:val="left"/>
            </w:pPr>
            <w:r>
              <w:t xml:space="preserve">« low credit rating » (pas de notation formelle)</w:t>
            </w:r>
          </w:p>
        </w:tc>
        <w:tc>
          <w:tcPr>
            <w:tcW w:w="1035" w:type="dxa"/>
          </w:tcPr>
          <w:tcPr/>
          <w:p>
            <w:pPr>
              <w:pStyle w:val="Compact"/>
              <w:jc w:val="left"/>
            </w:pPr>
            <w:r>
              <w:t xml:space="preserve">2024</w:t>
            </w:r>
          </w:p>
        </w:tc>
        <w:tc>
          <w:tcPr>
            <w:tcW w:w="1058" w:type="dxa"/>
          </w:tcPr>
          <w:tcPr/>
          <w:p>
            <w:pPr>
              <w:pStyle w:val="Compact"/>
              <w:jc w:val="left"/>
            </w:pPr>
            <w:r>
              <w:t xml:space="preserve">[V]</w:t>
            </w:r>
          </w:p>
        </w:tc>
        <w:tc>
          <w:tcPr>
            <w:tcW w:w="1035" w:type="dxa"/>
          </w:tcPr>
          <w:tcPr/>
          <w:p>
            <w:pPr>
              <w:pStyle w:val="Compact"/>
              <w:jc w:val="left"/>
            </w:pPr>
            <w:r>
              <w:t xml:space="preserve">[1]</w:t>
            </w:r>
          </w:p>
        </w:tc>
      </w:tr>
    </w:tbl>
    <w:bookmarkEnd w:id="44"/>
    <w:bookmarkStart w:id="45" w:name="situation-technique"/>
    <w:p>
      <w:pPr>
        <w:pStyle w:val="Heading3"/>
      </w:pPr>
      <w:r>
        <w:t xml:space="preserve">2. Situation technique</w:t>
      </w:r>
    </w:p>
    <w:tbl>
      <w:tblPr>
        <w:tblStyle w:val="Table"/>
        <w:tblW w:type="dxa" w:w="14570"/>
        <w:tblLook w:firstRow="1" w:lastRow="0" w:firstColumn="0" w:lastColumn="0" w:noHBand="0" w:noVBand="0" w:val="0020"/>
        <w:jc w:val="start"/>
      </w:tblPr>
      <w:tblGrid>
        <w:gridCol w:w="2637"/>
        <w:gridCol w:w="7464"/>
        <w:gridCol w:w="1499"/>
        <w:gridCol w:w="1405"/>
        <w:gridCol w:w="1563"/>
      </w:tblGrid>
      <w:tr>
        <w:trPr>
          <w:tblHeader w:val="true"/>
        </w:trPr>
        <w:tc>
          <w:tcPr>
            <w:tcW w:w="2637" w:type="dxa"/>
          </w:tcPr>
          <w:tcPr/>
          <w:p>
            <w:pPr>
              <w:pStyle w:val="Compact"/>
              <w:jc w:val="left"/>
            </w:pPr>
            <w:r>
              <w:t xml:space="preserve">Indicateur</w:t>
            </w:r>
          </w:p>
        </w:tc>
        <w:tc>
          <w:tcPr>
            <w:tcW w:w="7464" w:type="dxa"/>
          </w:tcPr>
          <w:tcPr/>
          <w:p>
            <w:pPr>
              <w:pStyle w:val="Compact"/>
              <w:jc w:val="left"/>
            </w:pPr>
            <w:r>
              <w:t xml:space="preserve">Valeur</w:t>
            </w:r>
          </w:p>
        </w:tc>
        <w:tc>
          <w:tcPr>
            <w:tcW w:w="1499" w:type="dxa"/>
          </w:tcPr>
          <w:tcPr/>
          <w:p>
            <w:pPr>
              <w:pStyle w:val="Compact"/>
              <w:jc w:val="left"/>
            </w:pPr>
            <w:r>
              <w:t xml:space="preserve">Année</w:t>
            </w:r>
          </w:p>
        </w:tc>
        <w:tc>
          <w:tcPr>
            <w:tcW w:w="1405" w:type="dxa"/>
          </w:tcPr>
          <w:tcPr/>
          <w:p>
            <w:pPr>
              <w:pStyle w:val="Compact"/>
              <w:jc w:val="left"/>
            </w:pPr>
            <w:r>
              <w:t xml:space="preserve">Statut</w:t>
            </w:r>
          </w:p>
        </w:tc>
        <w:tc>
          <w:tcPr>
            <w:tcW w:w="1563" w:type="dxa"/>
          </w:tcPr>
          <w:tcPr/>
          <w:p>
            <w:pPr>
              <w:pStyle w:val="Compact"/>
              <w:jc w:val="left"/>
            </w:pPr>
            <w:r>
              <w:t xml:space="preserve">Source</w:t>
            </w:r>
          </w:p>
        </w:tc>
      </w:tr>
      <w:tr>
        <w:tc>
          <w:tcPr>
            <w:tcW w:w="2637" w:type="dxa"/>
          </w:tcPr>
          <w:tcPr/>
          <w:p>
            <w:pPr>
              <w:pStyle w:val="Compact"/>
              <w:jc w:val="left"/>
            </w:pPr>
            <w:r>
              <w:t xml:space="preserve">Capacité</w:t>
            </w:r>
          </w:p>
        </w:tc>
        <w:tc>
          <w:tcPr>
            <w:tcW w:w="7464" w:type="dxa"/>
          </w:tcPr>
          <w:tcPr/>
          <w:p>
            <w:pPr>
              <w:pStyle w:val="Compact"/>
              <w:jc w:val="left"/>
            </w:pPr>
            <w:r>
              <w:t xml:space="preserve">204,9 MW installés / 168 MW disponibles</w:t>
            </w:r>
          </w:p>
        </w:tc>
        <w:tc>
          <w:tcPr>
            <w:tcW w:w="1499" w:type="dxa"/>
          </w:tcPr>
          <w:tcPr/>
          <w:p>
            <w:pPr>
              <w:pStyle w:val="Compact"/>
              <w:jc w:val="left"/>
            </w:pPr>
            <w:r>
              <w:t xml:space="preserve">2025</w:t>
            </w:r>
          </w:p>
        </w:tc>
        <w:tc>
          <w:tcPr>
            <w:tcW w:w="1405" w:type="dxa"/>
          </w:tcPr>
          <w:tcPr/>
          <w:p>
            <w:pPr>
              <w:pStyle w:val="Compact"/>
              <w:jc w:val="left"/>
            </w:pPr>
            <w:r>
              <w:t xml:space="preserve">(pacte)</w:t>
            </w:r>
          </w:p>
        </w:tc>
        <w:tc>
          <w:tcPr>
            <w:tcW w:w="1563" w:type="dxa"/>
          </w:tcPr>
          <w:tcPr/>
          <w:p>
            <w:pPr>
              <w:pStyle w:val="Compact"/>
              <w:jc w:val="left"/>
            </w:pPr>
            <w:r>
              <w:t xml:space="preserve">[3]</w:t>
            </w:r>
          </w:p>
        </w:tc>
      </w:tr>
      <w:tr>
        <w:tc>
          <w:tcPr>
            <w:tcW w:w="2637" w:type="dxa"/>
          </w:tcPr>
          <w:tcPr/>
          <w:p>
            <w:pPr>
              <w:pStyle w:val="Compact"/>
              <w:jc w:val="left"/>
            </w:pPr>
            <w:r>
              <w:t xml:space="preserve">Pertes</w:t>
            </w:r>
          </w:p>
        </w:tc>
        <w:tc>
          <w:tcPr>
            <w:tcW w:w="7464" w:type="dxa"/>
          </w:tcPr>
          <w:tcPr/>
          <w:p>
            <w:pPr>
              <w:pStyle w:val="Compact"/>
              <w:jc w:val="left"/>
            </w:pPr>
            <w:r>
              <w:rPr>
                <w:bCs/>
                <w:b/>
              </w:rPr>
              <w:t xml:space="preserve">≈ 30–32 %</w:t>
            </w:r>
            <w:r>
              <w:t xml:space="preserve"> </w:t>
            </w:r>
            <w:r>
              <w:t xml:space="preserve">(techniques + commerciales)</w:t>
            </w:r>
          </w:p>
        </w:tc>
        <w:tc>
          <w:tcPr>
            <w:tcW w:w="1499" w:type="dxa"/>
          </w:tcPr>
          <w:tcPr/>
          <w:p>
            <w:pPr>
              <w:pStyle w:val="Compact"/>
              <w:jc w:val="left"/>
            </w:pPr>
            <w:r>
              <w:t xml:space="preserve">2024</w:t>
            </w:r>
          </w:p>
        </w:tc>
        <w:tc>
          <w:tcPr>
            <w:tcW w:w="1405" w:type="dxa"/>
          </w:tcPr>
          <w:tcPr/>
          <w:p>
            <w:pPr>
              <w:pStyle w:val="Compact"/>
              <w:jc w:val="left"/>
            </w:pPr>
            <w:r>
              <w:t xml:space="preserve">[V]</w:t>
            </w:r>
          </w:p>
        </w:tc>
        <w:tc>
          <w:tcPr>
            <w:tcW w:w="1563" w:type="dxa"/>
          </w:tcPr>
          <w:tcPr/>
          <w:p>
            <w:pPr>
              <w:pStyle w:val="Compact"/>
              <w:jc w:val="left"/>
            </w:pPr>
            <w:r>
              <w:t xml:space="preserve">[1]</w:t>
            </w:r>
          </w:p>
        </w:tc>
      </w:tr>
      <w:tr>
        <w:tc>
          <w:tcPr>
            <w:tcW w:w="2637" w:type="dxa"/>
          </w:tcPr>
          <w:tcPr/>
          <w:p>
            <w:pPr>
              <w:pStyle w:val="Compact"/>
              <w:jc w:val="left"/>
            </w:pPr>
            <w:r>
              <w:t xml:space="preserve">Fiabilité</w:t>
            </w:r>
          </w:p>
        </w:tc>
        <w:tc>
          <w:tcPr>
            <w:tcW w:w="7464" w:type="dxa"/>
          </w:tcPr>
          <w:tcPr/>
          <w:p>
            <w:pPr>
              <w:pStyle w:val="Compact"/>
              <w:jc w:val="left"/>
            </w:pPr>
            <w:r>
              <w:t xml:space="preserve">réseau MT de Bujumbura : ≈ 117 coupures/an (80 min en moyenne) ; réseau BT : ≈ 6 500/an (2018-19) ; délestages persistants</w:t>
            </w:r>
          </w:p>
        </w:tc>
        <w:tc>
          <w:tcPr>
            <w:tcW w:w="1499" w:type="dxa"/>
          </w:tcPr>
          <w:tcPr/>
          <w:p>
            <w:pPr>
              <w:pStyle w:val="Compact"/>
              <w:jc w:val="left"/>
            </w:pPr>
            <w:r>
              <w:t xml:space="preserve">2018–2024</w:t>
            </w:r>
          </w:p>
        </w:tc>
        <w:tc>
          <w:tcPr>
            <w:tcW w:w="1405" w:type="dxa"/>
          </w:tcPr>
          <w:tcPr/>
          <w:p>
            <w:pPr>
              <w:pStyle w:val="Compact"/>
              <w:jc w:val="left"/>
            </w:pPr>
            <w:r>
              <w:t xml:space="preserve">[V]</w:t>
            </w:r>
          </w:p>
        </w:tc>
        <w:tc>
          <w:tcPr>
            <w:tcW w:w="1563" w:type="dxa"/>
          </w:tcPr>
          <w:tcPr/>
          <w:p>
            <w:pPr>
              <w:pStyle w:val="Compact"/>
              <w:jc w:val="left"/>
            </w:pPr>
            <w:r>
              <w:t xml:space="preserve">[1]</w:t>
            </w:r>
          </w:p>
        </w:tc>
      </w:tr>
      <w:tr>
        <w:tc>
          <w:tcPr>
            <w:tcW w:w="2637" w:type="dxa"/>
          </w:tcPr>
          <w:tcPr/>
          <w:p>
            <w:pPr>
              <w:pStyle w:val="Compact"/>
              <w:jc w:val="left"/>
            </w:pPr>
            <w:r>
              <w:t xml:space="preserve">Clients</w:t>
            </w:r>
          </w:p>
        </w:tc>
        <w:tc>
          <w:tcPr>
            <w:tcW w:w="7464" w:type="dxa"/>
          </w:tcPr>
          <w:tcPr/>
          <w:p>
            <w:pPr>
              <w:pStyle w:val="Compact"/>
              <w:jc w:val="left"/>
            </w:pPr>
            <w:r>
              <w:rPr>
                <w:bCs/>
                <w:b/>
              </w:rPr>
              <w:t xml:space="preserve">≈ 170 000</w:t>
            </w:r>
            <w:r>
              <w:t xml:space="preserve">, dont 64 % à Bujumbura</w:t>
            </w:r>
          </w:p>
        </w:tc>
        <w:tc>
          <w:tcPr>
            <w:tcW w:w="1499" w:type="dxa"/>
          </w:tcPr>
          <w:tcPr/>
          <w:p>
            <w:pPr>
              <w:pStyle w:val="Compact"/>
              <w:jc w:val="left"/>
            </w:pPr>
            <w:r>
              <w:t xml:space="preserve">2024</w:t>
            </w:r>
          </w:p>
        </w:tc>
        <w:tc>
          <w:tcPr>
            <w:tcW w:w="1405" w:type="dxa"/>
          </w:tcPr>
          <w:tcPr/>
          <w:p>
            <w:pPr>
              <w:pStyle w:val="Compact"/>
              <w:jc w:val="left"/>
            </w:pPr>
            <w:r>
              <w:t xml:space="preserve">[V]</w:t>
            </w:r>
          </w:p>
        </w:tc>
        <w:tc>
          <w:tcPr>
            <w:tcW w:w="1563" w:type="dxa"/>
          </w:tcPr>
          <w:tcPr/>
          <w:p>
            <w:pPr>
              <w:pStyle w:val="Compact"/>
              <w:jc w:val="left"/>
            </w:pPr>
            <w:r>
              <w:t xml:space="preserve">[1]</w:t>
            </w:r>
          </w:p>
        </w:tc>
      </w:tr>
      <w:tr>
        <w:tc>
          <w:tcPr>
            <w:tcW w:w="2637" w:type="dxa"/>
          </w:tcPr>
          <w:tcPr/>
          <w:p>
            <w:pPr>
              <w:pStyle w:val="Compact"/>
              <w:jc w:val="left"/>
            </w:pPr>
            <w:r>
              <w:t xml:space="preserve">Clients selon le pacte</w:t>
            </w:r>
          </w:p>
        </w:tc>
        <w:tc>
          <w:tcPr>
            <w:tcW w:w="7464" w:type="dxa"/>
          </w:tcPr>
          <w:tcPr/>
          <w:p>
            <w:pPr>
              <w:pStyle w:val="Compact"/>
              <w:jc w:val="left"/>
            </w:pPr>
            <w:r>
              <w:t xml:space="preserve">285 000 compteurs prépayés</w:t>
            </w:r>
          </w:p>
        </w:tc>
        <w:tc>
          <w:tcPr>
            <w:tcW w:w="1499" w:type="dxa"/>
          </w:tcPr>
          <w:tcPr/>
          <w:p>
            <w:pPr>
              <w:pStyle w:val="Compact"/>
              <w:jc w:val="left"/>
            </w:pPr>
            <w:r>
              <w:t xml:space="preserve">2025</w:t>
            </w:r>
          </w:p>
        </w:tc>
        <w:tc>
          <w:tcPr>
            <w:tcW w:w="1405" w:type="dxa"/>
          </w:tcPr>
          <w:tcPr/>
          <w:p>
            <w:pPr>
              <w:pStyle w:val="Compact"/>
              <w:jc w:val="left"/>
            </w:pPr>
            <w:r>
              <w:t xml:space="preserve">(pacte)</w:t>
            </w:r>
          </w:p>
        </w:tc>
        <w:tc>
          <w:tcPr>
            <w:tcW w:w="1563" w:type="dxa"/>
          </w:tcPr>
          <w:tcPr/>
          <w:p>
            <w:pPr>
              <w:pStyle w:val="Compact"/>
              <w:jc w:val="left"/>
            </w:pPr>
            <w:r>
              <w:t xml:space="preserve">[3] — écart, voir §5</w:t>
            </w:r>
          </w:p>
        </w:tc>
      </w:tr>
      <w:tr>
        <w:tc>
          <w:tcPr>
            <w:tcW w:w="2637" w:type="dxa"/>
          </w:tcPr>
          <w:tcPr/>
          <w:p>
            <w:pPr>
              <w:pStyle w:val="Compact"/>
              <w:jc w:val="left"/>
            </w:pPr>
            <w:r>
              <w:t xml:space="preserve">Coût de l’autoproduction</w:t>
            </w:r>
          </w:p>
        </w:tc>
        <w:tc>
          <w:tcPr>
            <w:tcW w:w="7464" w:type="dxa"/>
          </w:tcPr>
          <w:tcPr/>
          <w:p>
            <w:pPr>
              <w:pStyle w:val="Compact"/>
              <w:jc w:val="left"/>
            </w:pPr>
            <w:r>
              <w:t xml:space="preserve">diesel industriel ≈ 0,28 USD/kWh ; petits groupes des ménages ≈ 0,72 USD/kWh</w:t>
            </w:r>
          </w:p>
        </w:tc>
        <w:tc>
          <w:tcPr>
            <w:tcW w:w="1499" w:type="dxa"/>
          </w:tcPr>
          <w:tcPr/>
          <w:p>
            <w:pPr>
              <w:pStyle w:val="Compact"/>
              <w:jc w:val="left"/>
            </w:pPr>
            <w:r>
              <w:t xml:space="preserve">2024</w:t>
            </w:r>
          </w:p>
        </w:tc>
        <w:tc>
          <w:tcPr>
            <w:tcW w:w="1405" w:type="dxa"/>
          </w:tcPr>
          <w:tcPr/>
          <w:p>
            <w:pPr>
              <w:pStyle w:val="Compact"/>
              <w:jc w:val="left"/>
            </w:pPr>
            <w:r>
              <w:t xml:space="preserve">[V]</w:t>
            </w:r>
          </w:p>
        </w:tc>
        <w:tc>
          <w:tcPr>
            <w:tcW w:w="1563" w:type="dxa"/>
          </w:tcPr>
          <w:tcPr/>
          <w:p>
            <w:pPr>
              <w:pStyle w:val="Compact"/>
              <w:jc w:val="left"/>
            </w:pPr>
            <w:r>
              <w:t xml:space="preserve">[1]</w:t>
            </w:r>
          </w:p>
        </w:tc>
      </w:tr>
      <w:tr>
        <w:tc>
          <w:tcPr>
            <w:tcW w:w="2637" w:type="dxa"/>
          </w:tcPr>
          <w:tcPr/>
          <w:p>
            <w:pPr>
              <w:pStyle w:val="Compact"/>
              <w:jc w:val="left"/>
            </w:pPr>
            <w:r>
              <w:t xml:space="preserve">Mix</w:t>
            </w:r>
          </w:p>
        </w:tc>
        <w:tc>
          <w:tcPr>
            <w:tcW w:w="7464" w:type="dxa"/>
          </w:tcPr>
          <w:tcPr/>
          <w:p>
            <w:pPr>
              <w:pStyle w:val="Compact"/>
              <w:jc w:val="left"/>
            </w:pPr>
            <w:r>
              <w:t xml:space="preserve">dépendance au thermique coûteux (fioul), pénuries de carburant</w:t>
            </w:r>
          </w:p>
        </w:tc>
        <w:tc>
          <w:tcPr>
            <w:tcW w:w="1499" w:type="dxa"/>
          </w:tcPr>
          <w:tcPr/>
          <w:p>
            <w:pPr>
              <w:pStyle w:val="Compact"/>
              <w:jc w:val="left"/>
            </w:pPr>
            <w:r>
              <w:t xml:space="preserve">2024</w:t>
            </w:r>
          </w:p>
        </w:tc>
        <w:tc>
          <w:tcPr>
            <w:tcW w:w="1405" w:type="dxa"/>
          </w:tcPr>
          <w:tcPr/>
          <w:p>
            <w:pPr>
              <w:pStyle w:val="Compact"/>
              <w:jc w:val="left"/>
            </w:pPr>
            <w:r>
              <w:t xml:space="preserve">[V]</w:t>
            </w:r>
          </w:p>
        </w:tc>
        <w:tc>
          <w:tcPr>
            <w:tcW w:w="1563" w:type="dxa"/>
          </w:tcPr>
          <w:tcPr/>
          <w:p>
            <w:pPr>
              <w:pStyle w:val="Compact"/>
              <w:jc w:val="left"/>
            </w:pPr>
            <w:r>
              <w:t xml:space="preserve">[1]</w:t>
            </w:r>
          </w:p>
        </w:tc>
      </w:tr>
    </w:tbl>
    <w:bookmarkEnd w:id="45"/>
    <w:bookmarkStart w:id="46" w:name="situation-économique-et-gouvernance"/>
    <w:p>
      <w:pPr>
        <w:pStyle w:val="Heading3"/>
      </w:pPr>
      <w:r>
        <w:t xml:space="preserve">3. Situation économique et gouvernance</w:t>
      </w:r>
    </w:p>
    <w:p>
      <w:pPr>
        <w:numPr>
          <w:ilvl w:val="0"/>
          <w:numId w:val="1019"/>
        </w:numPr>
        <w:pStyle w:val="Compact"/>
      </w:pPr>
      <w:r>
        <w:rPr>
          <w:bCs/>
          <w:b/>
        </w:rPr>
        <w:t xml:space="preserve">PPA</w:t>
      </w:r>
      <w:r>
        <w:t xml:space="preserve"> </w:t>
      </w:r>
      <w:r>
        <w:t xml:space="preserve">: IPP thermique (Interpetrol 30 MW) et solaire (Gigawatt Global 7,5 MW) ; coût thermique 20 c USD/kWh (pacte) [3] ; la hausse des prix des carburants a dégradé les comptes [1] [V].</w:t>
      </w:r>
    </w:p>
    <w:p>
      <w:pPr>
        <w:numPr>
          <w:ilvl w:val="0"/>
          <w:numId w:val="1019"/>
        </w:numPr>
        <w:pStyle w:val="Compact"/>
      </w:pPr>
      <w:r>
        <w:rPr>
          <w:bCs/>
          <w:b/>
        </w:rPr>
        <w:t xml:space="preserve">Change</w:t>
      </w:r>
      <w:r>
        <w:t xml:space="preserve"> </w:t>
      </w:r>
      <w:r>
        <w:t xml:space="preserve">: pénurie aiguë de devises et double taux de change (le FMI recommande leur unification en 2026) [1][6] [V/S].</w:t>
      </w:r>
    </w:p>
    <w:p>
      <w:pPr>
        <w:numPr>
          <w:ilvl w:val="0"/>
          <w:numId w:val="1019"/>
        </w:numPr>
        <w:pStyle w:val="Compact"/>
      </w:pPr>
      <w:r>
        <w:rPr>
          <w:bCs/>
          <w:b/>
        </w:rPr>
        <w:t xml:space="preserve">Plan de redressement</w:t>
      </w:r>
      <w:r>
        <w:t xml:space="preserve"> </w:t>
      </w:r>
      <w:r>
        <w:t xml:space="preserve">: Plan d’amélioration de la performance (PIP, origine 2014, mis à jour) et plan de redressement financier,</w:t>
      </w:r>
      <w:r>
        <w:t xml:space="preserve"> </w:t>
      </w:r>
      <w:r>
        <w:rPr>
          <w:bCs/>
          <w:b/>
        </w:rPr>
        <w:t xml:space="preserve">tous deux achevés en 2023</w:t>
      </w:r>
      <w:r>
        <w:t xml:space="preserve"> </w:t>
      </w:r>
      <w:r>
        <w:t xml:space="preserve">; mise à jour quinquennale financée par ASCENT (composante 4) [1] [V].</w:t>
      </w:r>
    </w:p>
    <w:p>
      <w:pPr>
        <w:numPr>
          <w:ilvl w:val="0"/>
          <w:numId w:val="1019"/>
        </w:numPr>
        <w:pStyle w:val="Compact"/>
      </w:pPr>
      <w:r>
        <w:rPr>
          <w:bCs/>
          <w:b/>
        </w:rPr>
        <w:t xml:space="preserve">Gouvernance</w:t>
      </w:r>
      <w:r>
        <w:t xml:space="preserve"> </w:t>
      </w:r>
      <w:r>
        <w:t xml:space="preserve">: direction renouvelée en janvier 2021 ; recrutement concurrentiel des directeurs et grille salariale promis par le pacte, en retard [3] (pacte).</w:t>
      </w:r>
    </w:p>
    <w:bookmarkEnd w:id="46"/>
    <w:bookmarkStart w:id="47" w:name="X4b36fccdf190a7981c4872e9e873136e4c2e832"/>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648"/>
        <w:gridCol w:w="851"/>
        <w:gridCol w:w="2444"/>
        <w:gridCol w:w="1144"/>
        <w:gridCol w:w="3141"/>
        <w:gridCol w:w="1513"/>
        <w:gridCol w:w="1001"/>
        <w:gridCol w:w="825"/>
      </w:tblGrid>
      <w:tr>
        <w:trPr>
          <w:tblHeader w:val="true"/>
        </w:trPr>
        <w:tc>
          <w:tcPr>
            <w:tcW w:w="3648" w:type="dxa"/>
          </w:tcPr>
          <w:tcPr/>
          <w:p>
            <w:pPr>
              <w:pStyle w:val="Compact"/>
              <w:jc w:val="left"/>
            </w:pPr>
            <w:r>
              <w:t xml:space="preserve">Programme / projet</w:t>
            </w:r>
          </w:p>
        </w:tc>
        <w:tc>
          <w:tcPr>
            <w:tcW w:w="851" w:type="dxa"/>
          </w:tcPr>
          <w:tcPr/>
          <w:p>
            <w:pPr>
              <w:pStyle w:val="Compact"/>
              <w:jc w:val="left"/>
            </w:pPr>
            <w:r>
              <w:t xml:space="preserve">Bailleur</w:t>
            </w:r>
          </w:p>
        </w:tc>
        <w:tc>
          <w:tcPr>
            <w:tcW w:w="2444" w:type="dxa"/>
          </w:tcPr>
          <w:tcPr/>
          <w:p>
            <w:pPr>
              <w:pStyle w:val="Compact"/>
              <w:jc w:val="left"/>
            </w:pPr>
            <w:r>
              <w:t xml:space="preserve">Montant</w:t>
            </w:r>
          </w:p>
        </w:tc>
        <w:tc>
          <w:tcPr>
            <w:tcW w:w="1144" w:type="dxa"/>
          </w:tcPr>
          <w:tcPr/>
          <w:p>
            <w:pPr>
              <w:pStyle w:val="Compact"/>
              <w:jc w:val="left"/>
            </w:pPr>
            <w:r>
              <w:t xml:space="preserve">Années</w:t>
            </w:r>
          </w:p>
        </w:tc>
        <w:tc>
          <w:tcPr>
            <w:tcW w:w="3141" w:type="dxa"/>
          </w:tcPr>
          <w:tcPr/>
          <w:p>
            <w:pPr>
              <w:pStyle w:val="Compact"/>
              <w:jc w:val="left"/>
            </w:pPr>
            <w:r>
              <w:t xml:space="preserve">Objectifs liés à l’opérateur</w:t>
            </w:r>
          </w:p>
        </w:tc>
        <w:tc>
          <w:tcPr>
            <w:tcW w:w="1513" w:type="dxa"/>
          </w:tcPr>
          <w:tcPr/>
          <w:p>
            <w:pPr>
              <w:pStyle w:val="Compact"/>
              <w:jc w:val="left"/>
            </w:pPr>
            <w:r>
              <w:t xml:space="preserve">Conditions / indicateurs</w:t>
            </w:r>
          </w:p>
        </w:tc>
        <w:tc>
          <w:tcPr>
            <w:tcW w:w="1001" w:type="dxa"/>
          </w:tcPr>
          <w:tcPr/>
          <w:p>
            <w:pPr>
              <w:pStyle w:val="Compact"/>
              <w:jc w:val="left"/>
            </w:pPr>
            <w:r>
              <w:t xml:space="preserve">Statut</w:t>
            </w:r>
          </w:p>
        </w:tc>
        <w:tc>
          <w:tcPr>
            <w:tcW w:w="825" w:type="dxa"/>
          </w:tcPr>
          <w:tcPr/>
          <w:p>
            <w:pPr>
              <w:pStyle w:val="Compact"/>
              <w:jc w:val="left"/>
            </w:pPr>
            <w:r>
              <w:t xml:space="preserve">Source</w:t>
            </w:r>
          </w:p>
        </w:tc>
      </w:tr>
      <w:tr>
        <w:tc>
          <w:tcPr>
            <w:tcW w:w="3648" w:type="dxa"/>
          </w:tcPr>
          <w:tcPr/>
          <w:p>
            <w:pPr>
              <w:pStyle w:val="Compact"/>
              <w:jc w:val="left"/>
            </w:pPr>
            <w:r>
              <w:rPr>
                <w:bCs/>
                <w:b/>
              </w:rPr>
              <w:t xml:space="preserve">ASCENT Burundi (P181494)</w:t>
            </w:r>
          </w:p>
        </w:tc>
        <w:tc>
          <w:tcPr>
            <w:tcW w:w="851" w:type="dxa"/>
          </w:tcPr>
          <w:tcPr/>
          <w:p>
            <w:pPr>
              <w:pStyle w:val="Compact"/>
              <w:jc w:val="left"/>
            </w:pPr>
            <w:r>
              <w:t xml:space="preserve">BM (IDA don)</w:t>
            </w:r>
          </w:p>
        </w:tc>
        <w:tc>
          <w:tcPr>
            <w:tcW w:w="2444" w:type="dxa"/>
          </w:tcPr>
          <w:tcPr/>
          <w:p>
            <w:pPr>
              <w:pStyle w:val="Compact"/>
              <w:jc w:val="left"/>
            </w:pPr>
            <w:r>
              <w:t xml:space="preserve">100 M USD (+ AF P508909 : 50 M USD, déc. 2024) ; coût total 239,9 M avec cofinancements</w:t>
            </w:r>
          </w:p>
        </w:tc>
        <w:tc>
          <w:tcPr>
            <w:tcW w:w="1144" w:type="dxa"/>
          </w:tcPr>
          <w:tcPr/>
          <w:p>
            <w:pPr>
              <w:pStyle w:val="Compact"/>
              <w:jc w:val="left"/>
            </w:pPr>
            <w:r>
              <w:t xml:space="preserve">2024–2029</w:t>
            </w:r>
          </w:p>
        </w:tc>
        <w:tc>
          <w:tcPr>
            <w:tcW w:w="3141" w:type="dxa"/>
          </w:tcPr>
          <w:tcPr/>
          <w:p>
            <w:pPr>
              <w:pStyle w:val="Compact"/>
              <w:jc w:val="left"/>
            </w:pPr>
            <w:r>
              <w:t xml:space="preserve">réseau REGIDESO (réhabilitation, densification), pilote Weza Power, viabilité sectorielle (PIP, plan de redressement)</w:t>
            </w:r>
          </w:p>
        </w:tc>
        <w:tc>
          <w:tcPr>
            <w:tcW w:w="1513" w:type="dxa"/>
          </w:tcPr>
          <w:tcPr/>
          <w:p>
            <w:pPr>
              <w:pStyle w:val="Compact"/>
              <w:jc w:val="left"/>
            </w:pPr>
            <w:r>
              <w:rPr>
                <w:bCs/>
                <w:b/>
              </w:rPr>
              <w:t xml:space="preserve">PBC 1</w:t>
            </w:r>
            <w:r>
              <w:t xml:space="preserve"> </w:t>
            </w:r>
            <w:r>
              <w:t xml:space="preserve">normes de réseau (déc. 2025) ;</w:t>
            </w:r>
            <w:r>
              <w:t xml:space="preserve"> </w:t>
            </w:r>
            <w:r>
              <w:rPr>
                <w:bCs/>
                <w:b/>
              </w:rPr>
              <w:t xml:space="preserve">PBC 2</w:t>
            </w:r>
            <w:r>
              <w:t xml:space="preserve"> </w:t>
            </w:r>
            <w:r>
              <w:t xml:space="preserve">cadre de raccordement abordable (déc. 2026/2027) ;</w:t>
            </w:r>
            <w:r>
              <w:t xml:space="preserve"> </w:t>
            </w:r>
            <w:r>
              <w:rPr>
                <w:bCs/>
                <w:b/>
              </w:rPr>
              <w:t xml:space="preserve">PBC 3</w:t>
            </w:r>
            <w:r>
              <w:t xml:space="preserve"> </w:t>
            </w:r>
            <w:r>
              <w:t xml:space="preserve">structure tarifaire révisée avec tarif social, par ordonnance des ministres de l’Énergie et des Finances (déc. 2027). Au</w:t>
            </w:r>
            <w:r>
              <w:t xml:space="preserve"> </w:t>
            </w:r>
            <w:r>
              <w:rPr>
                <w:bCs/>
                <w:b/>
              </w:rPr>
              <w:t xml:space="preserve">août 2026 : 0 raccordement, 0 km, aucune PBC atteinte</w:t>
            </w:r>
            <w:r>
              <w:t xml:space="preserve"> </w:t>
            </w:r>
            <w:r>
              <w:t xml:space="preserve">(PBC 1 échue)</w:t>
            </w:r>
          </w:p>
        </w:tc>
        <w:tc>
          <w:tcPr>
            <w:tcW w:w="1001" w:type="dxa"/>
          </w:tcPr>
          <w:tcPr/>
          <w:p>
            <w:pPr>
              <w:pStyle w:val="Compact"/>
              <w:jc w:val="left"/>
            </w:pPr>
            <w:r>
              <w:t xml:space="preserve">Actif, MS</w:t>
            </w:r>
          </w:p>
        </w:tc>
        <w:tc>
          <w:tcPr>
            <w:tcW w:w="825" w:type="dxa"/>
          </w:tcPr>
          <w:tcPr/>
          <w:p>
            <w:pPr>
              <w:pStyle w:val="Compact"/>
              <w:jc w:val="left"/>
            </w:pPr>
            <w:r>
              <w:t xml:space="preserve">[1][2][4]</w:t>
            </w:r>
          </w:p>
        </w:tc>
      </w:tr>
      <w:tr>
        <w:tc>
          <w:tcPr>
            <w:tcW w:w="3648" w:type="dxa"/>
          </w:tcPr>
          <w:tcPr/>
          <w:p>
            <w:pPr>
              <w:pStyle w:val="Compact"/>
              <w:jc w:val="left"/>
            </w:pPr>
            <w:r>
              <w:t xml:space="preserve">BI-Jiji and Mulembwe Hydropower (P133610) + AF (P181410 : 50 M ; P508790 : 30 M)</w:t>
            </w:r>
          </w:p>
        </w:tc>
        <w:tc>
          <w:tcPr>
            <w:tcW w:w="851" w:type="dxa"/>
          </w:tcPr>
          <w:tcPr/>
          <w:p>
            <w:pPr>
              <w:pStyle w:val="Compact"/>
              <w:jc w:val="left"/>
            </w:pPr>
            <w:r>
              <w:t xml:space="preserve">BM</w:t>
            </w:r>
          </w:p>
        </w:tc>
        <w:tc>
          <w:tcPr>
            <w:tcW w:w="2444" w:type="dxa"/>
          </w:tcPr>
          <w:tcPr/>
          <w:p>
            <w:pPr>
              <w:pStyle w:val="Compact"/>
              <w:jc w:val="left"/>
            </w:pPr>
            <w:r>
              <w:t xml:space="preserve">150,1 M + 153,6 M don (initial)</w:t>
            </w:r>
          </w:p>
        </w:tc>
        <w:tc>
          <w:tcPr>
            <w:tcW w:w="1144" w:type="dxa"/>
          </w:tcPr>
          <w:tcPr/>
          <w:p>
            <w:pPr>
              <w:pStyle w:val="Compact"/>
              <w:jc w:val="left"/>
            </w:pPr>
            <w:r>
              <w:t xml:space="preserve">2014–2026</w:t>
            </w:r>
          </w:p>
        </w:tc>
        <w:tc>
          <w:tcPr>
            <w:tcW w:w="3141" w:type="dxa"/>
          </w:tcPr>
          <w:tcPr/>
          <w:p>
            <w:pPr>
              <w:pStyle w:val="Compact"/>
              <w:jc w:val="left"/>
            </w:pPr>
            <w:r>
              <w:t xml:space="preserve">centrales hydroélectriques de Jiji et Mulembwe (REGIDESO)</w:t>
            </w:r>
          </w:p>
        </w:tc>
        <w:tc>
          <w:tcPr>
            <w:tcW w:w="1513" w:type="dxa"/>
          </w:tcPr>
          <w:tcPr/>
          <w:p>
            <w:pPr>
              <w:pStyle w:val="Compact"/>
              <w:jc w:val="left"/>
            </w:pPr>
            <w:r>
              <w:t xml:space="preserve">—</w:t>
            </w:r>
          </w:p>
        </w:tc>
        <w:tc>
          <w:tcPr>
            <w:tcW w:w="1001" w:type="dxa"/>
          </w:tcPr>
          <w:tcPr/>
          <w:p>
            <w:pPr>
              <w:pStyle w:val="Compact"/>
              <w:jc w:val="left"/>
            </w:pPr>
            <w:r>
              <w:t xml:space="preserve">Clos (juin 2026)</w:t>
            </w:r>
          </w:p>
        </w:tc>
        <w:tc>
          <w:tcPr>
            <w:tcW w:w="825" w:type="dxa"/>
          </w:tcPr>
          <w:tcPr/>
          <w:p>
            <w:pPr>
              <w:pStyle w:val="Compact"/>
              <w:jc w:val="left"/>
            </w:pPr>
            <w:r>
              <w:t xml:space="preserve">[4]</w:t>
            </w:r>
          </w:p>
        </w:tc>
      </w:tr>
      <w:tr>
        <w:tc>
          <w:tcPr>
            <w:tcW w:w="3648" w:type="dxa"/>
          </w:tcPr>
          <w:tcPr/>
          <w:p>
            <w:pPr>
              <w:pStyle w:val="Compact"/>
              <w:jc w:val="left"/>
            </w:pPr>
            <w:r>
              <w:t xml:space="preserve">Solar Energy in Local Communities (P164435) + AF (P516490)</w:t>
            </w:r>
          </w:p>
        </w:tc>
        <w:tc>
          <w:tcPr>
            <w:tcW w:w="851" w:type="dxa"/>
          </w:tcPr>
          <w:tcPr/>
          <w:p>
            <w:pPr>
              <w:pStyle w:val="Compact"/>
              <w:jc w:val="left"/>
            </w:pPr>
            <w:r>
              <w:t xml:space="preserve">BM</w:t>
            </w:r>
          </w:p>
        </w:tc>
        <w:tc>
          <w:tcPr>
            <w:tcW w:w="2444" w:type="dxa"/>
          </w:tcPr>
          <w:tcPr/>
          <w:p>
            <w:pPr>
              <w:pStyle w:val="Compact"/>
              <w:jc w:val="left"/>
            </w:pPr>
            <w:r>
              <w:t xml:space="preserve">100 M ; AF 5 M + 3,9 M don</w:t>
            </w:r>
          </w:p>
        </w:tc>
        <w:tc>
          <w:tcPr>
            <w:tcW w:w="1144" w:type="dxa"/>
          </w:tcPr>
          <w:tcPr/>
          <w:p>
            <w:pPr>
              <w:pStyle w:val="Compact"/>
              <w:jc w:val="left"/>
            </w:pPr>
            <w:r>
              <w:t xml:space="preserve">2020–2028</w:t>
            </w:r>
          </w:p>
        </w:tc>
        <w:tc>
          <w:tcPr>
            <w:tcW w:w="3141" w:type="dxa"/>
          </w:tcPr>
          <w:tcPr/>
          <w:p>
            <w:pPr>
              <w:pStyle w:val="Compact"/>
              <w:jc w:val="left"/>
            </w:pPr>
            <w:r>
              <w:t xml:space="preserve">hors réseau / mini-réseaux</w:t>
            </w:r>
          </w:p>
        </w:tc>
        <w:tc>
          <w:tcPr>
            <w:tcW w:w="1513" w:type="dxa"/>
          </w:tcPr>
          <w:tcPr/>
          <w:p>
            <w:pPr>
              <w:pStyle w:val="Compact"/>
              <w:jc w:val="left"/>
            </w:pPr>
            <w:r>
              <w:t xml:space="preserve">—</w:t>
            </w:r>
          </w:p>
        </w:tc>
        <w:tc>
          <w:tcPr>
            <w:tcW w:w="1001" w:type="dxa"/>
          </w:tcPr>
          <w:tcPr/>
          <w:p>
            <w:pPr>
              <w:pStyle w:val="Compact"/>
              <w:jc w:val="left"/>
            </w:pPr>
            <w:r>
              <w:t xml:space="preserve">Actif</w:t>
            </w:r>
          </w:p>
        </w:tc>
        <w:tc>
          <w:tcPr>
            <w:tcW w:w="825" w:type="dxa"/>
          </w:tcPr>
          <w:tcPr/>
          <w:p>
            <w:pPr>
              <w:pStyle w:val="Compact"/>
              <w:jc w:val="left"/>
            </w:pPr>
            <w:r>
              <w:t xml:space="preserve">[4]</w:t>
            </w:r>
          </w:p>
        </w:tc>
      </w:tr>
      <w:tr>
        <w:tc>
          <w:tcPr>
            <w:tcW w:w="3648" w:type="dxa"/>
          </w:tcPr>
          <w:tcPr/>
          <w:p>
            <w:pPr>
              <w:pStyle w:val="Compact"/>
              <w:jc w:val="left"/>
            </w:pPr>
            <w:r>
              <w:t xml:space="preserve">Ruzizi 3 Regional Hydropower (P510120)</w:t>
            </w:r>
          </w:p>
        </w:tc>
        <w:tc>
          <w:tcPr>
            <w:tcW w:w="851" w:type="dxa"/>
          </w:tcPr>
          <w:tcPr/>
          <w:p>
            <w:pPr>
              <w:pStyle w:val="Compact"/>
              <w:jc w:val="left"/>
            </w:pPr>
            <w:r>
              <w:t xml:space="preserve">BM</w:t>
            </w:r>
          </w:p>
        </w:tc>
        <w:tc>
          <w:tcPr>
            <w:tcW w:w="2444" w:type="dxa"/>
          </w:tcPr>
          <w:tcPr/>
          <w:p>
            <w:pPr>
              <w:pStyle w:val="Compact"/>
              <w:jc w:val="left"/>
            </w:pPr>
            <w:r>
              <w:t xml:space="preserve">300 M USD</w:t>
            </w:r>
          </w:p>
        </w:tc>
        <w:tc>
          <w:tcPr>
            <w:tcW w:w="1144" w:type="dxa"/>
          </w:tcPr>
          <w:tcPr/>
          <w:p>
            <w:pPr>
              <w:pStyle w:val="Compact"/>
              <w:jc w:val="left"/>
            </w:pPr>
            <w:r>
              <w:t xml:space="preserve">approbation prévue 24/09/2026</w:t>
            </w:r>
          </w:p>
        </w:tc>
        <w:tc>
          <w:tcPr>
            <w:tcW w:w="3141" w:type="dxa"/>
          </w:tcPr>
          <w:tcPr/>
          <w:p>
            <w:pPr>
              <w:pStyle w:val="Compact"/>
              <w:jc w:val="left"/>
            </w:pPr>
            <w:r>
              <w:t xml:space="preserve">IPP régional (206 MW) ; REGIDESO acheteur</w:t>
            </w:r>
          </w:p>
        </w:tc>
        <w:tc>
          <w:tcPr>
            <w:tcW w:w="1513" w:type="dxa"/>
          </w:tcPr>
          <w:tcPr/>
          <w:p>
            <w:pPr>
              <w:pStyle w:val="Compact"/>
              <w:jc w:val="left"/>
            </w:pPr>
            <w:r>
              <w:t xml:space="preserve">—</w:t>
            </w:r>
          </w:p>
        </w:tc>
        <w:tc>
          <w:tcPr>
            <w:tcW w:w="1001" w:type="dxa"/>
          </w:tcPr>
          <w:tcPr/>
          <w:p>
            <w:pPr>
              <w:pStyle w:val="Compact"/>
              <w:jc w:val="left"/>
            </w:pPr>
            <w:r>
              <w:t xml:space="preserve">Pipeline</w:t>
            </w:r>
          </w:p>
        </w:tc>
        <w:tc>
          <w:tcPr>
            <w:tcW w:w="825" w:type="dxa"/>
          </w:tcPr>
          <w:tcPr/>
          <w:p>
            <w:pPr>
              <w:pStyle w:val="Compact"/>
              <w:jc w:val="left"/>
            </w:pPr>
            <w:r>
              <w:t xml:space="preserve">[4]</w:t>
            </w:r>
          </w:p>
        </w:tc>
      </w:tr>
      <w:tr>
        <w:tc>
          <w:tcPr>
            <w:tcW w:w="3648" w:type="dxa"/>
          </w:tcPr>
          <w:tcPr/>
          <w:p>
            <w:pPr>
              <w:pStyle w:val="Compact"/>
              <w:jc w:val="left"/>
            </w:pPr>
            <w:r>
              <w:t xml:space="preserve">AT réformes REGIDESO</w:t>
            </w:r>
          </w:p>
        </w:tc>
        <w:tc>
          <w:tcPr>
            <w:tcW w:w="851" w:type="dxa"/>
          </w:tcPr>
          <w:tcPr/>
          <w:p>
            <w:pPr>
              <w:pStyle w:val="Compact"/>
              <w:jc w:val="left"/>
            </w:pPr>
            <w:r>
              <w:t xml:space="preserve">BM</w:t>
            </w:r>
          </w:p>
        </w:tc>
        <w:tc>
          <w:tcPr>
            <w:tcW w:w="2444" w:type="dxa"/>
          </w:tcPr>
          <w:tcPr/>
          <w:p>
            <w:pPr>
              <w:pStyle w:val="Compact"/>
              <w:jc w:val="left"/>
            </w:pPr>
            <w:r>
              <w:t xml:space="preserve">6 M USD</w:t>
            </w:r>
          </w:p>
        </w:tc>
        <w:tc>
          <w:tcPr>
            <w:tcW w:w="1144" w:type="dxa"/>
          </w:tcPr>
          <w:tcPr/>
          <w:p>
            <w:pPr>
              <w:pStyle w:val="Compact"/>
              <w:jc w:val="left"/>
            </w:pPr>
            <w:r>
              <w:t xml:space="preserve">—</w:t>
            </w:r>
          </w:p>
        </w:tc>
        <w:tc>
          <w:tcPr>
            <w:tcW w:w="3141" w:type="dxa"/>
          </w:tcPr>
          <w:tcPr/>
          <w:p>
            <w:pPr>
              <w:pStyle w:val="Compact"/>
              <w:jc w:val="left"/>
            </w:pPr>
            <w:r>
              <w:t xml:space="preserve">—</w:t>
            </w:r>
          </w:p>
        </w:tc>
        <w:tc>
          <w:tcPr>
            <w:tcW w:w="1513" w:type="dxa"/>
          </w:tcPr>
          <w:tcPr/>
          <w:p>
            <w:pPr>
              <w:pStyle w:val="Compact"/>
              <w:jc w:val="left"/>
            </w:pPr>
            <w:r>
              <w:t xml:space="preserve">—</w:t>
            </w:r>
          </w:p>
        </w:tc>
        <w:tc>
          <w:tcPr>
            <w:tcW w:w="1001" w:type="dxa"/>
          </w:tcPr>
          <w:tcPr/>
          <w:p>
            <w:pPr>
              <w:pStyle w:val="Compact"/>
              <w:jc w:val="left"/>
            </w:pPr>
            <w:r>
              <w:t xml:space="preserve">[?]</w:t>
            </w:r>
          </w:p>
        </w:tc>
        <w:tc>
          <w:tcPr>
            <w:tcW w:w="825" w:type="dxa"/>
          </w:tcPr>
          <w:tcPr/>
          <w:p>
            <w:pPr>
              <w:pStyle w:val="Compact"/>
              <w:jc w:val="left"/>
            </w:pPr>
            <w:r>
              <w:t xml:space="preserve">pacte</w:t>
            </w:r>
          </w:p>
        </w:tc>
      </w:tr>
      <w:tr>
        <w:tc>
          <w:tcPr>
            <w:tcW w:w="3648" w:type="dxa"/>
          </w:tcPr>
          <w:tcPr/>
          <w:p>
            <w:pPr>
              <w:pStyle w:val="Compact"/>
              <w:jc w:val="left"/>
            </w:pPr>
            <w:r>
              <w:t xml:space="preserve">Programme d’accès phase 2 (1 558 collines)</w:t>
            </w:r>
          </w:p>
        </w:tc>
        <w:tc>
          <w:tcPr>
            <w:tcW w:w="851" w:type="dxa"/>
          </w:tcPr>
          <w:tcPr/>
          <w:p>
            <w:pPr>
              <w:pStyle w:val="Compact"/>
              <w:jc w:val="left"/>
            </w:pPr>
            <w:r>
              <w:t xml:space="preserve">BAD (don)</w:t>
            </w:r>
          </w:p>
        </w:tc>
        <w:tc>
          <w:tcPr>
            <w:tcW w:w="2444" w:type="dxa"/>
          </w:tcPr>
          <w:tcPr/>
          <w:p>
            <w:pPr>
              <w:pStyle w:val="Compact"/>
              <w:jc w:val="left"/>
            </w:pPr>
            <w:r>
              <w:t xml:space="preserve">110 M USD (signé 24/06/2025)</w:t>
            </w:r>
          </w:p>
        </w:tc>
        <w:tc>
          <w:tcPr>
            <w:tcW w:w="1144" w:type="dxa"/>
          </w:tcPr>
          <w:tcPr/>
          <w:p>
            <w:pPr>
              <w:pStyle w:val="Compact"/>
              <w:jc w:val="left"/>
            </w:pPr>
            <w:r>
              <w:t xml:space="preserve">2025–</w:t>
            </w:r>
          </w:p>
        </w:tc>
        <w:tc>
          <w:tcPr>
            <w:tcW w:w="3141" w:type="dxa"/>
          </w:tcPr>
          <w:tcPr/>
          <w:p>
            <w:pPr>
              <w:pStyle w:val="Compact"/>
              <w:jc w:val="left"/>
            </w:pPr>
            <w:r>
              <w:t xml:space="preserve">électrification</w:t>
            </w:r>
          </w:p>
        </w:tc>
        <w:tc>
          <w:tcPr>
            <w:tcW w:w="1513" w:type="dxa"/>
          </w:tcPr>
          <w:tcPr/>
          <w:p>
            <w:pPr>
              <w:pStyle w:val="Compact"/>
              <w:jc w:val="left"/>
            </w:pPr>
            <w:r>
              <w:t xml:space="preserve">—</w:t>
            </w:r>
          </w:p>
        </w:tc>
        <w:tc>
          <w:tcPr>
            <w:tcW w:w="1001" w:type="dxa"/>
          </w:tcPr>
          <w:tcPr/>
          <w:p>
            <w:pPr>
              <w:pStyle w:val="Compact"/>
              <w:jc w:val="left"/>
            </w:pPr>
            <w:r>
              <w:t xml:space="preserve">[?]</w:t>
            </w:r>
          </w:p>
        </w:tc>
        <w:tc>
          <w:tcPr>
            <w:tcW w:w="825" w:type="dxa"/>
          </w:tcPr>
          <w:tcPr/>
          <w:p>
            <w:pPr>
              <w:pStyle w:val="Compact"/>
              <w:jc w:val="left"/>
            </w:pPr>
            <w:r>
              <w:t xml:space="preserve">pacte</w:t>
            </w:r>
          </w:p>
        </w:tc>
      </w:tr>
      <w:tr>
        <w:tc>
          <w:tcPr>
            <w:tcW w:w="3648" w:type="dxa"/>
          </w:tcPr>
          <w:tcPr/>
          <w:p>
            <w:pPr>
              <w:pStyle w:val="Compact"/>
              <w:jc w:val="left"/>
            </w:pPr>
            <w:r>
              <w:t xml:space="preserve">Interconnexions Kigoma–Gitega, Kamanyola–Bujumbura</w:t>
            </w:r>
          </w:p>
        </w:tc>
        <w:tc>
          <w:tcPr>
            <w:tcW w:w="851" w:type="dxa"/>
          </w:tcPr>
          <w:tcPr/>
          <w:p>
            <w:pPr>
              <w:pStyle w:val="Compact"/>
              <w:jc w:val="left"/>
            </w:pPr>
            <w:r>
              <w:t xml:space="preserve">BAD/UE</w:t>
            </w:r>
          </w:p>
        </w:tc>
        <w:tc>
          <w:tcPr>
            <w:tcW w:w="2444" w:type="dxa"/>
          </w:tcPr>
          <w:tcPr/>
          <w:p>
            <w:pPr>
              <w:pStyle w:val="Compact"/>
              <w:jc w:val="left"/>
            </w:pPr>
            <w:r>
              <w:t xml:space="preserve">60 M USD</w:t>
            </w:r>
          </w:p>
        </w:tc>
        <w:tc>
          <w:tcPr>
            <w:tcW w:w="1144" w:type="dxa"/>
          </w:tcPr>
          <w:tcPr/>
          <w:p>
            <w:pPr>
              <w:pStyle w:val="Compact"/>
              <w:jc w:val="left"/>
            </w:pPr>
            <w:r>
              <w:t xml:space="preserve">—</w:t>
            </w:r>
          </w:p>
        </w:tc>
        <w:tc>
          <w:tcPr>
            <w:tcW w:w="3141" w:type="dxa"/>
          </w:tcPr>
          <w:tcPr/>
          <w:p>
            <w:pPr>
              <w:pStyle w:val="Compact"/>
              <w:jc w:val="left"/>
            </w:pPr>
            <w:r>
              <w:t xml:space="preserve">transport</w:t>
            </w:r>
          </w:p>
        </w:tc>
        <w:tc>
          <w:tcPr>
            <w:tcW w:w="1513" w:type="dxa"/>
          </w:tcPr>
          <w:tcPr/>
          <w:p>
            <w:pPr>
              <w:pStyle w:val="Compact"/>
              <w:jc w:val="left"/>
            </w:pPr>
            <w:r>
              <w:t xml:space="preserve">—</w:t>
            </w:r>
          </w:p>
        </w:tc>
        <w:tc>
          <w:tcPr>
            <w:tcW w:w="1001" w:type="dxa"/>
          </w:tcPr>
          <w:tcPr/>
          <w:p>
            <w:pPr>
              <w:pStyle w:val="Compact"/>
              <w:jc w:val="left"/>
            </w:pPr>
            <w:r>
              <w:t xml:space="preserve">[?]</w:t>
            </w:r>
          </w:p>
        </w:tc>
        <w:tc>
          <w:tcPr>
            <w:tcW w:w="825" w:type="dxa"/>
          </w:tcPr>
          <w:tcPr/>
          <w:p>
            <w:pPr>
              <w:pStyle w:val="Compact"/>
              <w:jc w:val="left"/>
            </w:pPr>
            <w:r>
              <w:t xml:space="preserve">pacte</w:t>
            </w:r>
          </w:p>
        </w:tc>
      </w:tr>
    </w:tbl>
    <w:bookmarkEnd w:id="47"/>
    <w:bookmarkStart w:id="48" w:name="écart-pacte-réalité"/>
    <w:p>
      <w:pPr>
        <w:pStyle w:val="Heading3"/>
      </w:pPr>
      <w:r>
        <w:t xml:space="preserve">5. Écart pacte ↔ réalité</w:t>
      </w:r>
    </w:p>
    <w:p>
      <w:pPr>
        <w:numPr>
          <w:ilvl w:val="0"/>
          <w:numId w:val="1020"/>
        </w:numPr>
        <w:pStyle w:val="Compact"/>
      </w:pPr>
      <w:r>
        <w:rPr>
          <w:bCs/>
          <w:b/>
        </w:rPr>
        <w:t xml:space="preserve">Clients</w:t>
      </w:r>
      <w:r>
        <w:t xml:space="preserve"> </w:t>
      </w:r>
      <w:r>
        <w:t xml:space="preserve">: le pacte cite 285 000 compteurs prépayés ; le PAD BM (2024) donne ≈ 170 000 clients au total [1] — chiffres non réconciliés (croissance très rapide ou définition différente).</w:t>
      </w:r>
    </w:p>
    <w:p>
      <w:pPr>
        <w:numPr>
          <w:ilvl w:val="0"/>
          <w:numId w:val="1020"/>
        </w:numPr>
        <w:pStyle w:val="Compact"/>
      </w:pPr>
      <w:r>
        <w:rPr>
          <w:bCs/>
          <w:b/>
        </w:rPr>
        <w:t xml:space="preserve">Accès 2025</w:t>
      </w:r>
      <w:r>
        <w:t xml:space="preserve"> </w:t>
      </w:r>
      <w:r>
        <w:t xml:space="preserve">: le rapport d’avancement du pacte revendique ≈ 900 000 personnes ayant obtenu l’accès en 2025 ; le principal projet réseau (ASCENT, cible 1,2 M de personnes) n’a</w:t>
      </w:r>
      <w:r>
        <w:t xml:space="preserve"> </w:t>
      </w:r>
      <w:r>
        <w:rPr>
          <w:bCs/>
          <w:b/>
        </w:rPr>
        <w:t xml:space="preserve">réalisé aucun raccordement à août 2026</w:t>
      </w:r>
      <w:r>
        <w:t xml:space="preserve"> </w:t>
      </w:r>
      <w:r>
        <w:t xml:space="preserve">[2] — l’essentiel du chiffre doit venir du hors-réseau ou d’autres projets, à vérifier.</w:t>
      </w:r>
    </w:p>
    <w:p>
      <w:pPr>
        <w:numPr>
          <w:ilvl w:val="0"/>
          <w:numId w:val="1020"/>
        </w:numPr>
        <w:pStyle w:val="Compact"/>
      </w:pPr>
      <w:r>
        <w:rPr>
          <w:bCs/>
          <w:b/>
        </w:rPr>
        <w:t xml:space="preserve">Tarifs</w:t>
      </w:r>
      <w:r>
        <w:t xml:space="preserve"> </w:t>
      </w:r>
      <w:r>
        <w:t xml:space="preserve">: le pacte vise une nouvelle structure tarifaire d’ici déc. 2026 ; la BM a calé la PBC 3 sur</w:t>
      </w:r>
      <w:r>
        <w:t xml:space="preserve"> </w:t>
      </w:r>
      <w:r>
        <w:rPr>
          <w:bCs/>
          <w:b/>
        </w:rPr>
        <w:t xml:space="preserve">déc. 2027</w:t>
      </w:r>
      <w:r>
        <w:t xml:space="preserve"> </w:t>
      </w:r>
      <w:r>
        <w:t xml:space="preserve">[2] — la BM anticipe donc un glissement d’un an.</w:t>
      </w:r>
    </w:p>
    <w:p>
      <w:pPr>
        <w:numPr>
          <w:ilvl w:val="0"/>
          <w:numId w:val="1020"/>
        </w:numPr>
        <w:pStyle w:val="Compact"/>
      </w:pPr>
      <w:r>
        <w:rPr>
          <w:bCs/>
          <w:b/>
        </w:rPr>
        <w:t xml:space="preserve">Gouvernance</w:t>
      </w:r>
      <w:r>
        <w:t xml:space="preserve"> </w:t>
      </w:r>
      <w:r>
        <w:t xml:space="preserve">: publication des comptes et recrutements promis pour 2025, en retard ; le PAD confirme l’absence de comptes publiés [1].</w:t>
      </w:r>
    </w:p>
    <w:bookmarkEnd w:id="48"/>
    <w:bookmarkStart w:id="49" w:name="diagnostic-synthétique"/>
    <w:p>
      <w:pPr>
        <w:pStyle w:val="Heading3"/>
      </w:pPr>
      <w:r>
        <w:t xml:space="preserve">6. Diagnostic synthétique</w:t>
      </w:r>
    </w:p>
    <w:p>
      <w:pPr>
        <w:numPr>
          <w:ilvl w:val="0"/>
          <w:numId w:val="1021"/>
        </w:numPr>
        <w:pStyle w:val="Compact"/>
      </w:pPr>
      <w:r>
        <w:rPr>
          <w:bCs/>
          <w:b/>
        </w:rPr>
        <w:t xml:space="preserve">Financier : faible</w:t>
      </w:r>
      <w:r>
        <w:t xml:space="preserve"> </w:t>
      </w:r>
      <w:r>
        <w:t xml:space="preserve">(recouvrement 75 %, tarifs inférieurs aux coûts incrémentaux, pertes accumulées, pas de comptes publiés).</w:t>
      </w:r>
      <w:r>
        <w:t xml:space="preserve"> </w:t>
      </w:r>
      <w:r>
        <w:rPr>
          <w:bCs/>
          <w:b/>
        </w:rPr>
        <w:t xml:space="preserve">Technique : faible</w:t>
      </w:r>
      <w:r>
        <w:t xml:space="preserve"> </w:t>
      </w:r>
      <w:r>
        <w:t xml:space="preserve">(pertes ≈ 30 %, délestages, réseau vétuste).</w:t>
      </w:r>
      <w:r>
        <w:t xml:space="preserve"> </w:t>
      </w:r>
      <w:r>
        <w:rPr>
          <w:bCs/>
          <w:b/>
        </w:rPr>
        <w:t xml:space="preserve">Gouvernance : faible</w:t>
      </w:r>
      <w:r>
        <w:t xml:space="preserve"> </w:t>
      </w:r>
      <w:r>
        <w:t xml:space="preserve">(régulateur naissant, transparence financière absente, réformes prioritaires du pacte toutes en retard).</w:t>
      </w:r>
    </w:p>
    <w:p>
      <w:pPr>
        <w:numPr>
          <w:ilvl w:val="0"/>
          <w:numId w:val="1021"/>
        </w:numPr>
        <w:pStyle w:val="Compact"/>
      </w:pPr>
      <w:r>
        <w:rPr>
          <w:bCs/>
          <w:b/>
        </w:rPr>
        <w:t xml:space="preserve">Causes racines</w:t>
      </w:r>
      <w:r>
        <w:t xml:space="preserve"> </w:t>
      </w:r>
      <w:r>
        <w:t xml:space="preserve">: (1) dépendance au thermique et pénurie de devises ; (2) pertes et recouvrement médiocres ; (3) absence de régulation tarifaire effective (structure de 2017).</w:t>
      </w:r>
    </w:p>
    <w:p>
      <w:pPr>
        <w:numPr>
          <w:ilvl w:val="0"/>
          <w:numId w:val="1021"/>
        </w:numPr>
        <w:pStyle w:val="Compact"/>
      </w:pPr>
      <w:r>
        <w:rPr>
          <w:bCs/>
          <w:b/>
        </w:rPr>
        <w:t xml:space="preserve">Phase 3</w:t>
      </w:r>
      <w:r>
        <w:t xml:space="preserve"> </w:t>
      </w:r>
      <w:r>
        <w:t xml:space="preserve">: étude tarifaire 2024 (BM), coût de service, conception du tarif social, prix de cession en gros à Weza Power.</w:t>
      </w:r>
    </w:p>
    <w:bookmarkEnd w:id="49"/>
    <w:bookmarkStart w:id="50" w:name="inconnus"/>
    <w:p>
      <w:pPr>
        <w:pStyle w:val="Heading3"/>
      </w:pPr>
      <w:r>
        <w:t xml:space="preserve">7. Inconnus</w:t>
      </w:r>
    </w:p>
    <w:p>
      <w:pPr>
        <w:numPr>
          <w:ilvl w:val="0"/>
          <w:numId w:val="1022"/>
        </w:numPr>
        <w:pStyle w:val="Compact"/>
      </w:pPr>
      <w:r>
        <w:t xml:space="preserve">Comptes de REGIDESO (CA, résultat, dette) [?].</w:t>
      </w:r>
    </w:p>
    <w:p>
      <w:pPr>
        <w:numPr>
          <w:ilvl w:val="0"/>
          <w:numId w:val="1022"/>
        </w:numPr>
        <w:pStyle w:val="Compact"/>
      </w:pPr>
      <w:r>
        <w:t xml:space="preserve">Montant actuel des arriérés de l’État [?] (60 Md BIF : source non datée).</w:t>
      </w:r>
    </w:p>
    <w:p>
      <w:pPr>
        <w:numPr>
          <w:ilvl w:val="0"/>
          <w:numId w:val="1022"/>
        </w:numPr>
        <w:pStyle w:val="Compact"/>
      </w:pPr>
      <w:r>
        <w:t xml:space="preserve">Signature du PPP Weza Power en 2026 [?].</w:t>
      </w:r>
    </w:p>
    <w:p>
      <w:pPr>
        <w:numPr>
          <w:ilvl w:val="0"/>
          <w:numId w:val="1022"/>
        </w:numPr>
        <w:pStyle w:val="Compact"/>
      </w:pPr>
      <w:r>
        <w:t xml:space="preserve">Statut des projets BAD [?].</w:t>
      </w:r>
    </w:p>
    <w:bookmarkEnd w:id="50"/>
    <w:bookmarkStart w:id="51" w:name="sources-1"/>
    <w:p>
      <w:pPr>
        <w:pStyle w:val="Heading3"/>
      </w:pPr>
      <w:r>
        <w:t xml:space="preserve">Sources</w:t>
      </w:r>
    </w:p>
    <w:p>
      <w:pPr>
        <w:pStyle w:val="FirstParagraph"/>
      </w:pPr>
      <w:r>
        <w:t xml:space="preserve">[1] Banque mondiale,</w:t>
      </w:r>
      <w:r>
        <w:t xml:space="preserve"> </w:t>
      </w:r>
      <w:r>
        <w:rPr>
          <w:iCs/>
          <w:i/>
        </w:rPr>
        <w:t xml:space="preserve">ASCENT Burundi</w:t>
      </w:r>
      <w:r>
        <w:t xml:space="preserve">, Project Appraisal Document, 04/06/2024 (P181494). https://documents.worldbank.org/curated/en/099060624162017778/text/BOSIB-d9766e92-f5c6-41aa-bb4b-519dc57d434b.txt</w:t>
      </w:r>
      <w:r>
        <w:t xml:space="preserve"> </w:t>
      </w:r>
      <w:r>
        <w:t xml:space="preserve">[2] Banque mondiale, ISR n° 5 ASCENT Burundi (P181494), 13/10/2026. https://documents.worldbank.org/curated/en/099101326034028700/text/P181494-13e2d645-57b2-42b0-b5a7-9ceba2cb259f.txt ; PID du financement additionnel, 06/12/2024.</w:t>
      </w:r>
      <w:r>
        <w:t xml:space="preserve"> </w:t>
      </w:r>
      <w:r>
        <w:t xml:space="preserve">[3] Gouvernement du Burundi,</w:t>
      </w:r>
      <w:r>
        <w:t xml:space="preserve"> </w:t>
      </w:r>
      <w:r>
        <w:rPr>
          <w:iCs/>
          <w:i/>
        </w:rPr>
        <w:t xml:space="preserve">Pacte national pour l’énergie</w:t>
      </w:r>
      <w:r>
        <w:t xml:space="preserve">, sept. 2025, et rapport d’avancement, mars 2026 (voir fiche phase 1).</w:t>
      </w:r>
      <w:r>
        <w:t xml:space="preserve"> </w:t>
      </w:r>
      <w:r>
        <w:t xml:space="preserve">[4] Banque mondiale, base de données des projets (API v3, 18/10/2026) — P181494, P508909, P133610, P181410, P508790, P164435, P516490, P510120.</w:t>
      </w:r>
      <w:r>
        <w:t xml:space="preserve"> </w:t>
      </w:r>
      <w:r>
        <w:t xml:space="preserve">[5] Iwacu, article sur la dette de l’État envers la REGIDESO (date non vérifiée). https://www.iwacu-burundi.org/englishnews/?p=4584 (vu via résultats de recherche)</w:t>
      </w:r>
      <w:r>
        <w:t xml:space="preserve"> </w:t>
      </w:r>
      <w:r>
        <w:t xml:space="preserve">[6] FMI, communiqué de fin de mission Article IV 2026, 18/05/2026 (vu via résultats de recherche). https://www.imf.org/en/news/articles/2026/05/18/pr26158-burundi-imf-staff-completes-2026-aiv-mission</w:t>
      </w:r>
    </w:p>
    <w:p>
      <w:r>
        <w:br w:type="page"/>
      </w:r>
    </w:p>
    <w:bookmarkEnd w:id="51"/>
    <w:bookmarkEnd w:id="52"/>
    <w:bookmarkStart w:id="62" w:name="diagnostic-opérateur-sbee-bénin"/>
    <w:p>
      <w:pPr>
        <w:pStyle w:val="Heading2"/>
      </w:pPr>
      <w:r>
        <w:t xml:space="preserve">Diagnostic opérateur — SBEE (Bénin)</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la fiche phase 1 : ../../phase1/fiches/BEN_benin.md (« pacte »).</w:t>
      </w:r>
    </w:p>
    <w:bookmarkStart w:id="53" w:name="identité-1"/>
    <w:p>
      <w:pPr>
        <w:pStyle w:val="Heading3"/>
      </w:pPr>
      <w:r>
        <w:t xml:space="preserve">0. Identité</w:t>
      </w:r>
    </w:p>
    <w:p>
      <w:pPr>
        <w:numPr>
          <w:ilvl w:val="0"/>
          <w:numId w:val="1023"/>
        </w:numPr>
        <w:pStyle w:val="Compact"/>
      </w:pPr>
      <w:r>
        <w:rPr>
          <w:bCs/>
          <w:b/>
        </w:rPr>
        <w:t xml:space="preserve">Organisation du secteur (dégroupé)</w:t>
      </w:r>
      <w:r>
        <w:t xml:space="preserve"> </w:t>
      </w:r>
      <w:r>
        <w:t xml:space="preserve">: SBPE pour la production et l’achat d’énergie ; CEB (société bi-nationale Bénin-Togo) pour le transport ;</w:t>
      </w:r>
      <w:r>
        <w:t xml:space="preserve"> </w:t>
      </w:r>
      <w:r>
        <w:rPr>
          <w:bCs/>
          <w:b/>
        </w:rPr>
        <w:t xml:space="preserve">SBEE</w:t>
      </w:r>
      <w:r>
        <w:t xml:space="preserve"> </w:t>
      </w:r>
      <w:r>
        <w:t xml:space="preserve">(Société béninoise d’énergie électrique) pour la distribution et la commercialisation ; CONTRELEC pour le contrôle des installations (pacte).</w:t>
      </w:r>
    </w:p>
    <w:p>
      <w:pPr>
        <w:numPr>
          <w:ilvl w:val="0"/>
          <w:numId w:val="1023"/>
        </w:numPr>
        <w:pStyle w:val="Compact"/>
      </w:pPr>
      <w:r>
        <w:rPr>
          <w:bCs/>
          <w:b/>
        </w:rPr>
        <w:t xml:space="preserve">Statut de la SBEE</w:t>
      </w:r>
      <w:r>
        <w:t xml:space="preserve"> </w:t>
      </w:r>
      <w:r>
        <w:t xml:space="preserve">: société d’État dont la gestion est</w:t>
      </w:r>
      <w:r>
        <w:t xml:space="preserve"> </w:t>
      </w:r>
      <w:r>
        <w:rPr>
          <w:bCs/>
          <w:b/>
        </w:rPr>
        <w:t xml:space="preserve">déléguée à un opérateur privé (groupe Eranove) « depuis décembre 2023 »</w:t>
      </w:r>
      <w:r>
        <w:t xml:space="preserve"> </w:t>
      </w:r>
      <w:r>
        <w:t xml:space="preserve">[1, §9.1] [V]. La presse date l’accord de PPP du 12/01/2024 [7] [S]. La mission de l’opérateur est d’« améliorer les performances techniques, opérationnelles et commerciales » [1] [V]. Durée et rémunération du contrat : [?].</w:t>
      </w:r>
    </w:p>
    <w:p>
      <w:pPr>
        <w:numPr>
          <w:ilvl w:val="0"/>
          <w:numId w:val="1023"/>
        </w:numPr>
        <w:pStyle w:val="Compact"/>
      </w:pPr>
      <w:r>
        <w:rPr>
          <w:bCs/>
          <w:b/>
        </w:rPr>
        <w:t xml:space="preserve">Tutelle</w:t>
      </w:r>
      <w:r>
        <w:t xml:space="preserve"> </w:t>
      </w:r>
      <w:r>
        <w:t xml:space="preserve">: ministère de l’Énergie, de l’Eau et des Mines [1] [V].</w:t>
      </w:r>
    </w:p>
    <w:p>
      <w:pPr>
        <w:numPr>
          <w:ilvl w:val="0"/>
          <w:numId w:val="1023"/>
        </w:numPr>
        <w:pStyle w:val="Compact"/>
      </w:pPr>
      <w:r>
        <w:rPr>
          <w:bCs/>
          <w:b/>
        </w:rPr>
        <w:t xml:space="preserve">Régulateur</w:t>
      </w:r>
      <w:r>
        <w:t xml:space="preserve"> </w:t>
      </w:r>
      <w:r>
        <w:t xml:space="preserve">: ARE. Il a adopté le</w:t>
      </w:r>
      <w:r>
        <w:t xml:space="preserve"> </w:t>
      </w:r>
      <w:r>
        <w:rPr>
          <w:bCs/>
          <w:b/>
        </w:rPr>
        <w:t xml:space="preserve">17/04/2025</w:t>
      </w:r>
      <w:r>
        <w:t xml:space="preserve"> </w:t>
      </w:r>
      <w:r>
        <w:t xml:space="preserve">un règlement tarifaire révisé : cycle de deux ans, tarifs fixés avant fin septembre et appliqués au 1er janvier, révision exceptionnelle en cas de choc, sanctions et absence de subventions croisées [2, RM 13] [V]. Il fixe à la SBEE des objectifs de pertes [1] [V].</w:t>
      </w:r>
    </w:p>
    <w:p>
      <w:pPr>
        <w:numPr>
          <w:ilvl w:val="0"/>
          <w:numId w:val="1023"/>
        </w:numPr>
        <w:pStyle w:val="Compact"/>
      </w:pPr>
      <w:r>
        <w:rPr>
          <w:bCs/>
          <w:b/>
        </w:rPr>
        <w:t xml:space="preserve">Derniers comptes</w:t>
      </w:r>
      <w:r>
        <w:t xml:space="preserve"> </w:t>
      </w:r>
      <w:r>
        <w:t xml:space="preserve">: exercice</w:t>
      </w:r>
      <w:r>
        <w:t xml:space="preserve"> </w:t>
      </w:r>
      <w:r>
        <w:rPr>
          <w:bCs/>
          <w:b/>
        </w:rPr>
        <w:t xml:space="preserve">2025 (provisoire)</w:t>
      </w:r>
      <w:r>
        <w:t xml:space="preserve">, publié dans le Rapport de développement durable 2025 de la SBEE (août 2026) [1] [V]. Le FMI a fixé un repère structurel de publication des états financiers 2022-2024 de la SONEB, de la SBEE, de la SBPE et du Port pour fin octobre 2025 [2, MEFP §21] [V]. Leur publication effective n’a pas été vérifiée : rien n’a été trouvé sur sbee.bj → [?]. Un marché d’« audit des comptes 2025 » a été ouvert en juin 2025 [8] [V].</w:t>
      </w:r>
    </w:p>
    <w:bookmarkEnd w:id="53"/>
    <w:bookmarkStart w:id="54" w:name="situation-financière-1"/>
    <w:p>
      <w:pPr>
        <w:pStyle w:val="Heading3"/>
      </w:pPr>
      <w:r>
        <w:t xml:space="preserve">1. Situation financière</w:t>
      </w:r>
    </w:p>
    <w:tbl>
      <w:tblPr>
        <w:tblStyle w:val="Table"/>
        <w:tblW w:type="dxa" w:w="14570"/>
        <w:tblLook w:firstRow="1" w:lastRow="0" w:firstColumn="0" w:lastColumn="0" w:noHBand="0" w:noVBand="0" w:val="0020"/>
        <w:jc w:val="start"/>
      </w:tblPr>
      <w:tblGrid>
        <w:gridCol w:w="3574"/>
        <w:gridCol w:w="7586"/>
        <w:gridCol w:w="1126"/>
        <w:gridCol w:w="1201"/>
        <w:gridCol w:w="1081"/>
      </w:tblGrid>
      <w:tr>
        <w:trPr>
          <w:tblHeader w:val="true"/>
        </w:trPr>
        <w:tc>
          <w:tcPr>
            <w:tcW w:w="3574" w:type="dxa"/>
          </w:tcPr>
          <w:tcPr/>
          <w:p>
            <w:pPr>
              <w:pStyle w:val="Compact"/>
              <w:jc w:val="left"/>
            </w:pPr>
            <w:r>
              <w:t xml:space="preserve">Indicateur</w:t>
            </w:r>
          </w:p>
        </w:tc>
        <w:tc>
          <w:tcPr>
            <w:tcW w:w="7586" w:type="dxa"/>
          </w:tcPr>
          <w:tcPr/>
          <w:p>
            <w:pPr>
              <w:pStyle w:val="Compact"/>
              <w:jc w:val="left"/>
            </w:pPr>
            <w:r>
              <w:t xml:space="preserve">Valeur</w:t>
            </w:r>
          </w:p>
        </w:tc>
        <w:tc>
          <w:tcPr>
            <w:tcW w:w="1126" w:type="dxa"/>
          </w:tcPr>
          <w:tcPr/>
          <w:p>
            <w:pPr>
              <w:pStyle w:val="Compact"/>
              <w:jc w:val="left"/>
            </w:pPr>
            <w:r>
              <w:t xml:space="preserve">Année</w:t>
            </w:r>
          </w:p>
        </w:tc>
        <w:tc>
          <w:tcPr>
            <w:tcW w:w="1201" w:type="dxa"/>
          </w:tcPr>
          <w:tcPr/>
          <w:p>
            <w:pPr>
              <w:pStyle w:val="Compact"/>
              <w:jc w:val="left"/>
            </w:pPr>
            <w:r>
              <w:t xml:space="preserve">Statut</w:t>
            </w:r>
          </w:p>
        </w:tc>
        <w:tc>
          <w:tcPr>
            <w:tcW w:w="1081" w:type="dxa"/>
          </w:tcPr>
          <w:tcPr/>
          <w:p>
            <w:pPr>
              <w:pStyle w:val="Compact"/>
              <w:jc w:val="left"/>
            </w:pPr>
            <w:r>
              <w:t xml:space="preserve">Source</w:t>
            </w:r>
          </w:p>
        </w:tc>
      </w:tr>
      <w:tr>
        <w:tc>
          <w:tcPr>
            <w:tcW w:w="3574" w:type="dxa"/>
          </w:tcPr>
          <w:tcPr/>
          <w:p>
            <w:pPr>
              <w:pStyle w:val="Compact"/>
              <w:jc w:val="left"/>
            </w:pPr>
            <w:r>
              <w:t xml:space="preserve">Chiffre d’affaires</w:t>
            </w:r>
          </w:p>
        </w:tc>
        <w:tc>
          <w:tcPr>
            <w:tcW w:w="7586" w:type="dxa"/>
          </w:tcPr>
          <w:tcPr/>
          <w:p>
            <w:pPr>
              <w:pStyle w:val="Compact"/>
              <w:jc w:val="left"/>
            </w:pPr>
            <w:r>
              <w:rPr>
                <w:bCs/>
                <w:b/>
              </w:rPr>
              <w:t xml:space="preserve">214,3 Md FCFA</w:t>
            </w:r>
            <w:r>
              <w:t xml:space="preserve"> </w:t>
            </w:r>
            <w:r>
              <w:t xml:space="preserve">(+4 %), dont 191,7 Md de ventes d’énergie : BT prépayé 71,0 ; MT 62,1 ; BT postpayé 58,5 ; primes fixes 19,4 ; travaux 3,3</w:t>
            </w:r>
          </w:p>
        </w:tc>
        <w:tc>
          <w:tcPr>
            <w:tcW w:w="1126" w:type="dxa"/>
          </w:tcPr>
          <w:tcPr/>
          <w:p>
            <w:pPr>
              <w:pStyle w:val="Compact"/>
              <w:jc w:val="left"/>
            </w:pPr>
            <w:r>
              <w:t xml:space="preserve">2025 (provisoire)</w:t>
            </w:r>
          </w:p>
        </w:tc>
        <w:tc>
          <w:tcPr>
            <w:tcW w:w="1201" w:type="dxa"/>
          </w:tcPr>
          <w:tcPr/>
          <w:p>
            <w:pPr>
              <w:pStyle w:val="Compact"/>
              <w:jc w:val="left"/>
            </w:pPr>
            <w:r>
              <w:t xml:space="preserve">[V]</w:t>
            </w:r>
          </w:p>
        </w:tc>
        <w:tc>
          <w:tcPr>
            <w:tcW w:w="1081" w:type="dxa"/>
          </w:tcPr>
          <w:tcPr/>
          <w:p>
            <w:pPr>
              <w:pStyle w:val="Compact"/>
              <w:jc w:val="left"/>
            </w:pPr>
            <w:r>
              <w:t xml:space="preserve">[1, p. 37-38]</w:t>
            </w:r>
          </w:p>
        </w:tc>
      </w:tr>
      <w:tr>
        <w:tc>
          <w:tcPr>
            <w:tcW w:w="3574" w:type="dxa"/>
          </w:tcPr>
          <w:tcPr/>
          <w:p>
            <w:pPr>
              <w:pStyle w:val="Compact"/>
              <w:jc w:val="left"/>
            </w:pPr>
            <w:r>
              <w:t xml:space="preserve">Résultat net / marge</w:t>
            </w:r>
          </w:p>
        </w:tc>
        <w:tc>
          <w:tcPr>
            <w:tcW w:w="7586" w:type="dxa"/>
          </w:tcPr>
          <w:tcPr/>
          <w:p>
            <w:pPr>
              <w:pStyle w:val="Compact"/>
              <w:jc w:val="left"/>
            </w:pPr>
            <w:r>
              <w:rPr>
                <w:bCs/>
                <w:b/>
              </w:rPr>
              <w:t xml:space="preserve">13,9 Md FCFA</w:t>
            </w:r>
            <w:r>
              <w:t xml:space="preserve"> </w:t>
            </w:r>
            <w:r>
              <w:t xml:space="preserve">(marge de 6,5 % [E]), en baisse de 19 % sur 2024 (environ 17 Md en 2024 [E]) mais 36 % au-dessus de la cible (10,2 Md). L’écart s’explique en partie par 18,8 Md de dépenses budgétées non exécutées</w:t>
            </w:r>
          </w:p>
        </w:tc>
        <w:tc>
          <w:tcPr>
            <w:tcW w:w="1126" w:type="dxa"/>
          </w:tcPr>
          <w:tcPr/>
          <w:p>
            <w:pPr>
              <w:pStyle w:val="Compact"/>
              <w:jc w:val="left"/>
            </w:pPr>
            <w:r>
              <w:t xml:space="preserve">2025</w:t>
            </w:r>
          </w:p>
        </w:tc>
        <w:tc>
          <w:tcPr>
            <w:tcW w:w="1201" w:type="dxa"/>
          </w:tcPr>
          <w:tcPr/>
          <w:p>
            <w:pPr>
              <w:pStyle w:val="Compact"/>
              <w:jc w:val="left"/>
            </w:pPr>
            <w:r>
              <w:t xml:space="preserve">[V]</w:t>
            </w:r>
          </w:p>
        </w:tc>
        <w:tc>
          <w:tcPr>
            <w:tcW w:w="1081" w:type="dxa"/>
          </w:tcPr>
          <w:tcPr/>
          <w:p>
            <w:pPr>
              <w:pStyle w:val="Compact"/>
              <w:jc w:val="left"/>
            </w:pPr>
            <w:r>
              <w:t xml:space="preserve">[1]</w:t>
            </w:r>
          </w:p>
        </w:tc>
      </w:tr>
      <w:tr>
        <w:tc>
          <w:tcPr>
            <w:tcW w:w="3574" w:type="dxa"/>
          </w:tcPr>
          <w:tcPr/>
          <w:p>
            <w:pPr>
              <w:pStyle w:val="Compact"/>
              <w:jc w:val="left"/>
            </w:pPr>
            <w:r>
              <w:t xml:space="preserve">Résultat brut avant impôt</w:t>
            </w:r>
          </w:p>
        </w:tc>
        <w:tc>
          <w:tcPr>
            <w:tcW w:w="7586" w:type="dxa"/>
          </w:tcPr>
          <w:tcPr/>
          <w:p>
            <w:pPr>
              <w:pStyle w:val="Compact"/>
              <w:jc w:val="left"/>
            </w:pPr>
            <w:r>
              <w:t xml:space="preserve">19,9 Md FCFA ; impôt de 6,0 Md</w:t>
            </w:r>
          </w:p>
        </w:tc>
        <w:tc>
          <w:tcPr>
            <w:tcW w:w="1126" w:type="dxa"/>
          </w:tcPr>
          <w:tcPr/>
          <w:p>
            <w:pPr>
              <w:pStyle w:val="Compact"/>
              <w:jc w:val="left"/>
            </w:pPr>
            <w:r>
              <w:t xml:space="preserve">2025</w:t>
            </w:r>
          </w:p>
        </w:tc>
        <w:tc>
          <w:tcPr>
            <w:tcW w:w="1201" w:type="dxa"/>
          </w:tcPr>
          <w:tcPr/>
          <w:p>
            <w:pPr>
              <w:pStyle w:val="Compact"/>
              <w:jc w:val="left"/>
            </w:pPr>
            <w:r>
              <w:t xml:space="preserve">[V]</w:t>
            </w:r>
          </w:p>
        </w:tc>
        <w:tc>
          <w:tcPr>
            <w:tcW w:w="1081" w:type="dxa"/>
          </w:tcPr>
          <w:tcPr/>
          <w:p>
            <w:pPr>
              <w:pStyle w:val="Compact"/>
              <w:jc w:val="left"/>
            </w:pPr>
            <w:r>
              <w:t xml:space="preserve">[1]</w:t>
            </w:r>
          </w:p>
        </w:tc>
      </w:tr>
      <w:tr>
        <w:tc>
          <w:tcPr>
            <w:tcW w:w="3574" w:type="dxa"/>
          </w:tcPr>
          <w:tcPr/>
          <w:p>
            <w:pPr>
              <w:pStyle w:val="Compact"/>
              <w:jc w:val="left"/>
            </w:pPr>
            <w:r>
              <w:t xml:space="preserve">Charges</w:t>
            </w:r>
          </w:p>
        </w:tc>
        <w:tc>
          <w:tcPr>
            <w:tcW w:w="7586" w:type="dxa"/>
          </w:tcPr>
          <w:tcPr/>
          <w:p>
            <w:pPr>
              <w:pStyle w:val="Compact"/>
              <w:jc w:val="left"/>
            </w:pPr>
            <w:r>
              <w:t xml:space="preserve">194,4 Md FCFA : achats d’énergie 128,9 (66 %, +7 %) ; transport CEB 19,7 ; autres charges nettes 45,9 (+8 %, dont avantages en nature et primes)</w:t>
            </w:r>
          </w:p>
        </w:tc>
        <w:tc>
          <w:tcPr>
            <w:tcW w:w="1126" w:type="dxa"/>
          </w:tcPr>
          <w:tcPr/>
          <w:p>
            <w:pPr>
              <w:pStyle w:val="Compact"/>
              <w:jc w:val="left"/>
            </w:pPr>
            <w:r>
              <w:t xml:space="preserve">2025</w:t>
            </w:r>
          </w:p>
        </w:tc>
        <w:tc>
          <w:tcPr>
            <w:tcW w:w="1201" w:type="dxa"/>
          </w:tcPr>
          <w:tcPr/>
          <w:p>
            <w:pPr>
              <w:pStyle w:val="Compact"/>
              <w:jc w:val="left"/>
            </w:pPr>
            <w:r>
              <w:t xml:space="preserve">[V]</w:t>
            </w:r>
          </w:p>
        </w:tc>
        <w:tc>
          <w:tcPr>
            <w:tcW w:w="1081" w:type="dxa"/>
          </w:tcPr>
          <w:tcPr/>
          <w:p>
            <w:pPr>
              <w:pStyle w:val="Compact"/>
              <w:jc w:val="left"/>
            </w:pPr>
            <w:r>
              <w:t xml:space="preserve">[1]</w:t>
            </w:r>
          </w:p>
        </w:tc>
      </w:tr>
      <w:tr>
        <w:tc>
          <w:tcPr>
            <w:tcW w:w="3574" w:type="dxa"/>
          </w:tcPr>
          <w:tcPr/>
          <w:p>
            <w:pPr>
              <w:pStyle w:val="Compact"/>
              <w:jc w:val="left"/>
            </w:pPr>
            <w:r>
              <w:t xml:space="preserve">Dette ; dette fournisseurs (SBPE/CEB)</w:t>
            </w:r>
          </w:p>
        </w:tc>
        <w:tc>
          <w:tcPr>
            <w:tcW w:w="7586" w:type="dxa"/>
          </w:tcPr>
          <w:tcPr/>
          <w:p>
            <w:pPr>
              <w:pStyle w:val="Compact"/>
              <w:jc w:val="left"/>
            </w:pPr>
            <w:r>
              <w:t xml:space="preserve">[?] non publiée</w:t>
            </w:r>
          </w:p>
        </w:tc>
        <w:tc>
          <w:tcPr>
            <w:tcW w:w="1126" w:type="dxa"/>
          </w:tcPr>
          <w:tcPr/>
          <w:p>
            <w:pPr>
              <w:pStyle w:val="Compact"/>
              <w:jc w:val="left"/>
            </w:pPr>
            <w:r>
              <w:t xml:space="preserve">—</w:t>
            </w:r>
          </w:p>
        </w:tc>
        <w:tc>
          <w:tcPr>
            <w:tcW w:w="1201" w:type="dxa"/>
          </w:tcPr>
          <w:tcPr/>
          <w:p>
            <w:pPr>
              <w:pStyle w:val="Compact"/>
              <w:jc w:val="left"/>
            </w:pPr>
            <w:r>
              <w:t xml:space="preserve">[?]</w:t>
            </w:r>
          </w:p>
        </w:tc>
        <w:tc>
          <w:tcPr>
            <w:tcW w:w="1081" w:type="dxa"/>
          </w:tcPr>
          <w:tcPr/>
          <w:p>
            <w:pPr>
              <w:pStyle w:val="Compact"/>
              <w:jc w:val="left"/>
            </w:pPr>
            <w:r>
              <w:t xml:space="preserve">—</w:t>
            </w:r>
          </w:p>
        </w:tc>
      </w:tr>
      <w:tr>
        <w:tc>
          <w:tcPr>
            <w:tcW w:w="3574" w:type="dxa"/>
          </w:tcPr>
          <w:tcPr/>
          <w:p>
            <w:pPr>
              <w:pStyle w:val="Compact"/>
              <w:jc w:val="left"/>
            </w:pPr>
            <w:r>
              <w:t xml:space="preserve">Arriérés de l’État</w:t>
            </w:r>
          </w:p>
        </w:tc>
        <w:tc>
          <w:tcPr>
            <w:tcW w:w="7586" w:type="dxa"/>
          </w:tcPr>
          <w:tcPr/>
          <w:p>
            <w:pPr>
              <w:pStyle w:val="Compact"/>
              <w:jc w:val="left"/>
            </w:pPr>
            <w:r>
              <w:t xml:space="preserve">[?] non trouvés</w:t>
            </w:r>
          </w:p>
        </w:tc>
        <w:tc>
          <w:tcPr>
            <w:tcW w:w="1126" w:type="dxa"/>
          </w:tcPr>
          <w:tcPr/>
          <w:p>
            <w:pPr>
              <w:pStyle w:val="Compact"/>
              <w:jc w:val="left"/>
            </w:pPr>
            <w:r>
              <w:t xml:space="preserve">—</w:t>
            </w:r>
          </w:p>
        </w:tc>
        <w:tc>
          <w:tcPr>
            <w:tcW w:w="1201" w:type="dxa"/>
          </w:tcPr>
          <w:tcPr/>
          <w:p>
            <w:pPr>
              <w:pStyle w:val="Compact"/>
              <w:jc w:val="left"/>
            </w:pPr>
            <w:r>
              <w:t xml:space="preserve">[?]</w:t>
            </w:r>
          </w:p>
        </w:tc>
        <w:tc>
          <w:tcPr>
            <w:tcW w:w="1081" w:type="dxa"/>
          </w:tcPr>
          <w:tcPr/>
          <w:p>
            <w:pPr>
              <w:pStyle w:val="Compact"/>
              <w:jc w:val="left"/>
            </w:pPr>
            <w:r>
              <w:t xml:space="preserve">—</w:t>
            </w:r>
          </w:p>
        </w:tc>
      </w:tr>
      <w:tr>
        <w:tc>
          <w:tcPr>
            <w:tcW w:w="3574" w:type="dxa"/>
          </w:tcPr>
          <w:tcPr/>
          <w:p>
            <w:pPr>
              <w:pStyle w:val="Compact"/>
              <w:jc w:val="left"/>
            </w:pPr>
            <w:r>
              <w:t xml:space="preserve">Transferts / subventions</w:t>
            </w:r>
          </w:p>
        </w:tc>
        <w:tc>
          <w:tcPr>
            <w:tcW w:w="7586" w:type="dxa"/>
          </w:tcPr>
          <w:tcPr/>
          <w:p>
            <w:pPr>
              <w:pStyle w:val="Compact"/>
              <w:jc w:val="left"/>
            </w:pPr>
            <w:r>
              <w:t xml:space="preserve">selon le FMI, le règlement de 2025 « ensures the absence of subsidies in the electricity sector going forward ». Mesure RSF : réforme tarifaire « to fully remove electricity subsidies », première phase en 2025</w:t>
            </w:r>
          </w:p>
        </w:tc>
        <w:tc>
          <w:tcPr>
            <w:tcW w:w="1126" w:type="dxa"/>
          </w:tcPr>
          <w:tcPr/>
          <w:p>
            <w:pPr>
              <w:pStyle w:val="Compact"/>
              <w:jc w:val="left"/>
            </w:pPr>
            <w:r>
              <w:t xml:space="preserve">2025</w:t>
            </w:r>
          </w:p>
        </w:tc>
        <w:tc>
          <w:tcPr>
            <w:tcW w:w="1201" w:type="dxa"/>
          </w:tcPr>
          <w:tcPr/>
          <w:p>
            <w:pPr>
              <w:pStyle w:val="Compact"/>
              <w:jc w:val="left"/>
            </w:pPr>
            <w:r>
              <w:t xml:space="preserve">[V]</w:t>
            </w:r>
          </w:p>
        </w:tc>
        <w:tc>
          <w:tcPr>
            <w:tcW w:w="1081" w:type="dxa"/>
          </w:tcPr>
          <w:tcPr/>
          <w:p>
            <w:pPr>
              <w:pStyle w:val="Compact"/>
              <w:jc w:val="left"/>
            </w:pPr>
            <w:r>
              <w:t xml:space="preserve">[2]</w:t>
            </w:r>
          </w:p>
        </w:tc>
      </w:tr>
      <w:tr>
        <w:tc>
          <w:tcPr>
            <w:tcW w:w="3574" w:type="dxa"/>
          </w:tcPr>
          <w:tcPr/>
          <w:p>
            <w:pPr>
              <w:pStyle w:val="Compact"/>
              <w:jc w:val="left"/>
            </w:pPr>
            <w:r>
              <w:t xml:space="preserve">Taux de recouvrement</w:t>
            </w:r>
          </w:p>
        </w:tc>
        <w:tc>
          <w:tcPr>
            <w:tcW w:w="7586" w:type="dxa"/>
          </w:tcPr>
          <w:tcPr/>
          <w:p>
            <w:pPr>
              <w:pStyle w:val="Compact"/>
              <w:jc w:val="left"/>
            </w:pPr>
            <w:r>
              <w:t xml:space="preserve">[?] non publié. Le pacte vise au moins 95 % dans les zones digitalisées</w:t>
            </w:r>
          </w:p>
        </w:tc>
        <w:tc>
          <w:tcPr>
            <w:tcW w:w="1126" w:type="dxa"/>
          </w:tcPr>
          <w:tcPr/>
          <w:p>
            <w:pPr>
              <w:pStyle w:val="Compact"/>
              <w:jc w:val="left"/>
            </w:pPr>
            <w:r>
              <w:t xml:space="preserve">—</w:t>
            </w:r>
          </w:p>
        </w:tc>
        <w:tc>
          <w:tcPr>
            <w:tcW w:w="1201" w:type="dxa"/>
          </w:tcPr>
          <w:tcPr/>
          <w:p>
            <w:pPr>
              <w:pStyle w:val="Compact"/>
              <w:jc w:val="left"/>
            </w:pPr>
            <w:r>
              <w:t xml:space="preserve">[?]</w:t>
            </w:r>
          </w:p>
        </w:tc>
        <w:tc>
          <w:tcPr>
            <w:tcW w:w="1081" w:type="dxa"/>
          </w:tcPr>
          <w:tcPr/>
          <w:p>
            <w:pPr>
              <w:pStyle w:val="Compact"/>
              <w:jc w:val="left"/>
            </w:pPr>
            <w:r>
              <w:t xml:space="preserve">pacte</w:t>
            </w:r>
          </w:p>
        </w:tc>
      </w:tr>
      <w:tr>
        <w:tc>
          <w:tcPr>
            <w:tcW w:w="3574" w:type="dxa"/>
          </w:tcPr>
          <w:tcPr/>
          <w:p>
            <w:pPr>
              <w:pStyle w:val="Compact"/>
              <w:jc w:val="left"/>
            </w:pPr>
            <w:r>
              <w:t xml:space="preserve">Recette moyenne par kWh</w:t>
            </w:r>
          </w:p>
        </w:tc>
        <w:tc>
          <w:tcPr>
            <w:tcW w:w="7586" w:type="dxa"/>
          </w:tcPr>
          <w:tcPr/>
          <w:p>
            <w:pPr>
              <w:pStyle w:val="Compact"/>
              <w:jc w:val="left"/>
            </w:pPr>
            <w:r>
              <w:t xml:space="preserve">[?]. Le volume de kWh vendus n’est pas publié dans le rapport consulté. Tarif social maintenu à 88 FCFA/kWh</w:t>
            </w:r>
          </w:p>
        </w:tc>
        <w:tc>
          <w:tcPr>
            <w:tcW w:w="1126" w:type="dxa"/>
          </w:tcPr>
          <w:tcPr/>
          <w:p>
            <w:pPr>
              <w:pStyle w:val="Compact"/>
              <w:jc w:val="left"/>
            </w:pPr>
            <w:r>
              <w:t xml:space="preserve">2025</w:t>
            </w:r>
          </w:p>
        </w:tc>
        <w:tc>
          <w:tcPr>
            <w:tcW w:w="1201" w:type="dxa"/>
          </w:tcPr>
          <w:tcPr/>
          <w:p>
            <w:pPr>
              <w:pStyle w:val="Compact"/>
              <w:jc w:val="left"/>
            </w:pPr>
            <w:r>
              <w:t xml:space="preserve">[V partiel]</w:t>
            </w:r>
          </w:p>
        </w:tc>
        <w:tc>
          <w:tcPr>
            <w:tcW w:w="1081" w:type="dxa"/>
          </w:tcPr>
          <w:tcPr/>
          <w:p>
            <w:pPr>
              <w:pStyle w:val="Compact"/>
              <w:jc w:val="left"/>
            </w:pPr>
            <w:r>
              <w:t xml:space="preserve">[1]</w:t>
            </w:r>
          </w:p>
        </w:tc>
      </w:tr>
      <w:tr>
        <w:tc>
          <w:tcPr>
            <w:tcW w:w="3574" w:type="dxa"/>
          </w:tcPr>
          <w:tcPr/>
          <w:p>
            <w:pPr>
              <w:pStyle w:val="Compact"/>
              <w:jc w:val="left"/>
            </w:pPr>
            <w:r>
              <w:t xml:space="preserve">Coût par kWh</w:t>
            </w:r>
          </w:p>
        </w:tc>
        <w:tc>
          <w:tcPr>
            <w:tcW w:w="7586" w:type="dxa"/>
          </w:tcPr>
          <w:tcPr/>
          <w:p>
            <w:pPr>
              <w:pStyle w:val="Compact"/>
              <w:jc w:val="left"/>
            </w:pPr>
            <w:r>
              <w:t xml:space="preserve">[?]</w:t>
            </w:r>
          </w:p>
        </w:tc>
        <w:tc>
          <w:tcPr>
            <w:tcW w:w="1126" w:type="dxa"/>
          </w:tcPr>
          <w:tcPr/>
          <w:p>
            <w:pPr>
              <w:pStyle w:val="Compact"/>
              <w:jc w:val="left"/>
            </w:pPr>
            <w:r>
              <w:t xml:space="preserve">—</w:t>
            </w:r>
          </w:p>
        </w:tc>
        <w:tc>
          <w:tcPr>
            <w:tcW w:w="1201" w:type="dxa"/>
          </w:tcPr>
          <w:tcPr/>
          <w:p>
            <w:pPr>
              <w:pStyle w:val="Compact"/>
              <w:jc w:val="left"/>
            </w:pPr>
            <w:r>
              <w:t xml:space="preserve">[?]</w:t>
            </w:r>
          </w:p>
        </w:tc>
        <w:tc>
          <w:tcPr>
            <w:tcW w:w="1081" w:type="dxa"/>
          </w:tcPr>
          <w:tcPr/>
          <w:p>
            <w:pPr>
              <w:pStyle w:val="Compact"/>
              <w:jc w:val="left"/>
            </w:pPr>
            <w:r>
              <w:t xml:space="preserve">—</w:t>
            </w:r>
          </w:p>
        </w:tc>
      </w:tr>
      <w:tr>
        <w:tc>
          <w:tcPr>
            <w:tcW w:w="3574" w:type="dxa"/>
          </w:tcPr>
          <w:tcPr/>
          <w:p>
            <w:pPr>
              <w:pStyle w:val="Compact"/>
              <w:jc w:val="left"/>
            </w:pPr>
            <w:r>
              <w:t xml:space="preserve">Notation</w:t>
            </w:r>
          </w:p>
        </w:tc>
        <w:tc>
          <w:tcPr>
            <w:tcW w:w="7586" w:type="dxa"/>
          </w:tcPr>
          <w:tcPr/>
          <w:p>
            <w:pPr>
              <w:pStyle w:val="Compact"/>
              <w:jc w:val="left"/>
            </w:pPr>
            <w:r>
              <w:t xml:space="preserve">[?]</w:t>
            </w:r>
          </w:p>
        </w:tc>
        <w:tc>
          <w:tcPr>
            <w:tcW w:w="1126" w:type="dxa"/>
          </w:tcPr>
          <w:tcPr/>
          <w:p>
            <w:pPr>
              <w:pStyle w:val="Compact"/>
              <w:jc w:val="left"/>
            </w:pPr>
            <w:r>
              <w:t xml:space="preserve">—</w:t>
            </w:r>
          </w:p>
        </w:tc>
        <w:tc>
          <w:tcPr>
            <w:tcW w:w="1201" w:type="dxa"/>
          </w:tcPr>
          <w:tcPr/>
          <w:p>
            <w:pPr>
              <w:pStyle w:val="Compact"/>
              <w:jc w:val="left"/>
            </w:pPr>
            <w:r>
              <w:t xml:space="preserve">[?]</w:t>
            </w:r>
          </w:p>
        </w:tc>
        <w:tc>
          <w:tcPr>
            <w:tcW w:w="1081" w:type="dxa"/>
          </w:tcPr>
          <w:tcPr/>
          <w:p>
            <w:pPr>
              <w:pStyle w:val="Compact"/>
              <w:jc w:val="left"/>
            </w:pPr>
            <w:r>
              <w:t xml:space="preserve">—</w:t>
            </w:r>
          </w:p>
        </w:tc>
      </w:tr>
    </w:tbl>
    <w:bookmarkEnd w:id="54"/>
    <w:bookmarkStart w:id="55" w:name="situation-technique-1"/>
    <w:p>
      <w:pPr>
        <w:pStyle w:val="Heading3"/>
      </w:pPr>
      <w:r>
        <w:t xml:space="preserve">2. Situation technique</w:t>
      </w:r>
    </w:p>
    <w:tbl>
      <w:tblPr>
        <w:tblStyle w:val="Table"/>
        <w:tblW w:type="dxa" w:w="14570"/>
        <w:tblLook w:firstRow="1" w:lastRow="0" w:firstColumn="0" w:lastColumn="0" w:noHBand="0" w:noVBand="0" w:val="0020"/>
        <w:jc w:val="start"/>
      </w:tblPr>
      <w:tblGrid>
        <w:gridCol w:w="2739"/>
        <w:gridCol w:w="8858"/>
        <w:gridCol w:w="1014"/>
        <w:gridCol w:w="891"/>
        <w:gridCol w:w="1066"/>
      </w:tblGrid>
      <w:tr>
        <w:trPr>
          <w:tblHeader w:val="true"/>
        </w:trPr>
        <w:tc>
          <w:tcPr>
            <w:tcW w:w="2739" w:type="dxa"/>
          </w:tcPr>
          <w:tcPr/>
          <w:p>
            <w:pPr>
              <w:pStyle w:val="Compact"/>
              <w:jc w:val="left"/>
            </w:pPr>
            <w:r>
              <w:t xml:space="preserve">Indicateur</w:t>
            </w:r>
          </w:p>
        </w:tc>
        <w:tc>
          <w:tcPr>
            <w:tcW w:w="8858" w:type="dxa"/>
          </w:tcPr>
          <w:tcPr/>
          <w:p>
            <w:pPr>
              <w:pStyle w:val="Compact"/>
              <w:jc w:val="left"/>
            </w:pPr>
            <w:r>
              <w:t xml:space="preserve">Valeur</w:t>
            </w:r>
          </w:p>
        </w:tc>
        <w:tc>
          <w:tcPr>
            <w:tcW w:w="1014" w:type="dxa"/>
          </w:tcPr>
          <w:tcPr/>
          <w:p>
            <w:pPr>
              <w:pStyle w:val="Compact"/>
              <w:jc w:val="left"/>
            </w:pPr>
            <w:r>
              <w:t xml:space="preserve">Année</w:t>
            </w:r>
          </w:p>
        </w:tc>
        <w:tc>
          <w:tcPr>
            <w:tcW w:w="891" w:type="dxa"/>
          </w:tcPr>
          <w:tcPr/>
          <w:p>
            <w:pPr>
              <w:pStyle w:val="Compact"/>
              <w:jc w:val="left"/>
            </w:pPr>
            <w:r>
              <w:t xml:space="preserve">Statut</w:t>
            </w:r>
          </w:p>
        </w:tc>
        <w:tc>
          <w:tcPr>
            <w:tcW w:w="1066" w:type="dxa"/>
          </w:tcPr>
          <w:tcPr/>
          <w:p>
            <w:pPr>
              <w:pStyle w:val="Compact"/>
              <w:jc w:val="left"/>
            </w:pPr>
            <w:r>
              <w:t xml:space="preserve">Source</w:t>
            </w:r>
          </w:p>
        </w:tc>
      </w:tr>
      <w:tr>
        <w:tc>
          <w:tcPr>
            <w:tcW w:w="2739" w:type="dxa"/>
          </w:tcPr>
          <w:tcPr/>
          <w:p>
            <w:pPr>
              <w:pStyle w:val="Compact"/>
              <w:jc w:val="left"/>
            </w:pPr>
            <w:r>
              <w:rPr>
                <w:bCs/>
                <w:b/>
              </w:rPr>
              <w:t xml:space="preserve">Pertes globales (distribution)</w:t>
            </w:r>
          </w:p>
        </w:tc>
        <w:tc>
          <w:tcPr>
            <w:tcW w:w="8858" w:type="dxa"/>
          </w:tcPr>
          <w:tcPr/>
          <w:p>
            <w:pPr>
              <w:pStyle w:val="Compact"/>
              <w:jc w:val="left"/>
            </w:pPr>
            <w:r>
              <w:rPr>
                <w:bCs/>
                <w:b/>
              </w:rPr>
              <w:t xml:space="preserve">19,51 % en 2025</w:t>
            </w:r>
            <w:r>
              <w:t xml:space="preserve"> </w:t>
            </w:r>
            <w:r>
              <w:t xml:space="preserve">(25,22 % en 2024), sous l’objectif ARE de 20 %. Objectif ARE pour 2026-2027 : 19 %</w:t>
            </w:r>
          </w:p>
        </w:tc>
        <w:tc>
          <w:tcPr>
            <w:tcW w:w="1014" w:type="dxa"/>
          </w:tcPr>
          <w:tcPr/>
          <w:p>
            <w:pPr>
              <w:pStyle w:val="Compact"/>
              <w:jc w:val="left"/>
            </w:pPr>
            <w:r>
              <w:t xml:space="preserve">2024-25</w:t>
            </w:r>
          </w:p>
        </w:tc>
        <w:tc>
          <w:tcPr>
            <w:tcW w:w="891" w:type="dxa"/>
          </w:tcPr>
          <w:tcPr/>
          <w:p>
            <w:pPr>
              <w:pStyle w:val="Compact"/>
              <w:jc w:val="left"/>
            </w:pPr>
            <w:r>
              <w:t xml:space="preserve">[V]</w:t>
            </w:r>
          </w:p>
        </w:tc>
        <w:tc>
          <w:tcPr>
            <w:tcW w:w="1066" w:type="dxa"/>
          </w:tcPr>
          <w:tcPr/>
          <w:p>
            <w:pPr>
              <w:pStyle w:val="Compact"/>
              <w:jc w:val="left"/>
            </w:pPr>
            <w:r>
              <w:t xml:space="preserve">[1, p. 16 et 34]</w:t>
            </w:r>
          </w:p>
        </w:tc>
      </w:tr>
      <w:tr>
        <w:tc>
          <w:tcPr>
            <w:tcW w:w="2739" w:type="dxa"/>
          </w:tcPr>
          <w:tcPr/>
          <w:p>
            <w:pPr>
              <w:pStyle w:val="Compact"/>
              <w:jc w:val="left"/>
            </w:pPr>
            <w:r>
              <w:t xml:space="preserve">Rendement du réseau</w:t>
            </w:r>
          </w:p>
        </w:tc>
        <w:tc>
          <w:tcPr>
            <w:tcW w:w="8858" w:type="dxa"/>
          </w:tcPr>
          <w:tcPr/>
          <w:p>
            <w:pPr>
              <w:pStyle w:val="Compact"/>
              <w:jc w:val="left"/>
            </w:pPr>
            <w:r>
              <w:t xml:space="preserve">80,49 % fin 2025 (cible de 80 %), contre 75,70 % sur 12 mois glissants à janvier 2025</w:t>
            </w:r>
          </w:p>
        </w:tc>
        <w:tc>
          <w:tcPr>
            <w:tcW w:w="1014" w:type="dxa"/>
          </w:tcPr>
          <w:tcPr/>
          <w:p>
            <w:pPr>
              <w:pStyle w:val="Compact"/>
              <w:jc w:val="left"/>
            </w:pPr>
            <w:r>
              <w:t xml:space="preserve">2025</w:t>
            </w:r>
          </w:p>
        </w:tc>
        <w:tc>
          <w:tcPr>
            <w:tcW w:w="891" w:type="dxa"/>
          </w:tcPr>
          <w:tcPr/>
          <w:p>
            <w:pPr>
              <w:pStyle w:val="Compact"/>
              <w:jc w:val="left"/>
            </w:pPr>
            <w:r>
              <w:t xml:space="preserve">[V]</w:t>
            </w:r>
          </w:p>
        </w:tc>
        <w:tc>
          <w:tcPr>
            <w:tcW w:w="1066" w:type="dxa"/>
          </w:tcPr>
          <w:tcPr/>
          <w:p>
            <w:pPr>
              <w:pStyle w:val="Compact"/>
              <w:jc w:val="left"/>
            </w:pPr>
            <w:r>
              <w:t xml:space="preserve">[1]</w:t>
            </w:r>
          </w:p>
        </w:tc>
      </w:tr>
      <w:tr>
        <w:tc>
          <w:tcPr>
            <w:tcW w:w="2739" w:type="dxa"/>
          </w:tcPr>
          <w:tcPr/>
          <w:p>
            <w:pPr>
              <w:pStyle w:val="Compact"/>
              <w:jc w:val="left"/>
            </w:pPr>
            <w:r>
              <w:t xml:space="preserve">Lutte contre la fraude</w:t>
            </w:r>
          </w:p>
        </w:tc>
        <w:tc>
          <w:tcPr>
            <w:tcW w:w="8858" w:type="dxa"/>
          </w:tcPr>
          <w:tcPr/>
          <w:p>
            <w:pPr>
              <w:pStyle w:val="Compact"/>
              <w:jc w:val="left"/>
            </w:pPr>
            <w:r>
              <w:t xml:space="preserve">12 agents de détection ; préjudice de plus de 600 M FCFA sur 4 ans pour une seule fraude documentée ; compteurs de mesure posés sur 92 des 98 arrivées HTA</w:t>
            </w:r>
          </w:p>
        </w:tc>
        <w:tc>
          <w:tcPr>
            <w:tcW w:w="1014" w:type="dxa"/>
          </w:tcPr>
          <w:tcPr/>
          <w:p>
            <w:pPr>
              <w:pStyle w:val="Compact"/>
              <w:jc w:val="left"/>
            </w:pPr>
            <w:r>
              <w:t xml:space="preserve">2025</w:t>
            </w:r>
          </w:p>
        </w:tc>
        <w:tc>
          <w:tcPr>
            <w:tcW w:w="891" w:type="dxa"/>
          </w:tcPr>
          <w:tcPr/>
          <w:p>
            <w:pPr>
              <w:pStyle w:val="Compact"/>
              <w:jc w:val="left"/>
            </w:pPr>
            <w:r>
              <w:t xml:space="preserve">[V]</w:t>
            </w:r>
          </w:p>
        </w:tc>
        <w:tc>
          <w:tcPr>
            <w:tcW w:w="1066" w:type="dxa"/>
          </w:tcPr>
          <w:tcPr/>
          <w:p>
            <w:pPr>
              <w:pStyle w:val="Compact"/>
              <w:jc w:val="left"/>
            </w:pPr>
            <w:r>
              <w:t xml:space="preserve">[1]</w:t>
            </w:r>
          </w:p>
        </w:tc>
      </w:tr>
      <w:tr>
        <w:tc>
          <w:tcPr>
            <w:tcW w:w="2739" w:type="dxa"/>
          </w:tcPr>
          <w:tcPr/>
          <w:p>
            <w:pPr>
              <w:pStyle w:val="Compact"/>
              <w:jc w:val="left"/>
            </w:pPr>
            <w:r>
              <w:t xml:space="preserve">Clients</w:t>
            </w:r>
          </w:p>
        </w:tc>
        <w:tc>
          <w:tcPr>
            <w:tcW w:w="8858" w:type="dxa"/>
          </w:tcPr>
          <w:tcPr/>
          <w:p>
            <w:pPr>
              <w:pStyle w:val="Compact"/>
              <w:jc w:val="left"/>
            </w:pPr>
            <w:r>
              <w:t xml:space="preserve">plus de 980 000 clients (+71 066 en 2025). Le pacte donne 913 685 abonnés BT en 2024</w:t>
            </w:r>
          </w:p>
        </w:tc>
        <w:tc>
          <w:tcPr>
            <w:tcW w:w="1014" w:type="dxa"/>
          </w:tcPr>
          <w:tcPr/>
          <w:p>
            <w:pPr>
              <w:pStyle w:val="Compact"/>
              <w:jc w:val="left"/>
            </w:pPr>
            <w:r>
              <w:t xml:space="preserve">2025</w:t>
            </w:r>
          </w:p>
        </w:tc>
        <w:tc>
          <w:tcPr>
            <w:tcW w:w="891" w:type="dxa"/>
          </w:tcPr>
          <w:tcPr/>
          <w:p>
            <w:pPr>
              <w:pStyle w:val="Compact"/>
              <w:jc w:val="left"/>
            </w:pPr>
            <w:r>
              <w:t xml:space="preserve">[V]</w:t>
            </w:r>
          </w:p>
        </w:tc>
        <w:tc>
          <w:tcPr>
            <w:tcW w:w="1066" w:type="dxa"/>
          </w:tcPr>
          <w:tcPr/>
          <w:p>
            <w:pPr>
              <w:pStyle w:val="Compact"/>
              <w:jc w:val="left"/>
            </w:pPr>
            <w:r>
              <w:t xml:space="preserve">[1]</w:t>
            </w:r>
          </w:p>
        </w:tc>
      </w:tr>
      <w:tr>
        <w:tc>
          <w:tcPr>
            <w:tcW w:w="2739" w:type="dxa"/>
          </w:tcPr>
          <w:tcPr/>
          <w:p>
            <w:pPr>
              <w:pStyle w:val="Compact"/>
              <w:jc w:val="left"/>
            </w:pPr>
            <w:r>
              <w:t xml:space="preserve">Prépaiement</w:t>
            </w:r>
          </w:p>
        </w:tc>
        <w:tc>
          <w:tcPr>
            <w:tcW w:w="8858" w:type="dxa"/>
          </w:tcPr>
          <w:tcPr/>
          <w:p>
            <w:pPr>
              <w:pStyle w:val="Compact"/>
              <w:jc w:val="left"/>
            </w:pPr>
            <w:r>
              <w:t xml:space="preserve">le BT prépayé représente 33 % du CA, soit le premier poste de recettes [1]. Prépaiement exclusif pour les nouveaux abonnés (pacte)</w:t>
            </w:r>
          </w:p>
        </w:tc>
        <w:tc>
          <w:tcPr>
            <w:tcW w:w="1014" w:type="dxa"/>
          </w:tcPr>
          <w:tcPr/>
          <w:p>
            <w:pPr>
              <w:pStyle w:val="Compact"/>
              <w:jc w:val="left"/>
            </w:pPr>
            <w:r>
              <w:t xml:space="preserve">2025</w:t>
            </w:r>
          </w:p>
        </w:tc>
        <w:tc>
          <w:tcPr>
            <w:tcW w:w="891" w:type="dxa"/>
          </w:tcPr>
          <w:tcPr/>
          <w:p>
            <w:pPr>
              <w:pStyle w:val="Compact"/>
              <w:jc w:val="left"/>
            </w:pPr>
            <w:r>
              <w:t xml:space="preserve">[V]</w:t>
            </w:r>
          </w:p>
        </w:tc>
        <w:tc>
          <w:tcPr>
            <w:tcW w:w="1066" w:type="dxa"/>
          </w:tcPr>
          <w:tcPr/>
          <w:p>
            <w:pPr>
              <w:pStyle w:val="Compact"/>
              <w:jc w:val="left"/>
            </w:pPr>
            <w:r>
              <w:t xml:space="preserve">[1]</w:t>
            </w:r>
          </w:p>
        </w:tc>
      </w:tr>
      <w:tr>
        <w:tc>
          <w:tcPr>
            <w:tcW w:w="2739" w:type="dxa"/>
          </w:tcPr>
          <w:tcPr/>
          <w:p>
            <w:pPr>
              <w:pStyle w:val="Compact"/>
              <w:jc w:val="left"/>
            </w:pPr>
            <w:r>
              <w:t xml:space="preserve">SAIDI / SAIFI</w:t>
            </w:r>
          </w:p>
        </w:tc>
        <w:tc>
          <w:tcPr>
            <w:tcW w:w="8858" w:type="dxa"/>
          </w:tcPr>
          <w:tcPr/>
          <w:p>
            <w:pPr>
              <w:pStyle w:val="Compact"/>
              <w:jc w:val="left"/>
            </w:pPr>
            <w:r>
              <w:t xml:space="preserve">définis dans le glossaire du rapport mais valeurs non relevées [?] ; le pacte donne un temps moyen de coupure de 0 h 41 en 2023</w:t>
            </w:r>
          </w:p>
        </w:tc>
        <w:tc>
          <w:tcPr>
            <w:tcW w:w="1014" w:type="dxa"/>
          </w:tcPr>
          <w:tcPr/>
          <w:p>
            <w:pPr>
              <w:pStyle w:val="Compact"/>
              <w:jc w:val="left"/>
            </w:pPr>
            <w:r>
              <w:t xml:space="preserve">—</w:t>
            </w:r>
          </w:p>
        </w:tc>
        <w:tc>
          <w:tcPr>
            <w:tcW w:w="891" w:type="dxa"/>
          </w:tcPr>
          <w:tcPr/>
          <w:p>
            <w:pPr>
              <w:pStyle w:val="Compact"/>
              <w:jc w:val="left"/>
            </w:pPr>
            <w:r>
              <w:t xml:space="preserve">[?]</w:t>
            </w:r>
          </w:p>
        </w:tc>
        <w:tc>
          <w:tcPr>
            <w:tcW w:w="1066" w:type="dxa"/>
          </w:tcPr>
          <w:tcPr/>
          <w:p>
            <w:pPr>
              <w:pStyle w:val="Compact"/>
              <w:jc w:val="left"/>
            </w:pPr>
            <w:r>
              <w:t xml:space="preserve">—</w:t>
            </w:r>
          </w:p>
        </w:tc>
      </w:tr>
      <w:tr>
        <w:tc>
          <w:tcPr>
            <w:tcW w:w="2739" w:type="dxa"/>
          </w:tcPr>
          <w:tcPr/>
          <w:p>
            <w:pPr>
              <w:pStyle w:val="Compact"/>
              <w:jc w:val="left"/>
            </w:pPr>
            <w:r>
              <w:t xml:space="preserve">Mix et coût de production</w:t>
            </w:r>
          </w:p>
        </w:tc>
        <w:tc>
          <w:tcPr>
            <w:tcW w:w="8858" w:type="dxa"/>
          </w:tcPr>
          <w:tcPr/>
          <w:p>
            <w:pPr>
              <w:pStyle w:val="Compact"/>
              <w:jc w:val="left"/>
            </w:pPr>
            <w:r>
              <w:t xml:space="preserve">relève de la SBPE (production propre, IPP, importations). Le coût d’achat de l’énergie augmente en 2025 [1]</w:t>
            </w:r>
          </w:p>
        </w:tc>
        <w:tc>
          <w:tcPr>
            <w:tcW w:w="1014" w:type="dxa"/>
          </w:tcPr>
          <w:tcPr/>
          <w:p>
            <w:pPr>
              <w:pStyle w:val="Compact"/>
              <w:jc w:val="left"/>
            </w:pPr>
            <w:r>
              <w:t xml:space="preserve">2025</w:t>
            </w:r>
          </w:p>
        </w:tc>
        <w:tc>
          <w:tcPr>
            <w:tcW w:w="891" w:type="dxa"/>
          </w:tcPr>
          <w:tcPr/>
          <w:p>
            <w:pPr>
              <w:pStyle w:val="Compact"/>
              <w:jc w:val="left"/>
            </w:pPr>
            <w:r>
              <w:t xml:space="preserve">[V]</w:t>
            </w:r>
          </w:p>
        </w:tc>
        <w:tc>
          <w:tcPr>
            <w:tcW w:w="1066" w:type="dxa"/>
          </w:tcPr>
          <w:tcPr/>
          <w:p>
            <w:pPr>
              <w:pStyle w:val="Compact"/>
              <w:jc w:val="left"/>
            </w:pPr>
            <w:r>
              <w:t xml:space="preserve">[1]</w:t>
            </w:r>
          </w:p>
        </w:tc>
      </w:tr>
    </w:tbl>
    <w:bookmarkEnd w:id="55"/>
    <w:bookmarkStart w:id="56" w:name="situation-économique-et-gouvernance-1"/>
    <w:p>
      <w:pPr>
        <w:pStyle w:val="Heading3"/>
      </w:pPr>
      <w:r>
        <w:t xml:space="preserve">3. Situation économique et gouvernance</w:t>
      </w:r>
    </w:p>
    <w:p>
      <w:pPr>
        <w:numPr>
          <w:ilvl w:val="0"/>
          <w:numId w:val="1024"/>
        </w:numPr>
        <w:pStyle w:val="Compact"/>
      </w:pPr>
      <w:r>
        <w:rPr>
          <w:bCs/>
          <w:b/>
        </w:rPr>
        <w:t xml:space="preserve">Achats d’énergie</w:t>
      </w:r>
      <w:r>
        <w:t xml:space="preserve"> </w:t>
      </w:r>
      <w:r>
        <w:t xml:space="preserve">: la SBEE achète à la SBPE (et paie le transit à la CEB). Les achats représentent 60 % du CA. Les PPA IPP sont portés par la SBPE : le pacte prévoit un take-or-pay dans tous les nouveaux PPA, un compte séquestre et un mécanisme FERER.</w:t>
      </w:r>
    </w:p>
    <w:p>
      <w:pPr>
        <w:numPr>
          <w:ilvl w:val="0"/>
          <w:numId w:val="1024"/>
        </w:numPr>
        <w:pStyle w:val="Compact"/>
      </w:pPr>
      <w:r>
        <w:rPr>
          <w:bCs/>
          <w:b/>
        </w:rPr>
        <w:t xml:space="preserve">Change et combustible</w:t>
      </w:r>
      <w:r>
        <w:t xml:space="preserve"> </w:t>
      </w:r>
      <w:r>
        <w:t xml:space="preserve">: exposition indirecte via le prix d’achat de la SBPE (gaz, importations du Nigéria, du Ghana et de la Côte d’Ivoire via la CEB) [?].</w:t>
      </w:r>
    </w:p>
    <w:p>
      <w:pPr>
        <w:numPr>
          <w:ilvl w:val="0"/>
          <w:numId w:val="1024"/>
        </w:numPr>
        <w:pStyle w:val="Compact"/>
      </w:pPr>
      <w:r>
        <w:rPr>
          <w:bCs/>
          <w:b/>
        </w:rPr>
        <w:t xml:space="preserve">Contrat de gestion et performance</w:t>
      </w:r>
      <w:r>
        <w:t xml:space="preserve"> </w:t>
      </w:r>
      <w:r>
        <w:t xml:space="preserve">: la SBEE est en gestion déléguée (Eranove) avec des objectifs fixés par le régulateur (pertes). Le pacte prévoit des contrats de performance annuels SBPE/SBEE/CONTRELEC d’ici le T4 2026.</w:t>
      </w:r>
    </w:p>
    <w:p>
      <w:pPr>
        <w:numPr>
          <w:ilvl w:val="0"/>
          <w:numId w:val="1024"/>
        </w:numPr>
        <w:pStyle w:val="Compact"/>
      </w:pPr>
      <w:r>
        <w:rPr>
          <w:bCs/>
          <w:b/>
        </w:rPr>
        <w:t xml:space="preserve">Tarifs</w:t>
      </w:r>
      <w:r>
        <w:t xml:space="preserve"> </w:t>
      </w:r>
      <w:r>
        <w:t xml:space="preserve">: la nouvelle méthodologie de l’ARE (avril 2025) prévoit des tarifs 2026-2027 au 01/01/2026. Selon le FMI, les études devaient être prêtes fin septembre 2025 [2] [V]. L’application effective au 01/01/2026 n’a</w:t>
      </w:r>
      <w:r>
        <w:t xml:space="preserve"> </w:t>
      </w:r>
      <w:r>
        <w:rPr>
          <w:bCs/>
          <w:b/>
        </w:rPr>
        <w:t xml:space="preserve">pas été vérifiée</w:t>
      </w:r>
      <w:r>
        <w:t xml:space="preserve"> </w:t>
      </w:r>
      <w:r>
        <w:t xml:space="preserve">[?].</w:t>
      </w:r>
    </w:p>
    <w:p>
      <w:pPr>
        <w:numPr>
          <w:ilvl w:val="0"/>
          <w:numId w:val="1024"/>
        </w:numPr>
        <w:pStyle w:val="Compact"/>
      </w:pPr>
      <w:r>
        <w:rPr>
          <w:bCs/>
          <w:b/>
        </w:rPr>
        <w:t xml:space="preserve">Gouvernance</w:t>
      </w:r>
      <w:r>
        <w:t xml:space="preserve"> </w:t>
      </w:r>
      <w:r>
        <w:t xml:space="preserve">: la transparence progresse (rapport public 2025, repère structurel FMI de publication des comptes, marchés publiés sur sbee.bj). Point négatif relevé dans le rapport même : la hausse des avantages en nature et des primes des directeurs [1] [V].</w:t>
      </w:r>
    </w:p>
    <w:bookmarkEnd w:id="56"/>
    <w:bookmarkStart w:id="57" w:name="X4c986288818e067c7451c785602f6b3564fecad"/>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146"/>
        <w:gridCol w:w="726"/>
        <w:gridCol w:w="2121"/>
        <w:gridCol w:w="1522"/>
        <w:gridCol w:w="3511"/>
        <w:gridCol w:w="1493"/>
        <w:gridCol w:w="1329"/>
        <w:gridCol w:w="719"/>
      </w:tblGrid>
      <w:tr>
        <w:trPr>
          <w:tblHeader w:val="true"/>
        </w:trPr>
        <w:tc>
          <w:tcPr>
            <w:tcW w:w="3146" w:type="dxa"/>
          </w:tcPr>
          <w:tcPr/>
          <w:p>
            <w:pPr>
              <w:pStyle w:val="Compact"/>
              <w:jc w:val="left"/>
            </w:pPr>
            <w:r>
              <w:t xml:space="preserve">Programme / projet</w:t>
            </w:r>
          </w:p>
        </w:tc>
        <w:tc>
          <w:tcPr>
            <w:tcW w:w="726" w:type="dxa"/>
          </w:tcPr>
          <w:tcPr/>
          <w:p>
            <w:pPr>
              <w:pStyle w:val="Compact"/>
              <w:jc w:val="left"/>
            </w:pPr>
            <w:r>
              <w:t xml:space="preserve">Bailleur</w:t>
            </w:r>
          </w:p>
        </w:tc>
        <w:tc>
          <w:tcPr>
            <w:tcW w:w="2121" w:type="dxa"/>
          </w:tcPr>
          <w:tcPr/>
          <w:p>
            <w:pPr>
              <w:pStyle w:val="Compact"/>
              <w:jc w:val="left"/>
            </w:pPr>
            <w:r>
              <w:t xml:space="preserve">Montant</w:t>
            </w:r>
          </w:p>
        </w:tc>
        <w:tc>
          <w:tcPr>
            <w:tcW w:w="1522" w:type="dxa"/>
          </w:tcPr>
          <w:tcPr/>
          <w:p>
            <w:pPr>
              <w:pStyle w:val="Compact"/>
              <w:jc w:val="left"/>
            </w:pPr>
            <w:r>
              <w:t xml:space="preserve">Années</w:t>
            </w:r>
          </w:p>
        </w:tc>
        <w:tc>
          <w:tcPr>
            <w:tcW w:w="3511" w:type="dxa"/>
          </w:tcPr>
          <w:tcPr/>
          <w:p>
            <w:pPr>
              <w:pStyle w:val="Compact"/>
              <w:jc w:val="left"/>
            </w:pPr>
            <w:r>
              <w:t xml:space="preserve">Objectifs liés à l’opérateur</w:t>
            </w:r>
          </w:p>
        </w:tc>
        <w:tc>
          <w:tcPr>
            <w:tcW w:w="1493" w:type="dxa"/>
          </w:tcPr>
          <w:tcPr/>
          <w:p>
            <w:pPr>
              <w:pStyle w:val="Compact"/>
              <w:jc w:val="left"/>
            </w:pPr>
            <w:r>
              <w:t xml:space="preserve">Conditions / indicateurs</w:t>
            </w:r>
          </w:p>
        </w:tc>
        <w:tc>
          <w:tcPr>
            <w:tcW w:w="1329" w:type="dxa"/>
          </w:tcPr>
          <w:tcPr/>
          <w:p>
            <w:pPr>
              <w:pStyle w:val="Compact"/>
              <w:jc w:val="left"/>
            </w:pPr>
            <w:r>
              <w:t xml:space="preserve">Statut</w:t>
            </w:r>
          </w:p>
        </w:tc>
        <w:tc>
          <w:tcPr>
            <w:tcW w:w="719" w:type="dxa"/>
          </w:tcPr>
          <w:tcPr/>
          <w:p>
            <w:pPr>
              <w:pStyle w:val="Compact"/>
              <w:jc w:val="left"/>
            </w:pPr>
            <w:r>
              <w:t xml:space="preserve">Source</w:t>
            </w:r>
          </w:p>
        </w:tc>
      </w:tr>
      <w:tr>
        <w:tc>
          <w:tcPr>
            <w:tcW w:w="3146" w:type="dxa"/>
          </w:tcPr>
          <w:tcPr/>
          <w:p>
            <w:pPr>
              <w:pStyle w:val="Compact"/>
              <w:jc w:val="left"/>
            </w:pPr>
            <w:r>
              <w:t xml:space="preserve">Benin Electricity Access Scale-up (BEAS),</w:t>
            </w:r>
            <w:r>
              <w:t xml:space="preserve"> </w:t>
            </w:r>
            <w:r>
              <w:rPr>
                <w:bCs/>
                <w:b/>
              </w:rPr>
              <w:t xml:space="preserve">P173749</w:t>
            </w:r>
          </w:p>
        </w:tc>
        <w:tc>
          <w:tcPr>
            <w:tcW w:w="726" w:type="dxa"/>
          </w:tcPr>
          <w:tcPr/>
          <w:p>
            <w:pPr>
              <w:pStyle w:val="Compact"/>
              <w:jc w:val="left"/>
            </w:pPr>
            <w:r>
              <w:t xml:space="preserve">BM (IDA)</w:t>
            </w:r>
          </w:p>
        </w:tc>
        <w:tc>
          <w:tcPr>
            <w:tcW w:w="2121" w:type="dxa"/>
          </w:tcPr>
          <w:tcPr/>
          <w:p>
            <w:pPr>
              <w:pStyle w:val="Compact"/>
              <w:jc w:val="left"/>
            </w:pPr>
            <w:r>
              <w:t xml:space="preserve">200 M USD (engagement net de 190,01 M ; 107,67 M décaissés, soit 56,7 %)</w:t>
            </w:r>
          </w:p>
        </w:tc>
        <w:tc>
          <w:tcPr>
            <w:tcW w:w="1522" w:type="dxa"/>
          </w:tcPr>
          <w:tcPr/>
          <w:p>
            <w:pPr>
              <w:pStyle w:val="Compact"/>
              <w:jc w:val="left"/>
            </w:pPr>
            <w:r>
              <w:t xml:space="preserve">14/06/2021 ; clôture repoussée du 31/12/2026 au</w:t>
            </w:r>
            <w:r>
              <w:t xml:space="preserve"> </w:t>
            </w:r>
            <w:r>
              <w:rPr>
                <w:bCs/>
                <w:b/>
              </w:rPr>
              <w:t xml:space="preserve">31/08/2028</w:t>
            </w:r>
            <w:r>
              <w:t xml:space="preserve"> </w:t>
            </w:r>
            <w:r>
              <w:t xml:space="preserve">(restructuration de sept. 2026)</w:t>
            </w:r>
          </w:p>
        </w:tc>
        <w:tc>
          <w:tcPr>
            <w:tcW w:w="3511" w:type="dxa"/>
          </w:tcPr>
          <w:tcPr/>
          <w:p>
            <w:pPr>
              <w:pStyle w:val="Compact"/>
              <w:jc w:val="left"/>
            </w:pPr>
            <w:r>
              <w:t xml:space="preserve">densification et extension des réseaux, raccordements intégrés à la base commerciale de la SBEE, réingénierie des processus commerciaux de la SBEE</w:t>
            </w:r>
          </w:p>
        </w:tc>
        <w:tc>
          <w:tcPr>
            <w:tcW w:w="1493" w:type="dxa"/>
          </w:tcPr>
          <w:tcPr/>
          <w:p>
            <w:pPr>
              <w:pStyle w:val="Compact"/>
              <w:jc w:val="left"/>
            </w:pPr>
            <w:r>
              <w:t xml:space="preserve">8 PBC : politique de frais de raccordement (254 454 ménages intégrés), normes techniques, politique genre SBEE. La composante PBC est réduite de 7 M à 0,004 M USD, faute de pièces justificatives</w:t>
            </w:r>
          </w:p>
        </w:tc>
        <w:tc>
          <w:tcPr>
            <w:tcW w:w="1329" w:type="dxa"/>
          </w:tcPr>
          <w:tcPr/>
          <w:p>
            <w:pPr>
              <w:pStyle w:val="Compact"/>
              <w:jc w:val="left"/>
            </w:pPr>
            <w:r>
              <w:t xml:space="preserve">actif, restructuré</w:t>
            </w:r>
          </w:p>
        </w:tc>
        <w:tc>
          <w:tcPr>
            <w:tcW w:w="719" w:type="dxa"/>
          </w:tcPr>
          <w:tcPr/>
          <w:p>
            <w:pPr>
              <w:pStyle w:val="Compact"/>
              <w:jc w:val="left"/>
            </w:pPr>
            <w:r>
              <w:t xml:space="preserve">[3 ; 4 ; 6]</w:t>
            </w:r>
          </w:p>
        </w:tc>
      </w:tr>
      <w:tr>
        <w:tc>
          <w:tcPr>
            <w:tcW w:w="3146" w:type="dxa"/>
          </w:tcPr>
          <w:tcPr/>
          <w:p>
            <w:pPr>
              <w:pStyle w:val="Compact"/>
              <w:jc w:val="left"/>
            </w:pPr>
            <w:r>
              <w:t xml:space="preserve">Boosting Inclusive Growth and Resilience DPF2 + PBG,</w:t>
            </w:r>
            <w:r>
              <w:t xml:space="preserve"> </w:t>
            </w:r>
            <w:r>
              <w:rPr>
                <w:bCs/>
                <w:b/>
              </w:rPr>
              <w:t xml:space="preserve">P181457 / P181746</w:t>
            </w:r>
          </w:p>
        </w:tc>
        <w:tc>
          <w:tcPr>
            <w:tcW w:w="726" w:type="dxa"/>
          </w:tcPr>
          <w:tcPr/>
          <w:p>
            <w:pPr>
              <w:pStyle w:val="Compact"/>
              <w:jc w:val="left"/>
            </w:pPr>
            <w:r>
              <w:t xml:space="preserve">BM</w:t>
            </w:r>
          </w:p>
        </w:tc>
        <w:tc>
          <w:tcPr>
            <w:tcW w:w="2121" w:type="dxa"/>
          </w:tcPr>
          <w:tcPr/>
          <w:p>
            <w:pPr>
              <w:pStyle w:val="Compact"/>
              <w:jc w:val="left"/>
            </w:pPr>
            <w:r>
              <w:t xml:space="preserve">150 M USD + garantie (221,5 M)</w:t>
            </w:r>
          </w:p>
        </w:tc>
        <w:tc>
          <w:tcPr>
            <w:tcW w:w="1522" w:type="dxa"/>
          </w:tcPr>
          <w:tcPr/>
          <w:p>
            <w:pPr>
              <w:pStyle w:val="Compact"/>
              <w:jc w:val="left"/>
            </w:pPr>
            <w:r>
              <w:t xml:space="preserve">2024-2025</w:t>
            </w:r>
          </w:p>
        </w:tc>
        <w:tc>
          <w:tcPr>
            <w:tcW w:w="3511" w:type="dxa"/>
          </w:tcPr>
          <w:tcPr/>
          <w:p>
            <w:pPr>
              <w:pStyle w:val="Compact"/>
              <w:jc w:val="left"/>
            </w:pPr>
            <w:r>
              <w:t xml:space="preserve">réforme des subventions aux carburants (pas de condition SBEE identifiée)</w:t>
            </w:r>
          </w:p>
        </w:tc>
        <w:tc>
          <w:tcPr>
            <w:tcW w:w="1493" w:type="dxa"/>
          </w:tcPr>
          <w:tcPr/>
          <w:p>
            <w:pPr>
              <w:pStyle w:val="Compact"/>
              <w:jc w:val="left"/>
            </w:pPr>
            <w:r>
              <w:t xml:space="preserve">—</w:t>
            </w:r>
          </w:p>
        </w:tc>
        <w:tc>
          <w:tcPr>
            <w:tcW w:w="1329" w:type="dxa"/>
          </w:tcPr>
          <w:tcPr/>
          <w:p>
            <w:pPr>
              <w:pStyle w:val="Compact"/>
              <w:jc w:val="left"/>
            </w:pPr>
            <w:r>
              <w:t xml:space="preserve">clôturé / actif (garantie)</w:t>
            </w:r>
          </w:p>
        </w:tc>
        <w:tc>
          <w:tcPr>
            <w:tcW w:w="719" w:type="dxa"/>
          </w:tcPr>
          <w:tcPr/>
          <w:p>
            <w:pPr>
              <w:pStyle w:val="Compact"/>
              <w:jc w:val="left"/>
            </w:pPr>
            <w:r>
              <w:t xml:space="preserve">[5 ; 6]</w:t>
            </w:r>
          </w:p>
        </w:tc>
      </w:tr>
      <w:tr>
        <w:tc>
          <w:tcPr>
            <w:tcW w:w="3146" w:type="dxa"/>
          </w:tcPr>
          <w:tcPr/>
          <w:p>
            <w:pPr>
              <w:pStyle w:val="Compact"/>
              <w:jc w:val="left"/>
            </w:pPr>
            <w:r>
              <w:t xml:space="preserve">Public Resource Management for Jobs and Growth (Ph. 2),</w:t>
            </w:r>
            <w:r>
              <w:t xml:space="preserve"> </w:t>
            </w:r>
            <w:r>
              <w:rPr>
                <w:bCs/>
                <w:b/>
              </w:rPr>
              <w:t xml:space="preserve">P513143</w:t>
            </w:r>
          </w:p>
        </w:tc>
        <w:tc>
          <w:tcPr>
            <w:tcW w:w="726" w:type="dxa"/>
          </w:tcPr>
          <w:tcPr/>
          <w:p>
            <w:pPr>
              <w:pStyle w:val="Compact"/>
              <w:jc w:val="left"/>
            </w:pPr>
            <w:r>
              <w:t xml:space="preserve">BM</w:t>
            </w:r>
          </w:p>
        </w:tc>
        <w:tc>
          <w:tcPr>
            <w:tcW w:w="2121" w:type="dxa"/>
          </w:tcPr>
          <w:tcPr/>
          <w:p>
            <w:pPr>
              <w:pStyle w:val="Compact"/>
              <w:jc w:val="left"/>
            </w:pPr>
            <w:r>
              <w:t xml:space="preserve">70 M USD</w:t>
            </w:r>
          </w:p>
        </w:tc>
        <w:tc>
          <w:tcPr>
            <w:tcW w:w="1522" w:type="dxa"/>
          </w:tcPr>
          <w:tcPr/>
          <w:p>
            <w:pPr>
              <w:pStyle w:val="Compact"/>
              <w:jc w:val="left"/>
            </w:pPr>
            <w:r>
              <w:t xml:space="preserve">30/09/2026</w:t>
            </w:r>
          </w:p>
        </w:tc>
        <w:tc>
          <w:tcPr>
            <w:tcW w:w="3511" w:type="dxa"/>
          </w:tcPr>
          <w:tcPr/>
          <w:p>
            <w:pPr>
              <w:pStyle w:val="Compact"/>
              <w:jc w:val="left"/>
            </w:pPr>
            <w:r>
              <w:t xml:space="preserve">contenu énergie [?]</w:t>
            </w:r>
          </w:p>
        </w:tc>
        <w:tc>
          <w:tcPr>
            <w:tcW w:w="1493" w:type="dxa"/>
          </w:tcPr>
          <w:tcPr/>
          <w:p>
            <w:pPr>
              <w:pStyle w:val="Compact"/>
              <w:jc w:val="left"/>
            </w:pPr>
            <w:r>
              <w:t xml:space="preserve">[?]</w:t>
            </w:r>
          </w:p>
        </w:tc>
        <w:tc>
          <w:tcPr>
            <w:tcW w:w="1329" w:type="dxa"/>
          </w:tcPr>
          <w:tcPr/>
          <w:p>
            <w:pPr>
              <w:pStyle w:val="Compact"/>
              <w:jc w:val="left"/>
            </w:pPr>
            <w:r>
              <w:t xml:space="preserve">actif</w:t>
            </w:r>
          </w:p>
        </w:tc>
        <w:tc>
          <w:tcPr>
            <w:tcW w:w="719" w:type="dxa"/>
          </w:tcPr>
          <w:tcPr/>
          <w:p>
            <w:pPr>
              <w:pStyle w:val="Compact"/>
              <w:jc w:val="left"/>
            </w:pPr>
            <w:r>
              <w:t xml:space="preserve">[6]</w:t>
            </w:r>
          </w:p>
        </w:tc>
      </w:tr>
      <w:tr>
        <w:tc>
          <w:tcPr>
            <w:tcW w:w="3146" w:type="dxa"/>
          </w:tcPr>
          <w:tcPr/>
          <w:p>
            <w:pPr>
              <w:pStyle w:val="Compact"/>
              <w:jc w:val="left"/>
            </w:pPr>
            <w:r>
              <w:t xml:space="preserve">Projet d’électrification rurale Ph. II (</w:t>
            </w:r>
            <w:r>
              <w:rPr>
                <w:bCs/>
                <w:b/>
              </w:rPr>
              <w:t xml:space="preserve">PERU II</w:t>
            </w:r>
            <w:r>
              <w:t xml:space="preserve">), 46002-P-BJ-FA0-011</w:t>
            </w:r>
          </w:p>
        </w:tc>
        <w:tc>
          <w:tcPr>
            <w:tcW w:w="726" w:type="dxa"/>
          </w:tcPr>
          <w:tcPr/>
          <w:p>
            <w:pPr>
              <w:pStyle w:val="Compact"/>
              <w:jc w:val="left"/>
            </w:pPr>
            <w:r>
              <w:t xml:space="preserve">BAD</w:t>
            </w:r>
          </w:p>
        </w:tc>
        <w:tc>
          <w:tcPr>
            <w:tcW w:w="2121" w:type="dxa"/>
          </w:tcPr>
          <w:tcPr/>
          <w:p>
            <w:pPr>
              <w:pStyle w:val="Compact"/>
              <w:jc w:val="left"/>
            </w:pPr>
            <w:r>
              <w:t xml:space="preserve">91,56 M DTS (environ 124 M USD) ; 157,21 M EUR au total dont 107,35 M EUR de la BAD (pacte)</w:t>
            </w:r>
          </w:p>
        </w:tc>
        <w:tc>
          <w:tcPr>
            <w:tcW w:w="1522" w:type="dxa"/>
          </w:tcPr>
          <w:tcPr/>
          <w:p>
            <w:pPr>
              <w:pStyle w:val="Compact"/>
              <w:jc w:val="left"/>
            </w:pPr>
            <w:r>
              <w:t xml:space="preserve">18/04/2025 – 12/2030</w:t>
            </w:r>
          </w:p>
        </w:tc>
        <w:tc>
          <w:tcPr>
            <w:tcW w:w="3511" w:type="dxa"/>
          </w:tcPr>
          <w:tcPr/>
          <w:p>
            <w:pPr>
              <w:pStyle w:val="Compact"/>
              <w:jc w:val="left"/>
            </w:pPr>
            <w:r>
              <w:t xml:space="preserve">84 524 raccordements, exécution SBEE</w:t>
            </w:r>
          </w:p>
        </w:tc>
        <w:tc>
          <w:tcPr>
            <w:tcW w:w="1493" w:type="dxa"/>
          </w:tcPr>
          <w:tcPr/>
          <w:p>
            <w:pPr>
              <w:pStyle w:val="Compact"/>
              <w:jc w:val="left"/>
            </w:pPr>
            <w:r>
              <w:t xml:space="preserve">[?]</w:t>
            </w:r>
          </w:p>
        </w:tc>
        <w:tc>
          <w:tcPr>
            <w:tcW w:w="1329" w:type="dxa"/>
          </w:tcPr>
          <w:tcPr/>
          <w:p>
            <w:pPr>
              <w:pStyle w:val="Compact"/>
              <w:jc w:val="left"/>
            </w:pPr>
            <w:r>
              <w:t xml:space="preserve">approuvé, non décaissé</w:t>
            </w:r>
          </w:p>
        </w:tc>
        <w:tc>
          <w:tcPr>
            <w:tcW w:w="719" w:type="dxa"/>
          </w:tcPr>
          <w:tcPr/>
          <w:p>
            <w:pPr>
              <w:pStyle w:val="Compact"/>
              <w:jc w:val="left"/>
            </w:pPr>
            <w:r>
              <w:t xml:space="preserve">[9 ; pacte]</w:t>
            </w:r>
          </w:p>
        </w:tc>
      </w:tr>
      <w:tr>
        <w:tc>
          <w:tcPr>
            <w:tcW w:w="3146" w:type="dxa"/>
          </w:tcPr>
          <w:tcPr/>
          <w:p>
            <w:pPr>
              <w:pStyle w:val="Compact"/>
              <w:jc w:val="left"/>
            </w:pPr>
            <w:r>
              <w:t xml:space="preserve">PERU (Ph. I), 46002-P-BJ-FA0-007</w:t>
            </w:r>
          </w:p>
        </w:tc>
        <w:tc>
          <w:tcPr>
            <w:tcW w:w="726" w:type="dxa"/>
          </w:tcPr>
          <w:tcPr/>
          <w:p>
            <w:pPr>
              <w:pStyle w:val="Compact"/>
              <w:jc w:val="left"/>
            </w:pPr>
            <w:r>
              <w:t xml:space="preserve">BAD</w:t>
            </w:r>
          </w:p>
        </w:tc>
        <w:tc>
          <w:tcPr>
            <w:tcW w:w="2121" w:type="dxa"/>
          </w:tcPr>
          <w:tcPr/>
          <w:p>
            <w:pPr>
              <w:pStyle w:val="Compact"/>
              <w:jc w:val="left"/>
            </w:pPr>
            <w:r>
              <w:t xml:space="preserve">environ 72 M USD</w:t>
            </w:r>
          </w:p>
        </w:tc>
        <w:tc>
          <w:tcPr>
            <w:tcW w:w="1522" w:type="dxa"/>
          </w:tcPr>
          <w:tcPr/>
          <w:p>
            <w:pPr>
              <w:pStyle w:val="Compact"/>
              <w:jc w:val="left"/>
            </w:pPr>
            <w:r>
              <w:t xml:space="preserve">2019</w:t>
            </w:r>
          </w:p>
        </w:tc>
        <w:tc>
          <w:tcPr>
            <w:tcW w:w="3511" w:type="dxa"/>
          </w:tcPr>
          <w:tcPr/>
          <w:p>
            <w:pPr>
              <w:pStyle w:val="Compact"/>
              <w:jc w:val="left"/>
            </w:pPr>
            <w:r>
              <w:t xml:space="preserve">électrification rurale</w:t>
            </w:r>
          </w:p>
        </w:tc>
        <w:tc>
          <w:tcPr>
            <w:tcW w:w="1493" w:type="dxa"/>
          </w:tcPr>
          <w:tcPr/>
          <w:p>
            <w:pPr>
              <w:pStyle w:val="Compact"/>
              <w:jc w:val="left"/>
            </w:pPr>
            <w:r>
              <w:t xml:space="preserve">—</w:t>
            </w:r>
          </w:p>
        </w:tc>
        <w:tc>
          <w:tcPr>
            <w:tcW w:w="1329" w:type="dxa"/>
          </w:tcPr>
          <w:tcPr/>
          <w:p>
            <w:pPr>
              <w:pStyle w:val="Compact"/>
              <w:jc w:val="left"/>
            </w:pPr>
            <w:r>
              <w:t xml:space="preserve">en cours</w:t>
            </w:r>
          </w:p>
        </w:tc>
        <w:tc>
          <w:tcPr>
            <w:tcW w:w="719" w:type="dxa"/>
          </w:tcPr>
          <w:tcPr/>
          <w:p>
            <w:pPr>
              <w:pStyle w:val="Compact"/>
              <w:jc w:val="left"/>
            </w:pPr>
            <w:r>
              <w:t xml:space="preserve">[9]</w:t>
            </w:r>
          </w:p>
        </w:tc>
      </w:tr>
      <w:tr>
        <w:tc>
          <w:tcPr>
            <w:tcW w:w="3146" w:type="dxa"/>
          </w:tcPr>
          <w:tcPr/>
          <w:p>
            <w:pPr>
              <w:pStyle w:val="Compact"/>
              <w:jc w:val="left"/>
            </w:pPr>
            <w:r>
              <w:t xml:space="preserve">PAGE-DSP II et financement supplémentaire 2025</w:t>
            </w:r>
          </w:p>
        </w:tc>
        <w:tc>
          <w:tcPr>
            <w:tcW w:w="726" w:type="dxa"/>
          </w:tcPr>
          <w:tcPr/>
          <w:p>
            <w:pPr>
              <w:pStyle w:val="Compact"/>
              <w:jc w:val="left"/>
            </w:pPr>
            <w:r>
              <w:t xml:space="preserve">BAD (appui budgétaire)</w:t>
            </w:r>
          </w:p>
        </w:tc>
        <w:tc>
          <w:tcPr>
            <w:tcW w:w="2121" w:type="dxa"/>
          </w:tcPr>
          <w:tcPr/>
          <w:p>
            <w:pPr>
              <w:pStyle w:val="Compact"/>
              <w:jc w:val="left"/>
            </w:pPr>
            <w:r>
              <w:t xml:space="preserve">46 M DTS + 20,5 M DTS</w:t>
            </w:r>
          </w:p>
        </w:tc>
        <w:tc>
          <w:tcPr>
            <w:tcW w:w="1522" w:type="dxa"/>
          </w:tcPr>
          <w:tcPr/>
          <w:p>
            <w:pPr>
              <w:pStyle w:val="Compact"/>
              <w:jc w:val="left"/>
            </w:pPr>
            <w:r>
              <w:t xml:space="preserve">2024-2026</w:t>
            </w:r>
          </w:p>
        </w:tc>
        <w:tc>
          <w:tcPr>
            <w:tcW w:w="3511" w:type="dxa"/>
          </w:tcPr>
          <w:tcPr/>
          <w:p>
            <w:pPr>
              <w:pStyle w:val="Compact"/>
              <w:jc w:val="left"/>
            </w:pPr>
            <w:r>
              <w:t xml:space="preserve">gouvernance économique ; mesures énergie [?]</w:t>
            </w:r>
          </w:p>
        </w:tc>
        <w:tc>
          <w:tcPr>
            <w:tcW w:w="1493" w:type="dxa"/>
          </w:tcPr>
          <w:tcPr/>
          <w:p>
            <w:pPr>
              <w:pStyle w:val="Compact"/>
              <w:jc w:val="left"/>
            </w:pPr>
            <w:r>
              <w:t xml:space="preserve">[?]</w:t>
            </w:r>
          </w:p>
        </w:tc>
        <w:tc>
          <w:tcPr>
            <w:tcW w:w="1329" w:type="dxa"/>
          </w:tcPr>
          <w:tcPr/>
          <w:p>
            <w:pPr>
              <w:pStyle w:val="Compact"/>
              <w:jc w:val="left"/>
            </w:pPr>
            <w:r>
              <w:t xml:space="preserve">décaissés</w:t>
            </w:r>
          </w:p>
        </w:tc>
        <w:tc>
          <w:tcPr>
            <w:tcW w:w="719" w:type="dxa"/>
          </w:tcPr>
          <w:tcPr/>
          <w:p>
            <w:pPr>
              <w:pStyle w:val="Compact"/>
              <w:jc w:val="left"/>
            </w:pPr>
            <w:r>
              <w:t xml:space="preserve">[9]</w:t>
            </w:r>
          </w:p>
        </w:tc>
      </w:tr>
      <w:tr>
        <w:tc>
          <w:tcPr>
            <w:tcW w:w="3146" w:type="dxa"/>
          </w:tcPr>
          <w:tcPr/>
          <w:p>
            <w:pPr>
              <w:pStyle w:val="Compact"/>
              <w:jc w:val="left"/>
            </w:pPr>
            <w:r>
              <w:t xml:space="preserve">FMI : FEC/MEDC (6e revue) et FRD</w:t>
            </w:r>
          </w:p>
        </w:tc>
        <w:tc>
          <w:tcPr>
            <w:tcW w:w="726" w:type="dxa"/>
          </w:tcPr>
          <w:tcPr/>
          <w:p>
            <w:pPr>
              <w:pStyle w:val="Compact"/>
              <w:jc w:val="left"/>
            </w:pPr>
            <w:r>
              <w:t xml:space="preserve">FMI</w:t>
            </w:r>
          </w:p>
        </w:tc>
        <w:tc>
          <w:tcPr>
            <w:tcW w:w="2121" w:type="dxa"/>
          </w:tcPr>
          <w:tcPr/>
          <w:p>
            <w:pPr>
              <w:pStyle w:val="Compact"/>
              <w:jc w:val="left"/>
            </w:pPr>
            <w:r>
              <w:t xml:space="preserve">—</w:t>
            </w:r>
          </w:p>
        </w:tc>
        <w:tc>
          <w:tcPr>
            <w:tcW w:w="1522" w:type="dxa"/>
          </w:tcPr>
          <w:tcPr/>
          <w:p>
            <w:pPr>
              <w:pStyle w:val="Compact"/>
              <w:jc w:val="left"/>
            </w:pPr>
            <w:r>
              <w:t xml:space="preserve">2022-2026</w:t>
            </w:r>
          </w:p>
        </w:tc>
        <w:tc>
          <w:tcPr>
            <w:tcW w:w="3511" w:type="dxa"/>
          </w:tcPr>
          <w:tcPr/>
          <w:p>
            <w:pPr>
              <w:pStyle w:val="Compact"/>
              <w:jc w:val="left"/>
            </w:pPr>
            <w:r>
              <w:rPr>
                <w:bCs/>
                <w:b/>
              </w:rPr>
              <w:t xml:space="preserve">RM 13 : réforme tarifaire de l’électricité (règlement ARE du 17/04/2025)</w:t>
            </w:r>
            <w:r>
              <w:t xml:space="preserve"> </w:t>
            </w:r>
            <w:r>
              <w:t xml:space="preserve">; SB : publication des états financiers 2022-2024 de la SBEE et de la SBPE (fin oct. 2025)</w:t>
            </w:r>
          </w:p>
        </w:tc>
        <w:tc>
          <w:tcPr>
            <w:tcW w:w="1493" w:type="dxa"/>
          </w:tcPr>
          <w:tcPr/>
          <w:p>
            <w:pPr>
              <w:pStyle w:val="Compact"/>
              <w:jc w:val="left"/>
            </w:pPr>
            <w:r>
              <w:t xml:space="preserve">atteint (RM 13) ; SB [?]</w:t>
            </w:r>
          </w:p>
        </w:tc>
        <w:tc>
          <w:tcPr>
            <w:tcW w:w="1329" w:type="dxa"/>
          </w:tcPr>
          <w:tcPr/>
          <w:p>
            <w:pPr>
              <w:pStyle w:val="Compact"/>
              <w:jc w:val="left"/>
            </w:pPr>
            <w:r>
              <w:t xml:space="preserve">programme 2022-2026</w:t>
            </w:r>
          </w:p>
        </w:tc>
        <w:tc>
          <w:tcPr>
            <w:tcW w:w="719" w:type="dxa"/>
          </w:tcPr>
          <w:tcPr/>
          <w:p>
            <w:pPr>
              <w:pStyle w:val="Compact"/>
              <w:jc w:val="left"/>
            </w:pPr>
            <w:r>
              <w:t xml:space="preserve">[2]</w:t>
            </w:r>
          </w:p>
        </w:tc>
      </w:tr>
    </w:tbl>
    <w:bookmarkEnd w:id="57"/>
    <w:bookmarkStart w:id="58" w:name="écart-pacte-réalité-1"/>
    <w:p>
      <w:pPr>
        <w:pStyle w:val="Heading3"/>
      </w:pPr>
      <w:r>
        <w:t xml:space="preserve">5. Écart pacte ↔ réalité</w:t>
      </w:r>
    </w:p>
    <w:p>
      <w:pPr>
        <w:numPr>
          <w:ilvl w:val="0"/>
          <w:numId w:val="1025"/>
        </w:numPr>
        <w:pStyle w:val="Compact"/>
      </w:pPr>
      <w:r>
        <w:rPr>
          <w:bCs/>
          <w:b/>
        </w:rPr>
        <w:t xml:space="preserve">Pertes</w:t>
      </w:r>
      <w:r>
        <w:t xml:space="preserve"> </w:t>
      </w:r>
      <w:r>
        <w:t xml:space="preserve">: le pacte donne 22 à 25 % sur 2018-2024 ; la SBEE annonce</w:t>
      </w:r>
      <w:r>
        <w:t xml:space="preserve"> </w:t>
      </w:r>
      <w:r>
        <w:rPr>
          <w:bCs/>
          <w:b/>
        </w:rPr>
        <w:t xml:space="preserve">19,51 % en 2025</w:t>
      </w:r>
      <w:r>
        <w:t xml:space="preserve">, soit -5,7 points en un an [1]. L’amélioration est réelle selon l’opérateur (donnée non auditée, issue d’un rapport RSE). Le pacte, qui retient 2024 comme référence, sous-estime ainsi le chemin déjà parcouru.</w:t>
      </w:r>
    </w:p>
    <w:p>
      <w:pPr>
        <w:numPr>
          <w:ilvl w:val="0"/>
          <w:numId w:val="1025"/>
        </w:numPr>
        <w:pStyle w:val="Compact"/>
      </w:pPr>
      <w:r>
        <w:rPr>
          <w:bCs/>
          <w:b/>
        </w:rPr>
        <w:t xml:space="preserve">Couverture des coûts</w:t>
      </w:r>
      <w:r>
        <w:t xml:space="preserve"> </w:t>
      </w:r>
      <w:r>
        <w:t xml:space="preserve">: le pacte répond « Oui » (100 % des coûts d’exploitation), sans données. La SBEE est effectivement bénéficiaire (13,9 Md FCFA), mais ce résultat dépend d’économies budgétaires non récurrentes (18,8 Md non exécutés) et le pacte ne donne pas le coût de revient. Le FMI confirme une politique officielle de</w:t>
      </w:r>
      <w:r>
        <w:t xml:space="preserve"> </w:t>
      </w:r>
      <w:r>
        <w:rPr>
          <w:bCs/>
          <w:b/>
        </w:rPr>
        <w:t xml:space="preserve">zéro subvention électrique</w:t>
      </w:r>
      <w:r>
        <w:t xml:space="preserve"> </w:t>
      </w:r>
      <w:r>
        <w:t xml:space="preserve">[2], ce qui rend la réponse « Oui » du pacte cohérente pour la SBEE. L’équilibre de la SBPE et de la CEB reste inconnu [?].</w:t>
      </w:r>
    </w:p>
    <w:p>
      <w:pPr>
        <w:numPr>
          <w:ilvl w:val="0"/>
          <w:numId w:val="1025"/>
        </w:numPr>
        <w:pStyle w:val="Compact"/>
      </w:pPr>
      <w:r>
        <w:rPr>
          <w:bCs/>
          <w:b/>
        </w:rPr>
        <w:t xml:space="preserve">Tarifs</w:t>
      </w:r>
      <w:r>
        <w:t xml:space="preserve"> </w:t>
      </w:r>
      <w:r>
        <w:t xml:space="preserve">: le pacte ne mentionne aucune révision depuis le décret de 2020. Le règlement ARE d’avril 2025 crée un cycle biennal avec des tarifs 2026-2027, ce que le pacte (septembre 2025) ne mentionne pas explicitement.</w:t>
      </w:r>
    </w:p>
    <w:p>
      <w:pPr>
        <w:numPr>
          <w:ilvl w:val="0"/>
          <w:numId w:val="1025"/>
        </w:numPr>
        <w:pStyle w:val="Compact"/>
      </w:pPr>
      <w:r>
        <w:rPr>
          <w:bCs/>
          <w:b/>
        </w:rPr>
        <w:t xml:space="preserve">Délégation de gestion</w:t>
      </w:r>
      <w:r>
        <w:t xml:space="preserve"> </w:t>
      </w:r>
      <w:r>
        <w:t xml:space="preserve">: le pacte la date de janvier 2024 ; le rapport SBEE dit décembre 2023. L’écart est mineur.</w:t>
      </w:r>
    </w:p>
    <w:bookmarkEnd w:id="58"/>
    <w:bookmarkStart w:id="59" w:name="diagnostic-synthétique-1"/>
    <w:p>
      <w:pPr>
        <w:pStyle w:val="Heading3"/>
      </w:pPr>
      <w:r>
        <w:t xml:space="preserve">6. Diagnostic synthétique</w:t>
      </w:r>
    </w:p>
    <w:p>
      <w:pPr>
        <w:numPr>
          <w:ilvl w:val="0"/>
          <w:numId w:val="1026"/>
        </w:numPr>
        <w:pStyle w:val="Compact"/>
      </w:pPr>
      <w:r>
        <w:rPr>
          <w:bCs/>
          <w:b/>
        </w:rPr>
        <w:t xml:space="preserve">Financière : moyenne-forte</w:t>
      </w:r>
      <w:r>
        <w:t xml:space="preserve"> </w:t>
      </w:r>
      <w:r>
        <w:t xml:space="preserve">pour la SBEE seule (bénéficiaire, sans subvention déclarée). Les comptes de la SBPE et de la CEB, où se concentrent les risques (PPA, take-or-pay, dettes de la CEB), sont inconnus.</w:t>
      </w:r>
    </w:p>
    <w:p>
      <w:pPr>
        <w:numPr>
          <w:ilvl w:val="0"/>
          <w:numId w:val="1026"/>
        </w:numPr>
        <w:pStyle w:val="Compact"/>
      </w:pPr>
      <w:r>
        <w:rPr>
          <w:bCs/>
          <w:b/>
        </w:rPr>
        <w:t xml:space="preserve">Technique : moyenne.</w:t>
      </w:r>
      <w:r>
        <w:t xml:space="preserve"> </w:t>
      </w:r>
      <w:r>
        <w:t xml:space="preserve">Les pertes de 19,5 % restent élevées mais en forte baisse, le comptage et le prépaiement progressent ; les données de qualité de service sont à vérifier.</w:t>
      </w:r>
    </w:p>
    <w:p>
      <w:pPr>
        <w:numPr>
          <w:ilvl w:val="0"/>
          <w:numId w:val="1026"/>
        </w:numPr>
        <w:pStyle w:val="Compact"/>
      </w:pPr>
      <w:r>
        <w:rPr>
          <w:bCs/>
          <w:b/>
        </w:rPr>
        <w:t xml:space="preserve">Gouvernance : moyenne-forte.</w:t>
      </w:r>
      <w:r>
        <w:t xml:space="preserve"> </w:t>
      </w:r>
      <w:r>
        <w:t xml:space="preserve">Gestion déléguée à un opérateur privé, régulateur doté d’une méthodologie récente, conditionnalité FMI de transparence. Le contrat Eranove n’est pas public.</w:t>
      </w:r>
    </w:p>
    <w:p>
      <w:pPr>
        <w:numPr>
          <w:ilvl w:val="0"/>
          <w:numId w:val="1026"/>
        </w:numPr>
        <w:pStyle w:val="Compact"/>
      </w:pPr>
      <w:r>
        <w:rPr>
          <w:bCs/>
          <w:b/>
        </w:rPr>
        <w:t xml:space="preserve">Causes racines</w:t>
      </w:r>
      <w:r>
        <w:t xml:space="preserve"> </w:t>
      </w:r>
      <w:r>
        <w:t xml:space="preserve">: (1) pertes commerciales élevées (fraude) héritées ; (2) dépendance aux achats d’énergie (60 % du CA) déterminés en amont (SBPE, CEB, importations) ; (3) faible transparence historique des comptes du secteur.</w:t>
      </w:r>
    </w:p>
    <w:p>
      <w:pPr>
        <w:numPr>
          <w:ilvl w:val="0"/>
          <w:numId w:val="1026"/>
        </w:numPr>
        <w:pStyle w:val="Compact"/>
      </w:pPr>
      <w:r>
        <w:rPr>
          <w:bCs/>
          <w:b/>
        </w:rPr>
        <w:t xml:space="preserve">Phase 3</w:t>
      </w:r>
      <w:r>
        <w:t xml:space="preserve"> </w:t>
      </w:r>
      <w:r>
        <w:t xml:space="preserve">: grilles 2026-2027 de l’ARE ; prix de cession SBPE vers SBEE ; tarif social de 88 FCFA ; situation financière de la CEB.</w:t>
      </w:r>
    </w:p>
    <w:bookmarkEnd w:id="59"/>
    <w:bookmarkStart w:id="60" w:name="inconnus-1"/>
    <w:p>
      <w:pPr>
        <w:pStyle w:val="Heading3"/>
      </w:pPr>
      <w:r>
        <w:t xml:space="preserve">7. Inconnus</w:t>
      </w:r>
    </w:p>
    <w:p>
      <w:pPr>
        <w:numPr>
          <w:ilvl w:val="0"/>
          <w:numId w:val="1027"/>
        </w:numPr>
        <w:pStyle w:val="Compact"/>
      </w:pPr>
      <w:r>
        <w:t xml:space="preserve">États financiers audités 2022-2024 (repère FMI) et dettes de la SBEE [?] ; taux de recouvrement [?] ; kWh vendus [?].</w:t>
      </w:r>
    </w:p>
    <w:p>
      <w:pPr>
        <w:numPr>
          <w:ilvl w:val="0"/>
          <w:numId w:val="1027"/>
        </w:numPr>
        <w:pStyle w:val="Compact"/>
      </w:pPr>
      <w:r>
        <w:t xml:space="preserve">Termes et rémunération du contrat Eranove [?] ; application des tarifs au 01/01/2026 [?] ; SAIDI 2025 [?].</w:t>
      </w:r>
    </w:p>
    <w:bookmarkEnd w:id="60"/>
    <w:bookmarkStart w:id="61" w:name="sources-2"/>
    <w:p>
      <w:pPr>
        <w:pStyle w:val="Heading3"/>
      </w:pPr>
      <w:r>
        <w:t xml:space="preserve">Sources</w:t>
      </w:r>
    </w:p>
    <w:p>
      <w:pPr>
        <w:pStyle w:val="FirstParagraph"/>
      </w:pPr>
      <w:r>
        <w:t xml:space="preserve">[1] SBEE,</w:t>
      </w:r>
      <w:r>
        <w:t xml:space="preserve"> </w:t>
      </w:r>
      <w:r>
        <w:rPr>
          <w:iCs/>
          <w:i/>
        </w:rPr>
        <w:t xml:space="preserve">Rapport de développement durable 2025</w:t>
      </w:r>
      <w:r>
        <w:t xml:space="preserve"> </w:t>
      </w:r>
      <w:r>
        <w:t xml:space="preserve">(chiffres clés, pertes, rendement, compte de résultat provisoire 2025), août 2026. https://sbee.bj/wp-content/uploads/2026/08/SBEE_DG-SG-Rapport-DD-SBEE-2025-V0.1_compressed.pdf</w:t>
      </w:r>
      <w:r>
        <w:t xml:space="preserve"> </w:t>
      </w:r>
      <w:r>
        <w:t xml:space="preserve">[2] FMI,</w:t>
      </w:r>
      <w:r>
        <w:t xml:space="preserve"> </w:t>
      </w:r>
      <w:r>
        <w:rPr>
          <w:iCs/>
          <w:i/>
        </w:rPr>
        <w:t xml:space="preserve">Benin: Sixth Reviews Under the EFF and ECF Arrangements, and Third Review Under the RSF</w:t>
      </w:r>
      <w:r>
        <w:t xml:space="preserve">, IMF Country Report No. 25/185, juillet 2025 (staff report 03/06/2025 ; MEFP §21 ; matrice RSF RM 13). https://meetings.imf.org/-/media/Files/Publications/CR/2025/English/1benea2025001-source-pdf.ashx</w:t>
      </w:r>
      <w:r>
        <w:t xml:space="preserve"> </w:t>
      </w:r>
      <w:r>
        <w:t xml:space="preserve">[3] Banque mondiale,</w:t>
      </w:r>
      <w:r>
        <w:t xml:space="preserve"> </w:t>
      </w:r>
      <w:r>
        <w:rPr>
          <w:iCs/>
          <w:i/>
        </w:rPr>
        <w:t xml:space="preserve">Restructuring Paper — BEAS (P173749)</w:t>
      </w:r>
      <w:r>
        <w:t xml:space="preserve">, Report No. RES01997, 18/09/2026. https://documents.worldbank.org/curated/en/099091826154032170/text/P173749-4000341f-8d59-493c-8bfa-220698349558.txt</w:t>
      </w:r>
      <w:r>
        <w:t xml:space="preserve"> </w:t>
      </w:r>
      <w:r>
        <w:t xml:space="preserve">[4] Banque mondiale,</w:t>
      </w:r>
      <w:r>
        <w:t xml:space="preserve"> </w:t>
      </w:r>
      <w:r>
        <w:rPr>
          <w:iCs/>
          <w:i/>
        </w:rPr>
        <w:t xml:space="preserve">ISR — BEAS (P173749)</w:t>
      </w:r>
      <w:r>
        <w:t xml:space="preserve">, 24/06/2026. https://documents.worldbank.org/curated/en/099062426165512188/text/P173749-14f617fb-b392-42dd-a7d4-4fe354cea516.txt</w:t>
      </w:r>
      <w:r>
        <w:t xml:space="preserve"> </w:t>
      </w:r>
      <w:r>
        <w:t xml:space="preserve">[5] Banque mondiale,</w:t>
      </w:r>
      <w:r>
        <w:t xml:space="preserve"> </w:t>
      </w:r>
      <w:r>
        <w:rPr>
          <w:iCs/>
          <w:i/>
        </w:rPr>
        <w:t xml:space="preserve">Program Document — Benin Second Boosting Inclusive Growth and Resilience DPF</w:t>
      </w:r>
      <w:r>
        <w:t xml:space="preserve">, 10/2024. https://documents.worldbank.org/curated/en/099100924094536011/text/BOSIB-d72d892e-94dd-4413-91d4-51f96e84f5e0.txt</w:t>
      </w:r>
      <w:r>
        <w:t xml:space="preserve"> </w:t>
      </w:r>
      <w:r>
        <w:t xml:space="preserve">[6] Banque mondiale, API Projects v3, consultée le 18/10/2026.</w:t>
      </w:r>
      <w:r>
        <w:t xml:space="preserve"> </w:t>
      </w:r>
      <w:r>
        <w:t xml:space="preserve">[7] Bénin Web TV, « La SBEE mise sous gestion déléguée d’une société française », 2024. https://beninwebtv.bj/benin-la-sbee-mise-sous-gestion-deleguee-dune-societe-francaise/</w:t>
      </w:r>
      <w:r>
        <w:t xml:space="preserve"> </w:t>
      </w:r>
      <w:r>
        <w:t xml:space="preserve">[8] SBEE, PV d’ouverture, « audit des comptes 2025 », 06/2025. https://sbee.bj/wp-content/uploads/2025/06/PVO-audit-des-comptes-2025.pdf (titre seul, non lu).</w:t>
      </w:r>
      <w:r>
        <w:t xml:space="preserve"> </w:t>
      </w:r>
      <w:r>
        <w:t xml:space="preserve">[9] BAD, données IATI (XM-DAC-46002) via d-portal.org, consultées le 18/10/2026.</w:t>
      </w:r>
    </w:p>
    <w:p>
      <w:r>
        <w:br w:type="page"/>
      </w:r>
    </w:p>
    <w:bookmarkEnd w:id="61"/>
    <w:bookmarkEnd w:id="62"/>
    <w:bookmarkStart w:id="72" w:name="Xaa539afbbfd0158b12cc27178804e86ced4fb38"/>
    <w:p>
      <w:pPr>
        <w:pStyle w:val="Heading2"/>
      </w:pPr>
      <w:r>
        <w:t xml:space="preserve">Diagnostic opérateur — SONABEL (Burkina Faso)</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la fiche phase 1 : ../../phase1/fiches/BFA_burkina-faso.md (« pacte »).</w:t>
      </w:r>
    </w:p>
    <w:bookmarkStart w:id="63" w:name="identité-2"/>
    <w:p>
      <w:pPr>
        <w:pStyle w:val="Heading3"/>
      </w:pPr>
      <w:r>
        <w:t xml:space="preserve">0. Identité</w:t>
      </w:r>
    </w:p>
    <w:p>
      <w:pPr>
        <w:numPr>
          <w:ilvl w:val="0"/>
          <w:numId w:val="1028"/>
        </w:numPr>
        <w:pStyle w:val="Compact"/>
      </w:pPr>
      <w:r>
        <w:rPr>
          <w:bCs/>
          <w:b/>
        </w:rPr>
        <w:t xml:space="preserve">Opérateur</w:t>
      </w:r>
      <w:r>
        <w:t xml:space="preserve"> </w:t>
      </w:r>
      <w:r>
        <w:t xml:space="preserve">: SONABEL (Société nationale d’électricité du Burkina), société d’État verticalement intégrée. Elle assure la production, la gestion exclusive du transport et des interconnexions, la distribution et la commercialisation (pacte).</w:t>
      </w:r>
    </w:p>
    <w:p>
      <w:pPr>
        <w:numPr>
          <w:ilvl w:val="0"/>
          <w:numId w:val="1028"/>
        </w:numPr>
        <w:pStyle w:val="Compact"/>
      </w:pPr>
      <w:r>
        <w:rPr>
          <w:bCs/>
          <w:b/>
        </w:rPr>
        <w:t xml:space="preserve">Autres acteurs</w:t>
      </w:r>
      <w:r>
        <w:t xml:space="preserve"> </w:t>
      </w:r>
      <w:r>
        <w:t xml:space="preserve">: l’Agence Faso Veenem est chargée de l’électrification rurale [1] [V] ; la SONABHY fournit les hydrocarbures et les combustibles subventionnés à SONABEL [2] [V].</w:t>
      </w:r>
    </w:p>
    <w:p>
      <w:pPr>
        <w:numPr>
          <w:ilvl w:val="0"/>
          <w:numId w:val="1028"/>
        </w:numPr>
        <w:pStyle w:val="Compact"/>
      </w:pPr>
      <w:r>
        <w:rPr>
          <w:bCs/>
          <w:b/>
        </w:rPr>
        <w:t xml:space="preserve">Tutelle</w:t>
      </w:r>
      <w:r>
        <w:t xml:space="preserve"> </w:t>
      </w:r>
      <w:r>
        <w:t xml:space="preserve">: ministère de l’Énergie, des Mines et des Carrières (MEMC) [1] [V].</w:t>
      </w:r>
    </w:p>
    <w:p>
      <w:pPr>
        <w:numPr>
          <w:ilvl w:val="0"/>
          <w:numId w:val="1028"/>
        </w:numPr>
        <w:pStyle w:val="Compact"/>
      </w:pPr>
      <w:r>
        <w:rPr>
          <w:bCs/>
          <w:b/>
        </w:rPr>
        <w:t xml:space="preserve">Contrat de performance</w:t>
      </w:r>
      <w:r>
        <w:t xml:space="preserve"> </w:t>
      </w:r>
      <w:r>
        <w:t xml:space="preserve">: un contrat-plan État-SONABEL existe. Un comité interministériel de suivi a été créé et le rapport d’évaluation de la première année lui a été soumis. Une</w:t>
      </w:r>
      <w:r>
        <w:t xml:space="preserve"> </w:t>
      </w:r>
      <w:r>
        <w:rPr>
          <w:bCs/>
          <w:b/>
        </w:rPr>
        <w:t xml:space="preserve">révision du contrat-plan est prévue en 2026</w:t>
      </w:r>
      <w:r>
        <w:t xml:space="preserve"> </w:t>
      </w:r>
      <w:r>
        <w:t xml:space="preserve">[2, MEFP §107] [V]. L’adoption des contrats de performance de la SONABHY et de la SONABEL, et du contrat tripartite État/SONABHY/SONABEL, figure parmi les repères structurels du programme FMI 2023-2026 [2, tableau 2b] [V].</w:t>
      </w:r>
    </w:p>
    <w:p>
      <w:pPr>
        <w:numPr>
          <w:ilvl w:val="0"/>
          <w:numId w:val="1028"/>
        </w:numPr>
        <w:pStyle w:val="Compact"/>
      </w:pPr>
      <w:r>
        <w:rPr>
          <w:bCs/>
          <w:b/>
        </w:rPr>
        <w:t xml:space="preserve">Régulateur</w:t>
      </w:r>
      <w:r>
        <w:t xml:space="preserve"> </w:t>
      </w:r>
      <w:r>
        <w:t xml:space="preserve">: ARSE. Il a présenté son rapport 2024 au Premier ministre en août 2025 [7] [S, non lu].</w:t>
      </w:r>
    </w:p>
    <w:p>
      <w:pPr>
        <w:numPr>
          <w:ilvl w:val="0"/>
          <w:numId w:val="1028"/>
        </w:numPr>
        <w:pStyle w:val="Compact"/>
      </w:pPr>
      <w:r>
        <w:rPr>
          <w:bCs/>
          <w:b/>
        </w:rPr>
        <w:t xml:space="preserve">Derniers comptes</w:t>
      </w:r>
      <w:r>
        <w:t xml:space="preserve"> </w:t>
      </w:r>
      <w:r>
        <w:t xml:space="preserve">: rapport d’activités SONABEL 2024, cité par la BM [1], non trouvé en ligne [?]. La SONABEL transmet un</w:t>
      </w:r>
      <w:r>
        <w:t xml:space="preserve"> </w:t>
      </w:r>
      <w:r>
        <w:rPr>
          <w:bCs/>
          <w:b/>
        </w:rPr>
        <w:t xml:space="preserve">rapport trimestriel de trésorerie et de compte de résultat</w:t>
      </w:r>
      <w:r>
        <w:t xml:space="preserve"> </w:t>
      </w:r>
      <w:r>
        <w:t xml:space="preserve">au FMI, intégrant toutes les subventions reçues [2, TMU] [V]. Les données financières 2024 de la fiche phase 1 proviennent du pacte.</w:t>
      </w:r>
    </w:p>
    <w:bookmarkEnd w:id="63"/>
    <w:bookmarkStart w:id="64" w:name="situation-financière-2"/>
    <w:p>
      <w:pPr>
        <w:pStyle w:val="Heading3"/>
      </w:pPr>
      <w:r>
        <w:t xml:space="preserve">1. Situation financière</w:t>
      </w:r>
    </w:p>
    <w:tbl>
      <w:tblPr>
        <w:tblStyle w:val="Table"/>
        <w:tblW w:type="dxa" w:w="14570"/>
        <w:tblLook w:firstRow="1" w:lastRow="0" w:firstColumn="0" w:lastColumn="0" w:noHBand="0" w:noVBand="0" w:val="0020"/>
        <w:jc w:val="start"/>
      </w:tblPr>
      <w:tblGrid>
        <w:gridCol w:w="3606"/>
        <w:gridCol w:w="6994"/>
        <w:gridCol w:w="1160"/>
        <w:gridCol w:w="1385"/>
        <w:gridCol w:w="1423"/>
      </w:tblGrid>
      <w:tr>
        <w:trPr>
          <w:tblHeader w:val="true"/>
        </w:trPr>
        <w:tc>
          <w:tcPr>
            <w:tcW w:w="3606" w:type="dxa"/>
          </w:tcPr>
          <w:tcPr/>
          <w:p>
            <w:pPr>
              <w:pStyle w:val="Compact"/>
              <w:jc w:val="left"/>
            </w:pPr>
            <w:r>
              <w:t xml:space="preserve">Indicateur</w:t>
            </w:r>
          </w:p>
        </w:tc>
        <w:tc>
          <w:tcPr>
            <w:tcW w:w="6994" w:type="dxa"/>
          </w:tcPr>
          <w:tcPr/>
          <w:p>
            <w:pPr>
              <w:pStyle w:val="Compact"/>
              <w:jc w:val="left"/>
            </w:pPr>
            <w:r>
              <w:t xml:space="preserve">Valeur</w:t>
            </w:r>
          </w:p>
        </w:tc>
        <w:tc>
          <w:tcPr>
            <w:tcW w:w="1160" w:type="dxa"/>
          </w:tcPr>
          <w:tcPr/>
          <w:p>
            <w:pPr>
              <w:pStyle w:val="Compact"/>
              <w:jc w:val="left"/>
            </w:pPr>
            <w:r>
              <w:t xml:space="preserve">Année</w:t>
            </w:r>
          </w:p>
        </w:tc>
        <w:tc>
          <w:tcPr>
            <w:tcW w:w="1385" w:type="dxa"/>
          </w:tcPr>
          <w:tcPr/>
          <w:p>
            <w:pPr>
              <w:pStyle w:val="Compact"/>
              <w:jc w:val="left"/>
            </w:pPr>
            <w:r>
              <w:t xml:space="preserve">Statut</w:t>
            </w:r>
          </w:p>
        </w:tc>
        <w:tc>
          <w:tcPr>
            <w:tcW w:w="1423" w:type="dxa"/>
          </w:tcPr>
          <w:tcPr/>
          <w:p>
            <w:pPr>
              <w:pStyle w:val="Compact"/>
              <w:jc w:val="left"/>
            </w:pPr>
            <w:r>
              <w:t xml:space="preserve">Source</w:t>
            </w:r>
          </w:p>
        </w:tc>
      </w:tr>
      <w:tr>
        <w:tc>
          <w:tcPr>
            <w:tcW w:w="3606" w:type="dxa"/>
          </w:tcPr>
          <w:tcPr/>
          <w:p>
            <w:pPr>
              <w:pStyle w:val="Compact"/>
              <w:jc w:val="left"/>
            </w:pPr>
            <w:r>
              <w:t xml:space="preserve">Chiffre d’affaires</w:t>
            </w:r>
          </w:p>
        </w:tc>
        <w:tc>
          <w:tcPr>
            <w:tcW w:w="6994" w:type="dxa"/>
          </w:tcPr>
          <w:tcPr/>
          <w:p>
            <w:pPr>
              <w:pStyle w:val="Compact"/>
              <w:jc w:val="left"/>
            </w:pPr>
            <w:r>
              <w:t xml:space="preserve">285 Md FCFA (pacte)</w:t>
            </w:r>
          </w:p>
        </w:tc>
        <w:tc>
          <w:tcPr>
            <w:tcW w:w="1160" w:type="dxa"/>
          </w:tcPr>
          <w:tcPr/>
          <w:p>
            <w:pPr>
              <w:pStyle w:val="Compact"/>
              <w:jc w:val="left"/>
            </w:pPr>
            <w:r>
              <w:t xml:space="preserve">2024</w:t>
            </w:r>
          </w:p>
        </w:tc>
        <w:tc>
          <w:tcPr>
            <w:tcW w:w="1385" w:type="dxa"/>
          </w:tcPr>
          <w:tcPr/>
          <w:p>
            <w:pPr>
              <w:pStyle w:val="Compact"/>
              <w:jc w:val="left"/>
            </w:pPr>
            <w:r>
              <w:t xml:space="preserve">pacte</w:t>
            </w:r>
          </w:p>
        </w:tc>
        <w:tc>
          <w:tcPr>
            <w:tcW w:w="1423" w:type="dxa"/>
          </w:tcPr>
          <w:tcPr/>
          <w:p>
            <w:pPr>
              <w:pStyle w:val="Compact"/>
              <w:jc w:val="left"/>
            </w:pPr>
            <w:r>
              <w:t xml:space="preserve">phase 1</w:t>
            </w:r>
          </w:p>
        </w:tc>
      </w:tr>
      <w:tr>
        <w:tc>
          <w:tcPr>
            <w:tcW w:w="3606" w:type="dxa"/>
          </w:tcPr>
          <w:tcPr/>
          <w:p>
            <w:pPr>
              <w:pStyle w:val="Compact"/>
              <w:jc w:val="left"/>
            </w:pPr>
            <w:r>
              <w:t xml:space="preserve">Résultat net / marge</w:t>
            </w:r>
          </w:p>
        </w:tc>
        <w:tc>
          <w:tcPr>
            <w:tcW w:w="6994" w:type="dxa"/>
          </w:tcPr>
          <w:tcPr/>
          <w:p>
            <w:pPr>
              <w:pStyle w:val="Compact"/>
              <w:jc w:val="left"/>
            </w:pPr>
            <w:r>
              <w:t xml:space="preserve">marge nette de 4,24 % (pacte), soit environ 12 Md FCFA [E]. L’équilibre est obtenu grâce au protocole tripartite sur le prix des combustibles</w:t>
            </w:r>
          </w:p>
        </w:tc>
        <w:tc>
          <w:tcPr>
            <w:tcW w:w="1160" w:type="dxa"/>
          </w:tcPr>
          <w:tcPr/>
          <w:p>
            <w:pPr>
              <w:pStyle w:val="Compact"/>
              <w:jc w:val="left"/>
            </w:pPr>
            <w:r>
              <w:t xml:space="preserve">2024</w:t>
            </w:r>
          </w:p>
        </w:tc>
        <w:tc>
          <w:tcPr>
            <w:tcW w:w="1385" w:type="dxa"/>
          </w:tcPr>
          <w:tcPr/>
          <w:p>
            <w:pPr>
              <w:pStyle w:val="Compact"/>
              <w:jc w:val="left"/>
            </w:pPr>
            <w:r>
              <w:t xml:space="preserve">pacte</w:t>
            </w:r>
          </w:p>
        </w:tc>
        <w:tc>
          <w:tcPr>
            <w:tcW w:w="1423" w:type="dxa"/>
          </w:tcPr>
          <w:tcPr/>
          <w:p>
            <w:pPr>
              <w:pStyle w:val="Compact"/>
              <w:jc w:val="left"/>
            </w:pPr>
            <w:r>
              <w:t xml:space="preserve">phase 1</w:t>
            </w:r>
          </w:p>
        </w:tc>
      </w:tr>
      <w:tr>
        <w:tc>
          <w:tcPr>
            <w:tcW w:w="3606" w:type="dxa"/>
          </w:tcPr>
          <w:tcPr/>
          <w:p>
            <w:pPr>
              <w:pStyle w:val="Compact"/>
              <w:jc w:val="left"/>
            </w:pPr>
            <w:r>
              <w:t xml:space="preserve">EBITDA</w:t>
            </w:r>
          </w:p>
        </w:tc>
        <w:tc>
          <w:tcPr>
            <w:tcW w:w="6994" w:type="dxa"/>
          </w:tcPr>
          <w:tcPr/>
          <w:p>
            <w:pPr>
              <w:pStyle w:val="Compact"/>
              <w:jc w:val="left"/>
            </w:pPr>
            <w:r>
              <w:t xml:space="preserve">[?]</w:t>
            </w:r>
          </w:p>
        </w:tc>
        <w:tc>
          <w:tcPr>
            <w:tcW w:w="1160" w:type="dxa"/>
          </w:tcPr>
          <w:tcPr/>
          <w:p>
            <w:pPr>
              <w:pStyle w:val="Compact"/>
              <w:jc w:val="left"/>
            </w:pPr>
            <w:r>
              <w:t xml:space="preserve">—</w:t>
            </w:r>
          </w:p>
        </w:tc>
        <w:tc>
          <w:tcPr>
            <w:tcW w:w="1385" w:type="dxa"/>
          </w:tcPr>
          <w:tcPr/>
          <w:p>
            <w:pPr>
              <w:pStyle w:val="Compact"/>
              <w:jc w:val="left"/>
            </w:pPr>
            <w:r>
              <w:t xml:space="preserve">[?]</w:t>
            </w:r>
          </w:p>
        </w:tc>
        <w:tc>
          <w:tcPr>
            <w:tcW w:w="1423" w:type="dxa"/>
          </w:tcPr>
          <w:tcPr/>
          <w:p>
            <w:pPr>
              <w:pStyle w:val="Compact"/>
              <w:jc w:val="left"/>
            </w:pPr>
            <w:r>
              <w:t xml:space="preserve">—</w:t>
            </w:r>
          </w:p>
        </w:tc>
      </w:tr>
      <w:tr>
        <w:tc>
          <w:tcPr>
            <w:tcW w:w="3606" w:type="dxa"/>
          </w:tcPr>
          <w:tcPr/>
          <w:p>
            <w:pPr>
              <w:pStyle w:val="Compact"/>
              <w:jc w:val="left"/>
            </w:pPr>
            <w:r>
              <w:t xml:space="preserve">Dette</w:t>
            </w:r>
          </w:p>
        </w:tc>
        <w:tc>
          <w:tcPr>
            <w:tcW w:w="6994" w:type="dxa"/>
          </w:tcPr>
          <w:tcPr/>
          <w:p>
            <w:pPr>
              <w:pStyle w:val="Compact"/>
              <w:jc w:val="left"/>
            </w:pPr>
            <w:r>
              <w:t xml:space="preserve">dettes financières de 438,08 M USD ; dettes fournisseurs de 174,75 M USD (pacte)</w:t>
            </w:r>
          </w:p>
        </w:tc>
        <w:tc>
          <w:tcPr>
            <w:tcW w:w="1160" w:type="dxa"/>
          </w:tcPr>
          <w:tcPr/>
          <w:p>
            <w:pPr>
              <w:pStyle w:val="Compact"/>
              <w:jc w:val="left"/>
            </w:pPr>
            <w:r>
              <w:t xml:space="preserve">2024</w:t>
            </w:r>
          </w:p>
        </w:tc>
        <w:tc>
          <w:tcPr>
            <w:tcW w:w="1385" w:type="dxa"/>
          </w:tcPr>
          <w:tcPr/>
          <w:p>
            <w:pPr>
              <w:pStyle w:val="Compact"/>
              <w:jc w:val="left"/>
            </w:pPr>
            <w:r>
              <w:t xml:space="preserve">pacte</w:t>
            </w:r>
          </w:p>
        </w:tc>
        <w:tc>
          <w:tcPr>
            <w:tcW w:w="1423" w:type="dxa"/>
          </w:tcPr>
          <w:tcPr/>
          <w:p>
            <w:pPr>
              <w:pStyle w:val="Compact"/>
              <w:jc w:val="left"/>
            </w:pPr>
            <w:r>
              <w:t xml:space="preserve">phase 1</w:t>
            </w:r>
          </w:p>
        </w:tc>
      </w:tr>
      <w:tr>
        <w:tc>
          <w:tcPr>
            <w:tcW w:w="3606" w:type="dxa"/>
          </w:tcPr>
          <w:tcPr/>
          <w:p>
            <w:pPr>
              <w:pStyle w:val="Compact"/>
              <w:jc w:val="left"/>
            </w:pPr>
            <w:r>
              <w:t xml:space="preserve">Créances sur l’État / clients</w:t>
            </w:r>
          </w:p>
        </w:tc>
        <w:tc>
          <w:tcPr>
            <w:tcW w:w="6994" w:type="dxa"/>
          </w:tcPr>
          <w:tcPr/>
          <w:p>
            <w:pPr>
              <w:pStyle w:val="Compact"/>
              <w:jc w:val="left"/>
            </w:pPr>
            <w:r>
              <w:t xml:space="preserve">41,66 M USD sur l’État ; 489,38 M USD sur les particuliers (pacte)</w:t>
            </w:r>
          </w:p>
        </w:tc>
        <w:tc>
          <w:tcPr>
            <w:tcW w:w="1160" w:type="dxa"/>
          </w:tcPr>
          <w:tcPr/>
          <w:p>
            <w:pPr>
              <w:pStyle w:val="Compact"/>
              <w:jc w:val="left"/>
            </w:pPr>
            <w:r>
              <w:t xml:space="preserve">2024</w:t>
            </w:r>
          </w:p>
        </w:tc>
        <w:tc>
          <w:tcPr>
            <w:tcW w:w="1385" w:type="dxa"/>
          </w:tcPr>
          <w:tcPr/>
          <w:p>
            <w:pPr>
              <w:pStyle w:val="Compact"/>
              <w:jc w:val="left"/>
            </w:pPr>
            <w:r>
              <w:t xml:space="preserve">pacte</w:t>
            </w:r>
          </w:p>
        </w:tc>
        <w:tc>
          <w:tcPr>
            <w:tcW w:w="1423" w:type="dxa"/>
          </w:tcPr>
          <w:tcPr/>
          <w:p>
            <w:pPr>
              <w:pStyle w:val="Compact"/>
              <w:jc w:val="left"/>
            </w:pPr>
            <w:r>
              <w:t xml:space="preserve">phase 1</w:t>
            </w:r>
          </w:p>
        </w:tc>
      </w:tr>
      <w:tr>
        <w:tc>
          <w:tcPr>
            <w:tcW w:w="3606" w:type="dxa"/>
          </w:tcPr>
          <w:tcPr/>
          <w:p>
            <w:pPr>
              <w:pStyle w:val="Compact"/>
              <w:jc w:val="left"/>
            </w:pPr>
            <w:r>
              <w:rPr>
                <w:bCs/>
                <w:b/>
              </w:rPr>
              <w:t xml:space="preserve">Subventions de l’État (combustibles SONABEL)</w:t>
            </w:r>
          </w:p>
        </w:tc>
        <w:tc>
          <w:tcPr>
            <w:tcW w:w="6994" w:type="dxa"/>
          </w:tcPr>
          <w:tcPr/>
          <w:p>
            <w:pPr>
              <w:pStyle w:val="Compact"/>
              <w:jc w:val="left"/>
            </w:pPr>
            <w:r>
              <w:rPr>
                <w:bCs/>
                <w:b/>
              </w:rPr>
              <w:t xml:space="preserve">96,2 Md FCFA en 2025</w:t>
            </w:r>
            <w:r>
              <w:t xml:space="preserve"> </w:t>
            </w:r>
            <w:r>
              <w:t xml:space="preserve">(le butane reçoit aussi 96,2 Md, pour un total de 192,4 Md). Fin mars 2026 : 14,3 Md FCFA (provisoire). Les subventions énergétiques « non prévues » ont fait dépasser de 0,7 point de PIB le plafond indicatif de dépenses primaires</w:t>
            </w:r>
          </w:p>
        </w:tc>
        <w:tc>
          <w:tcPr>
            <w:tcW w:w="1160" w:type="dxa"/>
          </w:tcPr>
          <w:tcPr/>
          <w:p>
            <w:pPr>
              <w:pStyle w:val="Compact"/>
              <w:jc w:val="left"/>
            </w:pPr>
            <w:r>
              <w:t xml:space="preserve">2025-26</w:t>
            </w:r>
          </w:p>
        </w:tc>
        <w:tc>
          <w:tcPr>
            <w:tcW w:w="1385" w:type="dxa"/>
          </w:tcPr>
          <w:tcPr/>
          <w:p>
            <w:pPr>
              <w:pStyle w:val="Compact"/>
              <w:jc w:val="left"/>
            </w:pPr>
            <w:r>
              <w:t xml:space="preserve">[V]</w:t>
            </w:r>
          </w:p>
        </w:tc>
        <w:tc>
          <w:tcPr>
            <w:tcW w:w="1423" w:type="dxa"/>
          </w:tcPr>
          <w:tcPr/>
          <w:p>
            <w:pPr>
              <w:pStyle w:val="Compact"/>
              <w:jc w:val="left"/>
            </w:pPr>
            <w:r>
              <w:t xml:space="preserve">[2, MEFP §17]</w:t>
            </w:r>
          </w:p>
        </w:tc>
      </w:tr>
      <w:tr>
        <w:tc>
          <w:tcPr>
            <w:tcW w:w="3606" w:type="dxa"/>
          </w:tcPr>
          <w:tcPr/>
          <w:p>
            <w:pPr>
              <w:pStyle w:val="Compact"/>
              <w:jc w:val="left"/>
            </w:pPr>
            <w:r>
              <w:t xml:space="preserve">Politique 2026</w:t>
            </w:r>
          </w:p>
        </w:tc>
        <w:tc>
          <w:tcPr>
            <w:tcW w:w="6994" w:type="dxa"/>
          </w:tcPr>
          <w:tcPr/>
          <w:p>
            <w:pPr>
              <w:pStyle w:val="Compact"/>
              <w:jc w:val="left"/>
            </w:pPr>
            <w:r>
              <w:t xml:space="preserve">les autorités</w:t>
            </w:r>
            <w:r>
              <w:t xml:space="preserve"> </w:t>
            </w:r>
            <w:r>
              <w:rPr>
                <w:bCs/>
                <w:b/>
              </w:rPr>
              <w:t xml:space="preserve">maintiennent la subvention aux combustibles destinés à la production d’électricité</w:t>
            </w:r>
            <w:r>
              <w:t xml:space="preserve">, d’où des coûts temporairement croissants. Le FMI avertit : « If additional costs were absorbed in the balance sheets of SONABEL and SONABHY, fiscal risks would still increase »</w:t>
            </w:r>
          </w:p>
        </w:tc>
        <w:tc>
          <w:tcPr>
            <w:tcW w:w="1160" w:type="dxa"/>
          </w:tcPr>
          <w:tcPr/>
          <w:p>
            <w:pPr>
              <w:pStyle w:val="Compact"/>
              <w:jc w:val="left"/>
            </w:pPr>
            <w:r>
              <w:t xml:space="preserve">2026</w:t>
            </w:r>
          </w:p>
        </w:tc>
        <w:tc>
          <w:tcPr>
            <w:tcW w:w="1385" w:type="dxa"/>
          </w:tcPr>
          <w:tcPr/>
          <w:p>
            <w:pPr>
              <w:pStyle w:val="Compact"/>
              <w:jc w:val="left"/>
            </w:pPr>
            <w:r>
              <w:t xml:space="preserve">[V]</w:t>
            </w:r>
          </w:p>
        </w:tc>
        <w:tc>
          <w:tcPr>
            <w:tcW w:w="1423" w:type="dxa"/>
          </w:tcPr>
          <w:tcPr/>
          <w:p>
            <w:pPr>
              <w:pStyle w:val="Compact"/>
              <w:jc w:val="left"/>
            </w:pPr>
            <w:r>
              <w:t xml:space="preserve">[2, §30]</w:t>
            </w:r>
          </w:p>
        </w:tc>
      </w:tr>
      <w:tr>
        <w:tc>
          <w:tcPr>
            <w:tcW w:w="3606" w:type="dxa"/>
          </w:tcPr>
          <w:tcPr/>
          <w:p>
            <w:pPr>
              <w:pStyle w:val="Compact"/>
              <w:jc w:val="left"/>
            </w:pPr>
            <w:r>
              <w:t xml:space="preserve">Subventions (pacte)</w:t>
            </w:r>
          </w:p>
        </w:tc>
        <w:tc>
          <w:tcPr>
            <w:tcW w:w="6994" w:type="dxa"/>
          </w:tcPr>
          <w:tcPr/>
          <w:p>
            <w:pPr>
              <w:pStyle w:val="Compact"/>
              <w:jc w:val="left"/>
            </w:pPr>
            <w:r>
              <w:t xml:space="preserve">120,37 M USD (2022) ; 142,53 M USD (2023) ; 133,66 M USD (2024)</w:t>
            </w:r>
          </w:p>
        </w:tc>
        <w:tc>
          <w:tcPr>
            <w:tcW w:w="1160" w:type="dxa"/>
          </w:tcPr>
          <w:tcPr/>
          <w:p>
            <w:pPr>
              <w:pStyle w:val="Compact"/>
              <w:jc w:val="left"/>
            </w:pPr>
            <w:r>
              <w:t xml:space="preserve">2022-24</w:t>
            </w:r>
          </w:p>
        </w:tc>
        <w:tc>
          <w:tcPr>
            <w:tcW w:w="1385" w:type="dxa"/>
          </w:tcPr>
          <w:tcPr/>
          <w:p>
            <w:pPr>
              <w:pStyle w:val="Compact"/>
              <w:jc w:val="left"/>
            </w:pPr>
            <w:r>
              <w:t xml:space="preserve">pacte</w:t>
            </w:r>
          </w:p>
        </w:tc>
        <w:tc>
          <w:tcPr>
            <w:tcW w:w="1423" w:type="dxa"/>
          </w:tcPr>
          <w:tcPr/>
          <w:p>
            <w:pPr>
              <w:pStyle w:val="Compact"/>
              <w:jc w:val="left"/>
            </w:pPr>
            <w:r>
              <w:t xml:space="preserve">phase 1</w:t>
            </w:r>
          </w:p>
        </w:tc>
      </w:tr>
      <w:tr>
        <w:tc>
          <w:tcPr>
            <w:tcW w:w="3606" w:type="dxa"/>
          </w:tcPr>
          <w:tcPr/>
          <w:p>
            <w:pPr>
              <w:pStyle w:val="Compact"/>
              <w:jc w:val="left"/>
            </w:pPr>
            <w:r>
              <w:t xml:space="preserve">Taux de recouvrement</w:t>
            </w:r>
          </w:p>
        </w:tc>
        <w:tc>
          <w:tcPr>
            <w:tcW w:w="6994" w:type="dxa"/>
          </w:tcPr>
          <w:tcPr/>
          <w:p>
            <w:pPr>
              <w:pStyle w:val="Compact"/>
              <w:jc w:val="left"/>
            </w:pPr>
            <w:r>
              <w:t xml:space="preserve">[?] non trouvé</w:t>
            </w:r>
          </w:p>
        </w:tc>
        <w:tc>
          <w:tcPr>
            <w:tcW w:w="1160" w:type="dxa"/>
          </w:tcPr>
          <w:tcPr/>
          <w:p>
            <w:pPr>
              <w:pStyle w:val="Compact"/>
              <w:jc w:val="left"/>
            </w:pPr>
            <w:r>
              <w:t xml:space="preserve">—</w:t>
            </w:r>
          </w:p>
        </w:tc>
        <w:tc>
          <w:tcPr>
            <w:tcW w:w="1385" w:type="dxa"/>
          </w:tcPr>
          <w:tcPr/>
          <w:p>
            <w:pPr>
              <w:pStyle w:val="Compact"/>
              <w:jc w:val="left"/>
            </w:pPr>
            <w:r>
              <w:t xml:space="preserve">[?]</w:t>
            </w:r>
          </w:p>
        </w:tc>
        <w:tc>
          <w:tcPr>
            <w:tcW w:w="1423" w:type="dxa"/>
          </w:tcPr>
          <w:tcPr/>
          <w:p>
            <w:pPr>
              <w:pStyle w:val="Compact"/>
              <w:jc w:val="left"/>
            </w:pPr>
            <w:r>
              <w:t xml:space="preserve">—</w:t>
            </w:r>
          </w:p>
        </w:tc>
      </w:tr>
      <w:tr>
        <w:tc>
          <w:tcPr>
            <w:tcW w:w="3606" w:type="dxa"/>
          </w:tcPr>
          <w:tcPr/>
          <w:p>
            <w:pPr>
              <w:pStyle w:val="Compact"/>
              <w:jc w:val="left"/>
            </w:pPr>
            <w:r>
              <w:t xml:space="preserve">Recette moyenne par kWh</w:t>
            </w:r>
          </w:p>
        </w:tc>
        <w:tc>
          <w:tcPr>
            <w:tcW w:w="6994" w:type="dxa"/>
          </w:tcPr>
          <w:tcPr/>
          <w:p>
            <w:pPr>
              <w:pStyle w:val="Compact"/>
              <w:jc w:val="left"/>
            </w:pPr>
            <w:r>
              <w:t xml:space="preserve">[?]</w:t>
            </w:r>
          </w:p>
        </w:tc>
        <w:tc>
          <w:tcPr>
            <w:tcW w:w="1160" w:type="dxa"/>
          </w:tcPr>
          <w:tcPr/>
          <w:p>
            <w:pPr>
              <w:pStyle w:val="Compact"/>
              <w:jc w:val="left"/>
            </w:pPr>
            <w:r>
              <w:t xml:space="preserve">—</w:t>
            </w:r>
          </w:p>
        </w:tc>
        <w:tc>
          <w:tcPr>
            <w:tcW w:w="1385" w:type="dxa"/>
          </w:tcPr>
          <w:tcPr/>
          <w:p>
            <w:pPr>
              <w:pStyle w:val="Compact"/>
              <w:jc w:val="left"/>
            </w:pPr>
            <w:r>
              <w:t xml:space="preserve">[?]</w:t>
            </w:r>
          </w:p>
        </w:tc>
        <w:tc>
          <w:tcPr>
            <w:tcW w:w="1423" w:type="dxa"/>
          </w:tcPr>
          <w:tcPr/>
          <w:p>
            <w:pPr>
              <w:pStyle w:val="Compact"/>
              <w:jc w:val="left"/>
            </w:pPr>
            <w:r>
              <w:t xml:space="preserve">—</w:t>
            </w:r>
          </w:p>
        </w:tc>
      </w:tr>
      <w:tr>
        <w:tc>
          <w:tcPr>
            <w:tcW w:w="3606" w:type="dxa"/>
          </w:tcPr>
          <w:tcPr/>
          <w:p>
            <w:pPr>
              <w:pStyle w:val="Compact"/>
              <w:jc w:val="left"/>
            </w:pPr>
            <w:r>
              <w:t xml:space="preserve">Coût par kWh</w:t>
            </w:r>
          </w:p>
        </w:tc>
        <w:tc>
          <w:tcPr>
            <w:tcW w:w="6994" w:type="dxa"/>
          </w:tcPr>
          <w:tcPr/>
          <w:p>
            <w:pPr>
              <w:pStyle w:val="Compact"/>
              <w:jc w:val="left"/>
            </w:pPr>
            <w:r>
              <w:t xml:space="preserve">coût de production parmi les plus élevés de la région, environ</w:t>
            </w:r>
            <w:r>
              <w:t xml:space="preserve"> </w:t>
            </w:r>
            <w:r>
              <w:rPr>
                <w:bCs/>
                <w:b/>
              </w:rPr>
              <w:t xml:space="preserve">0,22 USD/kWh</w:t>
            </w:r>
            <w:r>
              <w:t xml:space="preserve"> </w:t>
            </w:r>
            <w:r>
              <w:t xml:space="preserve">(moyenne ouest-africaine : 0,18) [1]. Le pacte donne 132,15 FCFA/kWh en 2024, subvention aux combustibles comprise</w:t>
            </w:r>
          </w:p>
        </w:tc>
        <w:tc>
          <w:tcPr>
            <w:tcW w:w="1160" w:type="dxa"/>
          </w:tcPr>
          <w:tcPr/>
          <w:p>
            <w:pPr>
              <w:pStyle w:val="Compact"/>
              <w:jc w:val="left"/>
            </w:pPr>
            <w:r>
              <w:t xml:space="preserve">2024-25</w:t>
            </w:r>
          </w:p>
        </w:tc>
        <w:tc>
          <w:tcPr>
            <w:tcW w:w="1385" w:type="dxa"/>
          </w:tcPr>
          <w:tcPr/>
          <w:p>
            <w:pPr>
              <w:pStyle w:val="Compact"/>
              <w:jc w:val="left"/>
            </w:pPr>
            <w:r>
              <w:t xml:space="preserve">[V] / pacte</w:t>
            </w:r>
          </w:p>
        </w:tc>
        <w:tc>
          <w:tcPr>
            <w:tcW w:w="1423" w:type="dxa"/>
          </w:tcPr>
          <w:tcPr/>
          <w:p>
            <w:pPr>
              <w:pStyle w:val="Compact"/>
              <w:jc w:val="left"/>
            </w:pPr>
            <w:r>
              <w:t xml:space="preserve">[1]</w:t>
            </w:r>
          </w:p>
        </w:tc>
      </w:tr>
      <w:tr>
        <w:tc>
          <w:tcPr>
            <w:tcW w:w="3606" w:type="dxa"/>
          </w:tcPr>
          <w:tcPr/>
          <w:p>
            <w:pPr>
              <w:pStyle w:val="Compact"/>
              <w:jc w:val="left"/>
            </w:pPr>
            <w:r>
              <w:t xml:space="preserve">Déficit quasi-budgétaire</w:t>
            </w:r>
          </w:p>
        </w:tc>
        <w:tc>
          <w:tcPr>
            <w:tcW w:w="6994" w:type="dxa"/>
          </w:tcPr>
          <w:tcPr/>
          <w:p>
            <w:pPr>
              <w:pStyle w:val="Compact"/>
              <w:jc w:val="left"/>
            </w:pPr>
            <w:r>
              <w:t xml:space="preserve">[?]</w:t>
            </w:r>
          </w:p>
        </w:tc>
        <w:tc>
          <w:tcPr>
            <w:tcW w:w="1160" w:type="dxa"/>
          </w:tcPr>
          <w:tcPr/>
          <w:p>
            <w:pPr>
              <w:pStyle w:val="Compact"/>
              <w:jc w:val="left"/>
            </w:pPr>
            <w:r>
              <w:t xml:space="preserve">—</w:t>
            </w:r>
          </w:p>
        </w:tc>
        <w:tc>
          <w:tcPr>
            <w:tcW w:w="1385" w:type="dxa"/>
          </w:tcPr>
          <w:tcPr/>
          <w:p>
            <w:pPr>
              <w:pStyle w:val="Compact"/>
              <w:jc w:val="left"/>
            </w:pPr>
            <w:r>
              <w:t xml:space="preserve">[?]</w:t>
            </w:r>
          </w:p>
        </w:tc>
        <w:tc>
          <w:tcPr>
            <w:tcW w:w="1423" w:type="dxa"/>
          </w:tcPr>
          <w:tcPr/>
          <w:p>
            <w:pPr>
              <w:pStyle w:val="Compact"/>
              <w:jc w:val="left"/>
            </w:pPr>
            <w:r>
              <w:t xml:space="preserve">—</w:t>
            </w:r>
          </w:p>
        </w:tc>
      </w:tr>
      <w:tr>
        <w:tc>
          <w:tcPr>
            <w:tcW w:w="3606" w:type="dxa"/>
          </w:tcPr>
          <w:tcPr/>
          <w:p>
            <w:pPr>
              <w:pStyle w:val="Compact"/>
              <w:jc w:val="left"/>
            </w:pPr>
            <w:r>
              <w:t xml:space="preserve">Notation</w:t>
            </w:r>
          </w:p>
        </w:tc>
        <w:tc>
          <w:tcPr>
            <w:tcW w:w="6994" w:type="dxa"/>
          </w:tcPr>
          <w:tcPr/>
          <w:p>
            <w:pPr>
              <w:pStyle w:val="Compact"/>
              <w:jc w:val="left"/>
            </w:pPr>
            <w:r>
              <w:t xml:space="preserve">[?]</w:t>
            </w:r>
          </w:p>
        </w:tc>
        <w:tc>
          <w:tcPr>
            <w:tcW w:w="1160" w:type="dxa"/>
          </w:tcPr>
          <w:tcPr/>
          <w:p>
            <w:pPr>
              <w:pStyle w:val="Compact"/>
              <w:jc w:val="left"/>
            </w:pPr>
            <w:r>
              <w:t xml:space="preserve">—</w:t>
            </w:r>
          </w:p>
        </w:tc>
        <w:tc>
          <w:tcPr>
            <w:tcW w:w="1385" w:type="dxa"/>
          </w:tcPr>
          <w:tcPr/>
          <w:p>
            <w:pPr>
              <w:pStyle w:val="Compact"/>
              <w:jc w:val="left"/>
            </w:pPr>
            <w:r>
              <w:t xml:space="preserve">[?]</w:t>
            </w:r>
          </w:p>
        </w:tc>
        <w:tc>
          <w:tcPr>
            <w:tcW w:w="1423" w:type="dxa"/>
          </w:tcPr>
          <w:tcPr/>
          <w:p>
            <w:pPr>
              <w:pStyle w:val="Compact"/>
              <w:jc w:val="left"/>
            </w:pPr>
            <w:r>
              <w:t xml:space="preserve">—</w:t>
            </w:r>
          </w:p>
        </w:tc>
      </w:tr>
    </w:tbl>
    <w:bookmarkEnd w:id="64"/>
    <w:bookmarkStart w:id="65" w:name="situation-technique-2"/>
    <w:p>
      <w:pPr>
        <w:pStyle w:val="Heading3"/>
      </w:pPr>
      <w:r>
        <w:t xml:space="preserve">2. Situation technique</w:t>
      </w:r>
    </w:p>
    <w:tbl>
      <w:tblPr>
        <w:tblStyle w:val="Table"/>
        <w:tblW w:type="dxa" w:w="14570"/>
        <w:tblLook w:firstRow="1" w:lastRow="0" w:firstColumn="0" w:lastColumn="0" w:noHBand="0" w:noVBand="0" w:val="0020"/>
        <w:jc w:val="start"/>
      </w:tblPr>
      <w:tblGrid>
        <w:gridCol w:w="2456"/>
        <w:gridCol w:w="8746"/>
        <w:gridCol w:w="1155"/>
        <w:gridCol w:w="1107"/>
        <w:gridCol w:w="1105"/>
      </w:tblGrid>
      <w:tr>
        <w:trPr>
          <w:tblHeader w:val="true"/>
        </w:trPr>
        <w:tc>
          <w:tcPr>
            <w:tcW w:w="2456" w:type="dxa"/>
          </w:tcPr>
          <w:tcPr/>
          <w:p>
            <w:pPr>
              <w:pStyle w:val="Compact"/>
              <w:jc w:val="left"/>
            </w:pPr>
            <w:r>
              <w:t xml:space="preserve">Indicateur</w:t>
            </w:r>
          </w:p>
        </w:tc>
        <w:tc>
          <w:tcPr>
            <w:tcW w:w="8746" w:type="dxa"/>
          </w:tcPr>
          <w:tcPr/>
          <w:p>
            <w:pPr>
              <w:pStyle w:val="Compact"/>
              <w:jc w:val="left"/>
            </w:pPr>
            <w:r>
              <w:t xml:space="preserve">Valeur</w:t>
            </w:r>
          </w:p>
        </w:tc>
        <w:tc>
          <w:tcPr>
            <w:tcW w:w="1155" w:type="dxa"/>
          </w:tcPr>
          <w:tcPr/>
          <w:p>
            <w:pPr>
              <w:pStyle w:val="Compact"/>
              <w:jc w:val="left"/>
            </w:pPr>
            <w:r>
              <w:t xml:space="preserve">Année</w:t>
            </w:r>
          </w:p>
        </w:tc>
        <w:tc>
          <w:tcPr>
            <w:tcW w:w="1107" w:type="dxa"/>
          </w:tcPr>
          <w:tcPr/>
          <w:p>
            <w:pPr>
              <w:pStyle w:val="Compact"/>
              <w:jc w:val="left"/>
            </w:pPr>
            <w:r>
              <w:t xml:space="preserve">Statut</w:t>
            </w:r>
          </w:p>
        </w:tc>
        <w:tc>
          <w:tcPr>
            <w:tcW w:w="1105" w:type="dxa"/>
          </w:tcPr>
          <w:tcPr/>
          <w:p>
            <w:pPr>
              <w:pStyle w:val="Compact"/>
              <w:jc w:val="left"/>
            </w:pPr>
            <w:r>
              <w:t xml:space="preserve">Source</w:t>
            </w:r>
          </w:p>
        </w:tc>
      </w:tr>
      <w:tr>
        <w:tc>
          <w:tcPr>
            <w:tcW w:w="2456" w:type="dxa"/>
          </w:tcPr>
          <w:tcPr/>
          <w:p>
            <w:pPr>
              <w:pStyle w:val="Compact"/>
              <w:jc w:val="left"/>
            </w:pPr>
            <w:r>
              <w:t xml:space="preserve">Capacité installée</w:t>
            </w:r>
          </w:p>
        </w:tc>
        <w:tc>
          <w:tcPr>
            <w:tcW w:w="8746" w:type="dxa"/>
          </w:tcPr>
          <w:tcPr/>
          <w:p>
            <w:pPr>
              <w:pStyle w:val="Compact"/>
              <w:jc w:val="left"/>
            </w:pPr>
            <w:r>
              <w:t xml:space="preserve">environ 680 MW en 2024 (FMI). Le plan RELANCE vise environ 2 585 MW en 2030 [2]. Solaire : 226 MW (2025) selon la BM, 233,7 MW dans un autre passage du même document [1]</w:t>
            </w:r>
          </w:p>
        </w:tc>
        <w:tc>
          <w:tcPr>
            <w:tcW w:w="1155" w:type="dxa"/>
          </w:tcPr>
          <w:tcPr/>
          <w:p>
            <w:pPr>
              <w:pStyle w:val="Compact"/>
              <w:jc w:val="left"/>
            </w:pPr>
            <w:r>
              <w:t xml:space="preserve">2024-25</w:t>
            </w:r>
          </w:p>
        </w:tc>
        <w:tc>
          <w:tcPr>
            <w:tcW w:w="1107" w:type="dxa"/>
          </w:tcPr>
          <w:tcPr/>
          <w:p>
            <w:pPr>
              <w:pStyle w:val="Compact"/>
              <w:jc w:val="left"/>
            </w:pPr>
            <w:r>
              <w:t xml:space="preserve">[V]</w:t>
            </w:r>
          </w:p>
        </w:tc>
        <w:tc>
          <w:tcPr>
            <w:tcW w:w="1105" w:type="dxa"/>
          </w:tcPr>
          <w:tcPr/>
          <w:p>
            <w:pPr>
              <w:pStyle w:val="Compact"/>
              <w:jc w:val="left"/>
            </w:pPr>
            <w:r>
              <w:t xml:space="preserve">[1 ; 2]</w:t>
            </w:r>
          </w:p>
        </w:tc>
      </w:tr>
      <w:tr>
        <w:tc>
          <w:tcPr>
            <w:tcW w:w="2456" w:type="dxa"/>
          </w:tcPr>
          <w:tcPr/>
          <w:p>
            <w:pPr>
              <w:pStyle w:val="Compact"/>
              <w:jc w:val="left"/>
            </w:pPr>
            <w:r>
              <w:t xml:space="preserve">Mix d’approvisionnement</w:t>
            </w:r>
          </w:p>
        </w:tc>
        <w:tc>
          <w:tcPr>
            <w:tcW w:w="8746" w:type="dxa"/>
          </w:tcPr>
          <w:tcPr/>
          <w:p>
            <w:pPr>
              <w:pStyle w:val="Compact"/>
              <w:jc w:val="left"/>
            </w:pPr>
            <w:r>
              <w:rPr>
                <w:bCs/>
                <w:b/>
              </w:rPr>
              <w:t xml:space="preserve">importations ramenées de 58 % à 48 %</w:t>
            </w:r>
            <w:r>
              <w:t xml:space="preserve"> </w:t>
            </w:r>
            <w:r>
              <w:t xml:space="preserve">et solaire porté de 6 % à 12 % en 2025 (rapport d’activités SONABEL 2024, cité par la BM)</w:t>
            </w:r>
          </w:p>
        </w:tc>
        <w:tc>
          <w:tcPr>
            <w:tcW w:w="1155" w:type="dxa"/>
          </w:tcPr>
          <w:tcPr/>
          <w:p>
            <w:pPr>
              <w:pStyle w:val="Compact"/>
              <w:jc w:val="left"/>
            </w:pPr>
            <w:r>
              <w:t xml:space="preserve">2025</w:t>
            </w:r>
          </w:p>
        </w:tc>
        <w:tc>
          <w:tcPr>
            <w:tcW w:w="1107" w:type="dxa"/>
          </w:tcPr>
          <w:tcPr/>
          <w:p>
            <w:pPr>
              <w:pStyle w:val="Compact"/>
              <w:jc w:val="left"/>
            </w:pPr>
            <w:r>
              <w:t xml:space="preserve">[V]</w:t>
            </w:r>
          </w:p>
        </w:tc>
        <w:tc>
          <w:tcPr>
            <w:tcW w:w="1105" w:type="dxa"/>
          </w:tcPr>
          <w:tcPr/>
          <w:p>
            <w:pPr>
              <w:pStyle w:val="Compact"/>
              <w:jc w:val="left"/>
            </w:pPr>
            <w:r>
              <w:t xml:space="preserve">[1]</w:t>
            </w:r>
          </w:p>
        </w:tc>
      </w:tr>
      <w:tr>
        <w:tc>
          <w:tcPr>
            <w:tcW w:w="2456" w:type="dxa"/>
          </w:tcPr>
          <w:tcPr/>
          <w:p>
            <w:pPr>
              <w:pStyle w:val="Compact"/>
              <w:jc w:val="left"/>
            </w:pPr>
            <w:r>
              <w:t xml:space="preserve">PPA thermiques signés</w:t>
            </w:r>
          </w:p>
        </w:tc>
        <w:tc>
          <w:tcPr>
            <w:tcW w:w="8746" w:type="dxa"/>
          </w:tcPr>
          <w:tcPr/>
          <w:p>
            <w:pPr>
              <w:pStyle w:val="Compact"/>
              <w:jc w:val="left"/>
            </w:pPr>
            <w:r>
              <w:rPr>
                <w:bCs/>
                <w:b/>
              </w:rPr>
              <w:t xml:space="preserve">7 centrales, 1 029 MW au total</w:t>
            </w:r>
            <w:r>
              <w:t xml:space="preserve">. Ce choix répond aux perturbations des contrats d’importation ; la BM avertit qu’il « will come at significant cost » [1]. Mises en service attendues en 2026 : Pabré 50 MW (PPP, mai 2026), Komsilga extension 50 MW, Bobo 2 (24 MW), Koudougou (25 MW), Kaya (25 MW) [2, MEFP §107]</w:t>
            </w:r>
          </w:p>
        </w:tc>
        <w:tc>
          <w:tcPr>
            <w:tcW w:w="1155" w:type="dxa"/>
          </w:tcPr>
          <w:tcPr/>
          <w:p>
            <w:pPr>
              <w:pStyle w:val="Compact"/>
              <w:jc w:val="left"/>
            </w:pPr>
            <w:r>
              <w:t xml:space="preserve">2025-26</w:t>
            </w:r>
          </w:p>
        </w:tc>
        <w:tc>
          <w:tcPr>
            <w:tcW w:w="1107" w:type="dxa"/>
          </w:tcPr>
          <w:tcPr/>
          <w:p>
            <w:pPr>
              <w:pStyle w:val="Compact"/>
              <w:jc w:val="left"/>
            </w:pPr>
            <w:r>
              <w:t xml:space="preserve">[V]</w:t>
            </w:r>
          </w:p>
        </w:tc>
        <w:tc>
          <w:tcPr>
            <w:tcW w:w="1105" w:type="dxa"/>
          </w:tcPr>
          <w:tcPr/>
          <w:p>
            <w:pPr>
              <w:pStyle w:val="Compact"/>
              <w:jc w:val="left"/>
            </w:pPr>
            <w:r>
              <w:t xml:space="preserve">[1 ; 2]</w:t>
            </w:r>
          </w:p>
        </w:tc>
      </w:tr>
      <w:tr>
        <w:tc>
          <w:tcPr>
            <w:tcW w:w="2456" w:type="dxa"/>
          </w:tcPr>
          <w:tcPr/>
          <w:p>
            <w:pPr>
              <w:pStyle w:val="Compact"/>
              <w:jc w:val="left"/>
            </w:pPr>
            <w:r>
              <w:t xml:space="preserve">Délestages</w:t>
            </w:r>
          </w:p>
        </w:tc>
        <w:tc>
          <w:tcPr>
            <w:tcW w:w="8746" w:type="dxa"/>
          </w:tcPr>
          <w:tcPr/>
          <w:p>
            <w:pPr>
              <w:pStyle w:val="Compact"/>
              <w:jc w:val="left"/>
            </w:pPr>
            <w:r>
              <w:t xml:space="preserve">objectif prioritaire du gouvernement : « avoid load shedding during the hot season » [2, MEFP §104]. Le pacte relève un SAIDI de 146 h et un SAIFI de 358 en 2024</w:t>
            </w:r>
          </w:p>
        </w:tc>
        <w:tc>
          <w:tcPr>
            <w:tcW w:w="1155" w:type="dxa"/>
          </w:tcPr>
          <w:tcPr/>
          <w:p>
            <w:pPr>
              <w:pStyle w:val="Compact"/>
              <w:jc w:val="left"/>
            </w:pPr>
            <w:r>
              <w:t xml:space="preserve">2024-26</w:t>
            </w:r>
          </w:p>
        </w:tc>
        <w:tc>
          <w:tcPr>
            <w:tcW w:w="1107" w:type="dxa"/>
          </w:tcPr>
          <w:tcPr/>
          <w:p>
            <w:pPr>
              <w:pStyle w:val="Compact"/>
              <w:jc w:val="left"/>
            </w:pPr>
            <w:r>
              <w:t xml:space="preserve">[V] / pacte</w:t>
            </w:r>
          </w:p>
        </w:tc>
        <w:tc>
          <w:tcPr>
            <w:tcW w:w="1105" w:type="dxa"/>
          </w:tcPr>
          <w:tcPr/>
          <w:p>
            <w:pPr>
              <w:pStyle w:val="Compact"/>
              <w:jc w:val="left"/>
            </w:pPr>
            <w:r>
              <w:t xml:space="preserve">[2]</w:t>
            </w:r>
          </w:p>
        </w:tc>
      </w:tr>
      <w:tr>
        <w:tc>
          <w:tcPr>
            <w:tcW w:w="2456" w:type="dxa"/>
          </w:tcPr>
          <w:tcPr/>
          <w:p>
            <w:pPr>
              <w:pStyle w:val="Compact"/>
              <w:jc w:val="left"/>
            </w:pPr>
            <w:r>
              <w:t xml:space="preserve">Pertes</w:t>
            </w:r>
          </w:p>
        </w:tc>
        <w:tc>
          <w:tcPr>
            <w:tcW w:w="8746" w:type="dxa"/>
          </w:tcPr>
          <w:tcPr/>
          <w:p>
            <w:pPr>
              <w:pStyle w:val="Compact"/>
              <w:jc w:val="left"/>
            </w:pPr>
            <w:r>
              <w:t xml:space="preserve">[?] aucune donnée primaire. Le pacte chiffre un programme pertes à 105 Md FCFA</w:t>
            </w:r>
          </w:p>
        </w:tc>
        <w:tc>
          <w:tcPr>
            <w:tcW w:w="1155" w:type="dxa"/>
          </w:tcPr>
          <w:tcPr/>
          <w:p>
            <w:pPr>
              <w:pStyle w:val="Compact"/>
              <w:jc w:val="left"/>
            </w:pPr>
            <w:r>
              <w:t xml:space="preserve">—</w:t>
            </w:r>
          </w:p>
        </w:tc>
        <w:tc>
          <w:tcPr>
            <w:tcW w:w="1107" w:type="dxa"/>
          </w:tcPr>
          <w:tcPr/>
          <w:p>
            <w:pPr>
              <w:pStyle w:val="Compact"/>
              <w:jc w:val="left"/>
            </w:pPr>
            <w:r>
              <w:t xml:space="preserve">[?]</w:t>
            </w:r>
          </w:p>
        </w:tc>
        <w:tc>
          <w:tcPr>
            <w:tcW w:w="1105" w:type="dxa"/>
          </w:tcPr>
          <w:tcPr/>
          <w:p>
            <w:pPr>
              <w:pStyle w:val="Compact"/>
              <w:jc w:val="left"/>
            </w:pPr>
            <w:r>
              <w:t xml:space="preserve">—</w:t>
            </w:r>
          </w:p>
        </w:tc>
      </w:tr>
      <w:tr>
        <w:tc>
          <w:tcPr>
            <w:tcW w:w="2456" w:type="dxa"/>
          </w:tcPr>
          <w:tcPr/>
          <w:p>
            <w:pPr>
              <w:pStyle w:val="Compact"/>
              <w:jc w:val="left"/>
            </w:pPr>
            <w:r>
              <w:t xml:space="preserve">Clients ; prépayé</w:t>
            </w:r>
          </w:p>
        </w:tc>
        <w:tc>
          <w:tcPr>
            <w:tcW w:w="8746" w:type="dxa"/>
          </w:tcPr>
          <w:tcPr/>
          <w:p>
            <w:pPr>
              <w:pStyle w:val="Compact"/>
              <w:jc w:val="left"/>
            </w:pPr>
            <w:r>
              <w:t xml:space="preserve">1 140 446 clients, dont 881 151 prépayés (pacte, 2024)</w:t>
            </w:r>
          </w:p>
        </w:tc>
        <w:tc>
          <w:tcPr>
            <w:tcW w:w="1155" w:type="dxa"/>
          </w:tcPr>
          <w:tcPr/>
          <w:p>
            <w:pPr>
              <w:pStyle w:val="Compact"/>
              <w:jc w:val="left"/>
            </w:pPr>
            <w:r>
              <w:t xml:space="preserve">2024</w:t>
            </w:r>
          </w:p>
        </w:tc>
        <w:tc>
          <w:tcPr>
            <w:tcW w:w="1107" w:type="dxa"/>
          </w:tcPr>
          <w:tcPr/>
          <w:p>
            <w:pPr>
              <w:pStyle w:val="Compact"/>
              <w:jc w:val="left"/>
            </w:pPr>
            <w:r>
              <w:t xml:space="preserve">pacte</w:t>
            </w:r>
          </w:p>
        </w:tc>
        <w:tc>
          <w:tcPr>
            <w:tcW w:w="1105" w:type="dxa"/>
          </w:tcPr>
          <w:tcPr/>
          <w:p>
            <w:pPr>
              <w:pStyle w:val="Compact"/>
              <w:jc w:val="left"/>
            </w:pPr>
            <w:r>
              <w:t xml:space="preserve">phase 1</w:t>
            </w:r>
          </w:p>
        </w:tc>
      </w:tr>
      <w:tr>
        <w:tc>
          <w:tcPr>
            <w:tcW w:w="2456" w:type="dxa"/>
          </w:tcPr>
          <w:tcPr/>
          <w:p>
            <w:pPr>
              <w:pStyle w:val="Compact"/>
              <w:jc w:val="left"/>
            </w:pPr>
            <w:r>
              <w:t xml:space="preserve">Transport</w:t>
            </w:r>
          </w:p>
        </w:tc>
        <w:tc>
          <w:tcPr>
            <w:tcW w:w="8746" w:type="dxa"/>
          </w:tcPr>
          <w:tcPr/>
          <w:p>
            <w:pPr>
              <w:pStyle w:val="Compact"/>
              <w:jc w:val="left"/>
            </w:pPr>
            <w:r>
              <w:t xml:space="preserve">le réseau de transport n’a crû que de 14 % entre 2013 et 2023, contre 111 % pour la distribution</w:t>
            </w:r>
          </w:p>
        </w:tc>
        <w:tc>
          <w:tcPr>
            <w:tcW w:w="1155" w:type="dxa"/>
          </w:tcPr>
          <w:tcPr/>
          <w:p>
            <w:pPr>
              <w:pStyle w:val="Compact"/>
              <w:jc w:val="left"/>
            </w:pPr>
            <w:r>
              <w:t xml:space="preserve">2023</w:t>
            </w:r>
          </w:p>
        </w:tc>
        <w:tc>
          <w:tcPr>
            <w:tcW w:w="1107" w:type="dxa"/>
          </w:tcPr>
          <w:tcPr/>
          <w:p>
            <w:pPr>
              <w:pStyle w:val="Compact"/>
              <w:jc w:val="left"/>
            </w:pPr>
            <w:r>
              <w:t xml:space="preserve">[V]</w:t>
            </w:r>
          </w:p>
        </w:tc>
        <w:tc>
          <w:tcPr>
            <w:tcW w:w="1105" w:type="dxa"/>
          </w:tcPr>
          <w:tcPr/>
          <w:p>
            <w:pPr>
              <w:pStyle w:val="Compact"/>
              <w:jc w:val="left"/>
            </w:pPr>
            <w:r>
              <w:t xml:space="preserve">[1]</w:t>
            </w:r>
          </w:p>
        </w:tc>
      </w:tr>
    </w:tbl>
    <w:bookmarkEnd w:id="65"/>
    <w:bookmarkStart w:id="66" w:name="situation-économique-et-gouvernance-2"/>
    <w:p>
      <w:pPr>
        <w:pStyle w:val="Heading3"/>
      </w:pPr>
      <w:r>
        <w:t xml:space="preserve">3. Situation économique et gouvernance</w:t>
      </w:r>
    </w:p>
    <w:p>
      <w:pPr>
        <w:numPr>
          <w:ilvl w:val="0"/>
          <w:numId w:val="1029"/>
        </w:numPr>
        <w:pStyle w:val="Compact"/>
      </w:pPr>
      <w:r>
        <w:rPr>
          <w:bCs/>
          <w:b/>
        </w:rPr>
        <w:t xml:space="preserve">PPA</w:t>
      </w:r>
      <w:r>
        <w:t xml:space="preserve"> </w:t>
      </w:r>
      <w:r>
        <w:t xml:space="preserve">: la stratégie de « souveraineté énergétique » repose sur des IPP thermiques (1 029 MW) et des PPP. Le take-or-pay et l’exposition au combustible importé sont probables, mais les termes ne sont pas publics [?]. Les importations viennent du Ghana, de la Côte d’Ivoire et de la CEB [2] [V].</w:t>
      </w:r>
    </w:p>
    <w:p>
      <w:pPr>
        <w:numPr>
          <w:ilvl w:val="0"/>
          <w:numId w:val="1029"/>
        </w:numPr>
        <w:pStyle w:val="Compact"/>
      </w:pPr>
      <w:r>
        <w:rPr>
          <w:bCs/>
          <w:b/>
        </w:rPr>
        <w:t xml:space="preserve">Change et combustible</w:t>
      </w:r>
      <w:r>
        <w:t xml:space="preserve"> </w:t>
      </w:r>
      <w:r>
        <w:t xml:space="preserve">: forte exposition. Le fioul lourd et le DDO de SONABEL sont subventionnés par l’État via la SONABHY [2, note 2 des tableaux budgétaires] [V]. La décision de 2026 de maintenir cette subvention, malgré le choc pétrolier, accroît le risque [2] [V].</w:t>
      </w:r>
    </w:p>
    <w:p>
      <w:pPr>
        <w:numPr>
          <w:ilvl w:val="0"/>
          <w:numId w:val="1029"/>
        </w:numPr>
        <w:pStyle w:val="Compact"/>
      </w:pPr>
      <w:r>
        <w:rPr>
          <w:bCs/>
          <w:b/>
        </w:rPr>
        <w:t xml:space="preserve">Tarifs</w:t>
      </w:r>
      <w:r>
        <w:t xml:space="preserve"> </w:t>
      </w:r>
      <w:r>
        <w:t xml:space="preserve">: une étude de segmentation de la clientèle doit permettre une tarification qui « optimise la subvention de l’État tout en consolidant la situation financière de SONABEL » [2, MEFP §106] [V]. Aucun calendrier de hausse n’est fixé. Grille d’octobre 2023 et tarifs ruraux de janvier 2025 : voir le pacte.</w:t>
      </w:r>
    </w:p>
    <w:p>
      <w:pPr>
        <w:numPr>
          <w:ilvl w:val="0"/>
          <w:numId w:val="1029"/>
        </w:numPr>
        <w:pStyle w:val="Compact"/>
      </w:pPr>
      <w:r>
        <w:rPr>
          <w:bCs/>
          <w:b/>
        </w:rPr>
        <w:t xml:space="preserve">Gouvernance</w:t>
      </w:r>
      <w:r>
        <w:t xml:space="preserve"> </w:t>
      </w:r>
      <w:r>
        <w:t xml:space="preserve">: le FMI mentionne les PPA (Performance and Policy Actions de l’IDA) pour renforcer la supervision de SONABEL et de la SONABHY [2] [V]. Le projet BM SOLEER AF2 prévoit la séparation comptable et l’« autonomie technique et opérationnelle » de SONABEL, avec de nouveaux départements d’ingénierie et de supervision [1] [V].</w:t>
      </w:r>
    </w:p>
    <w:bookmarkEnd w:id="66"/>
    <w:bookmarkStart w:id="67" w:name="X0f67bdd1b2c21227cb81aa5b673080f177b5ed3"/>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578"/>
        <w:gridCol w:w="1141"/>
        <w:gridCol w:w="2420"/>
        <w:gridCol w:w="1033"/>
        <w:gridCol w:w="3170"/>
        <w:gridCol w:w="1305"/>
        <w:gridCol w:w="1224"/>
        <w:gridCol w:w="694"/>
      </w:tblGrid>
      <w:tr>
        <w:trPr>
          <w:tblHeader w:val="true"/>
        </w:trPr>
        <w:tc>
          <w:tcPr>
            <w:tcW w:w="3578" w:type="dxa"/>
          </w:tcPr>
          <w:tcPr/>
          <w:p>
            <w:pPr>
              <w:pStyle w:val="Compact"/>
              <w:jc w:val="left"/>
            </w:pPr>
            <w:r>
              <w:t xml:space="preserve">Programme / projet</w:t>
            </w:r>
          </w:p>
        </w:tc>
        <w:tc>
          <w:tcPr>
            <w:tcW w:w="1141" w:type="dxa"/>
          </w:tcPr>
          <w:tcPr/>
          <w:p>
            <w:pPr>
              <w:pStyle w:val="Compact"/>
              <w:jc w:val="left"/>
            </w:pPr>
            <w:r>
              <w:t xml:space="preserve">Bailleur</w:t>
            </w:r>
          </w:p>
        </w:tc>
        <w:tc>
          <w:tcPr>
            <w:tcW w:w="2420" w:type="dxa"/>
          </w:tcPr>
          <w:tcPr/>
          <w:p>
            <w:pPr>
              <w:pStyle w:val="Compact"/>
              <w:jc w:val="left"/>
            </w:pPr>
            <w:r>
              <w:t xml:space="preserve">Montant</w:t>
            </w:r>
          </w:p>
        </w:tc>
        <w:tc>
          <w:tcPr>
            <w:tcW w:w="1033" w:type="dxa"/>
          </w:tcPr>
          <w:tcPr/>
          <w:p>
            <w:pPr>
              <w:pStyle w:val="Compact"/>
              <w:jc w:val="left"/>
            </w:pPr>
            <w:r>
              <w:t xml:space="preserve">Années</w:t>
            </w:r>
          </w:p>
        </w:tc>
        <w:tc>
          <w:tcPr>
            <w:tcW w:w="3170" w:type="dxa"/>
          </w:tcPr>
          <w:tcPr/>
          <w:p>
            <w:pPr>
              <w:pStyle w:val="Compact"/>
              <w:jc w:val="left"/>
            </w:pPr>
            <w:r>
              <w:t xml:space="preserve">Objectifs liés à l’opérateur</w:t>
            </w:r>
          </w:p>
        </w:tc>
        <w:tc>
          <w:tcPr>
            <w:tcW w:w="1305" w:type="dxa"/>
          </w:tcPr>
          <w:tcPr/>
          <w:p>
            <w:pPr>
              <w:pStyle w:val="Compact"/>
              <w:jc w:val="left"/>
            </w:pPr>
            <w:r>
              <w:t xml:space="preserve">Conditions / indicateurs</w:t>
            </w:r>
          </w:p>
        </w:tc>
        <w:tc>
          <w:tcPr>
            <w:tcW w:w="1224" w:type="dxa"/>
          </w:tcPr>
          <w:tcPr/>
          <w:p>
            <w:pPr>
              <w:pStyle w:val="Compact"/>
              <w:jc w:val="left"/>
            </w:pPr>
            <w:r>
              <w:t xml:space="preserve">Statut</w:t>
            </w:r>
          </w:p>
        </w:tc>
        <w:tc>
          <w:tcPr>
            <w:tcW w:w="694" w:type="dxa"/>
          </w:tcPr>
          <w:tcPr/>
          <w:p>
            <w:pPr>
              <w:pStyle w:val="Compact"/>
              <w:jc w:val="left"/>
            </w:pPr>
            <w:r>
              <w:t xml:space="preserve">Source</w:t>
            </w:r>
          </w:p>
        </w:tc>
      </w:tr>
      <w:tr>
        <w:tc>
          <w:tcPr>
            <w:tcW w:w="3578" w:type="dxa"/>
          </w:tcPr>
          <w:tcPr/>
          <w:p>
            <w:pPr>
              <w:pStyle w:val="Compact"/>
              <w:jc w:val="left"/>
            </w:pPr>
            <w:r>
              <w:t xml:space="preserve">Burkina Faso Energy Access / Solar Energy and Access Project (SOLEER),</w:t>
            </w:r>
            <w:r>
              <w:t xml:space="preserve"> </w:t>
            </w:r>
            <w:r>
              <w:rPr>
                <w:bCs/>
                <w:b/>
              </w:rPr>
              <w:t xml:space="preserve">P166785</w:t>
            </w:r>
          </w:p>
        </w:tc>
        <w:tc>
          <w:tcPr>
            <w:tcW w:w="1141" w:type="dxa"/>
          </w:tcPr>
          <w:tcPr/>
          <w:p>
            <w:pPr>
              <w:pStyle w:val="Compact"/>
              <w:jc w:val="left"/>
            </w:pPr>
            <w:r>
              <w:t xml:space="preserve">BM (IDA de 75 M USD, soit 69,1 M EUR) + CTF (89 + 3 M USD) + GIF (0,7 M)</w:t>
            </w:r>
          </w:p>
        </w:tc>
        <w:tc>
          <w:tcPr>
            <w:tcW w:w="2420" w:type="dxa"/>
          </w:tcPr>
          <w:tcPr/>
          <w:p>
            <w:pPr>
              <w:pStyle w:val="Compact"/>
              <w:jc w:val="left"/>
            </w:pPr>
            <w:r>
              <w:t xml:space="preserve">coût total de 607,7 M USD, dont 439 M de capitaux privés</w:t>
            </w:r>
          </w:p>
        </w:tc>
        <w:tc>
          <w:tcPr>
            <w:tcW w:w="1033" w:type="dxa"/>
          </w:tcPr>
          <w:tcPr/>
          <w:p>
            <w:pPr>
              <w:pStyle w:val="Compact"/>
              <w:jc w:val="left"/>
            </w:pPr>
            <w:r>
              <w:t xml:space="preserve">21/06/2021 – 31/12/2028</w:t>
            </w:r>
          </w:p>
        </w:tc>
        <w:tc>
          <w:tcPr>
            <w:tcW w:w="3170" w:type="dxa"/>
          </w:tcPr>
          <w:tcPr/>
          <w:p>
            <w:pPr>
              <w:pStyle w:val="Compact"/>
              <w:jc w:val="left"/>
            </w:pPr>
            <w:r>
              <w:t xml:space="preserve">solaire IPP, stockage (BESS), réseau non interconnecté, densification. SONABEL exécute le renforcement du réseau</w:t>
            </w:r>
          </w:p>
        </w:tc>
        <w:tc>
          <w:tcPr>
            <w:tcW w:w="1305" w:type="dxa"/>
          </w:tcPr>
          <w:tcPr/>
          <w:p>
            <w:pPr>
              <w:pStyle w:val="Compact"/>
              <w:jc w:val="left"/>
            </w:pPr>
            <w:r>
              <w:t xml:space="preserve">décaissements : IDA 63,7 % ; 43 % au total (50,47 M USD)</w:t>
            </w:r>
          </w:p>
        </w:tc>
        <w:tc>
          <w:tcPr>
            <w:tcW w:w="1224" w:type="dxa"/>
          </w:tcPr>
          <w:tcPr/>
          <w:p>
            <w:pPr>
              <w:pStyle w:val="Compact"/>
              <w:jc w:val="left"/>
            </w:pPr>
            <w:r>
              <w:t xml:space="preserve">actif, « Satisfactory » (ISR 08/2026)</w:t>
            </w:r>
          </w:p>
        </w:tc>
        <w:tc>
          <w:tcPr>
            <w:tcW w:w="694" w:type="dxa"/>
          </w:tcPr>
          <w:tcPr/>
          <w:p>
            <w:pPr>
              <w:pStyle w:val="Compact"/>
              <w:jc w:val="left"/>
            </w:pPr>
            <w:r>
              <w:t xml:space="preserve">[3 ; 4 ; 8]</w:t>
            </w:r>
          </w:p>
        </w:tc>
      </w:tr>
      <w:tr>
        <w:tc>
          <w:tcPr>
            <w:tcW w:w="3578" w:type="dxa"/>
          </w:tcPr>
          <w:tcPr/>
          <w:p>
            <w:pPr>
              <w:pStyle w:val="Compact"/>
              <w:jc w:val="left"/>
            </w:pPr>
            <w:r>
              <w:t xml:space="preserve">SOLEER – 2e financement additionnel,</w:t>
            </w:r>
            <w:r>
              <w:t xml:space="preserve"> </w:t>
            </w:r>
            <w:r>
              <w:rPr>
                <w:bCs/>
                <w:b/>
              </w:rPr>
              <w:t xml:space="preserve">P515428</w:t>
            </w:r>
          </w:p>
        </w:tc>
        <w:tc>
          <w:tcPr>
            <w:tcW w:w="1141" w:type="dxa"/>
          </w:tcPr>
          <w:tcPr/>
          <w:p>
            <w:pPr>
              <w:pStyle w:val="Compact"/>
              <w:jc w:val="left"/>
            </w:pPr>
            <w:r>
              <w:t xml:space="preserve">BM (IDA)</w:t>
            </w:r>
          </w:p>
        </w:tc>
        <w:tc>
          <w:tcPr>
            <w:tcW w:w="2420" w:type="dxa"/>
          </w:tcPr>
          <w:tcPr/>
          <w:p>
            <w:pPr>
              <w:pStyle w:val="Compact"/>
              <w:jc w:val="left"/>
            </w:pPr>
            <w:r>
              <w:t xml:space="preserve">130 M USD + 2,5 M ESMAP</w:t>
            </w:r>
          </w:p>
        </w:tc>
        <w:tc>
          <w:tcPr>
            <w:tcW w:w="1033" w:type="dxa"/>
          </w:tcPr>
          <w:tcPr/>
          <w:p>
            <w:pPr>
              <w:pStyle w:val="Compact"/>
              <w:jc w:val="left"/>
            </w:pPr>
            <w:r>
              <w:t xml:space="preserve">conseil prévu le 30/10/2026</w:t>
            </w:r>
          </w:p>
        </w:tc>
        <w:tc>
          <w:tcPr>
            <w:tcW w:w="3170" w:type="dxa"/>
          </w:tcPr>
          <w:tcPr/>
          <w:p>
            <w:pPr>
              <w:pStyle w:val="Compact"/>
              <w:jc w:val="left"/>
            </w:pPr>
            <w:r>
              <w:t xml:space="preserve">extension du réseau (41,9 M), usages productifs ;</w:t>
            </w:r>
            <w:r>
              <w:t xml:space="preserve"> </w:t>
            </w:r>
            <w:r>
              <w:rPr>
                <w:bCs/>
                <w:b/>
              </w:rPr>
              <w:t xml:space="preserve">appui institutionnel à SONABEL : séparation comptable, autonomie</w:t>
            </w:r>
            <w:r>
              <w:t xml:space="preserve">, ARSE, Faso Veenem</w:t>
            </w:r>
          </w:p>
        </w:tc>
        <w:tc>
          <w:tcPr>
            <w:tcW w:w="1305" w:type="dxa"/>
          </w:tcPr>
          <w:tcPr/>
          <w:p>
            <w:pPr>
              <w:pStyle w:val="Compact"/>
              <w:jc w:val="left"/>
            </w:pPr>
            <w:r>
              <w:t xml:space="preserve">[?] cadre de résultats non consulté</w:t>
            </w:r>
          </w:p>
        </w:tc>
        <w:tc>
          <w:tcPr>
            <w:tcW w:w="1224" w:type="dxa"/>
          </w:tcPr>
          <w:tcPr/>
          <w:p>
            <w:pPr>
              <w:pStyle w:val="Compact"/>
              <w:jc w:val="left"/>
            </w:pPr>
            <w:r>
              <w:t xml:space="preserve">en préparation</w:t>
            </w:r>
          </w:p>
        </w:tc>
        <w:tc>
          <w:tcPr>
            <w:tcW w:w="694" w:type="dxa"/>
          </w:tcPr>
          <w:tcPr/>
          <w:p>
            <w:pPr>
              <w:pStyle w:val="Compact"/>
              <w:jc w:val="left"/>
            </w:pPr>
            <w:r>
              <w:t xml:space="preserve">[1 ; 8]</w:t>
            </w:r>
          </w:p>
        </w:tc>
      </w:tr>
      <w:tr>
        <w:tc>
          <w:tcPr>
            <w:tcW w:w="3578" w:type="dxa"/>
          </w:tcPr>
          <w:tcPr/>
          <w:p>
            <w:pPr>
              <w:pStyle w:val="Compact"/>
              <w:jc w:val="left"/>
            </w:pPr>
            <w:r>
              <w:t xml:space="preserve">PEDECEL (Desert to Power – électrification et raccordements), 46002-P-BF-FA0-013</w:t>
            </w:r>
          </w:p>
        </w:tc>
        <w:tc>
          <w:tcPr>
            <w:tcW w:w="1141" w:type="dxa"/>
          </w:tcPr>
          <w:tcPr/>
          <w:p>
            <w:pPr>
              <w:pStyle w:val="Compact"/>
              <w:jc w:val="left"/>
            </w:pPr>
            <w:r>
              <w:t xml:space="preserve">BAD</w:t>
            </w:r>
          </w:p>
        </w:tc>
        <w:tc>
          <w:tcPr>
            <w:tcW w:w="2420" w:type="dxa"/>
          </w:tcPr>
          <w:tcPr/>
          <w:p>
            <w:pPr>
              <w:pStyle w:val="Compact"/>
              <w:jc w:val="left"/>
            </w:pPr>
            <w:r>
              <w:t xml:space="preserve">35 + 15 M DTS (environ 70 M USD) ; 23,1 M USD décaissés</w:t>
            </w:r>
          </w:p>
        </w:tc>
        <w:tc>
          <w:tcPr>
            <w:tcW w:w="1033" w:type="dxa"/>
          </w:tcPr>
          <w:tcPr/>
          <w:p>
            <w:pPr>
              <w:pStyle w:val="Compact"/>
              <w:jc w:val="left"/>
            </w:pPr>
            <w:r>
              <w:t xml:space="preserve">09/2021</w:t>
            </w:r>
          </w:p>
        </w:tc>
        <w:tc>
          <w:tcPr>
            <w:tcW w:w="3170" w:type="dxa"/>
          </w:tcPr>
          <w:tcPr/>
          <w:p>
            <w:pPr>
              <w:pStyle w:val="Compact"/>
              <w:jc w:val="left"/>
            </w:pPr>
            <w:r>
              <w:t xml:space="preserve">raccordements, réseau</w:t>
            </w:r>
          </w:p>
        </w:tc>
        <w:tc>
          <w:tcPr>
            <w:tcW w:w="1305" w:type="dxa"/>
          </w:tcPr>
          <w:tcPr/>
          <w:p>
            <w:pPr>
              <w:pStyle w:val="Compact"/>
              <w:jc w:val="left"/>
            </w:pPr>
            <w:r>
              <w:t xml:space="preserve">[?]</w:t>
            </w:r>
          </w:p>
        </w:tc>
        <w:tc>
          <w:tcPr>
            <w:tcW w:w="1224" w:type="dxa"/>
          </w:tcPr>
          <w:tcPr/>
          <w:p>
            <w:pPr>
              <w:pStyle w:val="Compact"/>
              <w:jc w:val="left"/>
            </w:pPr>
            <w:r>
              <w:t xml:space="preserve">en cours</w:t>
            </w:r>
          </w:p>
        </w:tc>
        <w:tc>
          <w:tcPr>
            <w:tcW w:w="694" w:type="dxa"/>
          </w:tcPr>
          <w:tcPr/>
          <w:p>
            <w:pPr>
              <w:pStyle w:val="Compact"/>
              <w:jc w:val="left"/>
            </w:pPr>
            <w:r>
              <w:t xml:space="preserve">[5]</w:t>
            </w:r>
          </w:p>
        </w:tc>
      </w:tr>
      <w:tr>
        <w:tc>
          <w:tcPr>
            <w:tcW w:w="3578" w:type="dxa"/>
          </w:tcPr>
          <w:tcPr/>
          <w:p>
            <w:pPr>
              <w:pStyle w:val="Compact"/>
              <w:jc w:val="left"/>
            </w:pPr>
            <w:r>
              <w:t xml:space="preserve">Desert to Power – centrale solaire Yeleen et renforcement du système électrique, 46002-P-BF-FF0-006</w:t>
            </w:r>
          </w:p>
        </w:tc>
        <w:tc>
          <w:tcPr>
            <w:tcW w:w="1141" w:type="dxa"/>
          </w:tcPr>
          <w:tcPr/>
          <w:p>
            <w:pPr>
              <w:pStyle w:val="Compact"/>
              <w:jc w:val="left"/>
            </w:pPr>
            <w:r>
              <w:t xml:space="preserve">BAD</w:t>
            </w:r>
          </w:p>
        </w:tc>
        <w:tc>
          <w:tcPr>
            <w:tcW w:w="2420" w:type="dxa"/>
          </w:tcPr>
          <w:tcPr/>
          <w:p>
            <w:pPr>
              <w:pStyle w:val="Compact"/>
              <w:jc w:val="left"/>
            </w:pPr>
            <w:r>
              <w:t xml:space="preserve">environ 49,6 M DTS (68 M USD) ; 17,8 M USD décaissés</w:t>
            </w:r>
          </w:p>
        </w:tc>
        <w:tc>
          <w:tcPr>
            <w:tcW w:w="1033" w:type="dxa"/>
          </w:tcPr>
          <w:tcPr/>
          <w:p>
            <w:pPr>
              <w:pStyle w:val="Compact"/>
              <w:jc w:val="left"/>
            </w:pPr>
            <w:r>
              <w:t xml:space="preserve">02/2020</w:t>
            </w:r>
          </w:p>
        </w:tc>
        <w:tc>
          <w:tcPr>
            <w:tcW w:w="3170" w:type="dxa"/>
          </w:tcPr>
          <w:tcPr/>
          <w:p>
            <w:pPr>
              <w:pStyle w:val="Compact"/>
              <w:jc w:val="left"/>
            </w:pPr>
            <w:r>
              <w:t xml:space="preserve">solaire SONABEL, réseau</w:t>
            </w:r>
          </w:p>
        </w:tc>
        <w:tc>
          <w:tcPr>
            <w:tcW w:w="1305" w:type="dxa"/>
          </w:tcPr>
          <w:tcPr/>
          <w:p>
            <w:pPr>
              <w:pStyle w:val="Compact"/>
              <w:jc w:val="left"/>
            </w:pPr>
            <w:r>
              <w:t xml:space="preserve">[?]</w:t>
            </w:r>
          </w:p>
        </w:tc>
        <w:tc>
          <w:tcPr>
            <w:tcW w:w="1224" w:type="dxa"/>
          </w:tcPr>
          <w:tcPr/>
          <w:p>
            <w:pPr>
              <w:pStyle w:val="Compact"/>
              <w:jc w:val="left"/>
            </w:pPr>
            <w:r>
              <w:t xml:space="preserve">en cours</w:t>
            </w:r>
          </w:p>
        </w:tc>
        <w:tc>
          <w:tcPr>
            <w:tcW w:w="694" w:type="dxa"/>
          </w:tcPr>
          <w:tcPr/>
          <w:p>
            <w:pPr>
              <w:pStyle w:val="Compact"/>
              <w:jc w:val="left"/>
            </w:pPr>
            <w:r>
              <w:t xml:space="preserve">[5]</w:t>
            </w:r>
          </w:p>
        </w:tc>
      </w:tr>
      <w:tr>
        <w:tc>
          <w:tcPr>
            <w:tcW w:w="3578" w:type="dxa"/>
          </w:tcPr>
          <w:tcPr/>
          <w:p>
            <w:pPr>
              <w:pStyle w:val="Compact"/>
              <w:jc w:val="left"/>
            </w:pPr>
            <w:r>
              <w:t xml:space="preserve">Desert to Power – Dédougou 18 MW solaire, 46002-P-BF-FF0-009</w:t>
            </w:r>
          </w:p>
        </w:tc>
        <w:tc>
          <w:tcPr>
            <w:tcW w:w="1141" w:type="dxa"/>
          </w:tcPr>
          <w:tcPr/>
          <w:p>
            <w:pPr>
              <w:pStyle w:val="Compact"/>
              <w:jc w:val="left"/>
            </w:pPr>
            <w:r>
              <w:t xml:space="preserve">BAD</w:t>
            </w:r>
          </w:p>
        </w:tc>
        <w:tc>
          <w:tcPr>
            <w:tcW w:w="2420" w:type="dxa"/>
          </w:tcPr>
          <w:tcPr/>
          <w:p>
            <w:pPr>
              <w:pStyle w:val="Compact"/>
              <w:jc w:val="left"/>
            </w:pPr>
            <w:r>
              <w:t xml:space="preserve">environ 5,1 M DTS (7 M USD)</w:t>
            </w:r>
          </w:p>
        </w:tc>
        <w:tc>
          <w:tcPr>
            <w:tcW w:w="1033" w:type="dxa"/>
          </w:tcPr>
          <w:tcPr/>
          <w:p>
            <w:pPr>
              <w:pStyle w:val="Compact"/>
              <w:jc w:val="left"/>
            </w:pPr>
            <w:r>
              <w:t xml:space="preserve">07/2025</w:t>
            </w:r>
          </w:p>
        </w:tc>
        <w:tc>
          <w:tcPr>
            <w:tcW w:w="3170" w:type="dxa"/>
          </w:tcPr>
          <w:tcPr/>
          <w:p>
            <w:pPr>
              <w:pStyle w:val="Compact"/>
              <w:jc w:val="left"/>
            </w:pPr>
            <w:r>
              <w:t xml:space="preserve">production solaire</w:t>
            </w:r>
          </w:p>
        </w:tc>
        <w:tc>
          <w:tcPr>
            <w:tcW w:w="1305" w:type="dxa"/>
          </w:tcPr>
          <w:tcPr/>
          <w:p>
            <w:pPr>
              <w:pStyle w:val="Compact"/>
              <w:jc w:val="left"/>
            </w:pPr>
            <w:r>
              <w:t xml:space="preserve">[?]</w:t>
            </w:r>
          </w:p>
        </w:tc>
        <w:tc>
          <w:tcPr>
            <w:tcW w:w="1224" w:type="dxa"/>
          </w:tcPr>
          <w:tcPr/>
          <w:p>
            <w:pPr>
              <w:pStyle w:val="Compact"/>
              <w:jc w:val="left"/>
            </w:pPr>
            <w:r>
              <w:t xml:space="preserve">en cours</w:t>
            </w:r>
          </w:p>
        </w:tc>
        <w:tc>
          <w:tcPr>
            <w:tcW w:w="694" w:type="dxa"/>
          </w:tcPr>
          <w:tcPr/>
          <w:p>
            <w:pPr>
              <w:pStyle w:val="Compact"/>
              <w:jc w:val="left"/>
            </w:pPr>
            <w:r>
              <w:t xml:space="preserve">[5]</w:t>
            </w:r>
          </w:p>
        </w:tc>
      </w:tr>
      <w:tr>
        <w:tc>
          <w:tcPr>
            <w:tcW w:w="3578" w:type="dxa"/>
          </w:tcPr>
          <w:tcPr/>
          <w:p>
            <w:pPr>
              <w:pStyle w:val="Compact"/>
              <w:jc w:val="left"/>
            </w:pPr>
            <w:r>
              <w:t xml:space="preserve">Energy Sector Reform Support Programme (PARSE), 46002-P-BF-KZ0-001</w:t>
            </w:r>
          </w:p>
        </w:tc>
        <w:tc>
          <w:tcPr>
            <w:tcW w:w="1141" w:type="dxa"/>
          </w:tcPr>
          <w:tcPr/>
          <w:p>
            <w:pPr>
              <w:pStyle w:val="Compact"/>
              <w:jc w:val="left"/>
            </w:pPr>
            <w:r>
              <w:t xml:space="preserve">BAD (appui budgétaire)</w:t>
            </w:r>
          </w:p>
        </w:tc>
        <w:tc>
          <w:tcPr>
            <w:tcW w:w="2420" w:type="dxa"/>
          </w:tcPr>
          <w:tcPr/>
          <w:p>
            <w:pPr>
              <w:pStyle w:val="Compact"/>
              <w:jc w:val="left"/>
            </w:pPr>
            <w:r>
              <w:t xml:space="preserve">environ 14 M USD</w:t>
            </w:r>
          </w:p>
        </w:tc>
        <w:tc>
          <w:tcPr>
            <w:tcW w:w="1033" w:type="dxa"/>
          </w:tcPr>
          <w:tcPr/>
          <w:p>
            <w:pPr>
              <w:pStyle w:val="Compact"/>
              <w:jc w:val="left"/>
            </w:pPr>
            <w:r>
              <w:t xml:space="preserve">2018</w:t>
            </w:r>
          </w:p>
        </w:tc>
        <w:tc>
          <w:tcPr>
            <w:tcW w:w="3170" w:type="dxa"/>
          </w:tcPr>
          <w:tcPr/>
          <w:p>
            <w:pPr>
              <w:pStyle w:val="Compact"/>
              <w:jc w:val="left"/>
            </w:pPr>
            <w:r>
              <w:t xml:space="preserve">réformes du secteur</w:t>
            </w:r>
          </w:p>
        </w:tc>
        <w:tc>
          <w:tcPr>
            <w:tcW w:w="1305" w:type="dxa"/>
          </w:tcPr>
          <w:tcPr/>
          <w:p>
            <w:pPr>
              <w:pStyle w:val="Compact"/>
              <w:jc w:val="left"/>
            </w:pPr>
            <w:r>
              <w:t xml:space="preserve">—</w:t>
            </w:r>
          </w:p>
        </w:tc>
        <w:tc>
          <w:tcPr>
            <w:tcW w:w="1224" w:type="dxa"/>
          </w:tcPr>
          <w:tcPr/>
          <w:p>
            <w:pPr>
              <w:pStyle w:val="Compact"/>
              <w:jc w:val="left"/>
            </w:pPr>
            <w:r>
              <w:t xml:space="preserve">clôturé</w:t>
            </w:r>
          </w:p>
        </w:tc>
        <w:tc>
          <w:tcPr>
            <w:tcW w:w="694" w:type="dxa"/>
          </w:tcPr>
          <w:tcPr/>
          <w:p>
            <w:pPr>
              <w:pStyle w:val="Compact"/>
              <w:jc w:val="left"/>
            </w:pPr>
            <w:r>
              <w:t xml:space="preserve">[5]</w:t>
            </w:r>
          </w:p>
        </w:tc>
      </w:tr>
      <w:tr>
        <w:tc>
          <w:tcPr>
            <w:tcW w:w="3578" w:type="dxa"/>
          </w:tcPr>
          <w:tcPr/>
          <w:p>
            <w:pPr>
              <w:pStyle w:val="Compact"/>
              <w:jc w:val="left"/>
            </w:pPr>
            <w:r>
              <w:t xml:space="preserve">FEC FMI (augmentée de 50 % de la quote-part) et FRD (1re revue)</w:t>
            </w:r>
          </w:p>
        </w:tc>
        <w:tc>
          <w:tcPr>
            <w:tcW w:w="1141" w:type="dxa"/>
          </w:tcPr>
          <w:tcPr/>
          <w:p>
            <w:pPr>
              <w:pStyle w:val="Compact"/>
              <w:jc w:val="left"/>
            </w:pPr>
            <w:r>
              <w:t xml:space="preserve">FMI</w:t>
            </w:r>
          </w:p>
        </w:tc>
        <w:tc>
          <w:tcPr>
            <w:tcW w:w="2420" w:type="dxa"/>
          </w:tcPr>
          <w:tcPr/>
          <w:p>
            <w:pPr>
              <w:pStyle w:val="Compact"/>
              <w:jc w:val="left"/>
            </w:pPr>
            <w:r>
              <w:t xml:space="preserve">accès total de 288,96 M DTS ; FRD de 16,42 M DTS à la 1re revue</w:t>
            </w:r>
          </w:p>
        </w:tc>
        <w:tc>
          <w:tcPr>
            <w:tcW w:w="1033" w:type="dxa"/>
          </w:tcPr>
          <w:tcPr/>
          <w:p>
            <w:pPr>
              <w:pStyle w:val="Compact"/>
              <w:jc w:val="left"/>
            </w:pPr>
            <w:r>
              <w:t xml:space="preserve">2023-2027</w:t>
            </w:r>
          </w:p>
        </w:tc>
        <w:tc>
          <w:tcPr>
            <w:tcW w:w="3170" w:type="dxa"/>
          </w:tcPr>
          <w:tcPr/>
          <w:p>
            <w:pPr>
              <w:pStyle w:val="Compact"/>
              <w:jc w:val="left"/>
            </w:pPr>
            <w:r>
              <w:t xml:space="preserve">repères : contrats de performance SONABEL/SONABHY, contrat tripartite, revue des subventions énergétiques ; reporting trimestriel de SONABEL</w:t>
            </w:r>
          </w:p>
        </w:tc>
        <w:tc>
          <w:tcPr>
            <w:tcW w:w="1305" w:type="dxa"/>
          </w:tcPr>
          <w:tcPr/>
          <w:p>
            <w:pPr>
              <w:pStyle w:val="Compact"/>
              <w:jc w:val="left"/>
            </w:pPr>
            <w:r>
              <w:t xml:space="preserve">repères atteints</w:t>
            </w:r>
          </w:p>
        </w:tc>
        <w:tc>
          <w:tcPr>
            <w:tcW w:w="1224" w:type="dxa"/>
          </w:tcPr>
          <w:tcPr/>
          <w:p>
            <w:pPr>
              <w:pStyle w:val="Compact"/>
              <w:jc w:val="left"/>
            </w:pPr>
            <w:r>
              <w:t xml:space="preserve">actif (5e revue, CR 26/207)</w:t>
            </w:r>
          </w:p>
        </w:tc>
        <w:tc>
          <w:tcPr>
            <w:tcW w:w="694" w:type="dxa"/>
          </w:tcPr>
          <w:tcPr/>
          <w:p>
            <w:pPr>
              <w:pStyle w:val="Compact"/>
              <w:jc w:val="left"/>
            </w:pPr>
            <w:r>
              <w:t xml:space="preserve">[2]</w:t>
            </w:r>
          </w:p>
        </w:tc>
      </w:tr>
    </w:tbl>
    <w:bookmarkEnd w:id="67"/>
    <w:bookmarkStart w:id="68" w:name="écart-pacte-réalité-2"/>
    <w:p>
      <w:pPr>
        <w:pStyle w:val="Heading3"/>
      </w:pPr>
      <w:r>
        <w:t xml:space="preserve">5. Écart pacte ↔ réalité</w:t>
      </w:r>
    </w:p>
    <w:p>
      <w:pPr>
        <w:numPr>
          <w:ilvl w:val="0"/>
          <w:numId w:val="1030"/>
        </w:numPr>
        <w:pStyle w:val="Compact"/>
      </w:pPr>
      <w:r>
        <w:rPr>
          <w:bCs/>
          <w:b/>
        </w:rPr>
        <w:t xml:space="preserve">Subventions</w:t>
      </w:r>
      <w:r>
        <w:t xml:space="preserve"> </w:t>
      </w:r>
      <w:r>
        <w:t xml:space="preserve">: le pacte annonce une trajectoire « visant la couverture des coûts opérationnels d’ici 2030 ». En pratique, la subvention aux combustibles de SONABEL atteint 96,2 Md FCFA (environ 160 M USD [E]) en 2025, contre 134 M USD en 2024 selon le pacte. Le gouvernement</w:t>
      </w:r>
      <w:r>
        <w:t xml:space="preserve"> </w:t>
      </w:r>
      <w:r>
        <w:rPr>
          <w:bCs/>
          <w:b/>
        </w:rPr>
        <w:t xml:space="preserve">maintient</w:t>
      </w:r>
      <w:r>
        <w:t xml:space="preserve"> </w:t>
      </w:r>
      <w:r>
        <w:t xml:space="preserve">cette subvention en 2026 [2]. La tendance est donc à la hausse.</w:t>
      </w:r>
    </w:p>
    <w:p>
      <w:pPr>
        <w:numPr>
          <w:ilvl w:val="0"/>
          <w:numId w:val="1030"/>
        </w:numPr>
        <w:pStyle w:val="Compact"/>
      </w:pPr>
      <w:r>
        <w:rPr>
          <w:bCs/>
          <w:b/>
        </w:rPr>
        <w:t xml:space="preserve">Stratégie de production</w:t>
      </w:r>
      <w:r>
        <w:t xml:space="preserve"> </w:t>
      </w:r>
      <w:r>
        <w:t xml:space="preserve">: le pacte met l’accent sur le solaire (226 MW installés). La politique effective signe</w:t>
      </w:r>
      <w:r>
        <w:t xml:space="preserve"> </w:t>
      </w:r>
      <w:r>
        <w:rPr>
          <w:bCs/>
          <w:b/>
        </w:rPr>
        <w:t xml:space="preserve">1 029 MW de PPA thermiques</w:t>
      </w:r>
      <w:r>
        <w:t xml:space="preserve"> </w:t>
      </w:r>
      <w:r>
        <w:t xml:space="preserve">[1], que le pacte ne chiffre pas. C’est un risque majeur de coûts (take-or-pay, combustible) absent de la lecture du pacte.</w:t>
      </w:r>
    </w:p>
    <w:p>
      <w:pPr>
        <w:numPr>
          <w:ilvl w:val="0"/>
          <w:numId w:val="1030"/>
        </w:numPr>
        <w:pStyle w:val="Compact"/>
      </w:pPr>
      <w:r>
        <w:rPr>
          <w:bCs/>
          <w:b/>
        </w:rPr>
        <w:t xml:space="preserve">Rentabilité</w:t>
      </w:r>
      <w:r>
        <w:t xml:space="preserve"> </w:t>
      </w:r>
      <w:r>
        <w:t xml:space="preserve">: le pacte montre un résultat net positif (marge de 4,24 %). Ce résultat est</w:t>
      </w:r>
      <w:r>
        <w:t xml:space="preserve"> </w:t>
      </w:r>
      <w:r>
        <w:rPr>
          <w:bCs/>
          <w:b/>
        </w:rPr>
        <w:t xml:space="preserve">administré</w:t>
      </w:r>
      <w:r>
        <w:t xml:space="preserve"> </w:t>
      </w:r>
      <w:r>
        <w:t xml:space="preserve">par le protocole sur le prix des combustibles, que la subvention budgétaire finance [2].</w:t>
      </w:r>
    </w:p>
    <w:p>
      <w:pPr>
        <w:numPr>
          <w:ilvl w:val="0"/>
          <w:numId w:val="1030"/>
        </w:numPr>
        <w:pStyle w:val="Compact"/>
      </w:pPr>
      <w:r>
        <w:rPr>
          <w:bCs/>
          <w:b/>
        </w:rPr>
        <w:t xml:space="preserve">Coût par kWh</w:t>
      </w:r>
      <w:r>
        <w:t xml:space="preserve"> </w:t>
      </w:r>
      <w:r>
        <w:t xml:space="preserve">: la BM retient environ 0,22 USD/kWh [1], cohérent avec les 132 FCFA/kWh du pacte (environ 0,22 USD).</w:t>
      </w:r>
    </w:p>
    <w:p>
      <w:pPr>
        <w:numPr>
          <w:ilvl w:val="0"/>
          <w:numId w:val="1030"/>
        </w:numPr>
        <w:pStyle w:val="Compact"/>
      </w:pPr>
      <w:r>
        <w:rPr>
          <w:bCs/>
          <w:b/>
        </w:rPr>
        <w:t xml:space="preserve">Contrat de performance</w:t>
      </w:r>
      <w:r>
        <w:t xml:space="preserve"> </w:t>
      </w:r>
      <w:r>
        <w:t xml:space="preserve">: le pacte ne mentionne aucun contrat de performance explicite. Le FMI atteste un contrat-plan État-SONABEL avec comité de suivi, dont la révision est prévue en 2026 [2].</w:t>
      </w:r>
    </w:p>
    <w:bookmarkEnd w:id="68"/>
    <w:bookmarkStart w:id="69" w:name="diagnostic-synthétique-2"/>
    <w:p>
      <w:pPr>
        <w:pStyle w:val="Heading3"/>
      </w:pPr>
      <w:r>
        <w:t xml:space="preserve">6. Diagnostic synthétique</w:t>
      </w:r>
    </w:p>
    <w:p>
      <w:pPr>
        <w:numPr>
          <w:ilvl w:val="0"/>
          <w:numId w:val="1031"/>
        </w:numPr>
        <w:pStyle w:val="Compact"/>
      </w:pPr>
      <w:r>
        <w:rPr>
          <w:bCs/>
          <w:b/>
        </w:rPr>
        <w:t xml:space="preserve">Financière : faible.</w:t>
      </w:r>
      <w:r>
        <w:t xml:space="preserve"> </w:t>
      </w:r>
      <w:r>
        <w:t xml:space="preserve">L’équilibre comptable est artificiel (combustibles subventionnés), la dette financière dépasse 400 M USD (pacte) et les engagements thermiques IPP sont lourds.</w:t>
      </w:r>
    </w:p>
    <w:p>
      <w:pPr>
        <w:numPr>
          <w:ilvl w:val="0"/>
          <w:numId w:val="1031"/>
        </w:numPr>
        <w:pStyle w:val="Compact"/>
      </w:pPr>
      <w:r>
        <w:rPr>
          <w:bCs/>
          <w:b/>
        </w:rPr>
        <w:t xml:space="preserve">Technique : faible-moyenne.</w:t>
      </w:r>
      <w:r>
        <w:t xml:space="preserve"> </w:t>
      </w:r>
      <w:r>
        <w:t xml:space="preserve">L’offre a été très dégradée en 2024 (SAIDI de 146 h selon le pacte), la dépendance aux importations reste forte (48 %) et le transport est sous-dimensionné. Le solaire progresse.</w:t>
      </w:r>
    </w:p>
    <w:p>
      <w:pPr>
        <w:numPr>
          <w:ilvl w:val="0"/>
          <w:numId w:val="1031"/>
        </w:numPr>
        <w:pStyle w:val="Compact"/>
      </w:pPr>
      <w:r>
        <w:rPr>
          <w:bCs/>
          <w:b/>
        </w:rPr>
        <w:t xml:space="preserve">Gouvernance : moyenne-faible.</w:t>
      </w:r>
      <w:r>
        <w:t xml:space="preserve"> </w:t>
      </w:r>
      <w:r>
        <w:t xml:space="preserve">Contrat-plan et reporting au FMI existent, mais les comptes publics sont inaccessibles et le contexte sécuritaire et politique (AES) réduit l’accès aux financements.</w:t>
      </w:r>
    </w:p>
    <w:p>
      <w:pPr>
        <w:numPr>
          <w:ilvl w:val="0"/>
          <w:numId w:val="1031"/>
        </w:numPr>
        <w:pStyle w:val="Compact"/>
      </w:pPr>
      <w:r>
        <w:rPr>
          <w:bCs/>
          <w:b/>
        </w:rPr>
        <w:t xml:space="preserve">Causes racines</w:t>
      </w:r>
      <w:r>
        <w:t xml:space="preserve"> </w:t>
      </w:r>
      <w:r>
        <w:t xml:space="preserve">: (1) un mix thermique importé et cher, sans tarif reflétant les coûts ; (2) la rupture ou l’instabilité des contrats d’import ; (3) la sécurité et une forte croissance de la demande (plus de 10 % par an), qui imposent des choix de court terme coûteux.</w:t>
      </w:r>
    </w:p>
    <w:p>
      <w:pPr>
        <w:numPr>
          <w:ilvl w:val="0"/>
          <w:numId w:val="1031"/>
        </w:numPr>
        <w:pStyle w:val="Compact"/>
      </w:pPr>
      <w:r>
        <w:rPr>
          <w:bCs/>
          <w:b/>
        </w:rPr>
        <w:t xml:space="preserve">Phase 3</w:t>
      </w:r>
      <w:r>
        <w:t xml:space="preserve"> </w:t>
      </w:r>
      <w:r>
        <w:t xml:space="preserve">: prix des PPA thermiques (1 029 MW) ; prix de cession SONABHY vers SONABEL ; résultats de l’étude de segmentation tarifaire ; coût par segment après séparation comptable.</w:t>
      </w:r>
    </w:p>
    <w:bookmarkEnd w:id="69"/>
    <w:bookmarkStart w:id="70" w:name="inconnus-2"/>
    <w:p>
      <w:pPr>
        <w:pStyle w:val="Heading3"/>
      </w:pPr>
      <w:r>
        <w:t xml:space="preserve">7. Inconnus</w:t>
      </w:r>
    </w:p>
    <w:p>
      <w:pPr>
        <w:numPr>
          <w:ilvl w:val="0"/>
          <w:numId w:val="1032"/>
        </w:numPr>
        <w:pStyle w:val="Compact"/>
      </w:pPr>
      <w:r>
        <w:t xml:space="preserve">États financiers 2024-2025 publiés [?] ; pertes [?] ; recouvrement [?].</w:t>
      </w:r>
    </w:p>
    <w:p>
      <w:pPr>
        <w:numPr>
          <w:ilvl w:val="0"/>
          <w:numId w:val="1032"/>
        </w:numPr>
        <w:pStyle w:val="Compact"/>
      </w:pPr>
      <w:r>
        <w:t xml:space="preserve">Termes des 7 PPA thermiques [?] ; contenu révisé du contrat-plan 2026 [?] ; rapport ARSE 2024 (non lu) [?].</w:t>
      </w:r>
    </w:p>
    <w:bookmarkEnd w:id="70"/>
    <w:bookmarkStart w:id="71" w:name="sources-3"/>
    <w:p>
      <w:pPr>
        <w:pStyle w:val="Heading3"/>
      </w:pPr>
      <w:r>
        <w:t xml:space="preserve">Sources</w:t>
      </w:r>
    </w:p>
    <w:p>
      <w:pPr>
        <w:pStyle w:val="FirstParagraph"/>
      </w:pPr>
      <w:r>
        <w:t xml:space="preserve">[1] Banque mondiale,</w:t>
      </w:r>
      <w:r>
        <w:t xml:space="preserve"> </w:t>
      </w:r>
      <w:r>
        <w:rPr>
          <w:iCs/>
          <w:i/>
        </w:rPr>
        <w:t xml:space="preserve">Project Information Document — SOLEER (P166785), Additional Financing Request 2</w:t>
      </w:r>
      <w:r>
        <w:t xml:space="preserve">, Report No. PIDIAF0280, 21/09/2026 (cite le rapport d’activités SONABEL 2024). https://documents.worldbank.org/curated/en/099092126185526168/text/P166785-07d1f3b3-0b83-41db-8024-353a3c591014.txt</w:t>
      </w:r>
      <w:r>
        <w:t xml:space="preserve"> </w:t>
      </w:r>
      <w:r>
        <w:t xml:space="preserve">[2] FMI,</w:t>
      </w:r>
      <w:r>
        <w:t xml:space="preserve"> </w:t>
      </w:r>
      <w:r>
        <w:rPr>
          <w:iCs/>
          <w:i/>
        </w:rPr>
        <w:t xml:space="preserve">Burkina Faso: 2026 Article IV Consultation, Fifth Review under the ECF Arrangement… and First Review under the RSF</w:t>
      </w:r>
      <w:r>
        <w:t xml:space="preserve">, IMF Country Report No. 26/207, 11/06/2026 (staff report §9, §30 ; MEFP §17, §104-107 ; tableau 2b ; TMU). https://www.imf.org/-/media/files/publications/cr/2026/english/1bfaea2026002.pdf</w:t>
      </w:r>
      <w:r>
        <w:t xml:space="preserve"> </w:t>
      </w:r>
      <w:r>
        <w:t xml:space="preserve">[3] Banque mondiale,</w:t>
      </w:r>
      <w:r>
        <w:t xml:space="preserve"> </w:t>
      </w:r>
      <w:r>
        <w:rPr>
          <w:iCs/>
          <w:i/>
        </w:rPr>
        <w:t xml:space="preserve">ISR n° 10 — SOLEER (P166785)</w:t>
      </w:r>
      <w:r>
        <w:t xml:space="preserve">, 05/08/2026. https://documents.worldbank.org/curated/en/099080526104514151/text/P166785-5bb473f4-e9b3-4dad-b349-2202b8507c8a.txt</w:t>
      </w:r>
      <w:r>
        <w:t xml:space="preserve"> </w:t>
      </w:r>
      <w:r>
        <w:t xml:space="preserve">[4] Banque mondiale,</w:t>
      </w:r>
      <w:r>
        <w:t xml:space="preserve"> </w:t>
      </w:r>
      <w:r>
        <w:rPr>
          <w:iCs/>
          <w:i/>
        </w:rPr>
        <w:t xml:space="preserve">Aide-mémoire, revue à mi-parcours SOLEER</w:t>
      </w:r>
      <w:r>
        <w:t xml:space="preserve">, 9-18/03/2026. https://documents.worldbank.org/curated/en/099080526104519346/text/P166785-5db07c50-b0d5-49b8-8ba5-c35460391371.txt</w:t>
      </w:r>
      <w:r>
        <w:t xml:space="preserve"> </w:t>
      </w:r>
      <w:r>
        <w:t xml:space="preserve">[5] BAD, données IATI (XM-DAC-46002) via d-portal.org, consultées le 18/10/2026.</w:t>
      </w:r>
      <w:r>
        <w:t xml:space="preserve"> </w:t>
      </w:r>
      <w:r>
        <w:t xml:space="preserve">[6] ESMAP/RISE,</w:t>
      </w:r>
      <w:r>
        <w:t xml:space="preserve"> </w:t>
      </w:r>
      <w:r>
        <w:rPr>
          <w:iCs/>
          <w:i/>
        </w:rPr>
        <w:t xml:space="preserve">SONABEL Rapport d’activités 2020</w:t>
      </w:r>
      <w:r>
        <w:t xml:space="preserve"> </w:t>
      </w:r>
      <w:r>
        <w:t xml:space="preserve">(contexte historique, non exploité). https://rise.esmap.org/data/files/library/burkina-faso/Electricity%20Access/Burkina%20Faso_SONABEL_s%20activity%20report_2020.pdf</w:t>
      </w:r>
      <w:r>
        <w:t xml:space="preserve"> </w:t>
      </w:r>
      <w:r>
        <w:t xml:space="preserve">[7] AllAfrica, « Burkina Faso : Secteur de l’énergie – L’ARSE présente son rapport 2024 au Premier ministre », 13/08/2025. https://fr.allafrica.com/stories/202508130114.html (erreur 403, non lu).</w:t>
      </w:r>
      <w:r>
        <w:t xml:space="preserve"> </w:t>
      </w:r>
      <w:r>
        <w:t xml:space="preserve">[8] Banque mondiale, API Projects v3, consultée le 18/10/2026.</w:t>
      </w:r>
    </w:p>
    <w:p>
      <w:r>
        <w:br w:type="page"/>
      </w:r>
    </w:p>
    <w:bookmarkEnd w:id="71"/>
    <w:bookmarkEnd w:id="72"/>
    <w:bookmarkStart w:id="82" w:name="X643f1b937e7f4f48f0a889c1fc14aa4146bfa14"/>
    <w:p>
      <w:pPr>
        <w:pStyle w:val="Heading2"/>
      </w:pPr>
      <w:r>
        <w:t xml:space="preserve">Diagnostic opérateur — BPC, Botswana Power Corporation (Botswana)</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le pacte : ../../phase1/fiches/BWA_botswana.md (« pacte » = National Energy Compact, sept. 2025).</w:t>
      </w:r>
    </w:p>
    <w:bookmarkStart w:id="73" w:name="identité-3"/>
    <w:p>
      <w:pPr>
        <w:pStyle w:val="Heading3"/>
      </w:pPr>
      <w:r>
        <w:t xml:space="preserve">0. Identité</w:t>
      </w:r>
    </w:p>
    <w:p>
      <w:pPr>
        <w:numPr>
          <w:ilvl w:val="0"/>
          <w:numId w:val="1033"/>
        </w:numPr>
        <w:pStyle w:val="Compact"/>
      </w:pPr>
      <w:r>
        <w:rPr>
          <w:bCs/>
          <w:b/>
        </w:rPr>
        <w:t xml:space="preserve">BPC</w:t>
      </w:r>
      <w:r>
        <w:t xml:space="preserve"> </w:t>
      </w:r>
      <w:r>
        <w:t xml:space="preserve">: entreprise publique créée en 1970 par loi (BPC Act, CAP 74:01), verticalement intégrée — production (Morupule A 132 MW, Morupule B 600 MW, diesel Orapa 90 MW et Matshelagabedi 70 MW), transport, distribution, importations ; acheteur unique de fait [1][2] [V]. IPP : 50 MW solaire Selebi-Phikwe 1 (achevé fév. 2025), Selebi-Phikwe 2 (en mise en service), 100 MW Jwaneng (construction),</w:t>
      </w:r>
      <w:r>
        <w:t xml:space="preserve"> </w:t>
      </w:r>
      <w:r>
        <w:rPr>
          <w:bCs/>
          <w:b/>
        </w:rPr>
        <w:t xml:space="preserve">600 MW charbon Mmamabula</w:t>
      </w:r>
      <w:r>
        <w:t xml:space="preserve"> </w:t>
      </w:r>
      <w:r>
        <w:t xml:space="preserve">(construction, MSC prévue 2027/28) [2] [V].</w:t>
      </w:r>
    </w:p>
    <w:p>
      <w:pPr>
        <w:numPr>
          <w:ilvl w:val="0"/>
          <w:numId w:val="1033"/>
        </w:numPr>
        <w:pStyle w:val="Compact"/>
      </w:pPr>
      <w:r>
        <w:t xml:space="preserve">Tutelle : ministère des Minéraux et de l’Énergie (MME) ; bureau IPP : PEDU [1] [V].</w:t>
      </w:r>
    </w:p>
    <w:p>
      <w:pPr>
        <w:numPr>
          <w:ilvl w:val="0"/>
          <w:numId w:val="1033"/>
        </w:numPr>
        <w:pStyle w:val="Compact"/>
      </w:pPr>
      <w:r>
        <w:t xml:space="preserve">Régulateur :</w:t>
      </w:r>
      <w:r>
        <w:t xml:space="preserve"> </w:t>
      </w:r>
      <w:r>
        <w:rPr>
          <w:bCs/>
          <w:b/>
        </w:rPr>
        <w:t xml:space="preserve">BERA</w:t>
      </w:r>
      <w:r>
        <w:t xml:space="preserve"> </w:t>
      </w:r>
      <w:r>
        <w:t xml:space="preserve">(BERA Act 2016) — instruit les demandes tarifaires (consultation publique, audience), décide l’ajustement ; arbitre entre « protection du consommateur et viabilité financière de BPC » [3] [V]. Le BPC Act impose un rendement raisonnable sur la juste valeur des actifs :</w:t>
      </w:r>
      <w:r>
        <w:t xml:space="preserve"> </w:t>
      </w:r>
      <w:r>
        <w:rPr>
          <w:bCs/>
          <w:b/>
        </w:rPr>
        <w:t xml:space="preserve">BPC est « en violation de cette obligation légale »</w:t>
      </w:r>
      <w:r>
        <w:t xml:space="preserve"> </w:t>
      </w:r>
      <w:r>
        <w:t xml:space="preserve">(BERA, déc. 2025) [2] [V].</w:t>
      </w:r>
    </w:p>
    <w:p>
      <w:pPr>
        <w:numPr>
          <w:ilvl w:val="0"/>
          <w:numId w:val="1033"/>
        </w:numPr>
        <w:pStyle w:val="Compact"/>
      </w:pPr>
      <w:r>
        <w:t xml:space="preserve">Exercice : clôture au</w:t>
      </w:r>
      <w:r>
        <w:t xml:space="preserve"> </w:t>
      </w:r>
      <w:r>
        <w:rPr>
          <w:bCs/>
          <w:b/>
        </w:rPr>
        <w:t xml:space="preserve">31 mars</w:t>
      </w:r>
      <w:r>
        <w:t xml:space="preserve">. Derniers comptes</w:t>
      </w:r>
      <w:r>
        <w:t xml:space="preserve"> </w:t>
      </w:r>
      <w:r>
        <w:rPr>
          <w:bCs/>
          <w:b/>
        </w:rPr>
        <w:t xml:space="preserve">audités</w:t>
      </w:r>
      <w:r>
        <w:t xml:space="preserve"> </w:t>
      </w:r>
      <w:r>
        <w:t xml:space="preserve">: exercice 2023/24 (données « audited » jusqu’à 2024 dans la série BERA) ; 2024/25 : résultats</w:t>
      </w:r>
      <w:r>
        <w:t xml:space="preserve"> </w:t>
      </w:r>
      <w:r>
        <w:rPr>
          <w:bCs/>
          <w:b/>
        </w:rPr>
        <w:t xml:space="preserve">non audités</w:t>
      </w:r>
      <w:r>
        <w:t xml:space="preserve"> </w:t>
      </w:r>
      <w:r>
        <w:t xml:space="preserve">(déc. 2025) [2] [V]. Rapport intégré 2023/24 publié (revenus 4,995 Md BWP selon un agrégateur) [8] [S].</w:t>
      </w:r>
    </w:p>
    <w:bookmarkEnd w:id="73"/>
    <w:bookmarkStart w:id="74" w:name="situation-financière-3"/>
    <w:p>
      <w:pPr>
        <w:pStyle w:val="Heading3"/>
      </w:pPr>
      <w:r>
        <w:t xml:space="preserve">1. Situation financière</w:t>
      </w:r>
    </w:p>
    <w:tbl>
      <w:tblPr>
        <w:tblStyle w:val="Table"/>
        <w:tblW w:type="dxa" w:w="14570"/>
        <w:tblLook w:firstRow="1" w:lastRow="0" w:firstColumn="0" w:lastColumn="0" w:noHBand="0" w:noVBand="0" w:val="0020"/>
        <w:jc w:val="start"/>
      </w:tblPr>
      <w:tblGrid>
        <w:gridCol w:w="2948"/>
        <w:gridCol w:w="8046"/>
        <w:gridCol w:w="1288"/>
        <w:gridCol w:w="1304"/>
        <w:gridCol w:w="982"/>
      </w:tblGrid>
      <w:tr>
        <w:trPr>
          <w:tblHeader w:val="true"/>
        </w:trPr>
        <w:tc>
          <w:tcPr>
            <w:tcW w:w="2948" w:type="dxa"/>
          </w:tcPr>
          <w:tcPr/>
          <w:p>
            <w:pPr>
              <w:pStyle w:val="Compact"/>
              <w:jc w:val="left"/>
            </w:pPr>
            <w:r>
              <w:t xml:space="preserve">Indicateur</w:t>
            </w:r>
          </w:p>
        </w:tc>
        <w:tc>
          <w:tcPr>
            <w:tcW w:w="8046" w:type="dxa"/>
          </w:tcPr>
          <w:tcPr/>
          <w:p>
            <w:pPr>
              <w:pStyle w:val="Compact"/>
              <w:jc w:val="left"/>
            </w:pPr>
            <w:r>
              <w:t xml:space="preserve">Valeur</w:t>
            </w:r>
          </w:p>
        </w:tc>
        <w:tc>
          <w:tcPr>
            <w:tcW w:w="1288" w:type="dxa"/>
          </w:tcPr>
          <w:tcPr/>
          <w:p>
            <w:pPr>
              <w:pStyle w:val="Compact"/>
              <w:jc w:val="left"/>
            </w:pPr>
            <w:r>
              <w:t xml:space="preserve">Année</w:t>
            </w:r>
          </w:p>
        </w:tc>
        <w:tc>
          <w:tcPr>
            <w:tcW w:w="1304" w:type="dxa"/>
          </w:tcPr>
          <w:tcPr/>
          <w:p>
            <w:pPr>
              <w:pStyle w:val="Compact"/>
              <w:jc w:val="left"/>
            </w:pPr>
            <w:r>
              <w:t xml:space="preserve">Statut</w:t>
            </w:r>
          </w:p>
        </w:tc>
        <w:tc>
          <w:tcPr>
            <w:tcW w:w="982" w:type="dxa"/>
          </w:tcPr>
          <w:tcPr/>
          <w:p>
            <w:pPr>
              <w:pStyle w:val="Compact"/>
              <w:jc w:val="left"/>
            </w:pPr>
            <w:r>
              <w:t xml:space="preserve">Source</w:t>
            </w:r>
          </w:p>
        </w:tc>
      </w:tr>
      <w:tr>
        <w:tc>
          <w:tcPr>
            <w:tcW w:w="2948" w:type="dxa"/>
          </w:tcPr>
          <w:tcPr/>
          <w:p>
            <w:pPr>
              <w:pStyle w:val="Compact"/>
              <w:jc w:val="left"/>
            </w:pPr>
            <w:r>
              <w:t xml:space="preserve">Chiffre d’affaires</w:t>
            </w:r>
          </w:p>
        </w:tc>
        <w:tc>
          <w:tcPr>
            <w:tcW w:w="8046" w:type="dxa"/>
          </w:tcPr>
          <w:tcPr/>
          <w:p>
            <w:pPr>
              <w:pStyle w:val="Compact"/>
              <w:jc w:val="left"/>
            </w:pPr>
            <w:r>
              <w:t xml:space="preserve">3,40 Md BWP (2019/20) ; 4,53 Md BWP (2022/23) ;</w:t>
            </w:r>
            <w:r>
              <w:t xml:space="preserve"> </w:t>
            </w:r>
            <w:r>
              <w:rPr>
                <w:bCs/>
                <w:b/>
              </w:rPr>
              <w:t xml:space="preserve">4,995 Md BWP (2023/24)</w:t>
            </w:r>
            <w:r>
              <w:t xml:space="preserve"> </w:t>
            </w:r>
            <w:r>
              <w:t xml:space="preserve">; recettes courantes</w:t>
            </w:r>
            <w:r>
              <w:t xml:space="preserve"> </w:t>
            </w:r>
            <w:r>
              <w:rPr>
                <w:bCs/>
                <w:b/>
              </w:rPr>
              <w:t xml:space="preserve">6,108 Md BWP hors subvention</w:t>
            </w:r>
            <w:r>
              <w:t xml:space="preserve"> </w:t>
            </w:r>
            <w:r>
              <w:t xml:space="preserve">(base 2025/26)</w:t>
            </w:r>
          </w:p>
        </w:tc>
        <w:tc>
          <w:tcPr>
            <w:tcW w:w="1288" w:type="dxa"/>
          </w:tcPr>
          <w:tcPr/>
          <w:p>
            <w:pPr>
              <w:pStyle w:val="Compact"/>
              <w:jc w:val="left"/>
            </w:pPr>
            <w:r>
              <w:t xml:space="preserve">2020-2026</w:t>
            </w:r>
          </w:p>
        </w:tc>
        <w:tc>
          <w:tcPr>
            <w:tcW w:w="1304" w:type="dxa"/>
          </w:tcPr>
          <w:tcPr/>
          <w:p>
            <w:pPr>
              <w:pStyle w:val="Compact"/>
              <w:jc w:val="left"/>
            </w:pPr>
            <w:r>
              <w:t xml:space="preserve">[S] (2020-24) ; [V] (2025/26)</w:t>
            </w:r>
          </w:p>
        </w:tc>
        <w:tc>
          <w:tcPr>
            <w:tcW w:w="982" w:type="dxa"/>
          </w:tcPr>
          <w:tcPr/>
          <w:p>
            <w:pPr>
              <w:pStyle w:val="Compact"/>
              <w:jc w:val="left"/>
            </w:pPr>
            <w:r>
              <w:t xml:space="preserve">[2][8]</w:t>
            </w:r>
          </w:p>
        </w:tc>
      </w:tr>
      <w:tr>
        <w:tc>
          <w:tcPr>
            <w:tcW w:w="2948" w:type="dxa"/>
          </w:tcPr>
          <w:tcPr/>
          <w:p>
            <w:pPr>
              <w:pStyle w:val="Compact"/>
              <w:jc w:val="left"/>
            </w:pPr>
            <w:r>
              <w:t xml:space="preserve">Résultat net</w:t>
            </w:r>
          </w:p>
        </w:tc>
        <w:tc>
          <w:tcPr>
            <w:tcW w:w="8046" w:type="dxa"/>
          </w:tcPr>
          <w:tcPr/>
          <w:p>
            <w:pPr>
              <w:pStyle w:val="Compact"/>
              <w:jc w:val="left"/>
            </w:pPr>
            <w:r>
              <w:t xml:space="preserve">-1,40 Md BWP (2019/20) ; -486,9 M BWP (2021/22) ; pertes nettes « sur les exercices précédents » ; prévision 2026/27 :</w:t>
            </w:r>
            <w:r>
              <w:t xml:space="preserve"> </w:t>
            </w:r>
            <w:r>
              <w:rPr>
                <w:bCs/>
                <w:b/>
              </w:rPr>
              <w:t xml:space="preserve">-397 M BWP</w:t>
            </w:r>
            <w:r>
              <w:t xml:space="preserve"> </w:t>
            </w:r>
            <w:r>
              <w:t xml:space="preserve">même avec +46 % de tarif</w:t>
            </w:r>
          </w:p>
        </w:tc>
        <w:tc>
          <w:tcPr>
            <w:tcW w:w="1288" w:type="dxa"/>
          </w:tcPr>
          <w:tcPr/>
          <w:p>
            <w:pPr>
              <w:pStyle w:val="Compact"/>
              <w:jc w:val="left"/>
            </w:pPr>
            <w:r>
              <w:t xml:space="preserve">2020-2027</w:t>
            </w:r>
          </w:p>
        </w:tc>
        <w:tc>
          <w:tcPr>
            <w:tcW w:w="1304" w:type="dxa"/>
          </w:tcPr>
          <w:tcPr/>
          <w:p>
            <w:pPr>
              <w:pStyle w:val="Compact"/>
              <w:jc w:val="left"/>
            </w:pPr>
            <w:r>
              <w:t xml:space="preserve">[S]/[V]</w:t>
            </w:r>
          </w:p>
        </w:tc>
        <w:tc>
          <w:tcPr>
            <w:tcW w:w="982" w:type="dxa"/>
          </w:tcPr>
          <w:tcPr/>
          <w:p>
            <w:pPr>
              <w:pStyle w:val="Compact"/>
              <w:jc w:val="left"/>
            </w:pPr>
            <w:r>
              <w:t xml:space="preserve">[2][8][9]</w:t>
            </w:r>
          </w:p>
        </w:tc>
      </w:tr>
      <w:tr>
        <w:tc>
          <w:tcPr>
            <w:tcW w:w="2948" w:type="dxa"/>
          </w:tcPr>
          <w:tcPr/>
          <w:p>
            <w:pPr>
              <w:pStyle w:val="Compact"/>
              <w:jc w:val="left"/>
            </w:pPr>
            <w:r>
              <w:t xml:space="preserve">Sous-recouvrement par kWh (après éléments financiers)</w:t>
            </w:r>
          </w:p>
        </w:tc>
        <w:tc>
          <w:tcPr>
            <w:tcW w:w="8046" w:type="dxa"/>
          </w:tcPr>
          <w:tcPr/>
          <w:p>
            <w:pPr>
              <w:pStyle w:val="Compact"/>
              <w:jc w:val="left"/>
            </w:pPr>
            <w:r>
              <w:t xml:space="preserve">Prix moyen de vente / coût moyen (thebe/kWh) : 2021 : 126/140 ; 2022 : 128/159 ; 2023 : 127/163 ;</w:t>
            </w:r>
            <w:r>
              <w:t xml:space="preserve"> </w:t>
            </w:r>
            <w:r>
              <w:rPr>
                <w:bCs/>
                <w:b/>
              </w:rPr>
              <w:t xml:space="preserve">2024 : 127/238 (-111)</w:t>
            </w:r>
            <w:r>
              <w:t xml:space="preserve"> </w:t>
            </w:r>
            <w:r>
              <w:t xml:space="preserve">; 2025 (non audité) : 127/235 (-108) ; 2026 (prévision) : 148/249 (-101)</w:t>
            </w:r>
          </w:p>
        </w:tc>
        <w:tc>
          <w:tcPr>
            <w:tcW w:w="1288" w:type="dxa"/>
          </w:tcPr>
          <w:tcPr/>
          <w:p>
            <w:pPr>
              <w:pStyle w:val="Compact"/>
              <w:jc w:val="left"/>
            </w:pPr>
            <w:r>
              <w:t xml:space="preserve">2016-2026</w:t>
            </w:r>
          </w:p>
        </w:tc>
        <w:tc>
          <w:tcPr>
            <w:tcW w:w="1304" w:type="dxa"/>
          </w:tcPr>
          <w:tcPr/>
          <w:p>
            <w:pPr>
              <w:pStyle w:val="Compact"/>
              <w:jc w:val="left"/>
            </w:pPr>
            <w:r>
              <w:t xml:space="preserve">[V] (audité jusqu’en 2024)</w:t>
            </w:r>
          </w:p>
        </w:tc>
        <w:tc>
          <w:tcPr>
            <w:tcW w:w="982" w:type="dxa"/>
          </w:tcPr>
          <w:tcPr/>
          <w:p>
            <w:pPr>
              <w:pStyle w:val="Compact"/>
              <w:jc w:val="left"/>
            </w:pPr>
            <w:r>
              <w:t xml:space="preserve">[2]</w:t>
            </w:r>
          </w:p>
        </w:tc>
      </w:tr>
      <w:tr>
        <w:tc>
          <w:tcPr>
            <w:tcW w:w="2948" w:type="dxa"/>
          </w:tcPr>
          <w:tcPr/>
          <w:p>
            <w:pPr>
              <w:pStyle w:val="Compact"/>
              <w:jc w:val="left"/>
            </w:pPr>
            <w:r>
              <w:t xml:space="preserve">Déficit de financement</w:t>
            </w:r>
          </w:p>
        </w:tc>
        <w:tc>
          <w:tcPr>
            <w:tcW w:w="8046" w:type="dxa"/>
          </w:tcPr>
          <w:tcPr/>
          <w:p>
            <w:pPr>
              <w:pStyle w:val="Compact"/>
              <w:jc w:val="left"/>
            </w:pPr>
            <w:r>
              <w:t xml:space="preserve">Revenu requis 2026/27 :</w:t>
            </w:r>
            <w:r>
              <w:t xml:space="preserve"> </w:t>
            </w:r>
            <w:r>
              <w:rPr>
                <w:bCs/>
                <w:b/>
              </w:rPr>
              <w:t xml:space="preserve">9,585 Md BWP</w:t>
            </w:r>
            <w:r>
              <w:t xml:space="preserve"> </w:t>
            </w:r>
            <w:r>
              <w:t xml:space="preserve">vs recettes 6,108 Md →</w:t>
            </w:r>
            <w:r>
              <w:t xml:space="preserve"> </w:t>
            </w:r>
            <w:r>
              <w:rPr>
                <w:bCs/>
                <w:b/>
              </w:rPr>
              <w:t xml:space="preserve">écart 3,477 Md BWP</w:t>
            </w:r>
            <w:r>
              <w:t xml:space="preserve"> </w:t>
            </w:r>
            <w:r>
              <w:t xml:space="preserve">(≈ 245 M US$ au taux de 14,19 BWP/US$ [E])</w:t>
            </w:r>
          </w:p>
        </w:tc>
        <w:tc>
          <w:tcPr>
            <w:tcW w:w="1288" w:type="dxa"/>
          </w:tcPr>
          <w:tcPr/>
          <w:p>
            <w:pPr>
              <w:pStyle w:val="Compact"/>
              <w:jc w:val="left"/>
            </w:pPr>
            <w:r>
              <w:t xml:space="preserve">2026/27</w:t>
            </w:r>
          </w:p>
        </w:tc>
        <w:tc>
          <w:tcPr>
            <w:tcW w:w="1304" w:type="dxa"/>
          </w:tcPr>
          <w:tcPr/>
          <w:p>
            <w:pPr>
              <w:pStyle w:val="Compact"/>
              <w:jc w:val="left"/>
            </w:pPr>
            <w:r>
              <w:t xml:space="preserve">[V]</w:t>
            </w:r>
          </w:p>
        </w:tc>
        <w:tc>
          <w:tcPr>
            <w:tcW w:w="982" w:type="dxa"/>
          </w:tcPr>
          <w:tcPr/>
          <w:p>
            <w:pPr>
              <w:pStyle w:val="Compact"/>
              <w:jc w:val="left"/>
            </w:pPr>
            <w:r>
              <w:t xml:space="preserve">[2][1]</w:t>
            </w:r>
          </w:p>
        </w:tc>
      </w:tr>
      <w:tr>
        <w:tc>
          <w:tcPr>
            <w:tcW w:w="2948" w:type="dxa"/>
          </w:tcPr>
          <w:tcPr/>
          <w:p>
            <w:pPr>
              <w:pStyle w:val="Compact"/>
              <w:jc w:val="left"/>
            </w:pPr>
            <w:r>
              <w:t xml:space="preserve">Structure des coûts 2026/27 (prévision)</w:t>
            </w:r>
          </w:p>
        </w:tc>
        <w:tc>
          <w:tcPr>
            <w:tcW w:w="8046" w:type="dxa"/>
          </w:tcPr>
          <w:tcPr/>
          <w:p>
            <w:pPr>
              <w:pStyle w:val="Compact"/>
              <w:jc w:val="left"/>
            </w:pPr>
            <w:r>
              <w:t xml:space="preserve">Intrants directs 5,14 Md BWP dont</w:t>
            </w:r>
            <w:r>
              <w:t xml:space="preserve"> </w:t>
            </w:r>
            <w:r>
              <w:rPr>
                <w:bCs/>
                <w:b/>
              </w:rPr>
              <w:t xml:space="preserve">importations 3,59 Md</w:t>
            </w:r>
            <w:r>
              <w:t xml:space="preserve">, IPP 0,39 Md, Morupule B 0,80 Md, Morupule A 0,28 Md ; amortissements 1,16 Md ; frais financiers 0,27 Md</w:t>
            </w:r>
          </w:p>
        </w:tc>
        <w:tc>
          <w:tcPr>
            <w:tcW w:w="1288" w:type="dxa"/>
          </w:tcPr>
          <w:tcPr/>
          <w:p>
            <w:pPr>
              <w:pStyle w:val="Compact"/>
              <w:jc w:val="left"/>
            </w:pPr>
            <w:r>
              <w:t xml:space="preserve">2026/27</w:t>
            </w:r>
          </w:p>
        </w:tc>
        <w:tc>
          <w:tcPr>
            <w:tcW w:w="1304" w:type="dxa"/>
          </w:tcPr>
          <w:tcPr/>
          <w:p>
            <w:pPr>
              <w:pStyle w:val="Compact"/>
              <w:jc w:val="left"/>
            </w:pPr>
            <w:r>
              <w:t xml:space="preserve">[V]</w:t>
            </w:r>
          </w:p>
        </w:tc>
        <w:tc>
          <w:tcPr>
            <w:tcW w:w="982" w:type="dxa"/>
          </w:tcPr>
          <w:tcPr/>
          <w:p>
            <w:pPr>
              <w:pStyle w:val="Compact"/>
              <w:jc w:val="left"/>
            </w:pPr>
            <w:r>
              <w:t xml:space="preserve">[2]</w:t>
            </w:r>
          </w:p>
        </w:tc>
      </w:tr>
      <w:tr>
        <w:tc>
          <w:tcPr>
            <w:tcW w:w="2948" w:type="dxa"/>
          </w:tcPr>
          <w:tcPr/>
          <w:p>
            <w:pPr>
              <w:pStyle w:val="Compact"/>
              <w:jc w:val="left"/>
            </w:pPr>
            <w:r>
              <w:t xml:space="preserve">EBITDA</w:t>
            </w:r>
          </w:p>
        </w:tc>
        <w:tc>
          <w:tcPr>
            <w:tcW w:w="8046" w:type="dxa"/>
          </w:tcPr>
          <w:tcPr/>
          <w:p>
            <w:pPr>
              <w:pStyle w:val="Compact"/>
              <w:jc w:val="left"/>
            </w:pPr>
            <w:r>
              <w:t xml:space="preserve">[?] non publié ; résultat d’exploitation prévisionnel 2026/27 : -76,5 M BWP</w:t>
            </w:r>
          </w:p>
        </w:tc>
        <w:tc>
          <w:tcPr>
            <w:tcW w:w="1288" w:type="dxa"/>
          </w:tcPr>
          <w:tcPr/>
          <w:p>
            <w:pPr>
              <w:pStyle w:val="Compact"/>
              <w:jc w:val="left"/>
            </w:pPr>
            <w:r>
              <w:t xml:space="preserve">2026/27</w:t>
            </w:r>
          </w:p>
        </w:tc>
        <w:tc>
          <w:tcPr>
            <w:tcW w:w="1304" w:type="dxa"/>
          </w:tcPr>
          <w:tcPr/>
          <w:p>
            <w:pPr>
              <w:pStyle w:val="Compact"/>
              <w:jc w:val="left"/>
            </w:pPr>
            <w:r>
              <w:t xml:space="preserve">[V]</w:t>
            </w:r>
          </w:p>
        </w:tc>
        <w:tc>
          <w:tcPr>
            <w:tcW w:w="982" w:type="dxa"/>
          </w:tcPr>
          <w:tcPr/>
          <w:p>
            <w:pPr>
              <w:pStyle w:val="Compact"/>
              <w:jc w:val="left"/>
            </w:pPr>
            <w:r>
              <w:t xml:space="preserve">[2]</w:t>
            </w:r>
          </w:p>
        </w:tc>
      </w:tr>
      <w:tr>
        <w:tc>
          <w:tcPr>
            <w:tcW w:w="2948" w:type="dxa"/>
          </w:tcPr>
          <w:tcPr/>
          <w:p>
            <w:pPr>
              <w:pStyle w:val="Compact"/>
              <w:jc w:val="left"/>
            </w:pPr>
            <w:r>
              <w:t xml:space="preserve">Dette ; dettes fournisseurs</w:t>
            </w:r>
          </w:p>
        </w:tc>
        <w:tc>
          <w:tcPr>
            <w:tcW w:w="8046" w:type="dxa"/>
          </w:tcPr>
          <w:tcPr/>
          <w:p>
            <w:pPr>
              <w:pStyle w:val="Compact"/>
              <w:jc w:val="left"/>
            </w:pPr>
            <w:r>
              <w:t xml:space="preserve">[?] non trouvé en source primaire récente ; pacte : prêt ICBC 825 M US$, dettes fournisseurs 3,1 Md BWP (2023) (pacte)</w:t>
            </w:r>
          </w:p>
        </w:tc>
        <w:tc>
          <w:tcPr>
            <w:tcW w:w="1288" w:type="dxa"/>
          </w:tcPr>
          <w:tcPr/>
          <w:p>
            <w:pPr>
              <w:pStyle w:val="Compact"/>
              <w:jc w:val="left"/>
            </w:pPr>
            <w:r>
              <w:t xml:space="preserve">2023</w:t>
            </w:r>
          </w:p>
        </w:tc>
        <w:tc>
          <w:tcPr>
            <w:tcW w:w="1304" w:type="dxa"/>
          </w:tcPr>
          <w:tcPr/>
          <w:p>
            <w:pPr>
              <w:pStyle w:val="Compact"/>
              <w:jc w:val="left"/>
            </w:pPr>
            <w:r>
              <w:t xml:space="preserve">(pacte)</w:t>
            </w:r>
          </w:p>
        </w:tc>
        <w:tc>
          <w:tcPr>
            <w:tcW w:w="982" w:type="dxa"/>
          </w:tcPr>
          <w:tcPr/>
          <w:p>
            <w:pPr>
              <w:pStyle w:val="Compact"/>
              <w:jc w:val="left"/>
            </w:pPr>
            <w:r>
              <w:t xml:space="preserve">—</w:t>
            </w:r>
          </w:p>
        </w:tc>
      </w:tr>
      <w:tr>
        <w:tc>
          <w:tcPr>
            <w:tcW w:w="2948" w:type="dxa"/>
          </w:tcPr>
          <w:tcPr/>
          <w:p>
            <w:pPr>
              <w:pStyle w:val="Compact"/>
              <w:jc w:val="left"/>
            </w:pPr>
            <w:r>
              <w:t xml:space="preserve">Arriérés de l’État / entités publiques</w:t>
            </w:r>
          </w:p>
        </w:tc>
        <w:tc>
          <w:tcPr>
            <w:tcW w:w="8046" w:type="dxa"/>
          </w:tcPr>
          <w:tcPr/>
          <w:p>
            <w:pPr>
              <w:pStyle w:val="Compact"/>
              <w:jc w:val="left"/>
            </w:pPr>
            <w:r>
              <w:t xml:space="preserve">[?] non trouvé ; tarif « Government » 3,56 BWP/kWh (le plus élevé)</w:t>
            </w:r>
          </w:p>
        </w:tc>
        <w:tc>
          <w:tcPr>
            <w:tcW w:w="1288" w:type="dxa"/>
          </w:tcPr>
          <w:tcPr/>
          <w:p>
            <w:pPr>
              <w:pStyle w:val="Compact"/>
              <w:jc w:val="left"/>
            </w:pPr>
            <w:r>
              <w:t xml:space="preserve">2025/26</w:t>
            </w:r>
          </w:p>
        </w:tc>
        <w:tc>
          <w:tcPr>
            <w:tcW w:w="1304" w:type="dxa"/>
          </w:tcPr>
          <w:tcPr/>
          <w:p>
            <w:pPr>
              <w:pStyle w:val="Compact"/>
              <w:jc w:val="left"/>
            </w:pPr>
            <w:r>
              <w:t xml:space="preserve">[V]</w:t>
            </w:r>
          </w:p>
        </w:tc>
        <w:tc>
          <w:tcPr>
            <w:tcW w:w="982" w:type="dxa"/>
          </w:tcPr>
          <w:tcPr/>
          <w:p>
            <w:pPr>
              <w:pStyle w:val="Compact"/>
              <w:jc w:val="left"/>
            </w:pPr>
            <w:r>
              <w:t xml:space="preserve">[3]</w:t>
            </w:r>
          </w:p>
        </w:tc>
      </w:tr>
      <w:tr>
        <w:tc>
          <w:tcPr>
            <w:tcW w:w="2948" w:type="dxa"/>
          </w:tcPr>
          <w:tcPr/>
          <w:p>
            <w:pPr>
              <w:pStyle w:val="Compact"/>
              <w:jc w:val="left"/>
            </w:pPr>
            <w:r>
              <w:t xml:space="preserve">Transferts / subventions de l’État</w:t>
            </w:r>
          </w:p>
        </w:tc>
        <w:tc>
          <w:tcPr>
            <w:tcW w:w="8046" w:type="dxa"/>
          </w:tcPr>
          <w:tcPr/>
          <w:p>
            <w:pPr>
              <w:pStyle w:val="Compact"/>
              <w:jc w:val="left"/>
            </w:pPr>
            <w:r>
              <w:t xml:space="preserve">Subvention tarifaire 800 M BWP (2018/19) → 600 M (2019/20) ; 400 M BWP accordés par BERA (2023, sur 500 M demandés) ; demande 2026/27 :</w:t>
            </w:r>
            <w:r>
              <w:t xml:space="preserve"> </w:t>
            </w:r>
            <w:r>
              <w:rPr>
                <w:bCs/>
                <w:b/>
              </w:rPr>
              <w:t xml:space="preserve">0 BWP de subvention</w:t>
            </w:r>
          </w:p>
        </w:tc>
        <w:tc>
          <w:tcPr>
            <w:tcW w:w="1288" w:type="dxa"/>
          </w:tcPr>
          <w:tcPr/>
          <w:p>
            <w:pPr>
              <w:pStyle w:val="Compact"/>
              <w:jc w:val="left"/>
            </w:pPr>
            <w:r>
              <w:t xml:space="preserve">2019-2026</w:t>
            </w:r>
          </w:p>
        </w:tc>
        <w:tc>
          <w:tcPr>
            <w:tcW w:w="1304" w:type="dxa"/>
          </w:tcPr>
          <w:tcPr/>
          <w:p>
            <w:pPr>
              <w:pStyle w:val="Compact"/>
              <w:jc w:val="left"/>
            </w:pPr>
            <w:r>
              <w:t xml:space="preserve">[S]/[V]</w:t>
            </w:r>
          </w:p>
        </w:tc>
        <w:tc>
          <w:tcPr>
            <w:tcW w:w="982" w:type="dxa"/>
          </w:tcPr>
          <w:tcPr/>
          <w:p>
            <w:pPr>
              <w:pStyle w:val="Compact"/>
              <w:jc w:val="left"/>
            </w:pPr>
            <w:r>
              <w:t xml:space="preserve">[3][9][10]</w:t>
            </w:r>
          </w:p>
        </w:tc>
      </w:tr>
      <w:tr>
        <w:tc>
          <w:tcPr>
            <w:tcW w:w="2948" w:type="dxa"/>
          </w:tcPr>
          <w:tcPr/>
          <w:p>
            <w:pPr>
              <w:pStyle w:val="Compact"/>
              <w:jc w:val="left"/>
            </w:pPr>
            <w:r>
              <w:t xml:space="preserve">Taux de recouvrement</w:t>
            </w:r>
          </w:p>
        </w:tc>
        <w:tc>
          <w:tcPr>
            <w:tcW w:w="8046" w:type="dxa"/>
          </w:tcPr>
          <w:tcPr/>
          <w:p>
            <w:pPr>
              <w:pStyle w:val="Compact"/>
              <w:jc w:val="left"/>
            </w:pPr>
            <w:r>
              <w:t xml:space="preserve">[?] non trouvé ; conversion des compteurs post-payés en prépayés pour améliorer le recouvrement</w:t>
            </w:r>
          </w:p>
        </w:tc>
        <w:tc>
          <w:tcPr>
            <w:tcW w:w="1288" w:type="dxa"/>
          </w:tcPr>
          <w:tcPr/>
          <w:p>
            <w:pPr>
              <w:pStyle w:val="Compact"/>
              <w:jc w:val="left"/>
            </w:pPr>
            <w:r>
              <w:t xml:space="preserve">2025</w:t>
            </w:r>
          </w:p>
        </w:tc>
        <w:tc>
          <w:tcPr>
            <w:tcW w:w="1304" w:type="dxa"/>
          </w:tcPr>
          <w:tcPr/>
          <w:p>
            <w:pPr>
              <w:pStyle w:val="Compact"/>
              <w:jc w:val="left"/>
            </w:pPr>
            <w:r>
              <w:t xml:space="preserve">[V]</w:t>
            </w:r>
          </w:p>
        </w:tc>
        <w:tc>
          <w:tcPr>
            <w:tcW w:w="982" w:type="dxa"/>
          </w:tcPr>
          <w:tcPr/>
          <w:p>
            <w:pPr>
              <w:pStyle w:val="Compact"/>
              <w:jc w:val="left"/>
            </w:pPr>
            <w:r>
              <w:t xml:space="preserve">[2]</w:t>
            </w:r>
          </w:p>
        </w:tc>
      </w:tr>
      <w:tr>
        <w:tc>
          <w:tcPr>
            <w:tcW w:w="2948" w:type="dxa"/>
          </w:tcPr>
          <w:tcPr/>
          <w:p>
            <w:pPr>
              <w:pStyle w:val="Compact"/>
              <w:jc w:val="left"/>
            </w:pPr>
            <w:r>
              <w:t xml:space="preserve">Tarifs</w:t>
            </w:r>
          </w:p>
        </w:tc>
        <w:tc>
          <w:tcPr>
            <w:tcW w:w="8046" w:type="dxa"/>
          </w:tcPr>
          <w:tcPr/>
          <w:p>
            <w:pPr>
              <w:pStyle w:val="Compact"/>
              <w:jc w:val="left"/>
            </w:pPr>
            <w:r>
              <w:t xml:space="preserve">Hausse moyenne de</w:t>
            </w:r>
            <w:r>
              <w:t xml:space="preserve"> </w:t>
            </w:r>
            <w:r>
              <w:rPr>
                <w:bCs/>
                <w:b/>
              </w:rPr>
              <w:t xml:space="preserve">24 %</w:t>
            </w:r>
            <w:r>
              <w:t xml:space="preserve"> </w:t>
            </w:r>
            <w:r>
              <w:t xml:space="preserve">récemment approuvée (2025/26) ; tarif moyen pondéré 1,56 BWP/kWh (ménages 0,90 ; État 3,56 ; commerce 1,78 ; mines 1,60) ; demande 2026/27 : +46 % (2,28 BWP/kWh) ;</w:t>
            </w:r>
            <w:r>
              <w:t xml:space="preserve"> </w:t>
            </w:r>
            <w:r>
              <w:rPr>
                <w:bCs/>
                <w:b/>
              </w:rPr>
              <w:t xml:space="preserve">décision BERA 13/07/2026 : +9 % uniforme au 01/08/2026</w:t>
            </w:r>
          </w:p>
        </w:tc>
        <w:tc>
          <w:tcPr>
            <w:tcW w:w="1288" w:type="dxa"/>
          </w:tcPr>
          <w:tcPr/>
          <w:p>
            <w:pPr>
              <w:pStyle w:val="Compact"/>
              <w:jc w:val="left"/>
            </w:pPr>
            <w:r>
              <w:t xml:space="preserve">2025-2026</w:t>
            </w:r>
          </w:p>
        </w:tc>
        <w:tc>
          <w:tcPr>
            <w:tcW w:w="1304" w:type="dxa"/>
          </w:tcPr>
          <w:tcPr/>
          <w:p>
            <w:pPr>
              <w:pStyle w:val="Compact"/>
              <w:jc w:val="left"/>
            </w:pPr>
            <w:r>
              <w:t xml:space="preserve">[V]</w:t>
            </w:r>
          </w:p>
        </w:tc>
        <w:tc>
          <w:tcPr>
            <w:tcW w:w="982" w:type="dxa"/>
          </w:tcPr>
          <w:tcPr/>
          <w:p>
            <w:pPr>
              <w:pStyle w:val="Compact"/>
              <w:jc w:val="left"/>
            </w:pPr>
            <w:r>
              <w:t xml:space="preserve">[2][3][4]</w:t>
            </w:r>
          </w:p>
        </w:tc>
      </w:tr>
      <w:tr>
        <w:tc>
          <w:tcPr>
            <w:tcW w:w="2948" w:type="dxa"/>
          </w:tcPr>
          <w:tcPr/>
          <w:p>
            <w:pPr>
              <w:pStyle w:val="Compact"/>
              <w:jc w:val="left"/>
            </w:pPr>
            <w:r>
              <w:t xml:space="preserve">Déficit quasi-budgétaire</w:t>
            </w:r>
          </w:p>
        </w:tc>
        <w:tc>
          <w:tcPr>
            <w:tcW w:w="8046" w:type="dxa"/>
          </w:tcPr>
          <w:tcPr/>
          <w:p>
            <w:pPr>
              <w:pStyle w:val="Compact"/>
              <w:jc w:val="left"/>
            </w:pPr>
            <w:r>
              <w:t xml:space="preserve">[E] l’écart de 3,48 Md BWP (2026/27) donne un ordre de grandeur du besoin de soutien avant hausse ; non estimé par une source officielle</w:t>
            </w:r>
          </w:p>
        </w:tc>
        <w:tc>
          <w:tcPr>
            <w:tcW w:w="1288" w:type="dxa"/>
          </w:tcPr>
          <w:tcPr/>
          <w:p>
            <w:pPr>
              <w:pStyle w:val="Compact"/>
              <w:jc w:val="left"/>
            </w:pPr>
            <w:r>
              <w:t xml:space="preserve">2026/27</w:t>
            </w:r>
          </w:p>
        </w:tc>
        <w:tc>
          <w:tcPr>
            <w:tcW w:w="1304" w:type="dxa"/>
          </w:tcPr>
          <w:tcPr/>
          <w:p>
            <w:pPr>
              <w:pStyle w:val="Compact"/>
              <w:jc w:val="left"/>
            </w:pPr>
            <w:r>
              <w:t xml:space="preserve">[E]</w:t>
            </w:r>
          </w:p>
        </w:tc>
        <w:tc>
          <w:tcPr>
            <w:tcW w:w="982" w:type="dxa"/>
          </w:tcPr>
          <w:tcPr/>
          <w:p>
            <w:pPr>
              <w:pStyle w:val="Compact"/>
              <w:jc w:val="left"/>
            </w:pPr>
            <w:r>
              <w:t xml:space="preserve">[2]</w:t>
            </w:r>
          </w:p>
        </w:tc>
      </w:tr>
      <w:tr>
        <w:tc>
          <w:tcPr>
            <w:tcW w:w="2948" w:type="dxa"/>
          </w:tcPr>
          <w:tcPr/>
          <w:p>
            <w:pPr>
              <w:pStyle w:val="Compact"/>
              <w:jc w:val="left"/>
            </w:pPr>
            <w:r>
              <w:t xml:space="preserve">Notation</w:t>
            </w:r>
          </w:p>
        </w:tc>
        <w:tc>
          <w:tcPr>
            <w:tcW w:w="8046" w:type="dxa"/>
          </w:tcPr>
          <w:tcPr/>
          <w:p>
            <w:pPr>
              <w:pStyle w:val="Compact"/>
              <w:jc w:val="left"/>
            </w:pPr>
            <w:r>
              <w:t xml:space="preserve">[?]</w:t>
            </w:r>
          </w:p>
        </w:tc>
        <w:tc>
          <w:tcPr>
            <w:tcW w:w="1288" w:type="dxa"/>
          </w:tcPr>
          <w:tcPr/>
          <w:p>
            <w:pPr>
              <w:pStyle w:val="Compact"/>
              <w:jc w:val="left"/>
            </w:pPr>
            <w:r>
              <w:t xml:space="preserve">—</w:t>
            </w:r>
          </w:p>
        </w:tc>
        <w:tc>
          <w:tcPr>
            <w:tcW w:w="1304" w:type="dxa"/>
          </w:tcPr>
          <w:tcPr/>
          <w:p>
            <w:pPr>
              <w:pStyle w:val="Compact"/>
              <w:jc w:val="left"/>
            </w:pPr>
            <w:r>
              <w:t xml:space="preserve">[?]</w:t>
            </w:r>
          </w:p>
        </w:tc>
        <w:tc>
          <w:tcPr>
            <w:tcW w:w="982" w:type="dxa"/>
          </w:tcPr>
          <w:tcPr/>
          <w:p>
            <w:pPr>
              <w:pStyle w:val="Compact"/>
              <w:jc w:val="left"/>
            </w:pPr>
            <w:r>
              <w:t xml:space="preserve">—</w:t>
            </w:r>
          </w:p>
        </w:tc>
      </w:tr>
    </w:tbl>
    <w:bookmarkEnd w:id="74"/>
    <w:bookmarkStart w:id="75" w:name="situation-technique-3"/>
    <w:p>
      <w:pPr>
        <w:pStyle w:val="Heading3"/>
      </w:pPr>
      <w:r>
        <w:t xml:space="preserve">2. Situation technique</w:t>
      </w:r>
    </w:p>
    <w:tbl>
      <w:tblPr>
        <w:tblStyle w:val="Table"/>
        <w:tblW w:type="dxa" w:w="14570"/>
        <w:tblLook w:firstRow="1" w:lastRow="0" w:firstColumn="0" w:lastColumn="0" w:noHBand="0" w:noVBand="0" w:val="0020"/>
        <w:jc w:val="start"/>
      </w:tblPr>
      <w:tblGrid>
        <w:gridCol w:w="2630"/>
        <w:gridCol w:w="7906"/>
        <w:gridCol w:w="1581"/>
        <w:gridCol w:w="1166"/>
        <w:gridCol w:w="1286"/>
      </w:tblGrid>
      <w:tr>
        <w:trPr>
          <w:tblHeader w:val="true"/>
        </w:trPr>
        <w:tc>
          <w:tcPr>
            <w:tcW w:w="2630" w:type="dxa"/>
          </w:tcPr>
          <w:tcPr/>
          <w:p>
            <w:pPr>
              <w:pStyle w:val="Compact"/>
              <w:jc w:val="left"/>
            </w:pPr>
            <w:r>
              <w:t xml:space="preserve">Indicateur</w:t>
            </w:r>
          </w:p>
        </w:tc>
        <w:tc>
          <w:tcPr>
            <w:tcW w:w="7906" w:type="dxa"/>
          </w:tcPr>
          <w:tcPr/>
          <w:p>
            <w:pPr>
              <w:pStyle w:val="Compact"/>
              <w:jc w:val="left"/>
            </w:pPr>
            <w:r>
              <w:t xml:space="preserve">Valeur</w:t>
            </w:r>
          </w:p>
        </w:tc>
        <w:tc>
          <w:tcPr>
            <w:tcW w:w="1581" w:type="dxa"/>
          </w:tcPr>
          <w:tcPr/>
          <w:p>
            <w:pPr>
              <w:pStyle w:val="Compact"/>
              <w:jc w:val="left"/>
            </w:pPr>
            <w:r>
              <w:t xml:space="preserve">Année</w:t>
            </w:r>
          </w:p>
        </w:tc>
        <w:tc>
          <w:tcPr>
            <w:tcW w:w="1166" w:type="dxa"/>
          </w:tcPr>
          <w:tcPr/>
          <w:p>
            <w:pPr>
              <w:pStyle w:val="Compact"/>
              <w:jc w:val="left"/>
            </w:pPr>
            <w:r>
              <w:t xml:space="preserve">Statut</w:t>
            </w:r>
          </w:p>
        </w:tc>
        <w:tc>
          <w:tcPr>
            <w:tcW w:w="1286" w:type="dxa"/>
          </w:tcPr>
          <w:tcPr/>
          <w:p>
            <w:pPr>
              <w:pStyle w:val="Compact"/>
              <w:jc w:val="left"/>
            </w:pPr>
            <w:r>
              <w:t xml:space="preserve">Source</w:t>
            </w:r>
          </w:p>
        </w:tc>
      </w:tr>
      <w:tr>
        <w:tc>
          <w:tcPr>
            <w:tcW w:w="2630" w:type="dxa"/>
          </w:tcPr>
          <w:tcPr/>
          <w:p>
            <w:pPr>
              <w:pStyle w:val="Compact"/>
              <w:jc w:val="left"/>
            </w:pPr>
            <w:r>
              <w:t xml:space="preserve">Capacité installée</w:t>
            </w:r>
          </w:p>
        </w:tc>
        <w:tc>
          <w:tcPr>
            <w:tcW w:w="7906" w:type="dxa"/>
          </w:tcPr>
          <w:tcPr/>
          <w:p>
            <w:pPr>
              <w:pStyle w:val="Compact"/>
              <w:jc w:val="left"/>
            </w:pPr>
            <w:r>
              <w:t xml:space="preserve">892 MW pour une pointe de 627 MW (2021)</w:t>
            </w:r>
          </w:p>
        </w:tc>
        <w:tc>
          <w:tcPr>
            <w:tcW w:w="1581" w:type="dxa"/>
          </w:tcPr>
          <w:tcPr/>
          <w:p>
            <w:pPr>
              <w:pStyle w:val="Compact"/>
              <w:jc w:val="left"/>
            </w:pPr>
            <w:r>
              <w:t xml:space="preserve">2021</w:t>
            </w:r>
          </w:p>
        </w:tc>
        <w:tc>
          <w:tcPr>
            <w:tcW w:w="1166" w:type="dxa"/>
          </w:tcPr>
          <w:tcPr/>
          <w:p>
            <w:pPr>
              <w:pStyle w:val="Compact"/>
              <w:jc w:val="left"/>
            </w:pPr>
            <w:r>
              <w:t xml:space="preserve">[V]</w:t>
            </w:r>
          </w:p>
        </w:tc>
        <w:tc>
          <w:tcPr>
            <w:tcW w:w="1286" w:type="dxa"/>
          </w:tcPr>
          <w:tcPr/>
          <w:p>
            <w:pPr>
              <w:pStyle w:val="Compact"/>
              <w:jc w:val="left"/>
            </w:pPr>
            <w:r>
              <w:t xml:space="preserve">[1]</w:t>
            </w:r>
          </w:p>
        </w:tc>
      </w:tr>
      <w:tr>
        <w:tc>
          <w:tcPr>
            <w:tcW w:w="2630" w:type="dxa"/>
          </w:tcPr>
          <w:tcPr/>
          <w:p>
            <w:pPr>
              <w:pStyle w:val="Compact"/>
              <w:jc w:val="left"/>
            </w:pPr>
            <w:r>
              <w:t xml:space="preserve">Disponibilité de Morupule B</w:t>
            </w:r>
          </w:p>
        </w:tc>
        <w:tc>
          <w:tcPr>
            <w:tcW w:w="7906" w:type="dxa"/>
          </w:tcPr>
          <w:tcPr/>
          <w:p>
            <w:pPr>
              <w:pStyle w:val="Compact"/>
              <w:jc w:val="left"/>
            </w:pPr>
            <w:r>
              <w:t xml:space="preserve">Production domestique ≈ 62 % de l’offre (moyenne 2018-2022) ; disponibilité 63 % (2022/23, [S]) ; réhabilitation unité par unité (2e unité retour prévu 22/12/2025, puis 3e et 4e sur ~2 ans)</w:t>
            </w:r>
          </w:p>
        </w:tc>
        <w:tc>
          <w:tcPr>
            <w:tcW w:w="1581" w:type="dxa"/>
          </w:tcPr>
          <w:tcPr/>
          <w:p>
            <w:pPr>
              <w:pStyle w:val="Compact"/>
              <w:jc w:val="left"/>
            </w:pPr>
            <w:r>
              <w:t xml:space="preserve">2018-2025</w:t>
            </w:r>
          </w:p>
        </w:tc>
        <w:tc>
          <w:tcPr>
            <w:tcW w:w="1166" w:type="dxa"/>
          </w:tcPr>
          <w:tcPr/>
          <w:p>
            <w:pPr>
              <w:pStyle w:val="Compact"/>
              <w:jc w:val="left"/>
            </w:pPr>
            <w:r>
              <w:t xml:space="preserve">[V]/[S]</w:t>
            </w:r>
          </w:p>
        </w:tc>
        <w:tc>
          <w:tcPr>
            <w:tcW w:w="1286" w:type="dxa"/>
          </w:tcPr>
          <w:tcPr/>
          <w:p>
            <w:pPr>
              <w:pStyle w:val="Compact"/>
              <w:jc w:val="left"/>
            </w:pPr>
            <w:r>
              <w:t xml:space="preserve">[1][2][8]</w:t>
            </w:r>
          </w:p>
        </w:tc>
      </w:tr>
      <w:tr>
        <w:tc>
          <w:tcPr>
            <w:tcW w:w="2630" w:type="dxa"/>
          </w:tcPr>
          <w:tcPr/>
          <w:p>
            <w:pPr>
              <w:pStyle w:val="Compact"/>
              <w:jc w:val="left"/>
            </w:pPr>
            <w:r>
              <w:t xml:space="preserve">Importations</w:t>
            </w:r>
          </w:p>
        </w:tc>
        <w:tc>
          <w:tcPr>
            <w:tcW w:w="7906" w:type="dxa"/>
          </w:tcPr>
          <w:tcPr/>
          <w:p>
            <w:pPr>
              <w:pStyle w:val="Compact"/>
              <w:jc w:val="left"/>
            </w:pPr>
            <w:r>
              <w:t xml:space="preserve">~38 % de l’offre (2018-2022) ; 3,59 Md BWP prévus en 2026/27</w:t>
            </w:r>
          </w:p>
        </w:tc>
        <w:tc>
          <w:tcPr>
            <w:tcW w:w="1581" w:type="dxa"/>
          </w:tcPr>
          <w:tcPr/>
          <w:p>
            <w:pPr>
              <w:pStyle w:val="Compact"/>
              <w:jc w:val="left"/>
            </w:pPr>
            <w:r>
              <w:t xml:space="preserve">2018-2027</w:t>
            </w:r>
          </w:p>
        </w:tc>
        <w:tc>
          <w:tcPr>
            <w:tcW w:w="1166" w:type="dxa"/>
          </w:tcPr>
          <w:tcPr/>
          <w:p>
            <w:pPr>
              <w:pStyle w:val="Compact"/>
              <w:jc w:val="left"/>
            </w:pPr>
            <w:r>
              <w:t xml:space="preserve">[V]</w:t>
            </w:r>
          </w:p>
        </w:tc>
        <w:tc>
          <w:tcPr>
            <w:tcW w:w="1286" w:type="dxa"/>
          </w:tcPr>
          <w:tcPr/>
          <w:p>
            <w:pPr>
              <w:pStyle w:val="Compact"/>
              <w:jc w:val="left"/>
            </w:pPr>
            <w:r>
              <w:t xml:space="preserve">[1][2]</w:t>
            </w:r>
          </w:p>
        </w:tc>
      </w:tr>
      <w:tr>
        <w:tc>
          <w:tcPr>
            <w:tcW w:w="2630" w:type="dxa"/>
          </w:tcPr>
          <w:tcPr/>
          <w:p>
            <w:pPr>
              <w:pStyle w:val="Compact"/>
              <w:jc w:val="left"/>
            </w:pPr>
            <w:r>
              <w:t xml:space="preserve">Pertes T&amp;D</w:t>
            </w:r>
          </w:p>
        </w:tc>
        <w:tc>
          <w:tcPr>
            <w:tcW w:w="7906" w:type="dxa"/>
          </w:tcPr>
          <w:tcPr/>
          <w:p>
            <w:pPr>
              <w:pStyle w:val="Compact"/>
              <w:jc w:val="left"/>
            </w:pPr>
            <w:r>
              <w:rPr>
                <w:bCs/>
                <w:b/>
              </w:rPr>
              <w:t xml:space="preserve">15,35 %</w:t>
            </w:r>
            <w:r>
              <w:t xml:space="preserve"> </w:t>
            </w:r>
            <w:r>
              <w:t xml:space="preserve">(moyenne système, 2021)</w:t>
            </w:r>
          </w:p>
        </w:tc>
        <w:tc>
          <w:tcPr>
            <w:tcW w:w="1581" w:type="dxa"/>
          </w:tcPr>
          <w:tcPr/>
          <w:p>
            <w:pPr>
              <w:pStyle w:val="Compact"/>
              <w:jc w:val="left"/>
            </w:pPr>
            <w:r>
              <w:t xml:space="preserve">2021</w:t>
            </w:r>
          </w:p>
        </w:tc>
        <w:tc>
          <w:tcPr>
            <w:tcW w:w="1166" w:type="dxa"/>
          </w:tcPr>
          <w:tcPr/>
          <w:p>
            <w:pPr>
              <w:pStyle w:val="Compact"/>
              <w:jc w:val="left"/>
            </w:pPr>
            <w:r>
              <w:t xml:space="preserve">[V]</w:t>
            </w:r>
          </w:p>
        </w:tc>
        <w:tc>
          <w:tcPr>
            <w:tcW w:w="1286" w:type="dxa"/>
          </w:tcPr>
          <w:tcPr/>
          <w:p>
            <w:pPr>
              <w:pStyle w:val="Compact"/>
              <w:jc w:val="left"/>
            </w:pPr>
            <w:r>
              <w:t xml:space="preserve">[1]</w:t>
            </w:r>
          </w:p>
        </w:tc>
      </w:tr>
      <w:tr>
        <w:tc>
          <w:tcPr>
            <w:tcW w:w="2630" w:type="dxa"/>
          </w:tcPr>
          <w:tcPr/>
          <w:p>
            <w:pPr>
              <w:pStyle w:val="Compact"/>
              <w:jc w:val="left"/>
            </w:pPr>
            <w:r>
              <w:t xml:space="preserve">SAIDI / SAIFI</w:t>
            </w:r>
          </w:p>
        </w:tc>
        <w:tc>
          <w:tcPr>
            <w:tcW w:w="7906" w:type="dxa"/>
          </w:tcPr>
          <w:tcPr/>
          <w:p>
            <w:pPr>
              <w:pStyle w:val="Compact"/>
              <w:jc w:val="left"/>
            </w:pPr>
            <w:r>
              <w:t xml:space="preserve">[?] ; ~2 h/jour sans électricité dans les villages frontaliers (Borolong) alimentés depuis l’Afrique du Sud ; plusieurs délestages en 2024</w:t>
            </w:r>
          </w:p>
        </w:tc>
        <w:tc>
          <w:tcPr>
            <w:tcW w:w="1581" w:type="dxa"/>
          </w:tcPr>
          <w:tcPr/>
          <w:p>
            <w:pPr>
              <w:pStyle w:val="Compact"/>
              <w:jc w:val="left"/>
            </w:pPr>
            <w:r>
              <w:t xml:space="preserve">2024</w:t>
            </w:r>
          </w:p>
        </w:tc>
        <w:tc>
          <w:tcPr>
            <w:tcW w:w="1166" w:type="dxa"/>
          </w:tcPr>
          <w:tcPr/>
          <w:p>
            <w:pPr>
              <w:pStyle w:val="Compact"/>
              <w:jc w:val="left"/>
            </w:pPr>
            <w:r>
              <w:t xml:space="preserve">[V]</w:t>
            </w:r>
          </w:p>
        </w:tc>
        <w:tc>
          <w:tcPr>
            <w:tcW w:w="1286" w:type="dxa"/>
          </w:tcPr>
          <w:tcPr/>
          <w:p>
            <w:pPr>
              <w:pStyle w:val="Compact"/>
              <w:jc w:val="left"/>
            </w:pPr>
            <w:r>
              <w:t xml:space="preserve">[1]</w:t>
            </w:r>
          </w:p>
        </w:tc>
      </w:tr>
      <w:tr>
        <w:tc>
          <w:tcPr>
            <w:tcW w:w="2630" w:type="dxa"/>
          </w:tcPr>
          <w:tcPr/>
          <w:p>
            <w:pPr>
              <w:pStyle w:val="Compact"/>
              <w:jc w:val="left"/>
            </w:pPr>
            <w:r>
              <w:t xml:space="preserve">Mix</w:t>
            </w:r>
          </w:p>
        </w:tc>
        <w:tc>
          <w:tcPr>
            <w:tcW w:w="7906" w:type="dxa"/>
          </w:tcPr>
          <w:tcPr/>
          <w:p>
            <w:pPr>
              <w:pStyle w:val="Compact"/>
              <w:jc w:val="left"/>
            </w:pPr>
            <w:r>
              <w:rPr>
                <w:bCs/>
                <w:b/>
              </w:rPr>
              <w:t xml:space="preserve">97 % charbon</w:t>
            </w:r>
            <w:r>
              <w:t xml:space="preserve"> </w:t>
            </w:r>
            <w:r>
              <w:t xml:space="preserve">(production domestique)</w:t>
            </w:r>
          </w:p>
        </w:tc>
        <w:tc>
          <w:tcPr>
            <w:tcW w:w="1581" w:type="dxa"/>
          </w:tcPr>
          <w:tcPr/>
          <w:p>
            <w:pPr>
              <w:pStyle w:val="Compact"/>
              <w:jc w:val="left"/>
            </w:pPr>
            <w:r>
              <w:t xml:space="preserve">2021-2024</w:t>
            </w:r>
          </w:p>
        </w:tc>
        <w:tc>
          <w:tcPr>
            <w:tcW w:w="1166" w:type="dxa"/>
          </w:tcPr>
          <w:tcPr/>
          <w:p>
            <w:pPr>
              <w:pStyle w:val="Compact"/>
              <w:jc w:val="left"/>
            </w:pPr>
            <w:r>
              <w:t xml:space="preserve">[V]</w:t>
            </w:r>
          </w:p>
        </w:tc>
        <w:tc>
          <w:tcPr>
            <w:tcW w:w="1286" w:type="dxa"/>
          </w:tcPr>
          <w:tcPr/>
          <w:p>
            <w:pPr>
              <w:pStyle w:val="Compact"/>
              <w:jc w:val="left"/>
            </w:pPr>
            <w:r>
              <w:t xml:space="preserve">[1]</w:t>
            </w:r>
          </w:p>
        </w:tc>
      </w:tr>
      <w:tr>
        <w:tc>
          <w:tcPr>
            <w:tcW w:w="2630" w:type="dxa"/>
          </w:tcPr>
          <w:tcPr/>
          <w:p>
            <w:pPr>
              <w:pStyle w:val="Compact"/>
              <w:jc w:val="left"/>
            </w:pPr>
            <w:r>
              <w:t xml:space="preserve">Accès</w:t>
            </w:r>
          </w:p>
        </w:tc>
        <w:tc>
          <w:tcPr>
            <w:tcW w:w="7906" w:type="dxa"/>
          </w:tcPr>
          <w:tcPr/>
          <w:p>
            <w:pPr>
              <w:pStyle w:val="Compact"/>
              <w:jc w:val="left"/>
            </w:pPr>
            <w:r>
              <w:t xml:space="preserve">~70 % national ; rural ≈ 25 % stagnant (2010-2021) ; raccordement gratuit depuis avril 2024</w:t>
            </w:r>
          </w:p>
        </w:tc>
        <w:tc>
          <w:tcPr>
            <w:tcW w:w="1581" w:type="dxa"/>
          </w:tcPr>
          <w:tcPr/>
          <w:p>
            <w:pPr>
              <w:pStyle w:val="Compact"/>
              <w:jc w:val="left"/>
            </w:pPr>
            <w:r>
              <w:t xml:space="preserve">2024</w:t>
            </w:r>
          </w:p>
        </w:tc>
        <w:tc>
          <w:tcPr>
            <w:tcW w:w="1166" w:type="dxa"/>
          </w:tcPr>
          <w:tcPr/>
          <w:p>
            <w:pPr>
              <w:pStyle w:val="Compact"/>
              <w:jc w:val="left"/>
            </w:pPr>
            <w:r>
              <w:t xml:space="preserve">[V]</w:t>
            </w:r>
          </w:p>
        </w:tc>
        <w:tc>
          <w:tcPr>
            <w:tcW w:w="1286" w:type="dxa"/>
          </w:tcPr>
          <w:tcPr/>
          <w:p>
            <w:pPr>
              <w:pStyle w:val="Compact"/>
              <w:jc w:val="left"/>
            </w:pPr>
            <w:r>
              <w:t xml:space="preserve">[1]</w:t>
            </w:r>
          </w:p>
        </w:tc>
      </w:tr>
    </w:tbl>
    <w:bookmarkEnd w:id="75"/>
    <w:bookmarkStart w:id="76" w:name="situation-économique-et-gouvernance-3"/>
    <w:p>
      <w:pPr>
        <w:pStyle w:val="Heading3"/>
      </w:pPr>
      <w:r>
        <w:t xml:space="preserve">3. Situation économique et gouvernance</w:t>
      </w:r>
    </w:p>
    <w:p>
      <w:pPr>
        <w:numPr>
          <w:ilvl w:val="0"/>
          <w:numId w:val="1034"/>
        </w:numPr>
        <w:pStyle w:val="Compact"/>
      </w:pPr>
      <w:r>
        <w:rPr>
          <w:bCs/>
          <w:b/>
        </w:rPr>
        <w:t xml:space="preserve">PPA</w:t>
      </w:r>
      <w:r>
        <w:t xml:space="preserve"> </w:t>
      </w:r>
      <w:r>
        <w:t xml:space="preserve">: forte part des importations (Eskom, SAPP) payées à prix premium [1] [V] ; bascule prévue vers les IPP à partir de 2027/28 (IPP 2,67 Md BWP vs importations 0,27 Md BWP prévus) — le</w:t>
      </w:r>
      <w:r>
        <w:t xml:space="preserve"> </w:t>
      </w:r>
      <w:r>
        <w:rPr>
          <w:bCs/>
          <w:b/>
        </w:rPr>
        <w:t xml:space="preserve">PPA de Mmamabula (600 MW charbon)</w:t>
      </w:r>
      <w:r>
        <w:t xml:space="preserve"> </w:t>
      </w:r>
      <w:r>
        <w:t xml:space="preserve">devient le principal engagement, avec risque de surcapacité et d’export incertain signalé par la BM [1][2] [V].</w:t>
      </w:r>
    </w:p>
    <w:p>
      <w:pPr>
        <w:numPr>
          <w:ilvl w:val="0"/>
          <w:numId w:val="1034"/>
        </w:numPr>
        <w:pStyle w:val="Compact"/>
      </w:pPr>
      <w:r>
        <w:rPr>
          <w:bCs/>
          <w:b/>
        </w:rPr>
        <w:t xml:space="preserve">Change</w:t>
      </w:r>
      <w:r>
        <w:t xml:space="preserve"> </w:t>
      </w:r>
      <w:r>
        <w:t xml:space="preserve">: importations et dette en devises (ICBC, pacte) [?].</w:t>
      </w:r>
    </w:p>
    <w:p>
      <w:pPr>
        <w:numPr>
          <w:ilvl w:val="0"/>
          <w:numId w:val="1034"/>
        </w:numPr>
        <w:pStyle w:val="Compact"/>
      </w:pPr>
      <w:r>
        <w:rPr>
          <w:bCs/>
          <w:b/>
        </w:rPr>
        <w:t xml:space="preserve">Plan de redressement</w:t>
      </w:r>
      <w:r>
        <w:t xml:space="preserve"> </w:t>
      </w:r>
      <w:r>
        <w:t xml:space="preserve">: mesures d’efficacité (budgets base zéro, SCADA/GIS, prépaiement, réalignement organisationnel) [2] [V] ; réhabilitation de Morupule B ; pacte : régime tarifaire pluriannuel fondé sur la performance (déc. 2026), étude de coût de service financée par la BAD.</w:t>
      </w:r>
    </w:p>
    <w:p>
      <w:pPr>
        <w:numPr>
          <w:ilvl w:val="0"/>
          <w:numId w:val="1034"/>
        </w:numPr>
        <w:pStyle w:val="Compact"/>
      </w:pPr>
      <w:r>
        <w:rPr>
          <w:bCs/>
          <w:b/>
        </w:rPr>
        <w:t xml:space="preserve">Gouvernance</w:t>
      </w:r>
      <w:r>
        <w:t xml:space="preserve"> </w:t>
      </w:r>
      <w:r>
        <w:t xml:space="preserve">: comptes audités publiés avec retard (rapport 2024 non publié en mars 2025, pacte) ; BERA fortement politisée sur les hausses (demandes 2023 et 2024 rejetées selon le pacte ; 9 % accordés sur 46 % demandés en 2026) [3][4] [V].</w:t>
      </w:r>
    </w:p>
    <w:bookmarkEnd w:id="76"/>
    <w:bookmarkStart w:id="77" w:name="X0fb224e357fc29fa7aa143e470b4c826767e745"/>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741"/>
        <w:gridCol w:w="1356"/>
        <w:gridCol w:w="1223"/>
        <w:gridCol w:w="1226"/>
        <w:gridCol w:w="3848"/>
        <w:gridCol w:w="772"/>
        <w:gridCol w:w="1663"/>
        <w:gridCol w:w="738"/>
      </w:tblGrid>
      <w:tr>
        <w:trPr>
          <w:tblHeader w:val="true"/>
        </w:trPr>
        <w:tc>
          <w:tcPr>
            <w:tcW w:w="3741" w:type="dxa"/>
          </w:tcPr>
          <w:tcPr/>
          <w:p>
            <w:pPr>
              <w:pStyle w:val="Compact"/>
              <w:jc w:val="left"/>
            </w:pPr>
            <w:r>
              <w:t xml:space="preserve">Programme / projet</w:t>
            </w:r>
          </w:p>
        </w:tc>
        <w:tc>
          <w:tcPr>
            <w:tcW w:w="1356" w:type="dxa"/>
          </w:tcPr>
          <w:tcPr/>
          <w:p>
            <w:pPr>
              <w:pStyle w:val="Compact"/>
              <w:jc w:val="left"/>
            </w:pPr>
            <w:r>
              <w:t xml:space="preserve">Bailleur</w:t>
            </w:r>
          </w:p>
        </w:tc>
        <w:tc>
          <w:tcPr>
            <w:tcW w:w="1223" w:type="dxa"/>
          </w:tcPr>
          <w:tcPr/>
          <w:p>
            <w:pPr>
              <w:pStyle w:val="Compact"/>
              <w:jc w:val="left"/>
            </w:pPr>
            <w:r>
              <w:t xml:space="preserve">Montant</w:t>
            </w:r>
          </w:p>
        </w:tc>
        <w:tc>
          <w:tcPr>
            <w:tcW w:w="1226" w:type="dxa"/>
          </w:tcPr>
          <w:tcPr/>
          <w:p>
            <w:pPr>
              <w:pStyle w:val="Compact"/>
              <w:jc w:val="left"/>
            </w:pPr>
            <w:r>
              <w:t xml:space="preserve">Années</w:t>
            </w:r>
          </w:p>
        </w:tc>
        <w:tc>
          <w:tcPr>
            <w:tcW w:w="3848" w:type="dxa"/>
          </w:tcPr>
          <w:tcPr/>
          <w:p>
            <w:pPr>
              <w:pStyle w:val="Compact"/>
              <w:jc w:val="left"/>
            </w:pPr>
            <w:r>
              <w:t xml:space="preserve">Objectifs liés à l’opérateur</w:t>
            </w:r>
          </w:p>
        </w:tc>
        <w:tc>
          <w:tcPr>
            <w:tcW w:w="772" w:type="dxa"/>
          </w:tcPr>
          <w:tcPr/>
          <w:p>
            <w:pPr>
              <w:pStyle w:val="Compact"/>
              <w:jc w:val="left"/>
            </w:pPr>
            <w:r>
              <w:t xml:space="preserve">Conditions / indicateurs</w:t>
            </w:r>
          </w:p>
        </w:tc>
        <w:tc>
          <w:tcPr>
            <w:tcW w:w="1663" w:type="dxa"/>
          </w:tcPr>
          <w:tcPr/>
          <w:p>
            <w:pPr>
              <w:pStyle w:val="Compact"/>
              <w:jc w:val="left"/>
            </w:pPr>
            <w:r>
              <w:t xml:space="preserve">Statut</w:t>
            </w:r>
          </w:p>
        </w:tc>
        <w:tc>
          <w:tcPr>
            <w:tcW w:w="738" w:type="dxa"/>
          </w:tcPr>
          <w:tcPr/>
          <w:p>
            <w:pPr>
              <w:pStyle w:val="Compact"/>
              <w:jc w:val="left"/>
            </w:pPr>
            <w:r>
              <w:t xml:space="preserve">Source</w:t>
            </w:r>
          </w:p>
        </w:tc>
      </w:tr>
      <w:tr>
        <w:tc>
          <w:tcPr>
            <w:tcW w:w="3741" w:type="dxa"/>
          </w:tcPr>
          <w:tcPr/>
          <w:p>
            <w:pPr>
              <w:pStyle w:val="Compact"/>
              <w:jc w:val="left"/>
            </w:pPr>
            <w:r>
              <w:rPr>
                <w:bCs/>
                <w:b/>
              </w:rPr>
              <w:t xml:space="preserve">Renewable Energy Support and Access Accelerator Project (RESAA), P181221</w:t>
            </w:r>
          </w:p>
        </w:tc>
        <w:tc>
          <w:tcPr>
            <w:tcW w:w="1356" w:type="dxa"/>
          </w:tcPr>
          <w:tcPr/>
          <w:p>
            <w:pPr>
              <w:pStyle w:val="Compact"/>
              <w:jc w:val="left"/>
            </w:pPr>
            <w:r>
              <w:t xml:space="preserve">BM (prêt BIRD 97020) + Fonds vert pour le climat</w:t>
            </w:r>
          </w:p>
        </w:tc>
        <w:tc>
          <w:tcPr>
            <w:tcW w:w="1223" w:type="dxa"/>
          </w:tcPr>
          <w:tcPr/>
          <w:p>
            <w:pPr>
              <w:pStyle w:val="Compact"/>
              <w:jc w:val="left"/>
            </w:pPr>
            <w:r>
              <w:rPr>
                <w:bCs/>
                <w:b/>
              </w:rPr>
              <w:t xml:space="preserve">88 M US$</w:t>
            </w:r>
            <w:r>
              <w:t xml:space="preserve"> </w:t>
            </w:r>
            <w:r>
              <w:t xml:space="preserve">BIRD + 30 M US$ prêt GCF + 4 M US$ don GCF</w:t>
            </w:r>
          </w:p>
        </w:tc>
        <w:tc>
          <w:tcPr>
            <w:tcW w:w="1226" w:type="dxa"/>
          </w:tcPr>
          <w:tcPr/>
          <w:p>
            <w:pPr>
              <w:pStyle w:val="Compact"/>
              <w:jc w:val="left"/>
            </w:pPr>
            <w:r>
              <w:t xml:space="preserve">approuvé 11/07/2024 ; clôture 31/12/2029</w:t>
            </w:r>
          </w:p>
        </w:tc>
        <w:tc>
          <w:tcPr>
            <w:tcW w:w="3848" w:type="dxa"/>
          </w:tcPr>
          <w:tcPr/>
          <w:p>
            <w:pPr>
              <w:pStyle w:val="Compact"/>
              <w:jc w:val="left"/>
            </w:pPr>
            <w:r>
              <w:t xml:space="preserve">BPC maître d’ouvrage (sous-accord) : C1 réseau pour intégrer les EnR variables (STATCOM, numérisation, contrôle) ; C2 réseau rural sud (17,5 M US$) ; C3 AT (6,28 M US$)</w:t>
            </w:r>
          </w:p>
        </w:tc>
        <w:tc>
          <w:tcPr>
            <w:tcW w:w="772" w:type="dxa"/>
          </w:tcPr>
          <w:tcPr/>
          <w:p>
            <w:pPr>
              <w:pStyle w:val="Compact"/>
              <w:jc w:val="left"/>
            </w:pPr>
            <w:r>
              <w:t xml:space="preserve">[?] (pas de DLI/PBC)</w:t>
            </w:r>
          </w:p>
        </w:tc>
        <w:tc>
          <w:tcPr>
            <w:tcW w:w="1663" w:type="dxa"/>
          </w:tcPr>
          <w:tcPr/>
          <w:p>
            <w:pPr>
              <w:pStyle w:val="Compact"/>
              <w:jc w:val="left"/>
            </w:pPr>
            <w:r>
              <w:t xml:space="preserve">ISR nov. 2024 :</w:t>
            </w:r>
            <w:r>
              <w:t xml:space="preserve"> </w:t>
            </w:r>
            <w:r>
              <w:rPr>
                <w:bCs/>
                <w:b/>
              </w:rPr>
              <w:t xml:space="preserve">non effectif</w:t>
            </w:r>
            <w:r>
              <w:t xml:space="preserve"> </w:t>
            </w:r>
            <w:r>
              <w:t xml:space="preserve">(approbation parlementaire attendue, effectivité prévue 2025) ; 0 % décaissé</w:t>
            </w:r>
          </w:p>
        </w:tc>
        <w:tc>
          <w:tcPr>
            <w:tcW w:w="738" w:type="dxa"/>
          </w:tcPr>
          <w:tcPr/>
          <w:p>
            <w:pPr>
              <w:pStyle w:val="Compact"/>
              <w:jc w:val="left"/>
            </w:pPr>
            <w:r>
              <w:t xml:space="preserve">[1][5]</w:t>
            </w:r>
          </w:p>
        </w:tc>
      </w:tr>
      <w:tr>
        <w:tc>
          <w:tcPr>
            <w:tcW w:w="3741" w:type="dxa"/>
          </w:tcPr>
          <w:tcPr/>
          <w:p>
            <w:pPr>
              <w:pStyle w:val="Compact"/>
              <w:jc w:val="left"/>
            </w:pPr>
            <w:r>
              <w:t xml:space="preserve">Botswana Renewable Energy Scale Up Support, P178822</w:t>
            </w:r>
          </w:p>
        </w:tc>
        <w:tc>
          <w:tcPr>
            <w:tcW w:w="1356" w:type="dxa"/>
          </w:tcPr>
          <w:tcPr/>
          <w:p>
            <w:pPr>
              <w:pStyle w:val="Compact"/>
              <w:jc w:val="left"/>
            </w:pPr>
            <w:r>
              <w:t xml:space="preserve">BM (fonds fiduciaire / AT)</w:t>
            </w:r>
          </w:p>
        </w:tc>
        <w:tc>
          <w:tcPr>
            <w:tcW w:w="1223" w:type="dxa"/>
          </w:tcPr>
          <w:tcPr/>
          <w:p>
            <w:pPr>
              <w:pStyle w:val="Compact"/>
              <w:jc w:val="left"/>
            </w:pPr>
            <w:r>
              <w:t xml:space="preserve">[?]</w:t>
            </w:r>
          </w:p>
        </w:tc>
        <w:tc>
          <w:tcPr>
            <w:tcW w:w="1226" w:type="dxa"/>
          </w:tcPr>
          <w:tcPr/>
          <w:p>
            <w:pPr>
              <w:pStyle w:val="Compact"/>
              <w:jc w:val="left"/>
            </w:pPr>
            <w:r>
              <w:t xml:space="preserve">actif</w:t>
            </w:r>
          </w:p>
        </w:tc>
        <w:tc>
          <w:tcPr>
            <w:tcW w:w="3848" w:type="dxa"/>
          </w:tcPr>
          <w:tcPr/>
          <w:p>
            <w:pPr>
              <w:pStyle w:val="Compact"/>
              <w:jc w:val="left"/>
            </w:pPr>
            <w:r>
              <w:t xml:space="preserve">AT EnR</w:t>
            </w:r>
          </w:p>
        </w:tc>
        <w:tc>
          <w:tcPr>
            <w:tcW w:w="772" w:type="dxa"/>
          </w:tcPr>
          <w:tcPr/>
          <w:p>
            <w:pPr>
              <w:pStyle w:val="Compact"/>
              <w:jc w:val="left"/>
            </w:pPr>
            <w:r>
              <w:t xml:space="preserve">—</w:t>
            </w:r>
          </w:p>
        </w:tc>
        <w:tc>
          <w:tcPr>
            <w:tcW w:w="1663" w:type="dxa"/>
          </w:tcPr>
          <w:tcPr/>
          <w:p>
            <w:pPr>
              <w:pStyle w:val="Compact"/>
              <w:jc w:val="left"/>
            </w:pPr>
            <w:r>
              <w:t xml:space="preserve">actif</w:t>
            </w:r>
          </w:p>
        </w:tc>
        <w:tc>
          <w:tcPr>
            <w:tcW w:w="738" w:type="dxa"/>
          </w:tcPr>
          <w:tcPr/>
          <w:p>
            <w:pPr>
              <w:pStyle w:val="Compact"/>
              <w:jc w:val="left"/>
            </w:pPr>
            <w:r>
              <w:t xml:space="preserve">API BM</w:t>
            </w:r>
          </w:p>
        </w:tc>
      </w:tr>
      <w:tr>
        <w:tc>
          <w:tcPr>
            <w:tcW w:w="3741" w:type="dxa"/>
          </w:tcPr>
          <w:tcPr/>
          <w:p>
            <w:pPr>
              <w:pStyle w:val="Compact"/>
              <w:jc w:val="left"/>
            </w:pPr>
            <w:r>
              <w:t xml:space="preserve">Botswana Programmatic Economic Resilience and Green Recovery DPL I et II, P175934 / P176810</w:t>
            </w:r>
          </w:p>
        </w:tc>
        <w:tc>
          <w:tcPr>
            <w:tcW w:w="1356" w:type="dxa"/>
          </w:tcPr>
          <w:tcPr/>
          <w:p>
            <w:pPr>
              <w:pStyle w:val="Compact"/>
              <w:jc w:val="left"/>
            </w:pPr>
            <w:r>
              <w:t xml:space="preserve">BM (DPF)</w:t>
            </w:r>
          </w:p>
        </w:tc>
        <w:tc>
          <w:tcPr>
            <w:tcW w:w="1223" w:type="dxa"/>
          </w:tcPr>
          <w:tcPr/>
          <w:p>
            <w:pPr>
              <w:pStyle w:val="Compact"/>
              <w:jc w:val="left"/>
            </w:pPr>
            <w:r>
              <w:t xml:space="preserve">250 M US$ ; 150 M US$</w:t>
            </w:r>
          </w:p>
        </w:tc>
        <w:tc>
          <w:tcPr>
            <w:tcW w:w="1226" w:type="dxa"/>
          </w:tcPr>
          <w:tcPr/>
          <w:p>
            <w:pPr>
              <w:pStyle w:val="Compact"/>
              <w:jc w:val="left"/>
            </w:pPr>
            <w:r>
              <w:t xml:space="preserve">2021 ; 2023</w:t>
            </w:r>
          </w:p>
        </w:tc>
        <w:tc>
          <w:tcPr>
            <w:tcW w:w="3848" w:type="dxa"/>
          </w:tcPr>
          <w:tcPr/>
          <w:p>
            <w:pPr>
              <w:pStyle w:val="Compact"/>
              <w:jc w:val="left"/>
            </w:pPr>
            <w:r>
              <w:t xml:space="preserve">[?] actions préalables énergie non vérifiées</w:t>
            </w:r>
          </w:p>
        </w:tc>
        <w:tc>
          <w:tcPr>
            <w:tcW w:w="772" w:type="dxa"/>
          </w:tcPr>
          <w:tcPr/>
          <w:p>
            <w:pPr>
              <w:pStyle w:val="Compact"/>
              <w:jc w:val="left"/>
            </w:pPr>
            <w:r>
              <w:t xml:space="preserve">—</w:t>
            </w:r>
          </w:p>
        </w:tc>
        <w:tc>
          <w:tcPr>
            <w:tcW w:w="1663" w:type="dxa"/>
          </w:tcPr>
          <w:tcPr/>
          <w:p>
            <w:pPr>
              <w:pStyle w:val="Compact"/>
              <w:jc w:val="left"/>
            </w:pPr>
            <w:r>
              <w:t xml:space="preserve">clos</w:t>
            </w:r>
          </w:p>
        </w:tc>
        <w:tc>
          <w:tcPr>
            <w:tcW w:w="738" w:type="dxa"/>
          </w:tcPr>
          <w:tcPr/>
          <w:p>
            <w:pPr>
              <w:pStyle w:val="Compact"/>
              <w:jc w:val="left"/>
            </w:pPr>
            <w:r>
              <w:t xml:space="preserve">API BM</w:t>
            </w:r>
          </w:p>
        </w:tc>
      </w:tr>
      <w:tr>
        <w:tc>
          <w:tcPr>
            <w:tcW w:w="3741" w:type="dxa"/>
          </w:tcPr>
          <w:tcPr/>
          <w:p>
            <w:pPr>
              <w:pStyle w:val="Compact"/>
              <w:jc w:val="left"/>
            </w:pPr>
            <w:r>
              <w:t xml:space="preserve">Morupule B Generation and Transmission (P112516) ; garantie (P116784)</w:t>
            </w:r>
          </w:p>
        </w:tc>
        <w:tc>
          <w:tcPr>
            <w:tcW w:w="1356" w:type="dxa"/>
          </w:tcPr>
          <w:tcPr/>
          <w:p>
            <w:pPr>
              <w:pStyle w:val="Compact"/>
              <w:jc w:val="left"/>
            </w:pPr>
            <w:r>
              <w:t xml:space="preserve">BM</w:t>
            </w:r>
          </w:p>
        </w:tc>
        <w:tc>
          <w:tcPr>
            <w:tcW w:w="1223" w:type="dxa"/>
          </w:tcPr>
          <w:tcPr/>
          <w:p>
            <w:pPr>
              <w:pStyle w:val="Compact"/>
              <w:jc w:val="left"/>
            </w:pPr>
            <w:r>
              <w:t xml:space="preserve">[?]</w:t>
            </w:r>
          </w:p>
        </w:tc>
        <w:tc>
          <w:tcPr>
            <w:tcW w:w="1226" w:type="dxa"/>
          </w:tcPr>
          <w:tcPr/>
          <w:p>
            <w:pPr>
              <w:pStyle w:val="Compact"/>
              <w:jc w:val="left"/>
            </w:pPr>
            <w:r>
              <w:t xml:space="preserve">2009-</w:t>
            </w:r>
          </w:p>
        </w:tc>
        <w:tc>
          <w:tcPr>
            <w:tcW w:w="3848" w:type="dxa"/>
          </w:tcPr>
          <w:tcPr/>
          <w:p>
            <w:pPr>
              <w:pStyle w:val="Compact"/>
              <w:jc w:val="left"/>
            </w:pPr>
            <w:r>
              <w:t xml:space="preserve">Morupule B (ligne de transport ; garantie encore active)</w:t>
            </w:r>
          </w:p>
        </w:tc>
        <w:tc>
          <w:tcPr>
            <w:tcW w:w="772" w:type="dxa"/>
          </w:tcPr>
          <w:tcPr/>
          <w:p>
            <w:pPr>
              <w:pStyle w:val="Compact"/>
              <w:jc w:val="left"/>
            </w:pPr>
            <w:r>
              <w:t xml:space="preserve">—</w:t>
            </w:r>
          </w:p>
        </w:tc>
        <w:tc>
          <w:tcPr>
            <w:tcW w:w="1663" w:type="dxa"/>
          </w:tcPr>
          <w:tcPr/>
          <w:p>
            <w:pPr>
              <w:pStyle w:val="Compact"/>
              <w:jc w:val="left"/>
            </w:pPr>
            <w:r>
              <w:t xml:space="preserve">garantie active</w:t>
            </w:r>
          </w:p>
        </w:tc>
        <w:tc>
          <w:tcPr>
            <w:tcW w:w="738" w:type="dxa"/>
          </w:tcPr>
          <w:tcPr/>
          <w:p>
            <w:pPr>
              <w:pStyle w:val="Compact"/>
              <w:jc w:val="left"/>
            </w:pPr>
            <w:r>
              <w:t xml:space="preserve">[1]</w:t>
            </w:r>
          </w:p>
        </w:tc>
      </w:tr>
      <w:tr>
        <w:tc>
          <w:tcPr>
            <w:tcW w:w="3741" w:type="dxa"/>
          </w:tcPr>
          <w:tcPr/>
          <w:p>
            <w:pPr>
              <w:pStyle w:val="Compact"/>
              <w:jc w:val="left"/>
            </w:pPr>
            <w:r>
              <w:t xml:space="preserve">Étude du coût de service de BERA</w:t>
            </w:r>
          </w:p>
        </w:tc>
        <w:tc>
          <w:tcPr>
            <w:tcW w:w="1356" w:type="dxa"/>
          </w:tcPr>
          <w:tcPr/>
          <w:p>
            <w:pPr>
              <w:pStyle w:val="Compact"/>
              <w:jc w:val="left"/>
            </w:pPr>
            <w:r>
              <w:t xml:space="preserve">BAD</w:t>
            </w:r>
          </w:p>
        </w:tc>
        <w:tc>
          <w:tcPr>
            <w:tcW w:w="1223" w:type="dxa"/>
          </w:tcPr>
          <w:tcPr/>
          <w:p>
            <w:pPr>
              <w:pStyle w:val="Compact"/>
              <w:jc w:val="left"/>
            </w:pPr>
            <w:r>
              <w:t xml:space="preserve">[?]</w:t>
            </w:r>
          </w:p>
        </w:tc>
        <w:tc>
          <w:tcPr>
            <w:tcW w:w="1226" w:type="dxa"/>
          </w:tcPr>
          <w:tcPr/>
          <w:p>
            <w:pPr>
              <w:pStyle w:val="Compact"/>
              <w:jc w:val="left"/>
            </w:pPr>
            <w:r>
              <w:t xml:space="preserve">2025</w:t>
            </w:r>
          </w:p>
        </w:tc>
        <w:tc>
          <w:tcPr>
            <w:tcW w:w="3848" w:type="dxa"/>
          </w:tcPr>
          <w:tcPr/>
          <w:p>
            <w:pPr>
              <w:pStyle w:val="Compact"/>
              <w:jc w:val="left"/>
            </w:pPr>
            <w:r>
              <w:t xml:space="preserve">Taux de recouvrement des coûts de BPC</w:t>
            </w:r>
          </w:p>
        </w:tc>
        <w:tc>
          <w:tcPr>
            <w:tcW w:w="772" w:type="dxa"/>
          </w:tcPr>
          <w:tcPr/>
          <w:p>
            <w:pPr>
              <w:pStyle w:val="Compact"/>
              <w:jc w:val="left"/>
            </w:pPr>
            <w:r>
              <w:t xml:space="preserve">—</w:t>
            </w:r>
          </w:p>
        </w:tc>
        <w:tc>
          <w:tcPr>
            <w:tcW w:w="1663" w:type="dxa"/>
          </w:tcPr>
          <w:tcPr/>
          <w:p>
            <w:pPr>
              <w:pStyle w:val="Compact"/>
              <w:jc w:val="left"/>
            </w:pPr>
            <w:r>
              <w:t xml:space="preserve">[?] (pacte)</w:t>
            </w:r>
          </w:p>
        </w:tc>
        <w:tc>
          <w:tcPr>
            <w:tcW w:w="738" w:type="dxa"/>
          </w:tcPr>
          <w:tcPr/>
          <w:p>
            <w:pPr>
              <w:pStyle w:val="Compact"/>
              <w:jc w:val="left"/>
            </w:pPr>
            <w:r>
              <w:t xml:space="preserve">pacte</w:t>
            </w:r>
          </w:p>
        </w:tc>
      </w:tr>
      <w:tr>
        <w:tc>
          <w:tcPr>
            <w:tcW w:w="3741" w:type="dxa"/>
          </w:tcPr>
          <w:tcPr/>
          <w:p>
            <w:pPr>
              <w:pStyle w:val="Compact"/>
              <w:jc w:val="left"/>
            </w:pPr>
            <w:r>
              <w:t xml:space="preserve">Article IV 2025 (FMI CR 25/325)</w:t>
            </w:r>
          </w:p>
        </w:tc>
        <w:tc>
          <w:tcPr>
            <w:tcW w:w="1356" w:type="dxa"/>
          </w:tcPr>
          <w:tcPr/>
          <w:p>
            <w:pPr>
              <w:pStyle w:val="Compact"/>
              <w:jc w:val="left"/>
            </w:pPr>
            <w:r>
              <w:t xml:space="preserve">FMI</w:t>
            </w:r>
          </w:p>
        </w:tc>
        <w:tc>
          <w:tcPr>
            <w:tcW w:w="1223" w:type="dxa"/>
          </w:tcPr>
          <w:tcPr/>
          <w:p>
            <w:pPr>
              <w:pStyle w:val="Compact"/>
              <w:jc w:val="left"/>
            </w:pPr>
            <w:r>
              <w:t xml:space="preserve">—</w:t>
            </w:r>
          </w:p>
        </w:tc>
        <w:tc>
          <w:tcPr>
            <w:tcW w:w="1226" w:type="dxa"/>
          </w:tcPr>
          <w:tcPr/>
          <w:p>
            <w:pPr>
              <w:pStyle w:val="Compact"/>
              <w:jc w:val="left"/>
            </w:pPr>
            <w:r>
              <w:t xml:space="preserve">déc. 2025</w:t>
            </w:r>
          </w:p>
        </w:tc>
        <w:tc>
          <w:tcPr>
            <w:tcW w:w="3848" w:type="dxa"/>
          </w:tcPr>
          <w:tcPr/>
          <w:p>
            <w:pPr>
              <w:pStyle w:val="Compact"/>
              <w:jc w:val="left"/>
            </w:pPr>
            <w:r>
              <w:t xml:space="preserve">Recommande de renforcer la gestion des entreprises publiques ; mentionne les subventions à l’électricité</w:t>
            </w:r>
          </w:p>
        </w:tc>
        <w:tc>
          <w:tcPr>
            <w:tcW w:w="772" w:type="dxa"/>
          </w:tcPr>
          <w:tcPr/>
          <w:p>
            <w:pPr>
              <w:pStyle w:val="Compact"/>
              <w:jc w:val="left"/>
            </w:pPr>
            <w:r>
              <w:t xml:space="preserve">—</w:t>
            </w:r>
          </w:p>
        </w:tc>
        <w:tc>
          <w:tcPr>
            <w:tcW w:w="1663" w:type="dxa"/>
          </w:tcPr>
          <w:tcPr/>
          <w:p>
            <w:pPr>
              <w:pStyle w:val="Compact"/>
              <w:jc w:val="left"/>
            </w:pPr>
            <w:r>
              <w:t xml:space="preserve">—</w:t>
            </w:r>
          </w:p>
        </w:tc>
        <w:tc>
          <w:tcPr>
            <w:tcW w:w="738" w:type="dxa"/>
          </w:tcPr>
          <w:tcPr/>
          <w:p>
            <w:pPr>
              <w:pStyle w:val="Compact"/>
              <w:jc w:val="left"/>
            </w:pPr>
            <w:r>
              <w:t xml:space="preserve">[6]</w:t>
            </w:r>
          </w:p>
        </w:tc>
      </w:tr>
    </w:tbl>
    <w:bookmarkEnd w:id="77"/>
    <w:bookmarkStart w:id="78" w:name="écart-pacte-réalité-3"/>
    <w:p>
      <w:pPr>
        <w:pStyle w:val="Heading3"/>
      </w:pPr>
      <w:r>
        <w:t xml:space="preserve">5. Écart pacte ↔ réalité</w:t>
      </w:r>
    </w:p>
    <w:p>
      <w:pPr>
        <w:numPr>
          <w:ilvl w:val="0"/>
          <w:numId w:val="1035"/>
        </w:numPr>
        <w:pStyle w:val="Compact"/>
      </w:pPr>
      <w:r>
        <w:rPr>
          <w:bCs/>
          <w:b/>
        </w:rPr>
        <w:t xml:space="preserve">Prix moyen 127 vs coût 159 thebe/kWh (2023)</w:t>
      </w:r>
      <w:r>
        <w:t xml:space="preserve"> </w:t>
      </w:r>
      <w:r>
        <w:t xml:space="preserve">(pacte) : la série auditée de BERA donne 127 vs 163 (2023) mais surtout</w:t>
      </w:r>
      <w:r>
        <w:t xml:space="preserve"> </w:t>
      </w:r>
      <w:r>
        <w:rPr>
          <w:bCs/>
          <w:b/>
        </w:rPr>
        <w:t xml:space="preserve">127 vs 238 thebe/kWh en 2024</w:t>
      </w:r>
      <w:r>
        <w:t xml:space="preserve"> </w:t>
      </w:r>
      <w:r>
        <w:t xml:space="preserve">(-111 thebe) [2] — le pacte, rédigé en 2025, omet l’aggravation de 2023/24 (le coût unitaire a augmenté de 46 % [E]).</w:t>
      </w:r>
    </w:p>
    <w:p>
      <w:pPr>
        <w:numPr>
          <w:ilvl w:val="0"/>
          <w:numId w:val="1035"/>
        </w:numPr>
        <w:pStyle w:val="Compact"/>
      </w:pPr>
      <w:r>
        <w:rPr>
          <w:bCs/>
          <w:b/>
        </w:rPr>
        <w:t xml:space="preserve">« Demandes tarifaires de 2023 et 2024 rejetées »</w:t>
      </w:r>
      <w:r>
        <w:t xml:space="preserve"> </w:t>
      </w:r>
      <w:r>
        <w:t xml:space="preserve">(pacte) : depuis, une hausse moyenne de 24 % (2025/26) et de 9 % (2026/27) ont été accordées [2][4] — mouvement réel mais bien inférieur au besoin (+46 % demandés).</w:t>
      </w:r>
    </w:p>
    <w:p>
      <w:pPr>
        <w:numPr>
          <w:ilvl w:val="0"/>
          <w:numId w:val="1035"/>
        </w:numPr>
        <w:pStyle w:val="Compact"/>
      </w:pPr>
      <w:r>
        <w:rPr>
          <w:bCs/>
          <w:b/>
        </w:rPr>
        <w:t xml:space="preserve">Suppression des subventions et couverture de l’écart tarifaire par l’État d’ici 2026</w:t>
      </w:r>
      <w:r>
        <w:t xml:space="preserve"> </w:t>
      </w:r>
      <w:r>
        <w:t xml:space="preserve">(pacte) : BPC demande désormais</w:t>
      </w:r>
      <w:r>
        <w:t xml:space="preserve"> </w:t>
      </w:r>
      <w:r>
        <w:rPr>
          <w:bCs/>
          <w:b/>
        </w:rPr>
        <w:t xml:space="preserve">0 subvention</w:t>
      </w:r>
      <w:r>
        <w:t xml:space="preserve"> </w:t>
      </w:r>
      <w:r>
        <w:t xml:space="preserve">et un tarif reflétant les coûts ; BERA n’a accordé que 9 % → l’écart de ~3,5 Md BWP reste non financé [2][4] [E].</w:t>
      </w:r>
    </w:p>
    <w:p>
      <w:pPr>
        <w:numPr>
          <w:ilvl w:val="0"/>
          <w:numId w:val="1035"/>
        </w:numPr>
        <w:pStyle w:val="Compact"/>
      </w:pPr>
      <w:r>
        <w:rPr>
          <w:bCs/>
          <w:b/>
        </w:rPr>
        <w:t xml:space="preserve">Pertes T&amp;D 14,35-15 %</w:t>
      </w:r>
      <w:r>
        <w:t xml:space="preserve"> </w:t>
      </w:r>
      <w:r>
        <w:t xml:space="preserve">(pacte) cohérentes avec 15,35 % (2021) [1].</w:t>
      </w:r>
    </w:p>
    <w:bookmarkEnd w:id="78"/>
    <w:bookmarkStart w:id="79" w:name="diagnostic-synthétique-3"/>
    <w:p>
      <w:pPr>
        <w:pStyle w:val="Heading3"/>
      </w:pPr>
      <w:r>
        <w:t xml:space="preserve">6. Diagnostic synthétique</w:t>
      </w:r>
    </w:p>
    <w:p>
      <w:pPr>
        <w:numPr>
          <w:ilvl w:val="0"/>
          <w:numId w:val="1036"/>
        </w:numPr>
        <w:pStyle w:val="Compact"/>
      </w:pPr>
      <w:r>
        <w:rPr>
          <w:bCs/>
          <w:b/>
        </w:rPr>
        <w:t xml:space="preserve">Financière : faible</w:t>
      </w:r>
      <w:r>
        <w:t xml:space="preserve"> </w:t>
      </w:r>
      <w:r>
        <w:t xml:space="preserve">— pertes récurrentes, coût unitaire ~1,9 fois le prix de vente en 2024, dépendance aux subventions, violation de l’obligation légale de rendement.</w:t>
      </w:r>
    </w:p>
    <w:p>
      <w:pPr>
        <w:numPr>
          <w:ilvl w:val="0"/>
          <w:numId w:val="1036"/>
        </w:numPr>
        <w:pStyle w:val="Compact"/>
      </w:pPr>
      <w:r>
        <w:rPr>
          <w:bCs/>
          <w:b/>
        </w:rPr>
        <w:t xml:space="preserve">Technique : faible à moyenne</w:t>
      </w:r>
      <w:r>
        <w:t xml:space="preserve"> </w:t>
      </w:r>
      <w:r>
        <w:t xml:space="preserve">— Morupule B défaillant depuis 2012, importations coûteuses ; pertes T&amp;D modérées (~15 %).</w:t>
      </w:r>
    </w:p>
    <w:p>
      <w:pPr>
        <w:numPr>
          <w:ilvl w:val="0"/>
          <w:numId w:val="1036"/>
        </w:numPr>
        <w:pStyle w:val="Compact"/>
      </w:pPr>
      <w:r>
        <w:rPr>
          <w:bCs/>
          <w:b/>
        </w:rPr>
        <w:t xml:space="preserve">Gouvernance : moyenne</w:t>
      </w:r>
      <w:r>
        <w:t xml:space="preserve"> </w:t>
      </w:r>
      <w:r>
        <w:t xml:space="preserve">— processus réglementaire transparent (avis publics, audiences, tableaux financiers publiés), mais décisions tarifaires très en deçà des besoins et comptes en retard.</w:t>
      </w:r>
    </w:p>
    <w:p>
      <w:pPr>
        <w:numPr>
          <w:ilvl w:val="0"/>
          <w:numId w:val="1036"/>
        </w:numPr>
        <w:pStyle w:val="Compact"/>
      </w:pPr>
      <w:r>
        <w:rPr>
          <w:bCs/>
          <w:b/>
        </w:rPr>
        <w:t xml:space="preserve">Causes racines</w:t>
      </w:r>
      <w:r>
        <w:t xml:space="preserve"> </w:t>
      </w:r>
      <w:r>
        <w:t xml:space="preserve">: (1) échec technique de Morupule B → importations au prix fort ; (2) tarifs gelés pendant des années (127 thebe/kWh constants 2022-2025) ; (3) dépendance au charbon et aux décisions politiques sur subventions dans un contexte budgétaire dégradé (chute du diamant).</w:t>
      </w:r>
    </w:p>
    <w:p>
      <w:pPr>
        <w:numPr>
          <w:ilvl w:val="0"/>
          <w:numId w:val="1036"/>
        </w:numPr>
        <w:pStyle w:val="Compact"/>
      </w:pPr>
      <w:r>
        <w:rPr>
          <w:bCs/>
          <w:b/>
        </w:rPr>
        <w:t xml:space="preserve">Phase 3</w:t>
      </w:r>
      <w:r>
        <w:t xml:space="preserve"> </w:t>
      </w:r>
      <w:r>
        <w:t xml:space="preserve">: grille tarifaire 2026/27 par tranche, coût de Mmamabula (PPA), plan de suppression des subventions croisées (tarif « Government » à 3,56 BWP/kWh).</w:t>
      </w:r>
    </w:p>
    <w:bookmarkEnd w:id="79"/>
    <w:bookmarkStart w:id="80" w:name="inconnus-3"/>
    <w:p>
      <w:pPr>
        <w:pStyle w:val="Heading3"/>
      </w:pPr>
      <w:r>
        <w:t xml:space="preserve">7. Inconnus</w:t>
      </w:r>
    </w:p>
    <w:p>
      <w:pPr>
        <w:numPr>
          <w:ilvl w:val="0"/>
          <w:numId w:val="1037"/>
        </w:numPr>
        <w:pStyle w:val="Compact"/>
      </w:pPr>
      <w:r>
        <w:t xml:space="preserve">[?] États financiers audités 2023/24 et 2024/25 (rapport intégré non lu en direct ; site bpc.bw inaccessible).</w:t>
      </w:r>
    </w:p>
    <w:p>
      <w:pPr>
        <w:numPr>
          <w:ilvl w:val="0"/>
          <w:numId w:val="1037"/>
        </w:numPr>
        <w:pStyle w:val="Compact"/>
      </w:pPr>
      <w:r>
        <w:t xml:space="preserve">[?] Dette totale, encours ICBC, dettes fournisseurs récentes.</w:t>
      </w:r>
    </w:p>
    <w:p>
      <w:pPr>
        <w:numPr>
          <w:ilvl w:val="0"/>
          <w:numId w:val="1037"/>
        </w:numPr>
        <w:pStyle w:val="Compact"/>
      </w:pPr>
      <w:r>
        <w:t xml:space="preserve">[?] Taux de recouvrement, arriérés de l’État.</w:t>
      </w:r>
    </w:p>
    <w:p>
      <w:pPr>
        <w:numPr>
          <w:ilvl w:val="0"/>
          <w:numId w:val="1037"/>
        </w:numPr>
        <w:pStyle w:val="Compact"/>
      </w:pPr>
      <w:r>
        <w:t xml:space="preserve">[?] Effectivité du RESAA (2025-2026) et ISR récents.</w:t>
      </w:r>
    </w:p>
    <w:p>
      <w:pPr>
        <w:numPr>
          <w:ilvl w:val="0"/>
          <w:numId w:val="1037"/>
        </w:numPr>
        <w:pStyle w:val="Compact"/>
      </w:pPr>
      <w:r>
        <w:t xml:space="preserve">[?] Programmes de la BAD (montant de l’étude de coût de service ; afdb.org inaccessible).</w:t>
      </w:r>
    </w:p>
    <w:bookmarkEnd w:id="80"/>
    <w:bookmarkStart w:id="81" w:name="sources-4"/>
    <w:p>
      <w:pPr>
        <w:pStyle w:val="Heading3"/>
      </w:pPr>
      <w:r>
        <w:t xml:space="preserve">Sources</w:t>
      </w:r>
    </w:p>
    <w:p>
      <w:pPr>
        <w:pStyle w:val="FirstParagraph"/>
      </w:pPr>
      <w:r>
        <w:t xml:space="preserve">[1] Banque mondiale,</w:t>
      </w:r>
      <w:r>
        <w:t xml:space="preserve"> </w:t>
      </w:r>
      <w:r>
        <w:rPr>
          <w:iCs/>
          <w:i/>
        </w:rPr>
        <w:t xml:space="preserve">Project Appraisal Document — Botswana Renewable Energy Support and Access Accelerator Project (P181221)</w:t>
      </w:r>
      <w:r>
        <w:t xml:space="preserve">, 18/06/2024 (taux : 1 US$ = 14,19 BWP). http://documents.worldbank.org/curated/en/099062124100029329/pdf/BOSIB12d97db860b21ba181085dd12aa6af.pdf</w:t>
      </w:r>
      <w:r>
        <w:t xml:space="preserve"> </w:t>
      </w:r>
      <w:r>
        <w:t xml:space="preserve">[2] BERA,</w:t>
      </w:r>
      <w:r>
        <w:t xml:space="preserve"> </w:t>
      </w:r>
      <w:r>
        <w:rPr>
          <w:iCs/>
          <w:i/>
        </w:rPr>
        <w:t xml:space="preserve">2026-2027 BPC Electricity Tariff Application Consultation Paper</w:t>
      </w:r>
      <w:r>
        <w:t xml:space="preserve">, 15/12/2025 (tableau 1 « Historical Under Recoveries », annexe I). https://www.bera.co.bw/downloads/Electricity/BPC%202026-27%20Tariff%20Application%20-%20Public%20Notice/2026-27%20BPC%20Electricity%20Tariff%20Application%20Consultation%20Paper.pdf</w:t>
      </w:r>
      <w:r>
        <w:t xml:space="preserve"> </w:t>
      </w:r>
      <w:r>
        <w:t xml:space="preserve">[3] BERA,</w:t>
      </w:r>
      <w:r>
        <w:t xml:space="preserve"> </w:t>
      </w:r>
      <w:r>
        <w:rPr>
          <w:iCs/>
          <w:i/>
        </w:rPr>
        <w:t xml:space="preserve">Public Notice — BPC 2026-27 Electricity Tariff Application</w:t>
      </w:r>
      <w:r>
        <w:t xml:space="preserve">, 15/12/2025, et</w:t>
      </w:r>
      <w:r>
        <w:t xml:space="preserve"> </w:t>
      </w:r>
      <w:r>
        <w:rPr>
          <w:iCs/>
          <w:i/>
        </w:rPr>
        <w:t xml:space="preserve">Clarification</w:t>
      </w:r>
      <w:r>
        <w:t xml:space="preserve">, 21/01/2026. (même répertoire bera.co.bw)</w:t>
      </w:r>
      <w:r>
        <w:t xml:space="preserve"> </w:t>
      </w:r>
      <w:r>
        <w:t xml:space="preserve">[4] BERA,</w:t>
      </w:r>
      <w:r>
        <w:t xml:space="preserve"> </w:t>
      </w:r>
      <w:r>
        <w:rPr>
          <w:iCs/>
          <w:i/>
        </w:rPr>
        <w:t xml:space="preserve">Public Statement — Adjustment of BPC Electricity Tariffs for the 2026/27 Financial Year</w:t>
      </w:r>
      <w:r>
        <w:t xml:space="preserve">, 13/07/2026. https://www.bera.co.bw/downloads/Electricity/BPC%202026-27%20Tariff%20Application%20-%20Public%20Notice/Press%20Release%20-%20Electricity%20Tariff%20Adjustments%20For%202026_27%20-%20signed.pdf</w:t>
      </w:r>
      <w:r>
        <w:t xml:space="preserve"> </w:t>
      </w:r>
      <w:r>
        <w:t xml:space="preserve">[5] Banque mondiale,</w:t>
      </w:r>
      <w:r>
        <w:t xml:space="preserve"> </w:t>
      </w:r>
      <w:r>
        <w:rPr>
          <w:iCs/>
          <w:i/>
        </w:rPr>
        <w:t xml:space="preserve">ISR Seq. 1 — RESAA (P181221)</w:t>
      </w:r>
      <w:r>
        <w:t xml:space="preserve">, 20/11/2024. http://documents.worldbank.org/curated/en/099112024100035336/pdf/P1812211bfd0bc085183c91dc2b8495aa84.pdf</w:t>
      </w:r>
      <w:r>
        <w:t xml:space="preserve"> </w:t>
      </w:r>
      <w:r>
        <w:t xml:space="preserve">[6] FMI,</w:t>
      </w:r>
      <w:r>
        <w:t xml:space="preserve"> </w:t>
      </w:r>
      <w:r>
        <w:rPr>
          <w:iCs/>
          <w:i/>
        </w:rPr>
        <w:t xml:space="preserve">Botswana — 2025 Article IV Consultation</w:t>
      </w:r>
      <w:r>
        <w:t xml:space="preserve">, IMF Country Report No. 25/325, décembre 2025. https://www.imf.org/-/media/files/publications/cr/2025/english/1bwaea2025001-source-pdf.pdf</w:t>
      </w:r>
      <w:r>
        <w:t xml:space="preserve"> </w:t>
      </w:r>
      <w:r>
        <w:t xml:space="preserve">[7] BERA,</w:t>
      </w:r>
      <w:r>
        <w:t xml:space="preserve"> </w:t>
      </w:r>
      <w:r>
        <w:rPr>
          <w:iCs/>
          <w:i/>
        </w:rPr>
        <w:t xml:space="preserve">2023-24 BPC Tariff Application Consultation Paper</w:t>
      </w:r>
      <w:r>
        <w:t xml:space="preserve"> </w:t>
      </w:r>
      <w:r>
        <w:t xml:space="preserve">(perte totale de 486,934 M BWP au 31/03/2022). https://www.bera.co.bw/downloads/Electricity/2023-24%20BPC%20Tariff%20Application%20Consultation%20Paper.pdf</w:t>
      </w:r>
      <w:r>
        <w:t xml:space="preserve"> </w:t>
      </w:r>
      <w:r>
        <w:t xml:space="preserve">[8] SustainabilityReports.com, fiches BPC Integrated Report 2023 et 2024 (revenus 4,531 et 4,995 Md BWP ; 2020 : perte 1 403 095 k BWP) [S] (extraits via moteur de recherche).</w:t>
      </w:r>
      <w:r>
        <w:t xml:space="preserve"> </w:t>
      </w:r>
      <w:r>
        <w:t xml:space="preserve">[9] Mmegi, 22/07/2022, « BPC losses near P500m as power imports rise » [S].</w:t>
      </w:r>
      <w:r>
        <w:t xml:space="preserve"> </w:t>
      </w:r>
      <w:r>
        <w:t xml:space="preserve">[10] Presse botswanaise (Business Weekly, 2023/2025) : BERA rejette la hausse de 5 % et accorde 400 M BWP de subvention (2023) [S].</w:t>
      </w:r>
      <w:r>
        <w:t xml:space="preserve"> </w:t>
      </w:r>
      <w:r>
        <w:t xml:space="preserve">[11] API projets Banque mondiale, consultée le 18/10/2026 (P178822, P175934, P176810).</w:t>
      </w:r>
    </w:p>
    <w:p>
      <w:r>
        <w:br w:type="page"/>
      </w:r>
    </w:p>
    <w:bookmarkEnd w:id="81"/>
    <w:bookmarkEnd w:id="82"/>
    <w:bookmarkStart w:id="92" w:name="X59215abf6dc95f0110f15b5841f742208c2d086"/>
    <w:p>
      <w:pPr>
        <w:pStyle w:val="Heading2"/>
      </w:pPr>
      <w:r>
        <w:t xml:space="preserve">Diagnostic opérateur — ENERCA (République centrafricaine)</w:t>
      </w:r>
    </w:p>
    <w:p>
      <w:pPr>
        <w:pStyle w:val="BlockText"/>
      </w:pPr>
      <w:r>
        <w:t xml:space="preserve">Phase 2 — Mission 300. Statuts :</w:t>
      </w:r>
      <w:r>
        <w:t xml:space="preserve"> </w:t>
      </w:r>
      <w:r>
        <w:rPr>
          <w:bCs/>
          <w:b/>
        </w:rPr>
        <w:t xml:space="preserve">[V]</w:t>
      </w:r>
      <w:r>
        <w:t xml:space="preserve"> </w:t>
      </w:r>
      <w:r>
        <w:t xml:space="preserve">document primaire (états financiers, régulateur, document de projet BM/BAD, FMI)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Pacte : ../../phase1/fiches/CAF_centrafrique.md (« (pacte) », [P]). Recherche du 2026-10-18.</w:t>
      </w:r>
    </w:p>
    <w:bookmarkStart w:id="83" w:name="identité-4"/>
    <w:p>
      <w:pPr>
        <w:pStyle w:val="Heading3"/>
      </w:pPr>
      <w:r>
        <w:t xml:space="preserve">0. Identité</w:t>
      </w:r>
    </w:p>
    <w:p>
      <w:pPr>
        <w:numPr>
          <w:ilvl w:val="0"/>
          <w:numId w:val="1038"/>
        </w:numPr>
        <w:pStyle w:val="Compact"/>
      </w:pPr>
      <w:r>
        <w:t xml:space="preserve">ENERCA (Énergie Centrafricaine) : société d’État, monopole de fait production-transport-distribution-vente ; aucun opérateur privé actif sur le réseau (pacte) [P]. Tutelle : ministère de l’Énergie et de l’Hydraulique (MDERH/MDEWR) [1][2] [V].</w:t>
      </w:r>
    </w:p>
    <w:p>
      <w:pPr>
        <w:numPr>
          <w:ilvl w:val="0"/>
          <w:numId w:val="1038"/>
        </w:numPr>
        <w:pStyle w:val="Compact"/>
      </w:pPr>
      <w:r>
        <w:t xml:space="preserve">Régulateur :</w:t>
      </w:r>
      <w:r>
        <w:t xml:space="preserve"> </w:t>
      </w:r>
      <w:r>
        <w:rPr>
          <w:bCs/>
          <w:b/>
        </w:rPr>
        <w:t xml:space="preserve">aucun régulateur autonome</w:t>
      </w:r>
      <w:r>
        <w:t xml:space="preserve"> </w:t>
      </w:r>
      <w:r>
        <w:t xml:space="preserve">; création prévue par la révision du Code de l’électricité (pacte) [P] ; l’ACER est citée par la BM comme institution du secteur [2] [V] (rôle exact [?]).</w:t>
      </w:r>
    </w:p>
    <w:p>
      <w:pPr>
        <w:numPr>
          <w:ilvl w:val="0"/>
          <w:numId w:val="1038"/>
        </w:numPr>
        <w:pStyle w:val="Compact"/>
      </w:pPr>
      <w:r>
        <w:t xml:space="preserve">Comptes : à l’évaluation du PURACEL (2019),</w:t>
      </w:r>
      <w:r>
        <w:t xml:space="preserve"> </w:t>
      </w:r>
      <w:r>
        <w:rPr>
          <w:bCs/>
          <w:b/>
        </w:rPr>
        <w:t xml:space="preserve">aucun état financier audité indépendant</w:t>
      </w:r>
      <w:r>
        <w:t xml:space="preserve"> </w:t>
      </w:r>
      <w:r>
        <w:t xml:space="preserve">n’était disponible ; l’analyse reposait sur des états provisoires 2012-2016 [2] [V]. Depuis 2021, audits des trois grandes EP (ENERCA, SODECA, SOCATEL) publiés dans le cadre de la SDFP de la BM, puis rapports annuels du ministère des Finances sur leur performance financière (le dernier couvre 2021-2023) [3] [V] — rapports non consultés directement [?].</w:t>
      </w:r>
    </w:p>
    <w:bookmarkEnd w:id="83"/>
    <w:bookmarkStart w:id="84" w:name="situation-financière-4"/>
    <w:p>
      <w:pPr>
        <w:pStyle w:val="Heading3"/>
      </w:pPr>
      <w:r>
        <w:t xml:space="preserve">1. Situation financière</w:t>
      </w:r>
    </w:p>
    <w:tbl>
      <w:tblPr>
        <w:tblStyle w:val="Table"/>
        <w:tblW w:type="dxa" w:w="14570"/>
        <w:tblLook w:firstRow="1" w:lastRow="0" w:firstColumn="0" w:lastColumn="0" w:noHBand="0" w:noVBand="0" w:val="0020"/>
        <w:jc w:val="start"/>
      </w:tblPr>
      <w:tblGrid>
        <w:gridCol w:w="3282"/>
        <w:gridCol w:w="7397"/>
        <w:gridCol w:w="1330"/>
        <w:gridCol w:w="1436"/>
        <w:gridCol w:w="1123"/>
      </w:tblGrid>
      <w:tr>
        <w:trPr>
          <w:tblHeader w:val="true"/>
        </w:trPr>
        <w:tc>
          <w:tcPr>
            <w:tcW w:w="3282" w:type="dxa"/>
          </w:tcPr>
          <w:tcPr/>
          <w:p>
            <w:pPr>
              <w:pStyle w:val="Compact"/>
              <w:jc w:val="left"/>
            </w:pPr>
            <w:r>
              <w:t xml:space="preserve">Indicateur</w:t>
            </w:r>
          </w:p>
        </w:tc>
        <w:tc>
          <w:tcPr>
            <w:tcW w:w="7397" w:type="dxa"/>
          </w:tcPr>
          <w:tcPr/>
          <w:p>
            <w:pPr>
              <w:pStyle w:val="Compact"/>
              <w:jc w:val="left"/>
            </w:pPr>
            <w:r>
              <w:t xml:space="preserve">Valeur</w:t>
            </w:r>
          </w:p>
        </w:tc>
        <w:tc>
          <w:tcPr>
            <w:tcW w:w="1330" w:type="dxa"/>
          </w:tcPr>
          <w:tcPr/>
          <w:p>
            <w:pPr>
              <w:pStyle w:val="Compact"/>
              <w:jc w:val="left"/>
            </w:pPr>
            <w:r>
              <w:t xml:space="preserve">Année</w:t>
            </w:r>
          </w:p>
        </w:tc>
        <w:tc>
          <w:tcPr>
            <w:tcW w:w="1436" w:type="dxa"/>
          </w:tcPr>
          <w:tcPr/>
          <w:p>
            <w:pPr>
              <w:pStyle w:val="Compact"/>
              <w:jc w:val="left"/>
            </w:pPr>
            <w:r>
              <w:t xml:space="preserve">Statut</w:t>
            </w:r>
          </w:p>
        </w:tc>
        <w:tc>
          <w:tcPr>
            <w:tcW w:w="1123" w:type="dxa"/>
          </w:tcPr>
          <w:tcPr/>
          <w:p>
            <w:pPr>
              <w:pStyle w:val="Compact"/>
              <w:jc w:val="left"/>
            </w:pPr>
            <w:r>
              <w:t xml:space="preserve">Source</w:t>
            </w:r>
          </w:p>
        </w:tc>
      </w:tr>
      <w:tr>
        <w:tc>
          <w:tcPr>
            <w:tcW w:w="3282" w:type="dxa"/>
          </w:tcPr>
          <w:tcPr/>
          <w:p>
            <w:pPr>
              <w:pStyle w:val="Compact"/>
              <w:jc w:val="left"/>
            </w:pPr>
            <w:r>
              <w:t xml:space="preserve">Chiffre d’affaires</w:t>
            </w:r>
          </w:p>
        </w:tc>
        <w:tc>
          <w:tcPr>
            <w:tcW w:w="7397" w:type="dxa"/>
          </w:tcPr>
          <w:tcPr/>
          <w:p>
            <w:pPr>
              <w:pStyle w:val="Compact"/>
              <w:jc w:val="left"/>
            </w:pPr>
            <w:r>
              <w:t xml:space="preserve">[?] ; « recettes faibles au regard du capital »</w:t>
            </w:r>
          </w:p>
        </w:tc>
        <w:tc>
          <w:tcPr>
            <w:tcW w:w="1330" w:type="dxa"/>
          </w:tcPr>
          <w:tcPr/>
          <w:p>
            <w:pPr>
              <w:pStyle w:val="Compact"/>
              <w:jc w:val="left"/>
            </w:pPr>
            <w:r>
              <w:t xml:space="preserve">2023</w:t>
            </w:r>
          </w:p>
        </w:tc>
        <w:tc>
          <w:tcPr>
            <w:tcW w:w="1436" w:type="dxa"/>
          </w:tcPr>
          <w:tcPr/>
          <w:p>
            <w:pPr>
              <w:pStyle w:val="Compact"/>
              <w:jc w:val="left"/>
            </w:pPr>
            <w:r>
              <w:t xml:space="preserve">[V]</w:t>
            </w:r>
          </w:p>
        </w:tc>
        <w:tc>
          <w:tcPr>
            <w:tcW w:w="1123" w:type="dxa"/>
          </w:tcPr>
          <w:tcPr/>
          <w:p>
            <w:pPr>
              <w:pStyle w:val="Compact"/>
              <w:jc w:val="left"/>
            </w:pPr>
            <w:r>
              <w:t xml:space="preserve">[3]</w:t>
            </w:r>
          </w:p>
        </w:tc>
      </w:tr>
      <w:tr>
        <w:tc>
          <w:tcPr>
            <w:tcW w:w="3282" w:type="dxa"/>
          </w:tcPr>
          <w:tcPr/>
          <w:p>
            <w:pPr>
              <w:pStyle w:val="Compact"/>
              <w:jc w:val="left"/>
            </w:pPr>
            <w:r>
              <w:t xml:space="preserve">Résultat net</w:t>
            </w:r>
          </w:p>
        </w:tc>
        <w:tc>
          <w:tcPr>
            <w:tcW w:w="7397" w:type="dxa"/>
          </w:tcPr>
          <w:tcPr/>
          <w:p>
            <w:pPr>
              <w:pStyle w:val="Compact"/>
              <w:jc w:val="left"/>
            </w:pPr>
            <w:r>
              <w:rPr>
                <w:bCs/>
                <w:b/>
              </w:rPr>
              <w:t xml:space="preserve">« Bénéfices étonnamment élevés »</w:t>
            </w:r>
            <w:r>
              <w:t xml:space="preserve"> </w:t>
            </w:r>
            <w:r>
              <w:t xml:space="preserve">selon les chiffres 2023 du rapport du MFB repris par le FMI ; situation jugée « raisonnablement sous contrôle »</w:t>
            </w:r>
          </w:p>
        </w:tc>
        <w:tc>
          <w:tcPr>
            <w:tcW w:w="1330" w:type="dxa"/>
          </w:tcPr>
          <w:tcPr/>
          <w:p>
            <w:pPr>
              <w:pStyle w:val="Compact"/>
              <w:jc w:val="left"/>
            </w:pPr>
            <w:r>
              <w:t xml:space="preserve">2023</w:t>
            </w:r>
          </w:p>
        </w:tc>
        <w:tc>
          <w:tcPr>
            <w:tcW w:w="1436" w:type="dxa"/>
          </w:tcPr>
          <w:tcPr/>
          <w:p>
            <w:pPr>
              <w:pStyle w:val="Compact"/>
              <w:jc w:val="left"/>
            </w:pPr>
            <w:r>
              <w:t xml:space="preserve">[V] (via FMI)</w:t>
            </w:r>
          </w:p>
        </w:tc>
        <w:tc>
          <w:tcPr>
            <w:tcW w:w="1123" w:type="dxa"/>
          </w:tcPr>
          <w:tcPr/>
          <w:p>
            <w:pPr>
              <w:pStyle w:val="Compact"/>
              <w:jc w:val="left"/>
            </w:pPr>
            <w:r>
              <w:t xml:space="preserve">[3]</w:t>
            </w:r>
          </w:p>
        </w:tc>
      </w:tr>
      <w:tr>
        <w:tc>
          <w:tcPr>
            <w:tcW w:w="3282" w:type="dxa"/>
          </w:tcPr>
          <w:tcPr/>
          <w:p>
            <w:pPr>
              <w:pStyle w:val="Compact"/>
              <w:jc w:val="left"/>
            </w:pPr>
            <w:r>
              <w:t xml:space="preserve">EBITDA</w:t>
            </w:r>
          </w:p>
        </w:tc>
        <w:tc>
          <w:tcPr>
            <w:tcW w:w="7397" w:type="dxa"/>
          </w:tcPr>
          <w:tcPr/>
          <w:p>
            <w:pPr>
              <w:pStyle w:val="Compact"/>
              <w:jc w:val="left"/>
            </w:pPr>
            <w:r>
              <w:t xml:space="preserve">[?]</w:t>
            </w:r>
          </w:p>
        </w:tc>
        <w:tc>
          <w:tcPr>
            <w:tcW w:w="1330" w:type="dxa"/>
          </w:tcPr>
          <w:tcPr/>
          <w:p>
            <w:pPr>
              <w:pStyle w:val="Compact"/>
              <w:jc w:val="left"/>
            </w:pPr>
            <w:r>
              <w:t xml:space="preserve">—</w:t>
            </w:r>
          </w:p>
        </w:tc>
        <w:tc>
          <w:tcPr>
            <w:tcW w:w="1436" w:type="dxa"/>
          </w:tcPr>
          <w:tcPr/>
          <w:p>
            <w:pPr>
              <w:pStyle w:val="Compact"/>
              <w:jc w:val="left"/>
            </w:pPr>
            <w:r>
              <w:t xml:space="preserve">[?]</w:t>
            </w:r>
          </w:p>
        </w:tc>
        <w:tc>
          <w:tcPr>
            <w:tcW w:w="1123" w:type="dxa"/>
          </w:tcPr>
          <w:tcPr/>
          <w:p>
            <w:pPr>
              <w:pStyle w:val="Compact"/>
              <w:jc w:val="left"/>
            </w:pPr>
            <w:r>
              <w:t xml:space="preserve">—</w:t>
            </w:r>
          </w:p>
        </w:tc>
      </w:tr>
      <w:tr>
        <w:tc>
          <w:tcPr>
            <w:tcW w:w="3282" w:type="dxa"/>
          </w:tcPr>
          <w:tcPr/>
          <w:p>
            <w:pPr>
              <w:pStyle w:val="Compact"/>
              <w:jc w:val="left"/>
            </w:pPr>
            <w:r>
              <w:t xml:space="preserve">Dette totale</w:t>
            </w:r>
          </w:p>
        </w:tc>
        <w:tc>
          <w:tcPr>
            <w:tcW w:w="7397" w:type="dxa"/>
          </w:tcPr>
          <w:tcPr/>
          <w:p>
            <w:pPr>
              <w:pStyle w:val="Compact"/>
              <w:jc w:val="left"/>
            </w:pPr>
            <w:r>
              <w:rPr>
                <w:bCs/>
                <w:b/>
              </w:rPr>
              <w:t xml:space="preserve">ENERCA = 55,3 % de la dette totale des EP</w:t>
            </w:r>
            <w:r>
              <w:t xml:space="preserve"> </w:t>
            </w:r>
            <w:r>
              <w:t xml:space="preserve">(fin 2023) ; passif total 139,7 M USD en 2015 (dont 68 M de dette financière LT et 49,8 M de passif CT)</w:t>
            </w:r>
          </w:p>
        </w:tc>
        <w:tc>
          <w:tcPr>
            <w:tcW w:w="1330" w:type="dxa"/>
          </w:tcPr>
          <w:tcPr/>
          <w:p>
            <w:pPr>
              <w:pStyle w:val="Compact"/>
              <w:jc w:val="left"/>
            </w:pPr>
            <w:r>
              <w:t xml:space="preserve">2015 ; 2023</w:t>
            </w:r>
          </w:p>
        </w:tc>
        <w:tc>
          <w:tcPr>
            <w:tcW w:w="1436" w:type="dxa"/>
          </w:tcPr>
          <w:tcPr/>
          <w:p>
            <w:pPr>
              <w:pStyle w:val="Compact"/>
              <w:jc w:val="left"/>
            </w:pPr>
            <w:r>
              <w:t xml:space="preserve">[V]</w:t>
            </w:r>
          </w:p>
        </w:tc>
        <w:tc>
          <w:tcPr>
            <w:tcW w:w="1123" w:type="dxa"/>
          </w:tcPr>
          <w:tcPr/>
          <w:p>
            <w:pPr>
              <w:pStyle w:val="Compact"/>
              <w:jc w:val="left"/>
            </w:pPr>
            <w:r>
              <w:t xml:space="preserve">[3][2]</w:t>
            </w:r>
          </w:p>
        </w:tc>
      </w:tr>
      <w:tr>
        <w:tc>
          <w:tcPr>
            <w:tcW w:w="3282" w:type="dxa"/>
          </w:tcPr>
          <w:tcPr/>
          <w:p>
            <w:pPr>
              <w:pStyle w:val="Compact"/>
              <w:jc w:val="left"/>
            </w:pPr>
            <w:r>
              <w:t xml:space="preserve">Arriérés de l’État</w:t>
            </w:r>
          </w:p>
        </w:tc>
        <w:tc>
          <w:tcPr>
            <w:tcW w:w="7397" w:type="dxa"/>
          </w:tcPr>
          <w:tcPr/>
          <w:p>
            <w:pPr>
              <w:pStyle w:val="Compact"/>
              <w:jc w:val="left"/>
            </w:pPr>
            <w:r>
              <w:rPr>
                <w:bCs/>
                <w:b/>
              </w:rPr>
              <w:t xml:space="preserve">L’État a soldé sa dette envers ENERCA en décembre 2023</w:t>
            </w:r>
            <w:r>
              <w:t xml:space="preserve"> </w:t>
            </w:r>
            <w:r>
              <w:t xml:space="preserve">(FMI/LoI) ; le pacte cite 52 Md FCFA de créances impayées au 31-12-2024 (tous clients, dont administrations)</w:t>
            </w:r>
          </w:p>
        </w:tc>
        <w:tc>
          <w:tcPr>
            <w:tcW w:w="1330" w:type="dxa"/>
          </w:tcPr>
          <w:tcPr/>
          <w:p>
            <w:pPr>
              <w:pStyle w:val="Compact"/>
              <w:jc w:val="left"/>
            </w:pPr>
            <w:r>
              <w:t xml:space="preserve">2023-2024</w:t>
            </w:r>
          </w:p>
        </w:tc>
        <w:tc>
          <w:tcPr>
            <w:tcW w:w="1436" w:type="dxa"/>
          </w:tcPr>
          <w:tcPr/>
          <w:p>
            <w:pPr>
              <w:pStyle w:val="Compact"/>
              <w:jc w:val="left"/>
            </w:pPr>
            <w:r>
              <w:t xml:space="preserve">[V] / [P]</w:t>
            </w:r>
          </w:p>
        </w:tc>
        <w:tc>
          <w:tcPr>
            <w:tcW w:w="1123" w:type="dxa"/>
          </w:tcPr>
          <w:tcPr/>
          <w:p>
            <w:pPr>
              <w:pStyle w:val="Compact"/>
              <w:jc w:val="left"/>
            </w:pPr>
            <w:r>
              <w:t xml:space="preserve">[3][P]</w:t>
            </w:r>
          </w:p>
        </w:tc>
      </w:tr>
      <w:tr>
        <w:tc>
          <w:tcPr>
            <w:tcW w:w="3282" w:type="dxa"/>
          </w:tcPr>
          <w:tcPr/>
          <w:p>
            <w:pPr>
              <w:pStyle w:val="Compact"/>
              <w:jc w:val="left"/>
            </w:pPr>
            <w:r>
              <w:t xml:space="preserve">Transferts / subventions</w:t>
            </w:r>
          </w:p>
        </w:tc>
        <w:tc>
          <w:tcPr>
            <w:tcW w:w="7397" w:type="dxa"/>
          </w:tcPr>
          <w:tcPr/>
          <w:p>
            <w:pPr>
              <w:pStyle w:val="Compact"/>
              <w:jc w:val="left"/>
            </w:pPr>
            <w:r>
              <w:t xml:space="preserve">[?] ; tarif administré sans compensation ciblée (pacte)</w:t>
            </w:r>
          </w:p>
        </w:tc>
        <w:tc>
          <w:tcPr>
            <w:tcW w:w="1330" w:type="dxa"/>
          </w:tcPr>
          <w:tcPr/>
          <w:p>
            <w:pPr>
              <w:pStyle w:val="Compact"/>
              <w:jc w:val="left"/>
            </w:pPr>
            <w:r>
              <w:t xml:space="preserve">—</w:t>
            </w:r>
          </w:p>
        </w:tc>
        <w:tc>
          <w:tcPr>
            <w:tcW w:w="1436" w:type="dxa"/>
          </w:tcPr>
          <w:tcPr/>
          <w:p>
            <w:pPr>
              <w:pStyle w:val="Compact"/>
              <w:jc w:val="left"/>
            </w:pPr>
            <w:r>
              <w:t xml:space="preserve">[P]</w:t>
            </w:r>
          </w:p>
        </w:tc>
        <w:tc>
          <w:tcPr>
            <w:tcW w:w="1123" w:type="dxa"/>
          </w:tcPr>
          <w:tcPr/>
          <w:p>
            <w:pPr>
              <w:pStyle w:val="Compact"/>
              <w:jc w:val="left"/>
            </w:pPr>
            <w:r>
              <w:t xml:space="preserve">[P]</w:t>
            </w:r>
          </w:p>
        </w:tc>
      </w:tr>
      <w:tr>
        <w:tc>
          <w:tcPr>
            <w:tcW w:w="3282" w:type="dxa"/>
          </w:tcPr>
          <w:tcPr/>
          <w:p>
            <w:pPr>
              <w:pStyle w:val="Compact"/>
              <w:jc w:val="left"/>
            </w:pPr>
            <w:r>
              <w:t xml:space="preserve">Taux de recouvrement</w:t>
            </w:r>
          </w:p>
        </w:tc>
        <w:tc>
          <w:tcPr>
            <w:tcW w:w="7397" w:type="dxa"/>
          </w:tcPr>
          <w:tcPr/>
          <w:p>
            <w:pPr>
              <w:pStyle w:val="Compact"/>
              <w:jc w:val="left"/>
            </w:pPr>
            <w:r>
              <w:t xml:space="preserve">67 % (2017) ; 86,2 % (pacte, ~2024)</w:t>
            </w:r>
          </w:p>
        </w:tc>
        <w:tc>
          <w:tcPr>
            <w:tcW w:w="1330" w:type="dxa"/>
          </w:tcPr>
          <w:tcPr/>
          <w:p>
            <w:pPr>
              <w:pStyle w:val="Compact"/>
              <w:jc w:val="left"/>
            </w:pPr>
            <w:r>
              <w:t xml:space="preserve">2017 ; 2024</w:t>
            </w:r>
          </w:p>
        </w:tc>
        <w:tc>
          <w:tcPr>
            <w:tcW w:w="1436" w:type="dxa"/>
          </w:tcPr>
          <w:tcPr/>
          <w:p>
            <w:pPr>
              <w:pStyle w:val="Compact"/>
              <w:jc w:val="left"/>
            </w:pPr>
            <w:r>
              <w:t xml:space="preserve">[V] / [P]</w:t>
            </w:r>
          </w:p>
        </w:tc>
        <w:tc>
          <w:tcPr>
            <w:tcW w:w="1123" w:type="dxa"/>
          </w:tcPr>
          <w:tcPr/>
          <w:p>
            <w:pPr>
              <w:pStyle w:val="Compact"/>
              <w:jc w:val="left"/>
            </w:pPr>
            <w:r>
              <w:t xml:space="preserve">[2][P]</w:t>
            </w:r>
          </w:p>
        </w:tc>
      </w:tr>
      <w:tr>
        <w:tc>
          <w:tcPr>
            <w:tcW w:w="3282" w:type="dxa"/>
          </w:tcPr>
          <w:tcPr/>
          <w:p>
            <w:pPr>
              <w:pStyle w:val="Compact"/>
              <w:jc w:val="left"/>
            </w:pPr>
            <w:r>
              <w:t xml:space="preserve">Recette vs coût par kWh</w:t>
            </w:r>
          </w:p>
        </w:tc>
        <w:tc>
          <w:tcPr>
            <w:tcW w:w="7397" w:type="dxa"/>
          </w:tcPr>
          <w:tcPr/>
          <w:p>
            <w:pPr>
              <w:pStyle w:val="Compact"/>
              <w:jc w:val="left"/>
            </w:pPr>
            <w:r>
              <w:t xml:space="preserve">Tarif moyen 0,14 USD/kWh,</w:t>
            </w:r>
            <w:r>
              <w:t xml:space="preserve"> </w:t>
            </w:r>
            <w:r>
              <w:rPr>
                <w:bCs/>
                <w:b/>
              </w:rPr>
              <w:t xml:space="preserve">recouvrement effectif des coûts 55 %</w:t>
            </w:r>
            <w:r>
              <w:t xml:space="preserve"> </w:t>
            </w:r>
            <w:r>
              <w:t xml:space="preserve">; coût de fourniture ~3 fois la moyenne d’Afrique subsaharienne (évaluation 2019)</w:t>
            </w:r>
          </w:p>
        </w:tc>
        <w:tc>
          <w:tcPr>
            <w:tcW w:w="1330" w:type="dxa"/>
          </w:tcPr>
          <w:tcPr/>
          <w:p>
            <w:pPr>
              <w:pStyle w:val="Compact"/>
              <w:jc w:val="left"/>
            </w:pPr>
            <w:r>
              <w:t xml:space="preserve">2019</w:t>
            </w:r>
          </w:p>
        </w:tc>
        <w:tc>
          <w:tcPr>
            <w:tcW w:w="1436" w:type="dxa"/>
          </w:tcPr>
          <w:tcPr/>
          <w:p>
            <w:pPr>
              <w:pStyle w:val="Compact"/>
              <w:jc w:val="left"/>
            </w:pPr>
            <w:r>
              <w:t xml:space="preserve">[V]</w:t>
            </w:r>
          </w:p>
        </w:tc>
        <w:tc>
          <w:tcPr>
            <w:tcW w:w="1123" w:type="dxa"/>
          </w:tcPr>
          <w:tcPr/>
          <w:p>
            <w:pPr>
              <w:pStyle w:val="Compact"/>
              <w:jc w:val="left"/>
            </w:pPr>
            <w:r>
              <w:t xml:space="preserve">[2]</w:t>
            </w:r>
          </w:p>
        </w:tc>
      </w:tr>
      <w:tr>
        <w:tc>
          <w:tcPr>
            <w:tcW w:w="3282" w:type="dxa"/>
          </w:tcPr>
          <w:tcPr/>
          <w:p>
            <w:pPr>
              <w:pStyle w:val="Compact"/>
              <w:jc w:val="left"/>
            </w:pPr>
            <w:r>
              <w:t xml:space="preserve">Déficit quasi-budgétaire</w:t>
            </w:r>
          </w:p>
        </w:tc>
        <w:tc>
          <w:tcPr>
            <w:tcW w:w="7397" w:type="dxa"/>
          </w:tcPr>
          <w:tcPr/>
          <w:p>
            <w:pPr>
              <w:pStyle w:val="Compact"/>
              <w:jc w:val="left"/>
            </w:pPr>
            <w:r>
              <w:t xml:space="preserve">[?]</w:t>
            </w:r>
          </w:p>
        </w:tc>
        <w:tc>
          <w:tcPr>
            <w:tcW w:w="1330" w:type="dxa"/>
          </w:tcPr>
          <w:tcPr/>
          <w:p>
            <w:pPr>
              <w:pStyle w:val="Compact"/>
              <w:jc w:val="left"/>
            </w:pPr>
            <w:r>
              <w:t xml:space="preserve">—</w:t>
            </w:r>
          </w:p>
        </w:tc>
        <w:tc>
          <w:tcPr>
            <w:tcW w:w="1436" w:type="dxa"/>
          </w:tcPr>
          <w:tcPr/>
          <w:p>
            <w:pPr>
              <w:pStyle w:val="Compact"/>
              <w:jc w:val="left"/>
            </w:pPr>
            <w:r>
              <w:t xml:space="preserve">[?]</w:t>
            </w:r>
          </w:p>
        </w:tc>
        <w:tc>
          <w:tcPr>
            <w:tcW w:w="1123" w:type="dxa"/>
          </w:tcPr>
          <w:tcPr/>
          <w:p>
            <w:pPr>
              <w:pStyle w:val="Compact"/>
              <w:jc w:val="left"/>
            </w:pPr>
            <w:r>
              <w:t xml:space="preserve">—</w:t>
            </w:r>
          </w:p>
        </w:tc>
      </w:tr>
      <w:tr>
        <w:tc>
          <w:tcPr>
            <w:tcW w:w="3282" w:type="dxa"/>
          </w:tcPr>
          <w:tcPr/>
          <w:p>
            <w:pPr>
              <w:pStyle w:val="Compact"/>
              <w:jc w:val="left"/>
            </w:pPr>
            <w:r>
              <w:t xml:space="preserve">Notation</w:t>
            </w:r>
          </w:p>
        </w:tc>
        <w:tc>
          <w:tcPr>
            <w:tcW w:w="7397" w:type="dxa"/>
          </w:tcPr>
          <w:tcPr/>
          <w:p>
            <w:pPr>
              <w:pStyle w:val="Compact"/>
              <w:jc w:val="left"/>
            </w:pPr>
            <w:r>
              <w:t xml:space="preserve">Aucune</w:t>
            </w:r>
          </w:p>
        </w:tc>
        <w:tc>
          <w:tcPr>
            <w:tcW w:w="1330" w:type="dxa"/>
          </w:tcPr>
          <w:tcPr/>
          <w:p>
            <w:pPr>
              <w:pStyle w:val="Compact"/>
              <w:jc w:val="left"/>
            </w:pPr>
            <w:r>
              <w:t xml:space="preserve">—</w:t>
            </w:r>
          </w:p>
        </w:tc>
        <w:tc>
          <w:tcPr>
            <w:tcW w:w="1436" w:type="dxa"/>
          </w:tcPr>
          <w:tcPr/>
          <w:p>
            <w:pPr>
              <w:pStyle w:val="Compact"/>
              <w:jc w:val="left"/>
            </w:pPr>
            <w:r>
              <w:t xml:space="preserve">—</w:t>
            </w:r>
          </w:p>
        </w:tc>
        <w:tc>
          <w:tcPr>
            <w:tcW w:w="1123" w:type="dxa"/>
          </w:tcPr>
          <w:tcPr/>
          <w:p>
            <w:pPr>
              <w:pStyle w:val="Compact"/>
              <w:jc w:val="left"/>
            </w:pPr>
            <w:r>
              <w:t xml:space="preserve">—</w:t>
            </w:r>
          </w:p>
        </w:tc>
      </w:tr>
    </w:tbl>
    <w:bookmarkEnd w:id="84"/>
    <w:bookmarkStart w:id="85" w:name="situation-technique-4"/>
    <w:p>
      <w:pPr>
        <w:pStyle w:val="Heading3"/>
      </w:pPr>
      <w:r>
        <w:t xml:space="preserve">2. Situation technique</w:t>
      </w:r>
    </w:p>
    <w:tbl>
      <w:tblPr>
        <w:tblStyle w:val="Table"/>
        <w:tblW w:type="dxa" w:w="14570"/>
        <w:tblLook w:firstRow="1" w:lastRow="0" w:firstColumn="0" w:lastColumn="0" w:noHBand="0" w:noVBand="0" w:val="0020"/>
        <w:jc w:val="start"/>
      </w:tblPr>
      <w:tblGrid>
        <w:gridCol w:w="1750"/>
        <w:gridCol w:w="8651"/>
        <w:gridCol w:w="1591"/>
        <w:gridCol w:w="1241"/>
        <w:gridCol w:w="1336"/>
      </w:tblGrid>
      <w:tr>
        <w:trPr>
          <w:tblHeader w:val="true"/>
        </w:trPr>
        <w:tc>
          <w:tcPr>
            <w:tcW w:w="1750" w:type="dxa"/>
          </w:tcPr>
          <w:tcPr/>
          <w:p>
            <w:pPr>
              <w:pStyle w:val="Compact"/>
              <w:jc w:val="left"/>
            </w:pPr>
            <w:r>
              <w:t xml:space="preserve">Indicateur</w:t>
            </w:r>
          </w:p>
        </w:tc>
        <w:tc>
          <w:tcPr>
            <w:tcW w:w="8651" w:type="dxa"/>
          </w:tcPr>
          <w:tcPr/>
          <w:p>
            <w:pPr>
              <w:pStyle w:val="Compact"/>
              <w:jc w:val="left"/>
            </w:pPr>
            <w:r>
              <w:t xml:space="preserve">Valeur</w:t>
            </w:r>
          </w:p>
        </w:tc>
        <w:tc>
          <w:tcPr>
            <w:tcW w:w="1591" w:type="dxa"/>
          </w:tcPr>
          <w:tcPr/>
          <w:p>
            <w:pPr>
              <w:pStyle w:val="Compact"/>
              <w:jc w:val="left"/>
            </w:pPr>
            <w:r>
              <w:t xml:space="preserve">Année</w:t>
            </w:r>
          </w:p>
        </w:tc>
        <w:tc>
          <w:tcPr>
            <w:tcW w:w="1241" w:type="dxa"/>
          </w:tcPr>
          <w:tcPr/>
          <w:p>
            <w:pPr>
              <w:pStyle w:val="Compact"/>
              <w:jc w:val="left"/>
            </w:pPr>
            <w:r>
              <w:t xml:space="preserve">Statut</w:t>
            </w:r>
          </w:p>
        </w:tc>
        <w:tc>
          <w:tcPr>
            <w:tcW w:w="1336" w:type="dxa"/>
          </w:tcPr>
          <w:tcPr/>
          <w:p>
            <w:pPr>
              <w:pStyle w:val="Compact"/>
              <w:jc w:val="left"/>
            </w:pPr>
            <w:r>
              <w:t xml:space="preserve">Source</w:t>
            </w:r>
          </w:p>
        </w:tc>
      </w:tr>
      <w:tr>
        <w:tc>
          <w:tcPr>
            <w:tcW w:w="1750" w:type="dxa"/>
          </w:tcPr>
          <w:tcPr/>
          <w:p>
            <w:pPr>
              <w:pStyle w:val="Compact"/>
              <w:jc w:val="left"/>
            </w:pPr>
            <w:r>
              <w:t xml:space="preserve">Capacité</w:t>
            </w:r>
          </w:p>
        </w:tc>
        <w:tc>
          <w:tcPr>
            <w:tcW w:w="8651" w:type="dxa"/>
          </w:tcPr>
          <w:tcPr/>
          <w:p>
            <w:pPr>
              <w:pStyle w:val="Compact"/>
              <w:jc w:val="left"/>
            </w:pPr>
            <w:r>
              <w:t xml:space="preserve">28 MW installés / 23 disponibles (2019) ; 70,8 MW en 2025 dont 41,8 MWc solaire (Danzi 25 MWc + stockage, Sakaï 15 MWc) (pacte) ; Danzi mis en service nov. 2023 mais production limitée par la gestion du dispatching d’ENERCA et la capacité d’évacuation</w:t>
            </w:r>
          </w:p>
        </w:tc>
        <w:tc>
          <w:tcPr>
            <w:tcW w:w="1591" w:type="dxa"/>
          </w:tcPr>
          <w:tcPr/>
          <w:p>
            <w:pPr>
              <w:pStyle w:val="Compact"/>
              <w:jc w:val="left"/>
            </w:pPr>
            <w:r>
              <w:t xml:space="preserve">2019-2025</w:t>
            </w:r>
          </w:p>
        </w:tc>
        <w:tc>
          <w:tcPr>
            <w:tcW w:w="1241" w:type="dxa"/>
          </w:tcPr>
          <w:tcPr/>
          <w:p>
            <w:pPr>
              <w:pStyle w:val="Compact"/>
              <w:jc w:val="left"/>
            </w:pPr>
            <w:r>
              <w:t xml:space="preserve">[V]/[P]</w:t>
            </w:r>
          </w:p>
        </w:tc>
        <w:tc>
          <w:tcPr>
            <w:tcW w:w="1336" w:type="dxa"/>
          </w:tcPr>
          <w:tcPr/>
          <w:p>
            <w:pPr>
              <w:pStyle w:val="Compact"/>
              <w:jc w:val="left"/>
            </w:pPr>
            <w:r>
              <w:t xml:space="preserve">[2][P]</w:t>
            </w:r>
          </w:p>
        </w:tc>
      </w:tr>
      <w:tr>
        <w:tc>
          <w:tcPr>
            <w:tcW w:w="1750" w:type="dxa"/>
          </w:tcPr>
          <w:tcPr/>
          <w:p>
            <w:pPr>
              <w:pStyle w:val="Compact"/>
              <w:jc w:val="left"/>
            </w:pPr>
            <w:r>
              <w:t xml:space="preserve">Pertes</w:t>
            </w:r>
          </w:p>
        </w:tc>
        <w:tc>
          <w:tcPr>
            <w:tcW w:w="8651" w:type="dxa"/>
          </w:tcPr>
          <w:tcPr/>
          <w:p>
            <w:pPr>
              <w:pStyle w:val="Compact"/>
              <w:jc w:val="left"/>
            </w:pPr>
            <w:r>
              <w:t xml:space="preserve">Transport 7 % + distribution 33 % (2019) ; 20 % (pacte, ~2024) — réduction non vérifiée en primaire</w:t>
            </w:r>
          </w:p>
        </w:tc>
        <w:tc>
          <w:tcPr>
            <w:tcW w:w="1591" w:type="dxa"/>
          </w:tcPr>
          <w:tcPr/>
          <w:p>
            <w:pPr>
              <w:pStyle w:val="Compact"/>
              <w:jc w:val="left"/>
            </w:pPr>
            <w:r>
              <w:t xml:space="preserve">2019 ; 2024</w:t>
            </w:r>
          </w:p>
        </w:tc>
        <w:tc>
          <w:tcPr>
            <w:tcW w:w="1241" w:type="dxa"/>
          </w:tcPr>
          <w:tcPr/>
          <w:p>
            <w:pPr>
              <w:pStyle w:val="Compact"/>
              <w:jc w:val="left"/>
            </w:pPr>
            <w:r>
              <w:t xml:space="preserve">[V]/[P]</w:t>
            </w:r>
          </w:p>
        </w:tc>
        <w:tc>
          <w:tcPr>
            <w:tcW w:w="1336" w:type="dxa"/>
          </w:tcPr>
          <w:tcPr/>
          <w:p>
            <w:pPr>
              <w:pStyle w:val="Compact"/>
              <w:jc w:val="left"/>
            </w:pPr>
            <w:r>
              <w:t xml:space="preserve">[2][P]</w:t>
            </w:r>
          </w:p>
        </w:tc>
      </w:tr>
      <w:tr>
        <w:tc>
          <w:tcPr>
            <w:tcW w:w="1750" w:type="dxa"/>
          </w:tcPr>
          <w:tcPr/>
          <w:p>
            <w:pPr>
              <w:pStyle w:val="Compact"/>
              <w:jc w:val="left"/>
            </w:pPr>
            <w:r>
              <w:t xml:space="preserve">Délestages</w:t>
            </w:r>
          </w:p>
        </w:tc>
        <w:tc>
          <w:tcPr>
            <w:tcW w:w="8651" w:type="dxa"/>
          </w:tcPr>
          <w:tcPr/>
          <w:p>
            <w:pPr>
              <w:pStyle w:val="Compact"/>
              <w:jc w:val="left"/>
            </w:pPr>
            <w:r>
              <w:t xml:space="preserve">Jusqu’à 16-18 h/jour (2019) ; 8 h d’électricité/jour dans les zones les plus touchées (pacte, 2025)</w:t>
            </w:r>
          </w:p>
        </w:tc>
        <w:tc>
          <w:tcPr>
            <w:tcW w:w="1591" w:type="dxa"/>
          </w:tcPr>
          <w:tcPr/>
          <w:p>
            <w:pPr>
              <w:pStyle w:val="Compact"/>
              <w:jc w:val="left"/>
            </w:pPr>
            <w:r>
              <w:t xml:space="preserve">2019-2025</w:t>
            </w:r>
          </w:p>
        </w:tc>
        <w:tc>
          <w:tcPr>
            <w:tcW w:w="1241" w:type="dxa"/>
          </w:tcPr>
          <w:tcPr/>
          <w:p>
            <w:pPr>
              <w:pStyle w:val="Compact"/>
              <w:jc w:val="left"/>
            </w:pPr>
            <w:r>
              <w:t xml:space="preserve">[V]/[P]</w:t>
            </w:r>
          </w:p>
        </w:tc>
        <w:tc>
          <w:tcPr>
            <w:tcW w:w="1336" w:type="dxa"/>
          </w:tcPr>
          <w:tcPr/>
          <w:p>
            <w:pPr>
              <w:pStyle w:val="Compact"/>
              <w:jc w:val="left"/>
            </w:pPr>
            <w:r>
              <w:t xml:space="preserve">[2][P]</w:t>
            </w:r>
          </w:p>
        </w:tc>
      </w:tr>
      <w:tr>
        <w:tc>
          <w:tcPr>
            <w:tcW w:w="1750" w:type="dxa"/>
          </w:tcPr>
          <w:tcPr/>
          <w:p>
            <w:pPr>
              <w:pStyle w:val="Compact"/>
              <w:jc w:val="left"/>
            </w:pPr>
            <w:r>
              <w:t xml:space="preserve">Clients / comptage</w:t>
            </w:r>
          </w:p>
        </w:tc>
        <w:tc>
          <w:tcPr>
            <w:tcW w:w="8651" w:type="dxa"/>
          </w:tcPr>
          <w:tcPr/>
          <w:p>
            <w:pPr>
              <w:pStyle w:val="Compact"/>
              <w:jc w:val="left"/>
            </w:pPr>
            <w:r>
              <w:t xml:space="preserve">17 300 compteurs prépayés (pacte) ; ESSAP : 820 compteurs prépayés posés (mai 2026) sur 60 000 visés fin 2027 ; 1 463 nouveaux abonnés</w:t>
            </w:r>
          </w:p>
        </w:tc>
        <w:tc>
          <w:tcPr>
            <w:tcW w:w="1591" w:type="dxa"/>
          </w:tcPr>
          <w:tcPr/>
          <w:p>
            <w:pPr>
              <w:pStyle w:val="Compact"/>
              <w:jc w:val="left"/>
            </w:pPr>
            <w:r>
              <w:t xml:space="preserve">2026</w:t>
            </w:r>
          </w:p>
        </w:tc>
        <w:tc>
          <w:tcPr>
            <w:tcW w:w="1241" w:type="dxa"/>
          </w:tcPr>
          <w:tcPr/>
          <w:p>
            <w:pPr>
              <w:pStyle w:val="Compact"/>
              <w:jc w:val="left"/>
            </w:pPr>
            <w:r>
              <w:t xml:space="preserve">[V]</w:t>
            </w:r>
          </w:p>
        </w:tc>
        <w:tc>
          <w:tcPr>
            <w:tcW w:w="1336" w:type="dxa"/>
          </w:tcPr>
          <w:tcPr/>
          <w:p>
            <w:pPr>
              <w:pStyle w:val="Compact"/>
              <w:jc w:val="left"/>
            </w:pPr>
            <w:r>
              <w:t xml:space="preserve">[1][P]</w:t>
            </w:r>
          </w:p>
        </w:tc>
      </w:tr>
      <w:tr>
        <w:tc>
          <w:tcPr>
            <w:tcW w:w="1750" w:type="dxa"/>
          </w:tcPr>
          <w:tcPr/>
          <w:p>
            <w:pPr>
              <w:pStyle w:val="Compact"/>
              <w:jc w:val="left"/>
            </w:pPr>
            <w:r>
              <w:t xml:space="preserve">Mix</w:t>
            </w:r>
          </w:p>
        </w:tc>
        <w:tc>
          <w:tcPr>
            <w:tcW w:w="8651" w:type="dxa"/>
          </w:tcPr>
          <w:tcPr/>
          <w:p>
            <w:pPr>
              <w:pStyle w:val="Compact"/>
              <w:jc w:val="left"/>
            </w:pPr>
            <w:r>
              <w:t xml:space="preserve">Hydro Boali 1-2 (96 % de la production en 2019) ; solaire en hausse, contraintes de stabilité du réseau</w:t>
            </w:r>
          </w:p>
        </w:tc>
        <w:tc>
          <w:tcPr>
            <w:tcW w:w="1591" w:type="dxa"/>
          </w:tcPr>
          <w:tcPr/>
          <w:p>
            <w:pPr>
              <w:pStyle w:val="Compact"/>
              <w:jc w:val="left"/>
            </w:pPr>
            <w:r>
              <w:t xml:space="preserve">2019-2026</w:t>
            </w:r>
          </w:p>
        </w:tc>
        <w:tc>
          <w:tcPr>
            <w:tcW w:w="1241" w:type="dxa"/>
          </w:tcPr>
          <w:tcPr/>
          <w:p>
            <w:pPr>
              <w:pStyle w:val="Compact"/>
              <w:jc w:val="left"/>
            </w:pPr>
            <w:r>
              <w:t xml:space="preserve">[V]</w:t>
            </w:r>
          </w:p>
        </w:tc>
        <w:tc>
          <w:tcPr>
            <w:tcW w:w="1336" w:type="dxa"/>
          </w:tcPr>
          <w:tcPr/>
          <w:p>
            <w:pPr>
              <w:pStyle w:val="Compact"/>
              <w:jc w:val="left"/>
            </w:pPr>
            <w:r>
              <w:t xml:space="preserve">[2][1]</w:t>
            </w:r>
          </w:p>
        </w:tc>
      </w:tr>
    </w:tbl>
    <w:bookmarkEnd w:id="85"/>
    <w:bookmarkStart w:id="86" w:name="situation-économique-et-gouvernance-4"/>
    <w:p>
      <w:pPr>
        <w:pStyle w:val="Heading3"/>
      </w:pPr>
      <w:r>
        <w:t xml:space="preserve">3. Situation économique et gouvernance</w:t>
      </w:r>
    </w:p>
    <w:p>
      <w:pPr>
        <w:numPr>
          <w:ilvl w:val="0"/>
          <w:numId w:val="1039"/>
        </w:numPr>
        <w:pStyle w:val="Compact"/>
      </w:pPr>
      <w:r>
        <w:t xml:space="preserve">PPA : aucun IPP sur le réseau (pacte) [P] ; centrales solaires financées sur fonds publics/bailleurs (Danzi : PURACEL ; Sakaï : Chine/[?]).</w:t>
      </w:r>
    </w:p>
    <w:p>
      <w:pPr>
        <w:numPr>
          <w:ilvl w:val="0"/>
          <w:numId w:val="1039"/>
        </w:numPr>
        <w:pStyle w:val="Compact"/>
      </w:pPr>
      <w:r>
        <w:t xml:space="preserve">Change / combustible : exposition au diesel limitée aux centres isolés et à la pointe [2] [V].</w:t>
      </w:r>
    </w:p>
    <w:p>
      <w:pPr>
        <w:numPr>
          <w:ilvl w:val="0"/>
          <w:numId w:val="1039"/>
        </w:numPr>
        <w:pStyle w:val="Compact"/>
      </w:pPr>
      <w:r>
        <w:t xml:space="preserve">Contrat de performance :</w:t>
      </w:r>
      <w:r>
        <w:t xml:space="preserve"> </w:t>
      </w:r>
      <w:r>
        <w:rPr>
          <w:bCs/>
          <w:b/>
        </w:rPr>
        <w:t xml:space="preserve">plan de gestion contractuelle et d’amélioration de la performance (PIP) d’ENERCA achevé en juin 2023</w:t>
      </w:r>
      <w:r>
        <w:t xml:space="preserve"> </w:t>
      </w:r>
      <w:r>
        <w:t xml:space="preserve">(PURACEL) [2] [V] ; contrat de performance État-ENERCA promis (pacte) sans date [P] ; adoption [?]. AT PPIAF « ENERCA : from recovery to sustainable strategy » [2] [V].</w:t>
      </w:r>
    </w:p>
    <w:p>
      <w:pPr>
        <w:numPr>
          <w:ilvl w:val="0"/>
          <w:numId w:val="1039"/>
        </w:numPr>
        <w:pStyle w:val="Compact"/>
      </w:pPr>
      <w:r>
        <w:t xml:space="preserve">Gouvernance : ENERCA n’a pas pu financer les travaux de renforcement qu’elle s’était engagée à prendre en charge (« instabilité financière et tensions de trésorerie ») [2] [V] ; nouvelle UGP dédiée à l’énergie créée faute de capacité du ministère et d’ENERCA [2] [V].</w:t>
      </w:r>
    </w:p>
    <w:bookmarkEnd w:id="86"/>
    <w:bookmarkStart w:id="87" w:name="X81a4d883559ac9d2c1b11504e8df66994965e8c"/>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143"/>
        <w:gridCol w:w="952"/>
        <w:gridCol w:w="1500"/>
        <w:gridCol w:w="1254"/>
        <w:gridCol w:w="3125"/>
        <w:gridCol w:w="1566"/>
        <w:gridCol w:w="2335"/>
        <w:gridCol w:w="692"/>
      </w:tblGrid>
      <w:tr>
        <w:trPr>
          <w:tblHeader w:val="true"/>
        </w:trPr>
        <w:tc>
          <w:tcPr>
            <w:tcW w:w="3143" w:type="dxa"/>
          </w:tcPr>
          <w:tcPr/>
          <w:p>
            <w:pPr>
              <w:pStyle w:val="Compact"/>
              <w:jc w:val="left"/>
            </w:pPr>
            <w:r>
              <w:t xml:space="preserve">Programme / projet</w:t>
            </w:r>
          </w:p>
        </w:tc>
        <w:tc>
          <w:tcPr>
            <w:tcW w:w="952" w:type="dxa"/>
          </w:tcPr>
          <w:tcPr/>
          <w:p>
            <w:pPr>
              <w:pStyle w:val="Compact"/>
              <w:jc w:val="left"/>
            </w:pPr>
            <w:r>
              <w:t xml:space="preserve">Bailleur</w:t>
            </w:r>
          </w:p>
        </w:tc>
        <w:tc>
          <w:tcPr>
            <w:tcW w:w="1500" w:type="dxa"/>
          </w:tcPr>
          <w:tcPr/>
          <w:p>
            <w:pPr>
              <w:pStyle w:val="Compact"/>
              <w:jc w:val="left"/>
            </w:pPr>
            <w:r>
              <w:t xml:space="preserve">Montant</w:t>
            </w:r>
          </w:p>
        </w:tc>
        <w:tc>
          <w:tcPr>
            <w:tcW w:w="1254" w:type="dxa"/>
          </w:tcPr>
          <w:tcPr/>
          <w:p>
            <w:pPr>
              <w:pStyle w:val="Compact"/>
              <w:jc w:val="left"/>
            </w:pPr>
            <w:r>
              <w:t xml:space="preserve">Années</w:t>
            </w:r>
          </w:p>
        </w:tc>
        <w:tc>
          <w:tcPr>
            <w:tcW w:w="3125" w:type="dxa"/>
          </w:tcPr>
          <w:tcPr/>
          <w:p>
            <w:pPr>
              <w:pStyle w:val="Compact"/>
              <w:jc w:val="left"/>
            </w:pPr>
            <w:r>
              <w:t xml:space="preserve">Objectifs liés à l’opérateur</w:t>
            </w:r>
          </w:p>
        </w:tc>
        <w:tc>
          <w:tcPr>
            <w:tcW w:w="1566" w:type="dxa"/>
          </w:tcPr>
          <w:tcPr/>
          <w:p>
            <w:pPr>
              <w:pStyle w:val="Compact"/>
              <w:jc w:val="left"/>
            </w:pPr>
            <w:r>
              <w:t xml:space="preserve">Conditions/indicateurs</w:t>
            </w:r>
          </w:p>
        </w:tc>
        <w:tc>
          <w:tcPr>
            <w:tcW w:w="2335" w:type="dxa"/>
          </w:tcPr>
          <w:tcPr/>
          <w:p>
            <w:pPr>
              <w:pStyle w:val="Compact"/>
              <w:jc w:val="left"/>
            </w:pPr>
            <w:r>
              <w:t xml:space="preserve">Statut d’exécution</w:t>
            </w:r>
          </w:p>
        </w:tc>
        <w:tc>
          <w:tcPr>
            <w:tcW w:w="692" w:type="dxa"/>
          </w:tcPr>
          <w:tcPr/>
          <w:p>
            <w:pPr>
              <w:pStyle w:val="Compact"/>
              <w:jc w:val="left"/>
            </w:pPr>
            <w:r>
              <w:t xml:space="preserve">Source</w:t>
            </w:r>
          </w:p>
        </w:tc>
      </w:tr>
      <w:tr>
        <w:tc>
          <w:tcPr>
            <w:tcW w:w="3143" w:type="dxa"/>
          </w:tcPr>
          <w:tcPr/>
          <w:p>
            <w:pPr>
              <w:pStyle w:val="Compact"/>
              <w:jc w:val="left"/>
            </w:pPr>
            <w:r>
              <w:t xml:space="preserve">CAR — Electricity Sector Strengthening and Access Project (PARSE),</w:t>
            </w:r>
            <w:r>
              <w:t xml:space="preserve"> </w:t>
            </w:r>
            <w:r>
              <w:rPr>
                <w:bCs/>
                <w:b/>
              </w:rPr>
              <w:t xml:space="preserve">P176683</w:t>
            </w:r>
          </w:p>
        </w:tc>
        <w:tc>
          <w:tcPr>
            <w:tcW w:w="952" w:type="dxa"/>
          </w:tcPr>
          <w:tcPr/>
          <w:p>
            <w:pPr>
              <w:pStyle w:val="Compact"/>
              <w:jc w:val="left"/>
            </w:pPr>
            <w:r>
              <w:t xml:space="preserve">BM (IDA E0430) + Fonds vert pour le climat (TF-B8519)</w:t>
            </w:r>
          </w:p>
        </w:tc>
        <w:tc>
          <w:tcPr>
            <w:tcW w:w="1500" w:type="dxa"/>
          </w:tcPr>
          <w:tcPr/>
          <w:p>
            <w:pPr>
              <w:pStyle w:val="Compact"/>
              <w:jc w:val="left"/>
            </w:pPr>
            <w:r>
              <w:t xml:space="preserve">IDA 83 M (révisé 82,04) + FVC 30 M = 113 M USD</w:t>
            </w:r>
          </w:p>
        </w:tc>
        <w:tc>
          <w:tcPr>
            <w:tcW w:w="1254" w:type="dxa"/>
          </w:tcPr>
          <w:tcPr/>
          <w:p>
            <w:pPr>
              <w:pStyle w:val="Compact"/>
              <w:jc w:val="left"/>
            </w:pPr>
            <w:r>
              <w:t xml:space="preserve">06/2022-12/2027</w:t>
            </w:r>
          </w:p>
        </w:tc>
        <w:tc>
          <w:tcPr>
            <w:tcW w:w="3125" w:type="dxa"/>
          </w:tcPr>
          <w:tcPr/>
          <w:p>
            <w:pPr>
              <w:pStyle w:val="Compact"/>
              <w:jc w:val="left"/>
            </w:pPr>
            <w:r>
              <w:t xml:space="preserve">Ligne 110 kV Danzi-Sakaï, poste de Sakaï, mini-réseaux (Bouar, Bangassou, Birao, Nola, Bossembélé), stockage, compteurs prépayés ENERCA, formation ENERCA</w:t>
            </w:r>
          </w:p>
        </w:tc>
        <w:tc>
          <w:tcPr>
            <w:tcW w:w="1566" w:type="dxa"/>
          </w:tcPr>
          <w:tcPr/>
          <w:p>
            <w:pPr>
              <w:pStyle w:val="Compact"/>
              <w:jc w:val="left"/>
            </w:pPr>
            <w:r>
              <w:t xml:space="preserve">60 000 compteurs prépayés (820 posés) ; 50 agents formés (81) ; études/cadres (0/2)</w:t>
            </w:r>
          </w:p>
        </w:tc>
        <w:tc>
          <w:tcPr>
            <w:tcW w:w="2335" w:type="dxa"/>
          </w:tcPr>
          <w:tcPr/>
          <w:p>
            <w:pPr>
              <w:pStyle w:val="Compact"/>
              <w:jc w:val="left"/>
            </w:pPr>
            <w:r>
              <w:t xml:space="preserve">Décaissé IDA 33,6 %, FVC 50 % ; revue à mi-parcours faite</w:t>
            </w:r>
          </w:p>
        </w:tc>
        <w:tc>
          <w:tcPr>
            <w:tcW w:w="692" w:type="dxa"/>
          </w:tcPr>
          <w:tcPr/>
          <w:p>
            <w:pPr>
              <w:pStyle w:val="Compact"/>
              <w:jc w:val="left"/>
            </w:pPr>
            <w:r>
              <w:t xml:space="preserve">[1]</w:t>
            </w:r>
          </w:p>
        </w:tc>
      </w:tr>
      <w:tr>
        <w:tc>
          <w:tcPr>
            <w:tcW w:w="3143" w:type="dxa"/>
          </w:tcPr>
          <w:tcPr/>
          <w:p>
            <w:pPr>
              <w:pStyle w:val="Compact"/>
              <w:jc w:val="left"/>
            </w:pPr>
            <w:r>
              <w:t xml:space="preserve">CAR Emergency Electricity Supply and Access Project (PURACEL),</w:t>
            </w:r>
            <w:r>
              <w:t xml:space="preserve"> </w:t>
            </w:r>
            <w:r>
              <w:rPr>
                <w:bCs/>
                <w:b/>
              </w:rPr>
              <w:t xml:space="preserve">P164885</w:t>
            </w:r>
          </w:p>
        </w:tc>
        <w:tc>
          <w:tcPr>
            <w:tcW w:w="952" w:type="dxa"/>
          </w:tcPr>
          <w:tcPr/>
          <w:p>
            <w:pPr>
              <w:pStyle w:val="Compact"/>
              <w:jc w:val="left"/>
            </w:pPr>
            <w:r>
              <w:t xml:space="preserve">BM</w:t>
            </w:r>
          </w:p>
        </w:tc>
        <w:tc>
          <w:tcPr>
            <w:tcW w:w="1500" w:type="dxa"/>
          </w:tcPr>
          <w:tcPr/>
          <w:p>
            <w:pPr>
              <w:pStyle w:val="Compact"/>
              <w:jc w:val="left"/>
            </w:pPr>
            <w:r>
              <w:t xml:space="preserve">65 M USD</w:t>
            </w:r>
          </w:p>
        </w:tc>
        <w:tc>
          <w:tcPr>
            <w:tcW w:w="1254" w:type="dxa"/>
          </w:tcPr>
          <w:tcPr/>
          <w:p>
            <w:pPr>
              <w:pStyle w:val="Compact"/>
              <w:jc w:val="left"/>
            </w:pPr>
            <w:r>
              <w:t xml:space="preserve">2019-06/2024 (clos)</w:t>
            </w:r>
          </w:p>
        </w:tc>
        <w:tc>
          <w:tcPr>
            <w:tcW w:w="3125" w:type="dxa"/>
          </w:tcPr>
          <w:tcPr/>
          <w:p>
            <w:pPr>
              <w:pStyle w:val="Compact"/>
              <w:jc w:val="left"/>
            </w:pPr>
            <w:r>
              <w:t xml:space="preserve">Centrale PV Danzi 25 MWc + stockage ; AT ENERCA (PIP)</w:t>
            </w:r>
          </w:p>
        </w:tc>
        <w:tc>
          <w:tcPr>
            <w:tcW w:w="1566" w:type="dxa"/>
          </w:tcPr>
          <w:tcPr/>
          <w:p>
            <w:pPr>
              <w:pStyle w:val="Compact"/>
              <w:jc w:val="left"/>
            </w:pPr>
            <w:r>
              <w:t xml:space="preserve">—</w:t>
            </w:r>
          </w:p>
        </w:tc>
        <w:tc>
          <w:tcPr>
            <w:tcW w:w="2335" w:type="dxa"/>
          </w:tcPr>
          <w:tcPr/>
          <w:p>
            <w:pPr>
              <w:pStyle w:val="Compact"/>
              <w:jc w:val="left"/>
            </w:pPr>
            <w:r>
              <w:t xml:space="preserve">ICR :</w:t>
            </w:r>
            <w:r>
              <w:t xml:space="preserve"> </w:t>
            </w:r>
            <w:r>
              <w:rPr>
                <w:bCs/>
                <w:b/>
              </w:rPr>
              <w:t xml:space="preserve">résultat « satisfaisant »</w:t>
            </w:r>
            <w:r>
              <w:t xml:space="preserve"> </w:t>
            </w:r>
            <w:r>
              <w:t xml:space="preserve">; activités de réseau transférées au PARSE</w:t>
            </w:r>
          </w:p>
        </w:tc>
        <w:tc>
          <w:tcPr>
            <w:tcW w:w="692" w:type="dxa"/>
          </w:tcPr>
          <w:tcPr/>
          <w:p>
            <w:pPr>
              <w:pStyle w:val="Compact"/>
              <w:jc w:val="left"/>
            </w:pPr>
            <w:r>
              <w:t xml:space="preserve">[2]</w:t>
            </w:r>
          </w:p>
        </w:tc>
      </w:tr>
      <w:tr>
        <w:tc>
          <w:tcPr>
            <w:tcW w:w="3143" w:type="dxa"/>
          </w:tcPr>
          <w:tcPr/>
          <w:p>
            <w:pPr>
              <w:pStyle w:val="Compact"/>
              <w:jc w:val="left"/>
            </w:pPr>
            <w:r>
              <w:t xml:space="preserve">Water and Electricity Upgrading Project, P162245</w:t>
            </w:r>
          </w:p>
        </w:tc>
        <w:tc>
          <w:tcPr>
            <w:tcW w:w="952" w:type="dxa"/>
          </w:tcPr>
          <w:tcPr/>
          <w:p>
            <w:pPr>
              <w:pStyle w:val="Compact"/>
              <w:jc w:val="left"/>
            </w:pPr>
            <w:r>
              <w:t xml:space="preserve">BM</w:t>
            </w:r>
          </w:p>
        </w:tc>
        <w:tc>
          <w:tcPr>
            <w:tcW w:w="1500" w:type="dxa"/>
          </w:tcPr>
          <w:tcPr/>
          <w:p>
            <w:pPr>
              <w:pStyle w:val="Compact"/>
              <w:jc w:val="left"/>
            </w:pPr>
            <w:r>
              <w:t xml:space="preserve">20 M USD</w:t>
            </w:r>
          </w:p>
        </w:tc>
        <w:tc>
          <w:tcPr>
            <w:tcW w:w="1254" w:type="dxa"/>
          </w:tcPr>
          <w:tcPr/>
          <w:p>
            <w:pPr>
              <w:pStyle w:val="Compact"/>
              <w:jc w:val="left"/>
            </w:pPr>
            <w:r>
              <w:t xml:space="preserve">2018-2023 (clos)</w:t>
            </w:r>
          </w:p>
        </w:tc>
        <w:tc>
          <w:tcPr>
            <w:tcW w:w="3125" w:type="dxa"/>
          </w:tcPr>
          <w:tcPr/>
          <w:p>
            <w:pPr>
              <w:pStyle w:val="Compact"/>
              <w:jc w:val="left"/>
            </w:pPr>
            <w:r>
              <w:t xml:space="preserve">—</w:t>
            </w:r>
          </w:p>
        </w:tc>
        <w:tc>
          <w:tcPr>
            <w:tcW w:w="1566" w:type="dxa"/>
          </w:tcPr>
          <w:tcPr/>
          <w:p>
            <w:pPr>
              <w:pStyle w:val="Compact"/>
              <w:jc w:val="left"/>
            </w:pPr>
            <w:r>
              <w:t xml:space="preserve">—</w:t>
            </w:r>
          </w:p>
        </w:tc>
        <w:tc>
          <w:tcPr>
            <w:tcW w:w="2335" w:type="dxa"/>
          </w:tcPr>
          <w:tcPr/>
          <w:p>
            <w:pPr>
              <w:pStyle w:val="Compact"/>
              <w:jc w:val="left"/>
            </w:pPr>
            <w:r>
              <w:t xml:space="preserve">Clos</w:t>
            </w:r>
          </w:p>
        </w:tc>
        <w:tc>
          <w:tcPr>
            <w:tcW w:w="692" w:type="dxa"/>
          </w:tcPr>
          <w:tcPr/>
          <w:p>
            <w:pPr>
              <w:pStyle w:val="Compact"/>
              <w:jc w:val="left"/>
            </w:pPr>
            <w:r>
              <w:t xml:space="preserve">[4]</w:t>
            </w:r>
          </w:p>
        </w:tc>
      </w:tr>
      <w:tr>
        <w:tc>
          <w:tcPr>
            <w:tcW w:w="3143" w:type="dxa"/>
          </w:tcPr>
          <w:tcPr/>
          <w:p>
            <w:pPr>
              <w:pStyle w:val="Compact"/>
              <w:jc w:val="left"/>
            </w:pPr>
            <w:r>
              <w:t xml:space="preserve">SDFP (politique de financement du développement durable)</w:t>
            </w:r>
          </w:p>
        </w:tc>
        <w:tc>
          <w:tcPr>
            <w:tcW w:w="952" w:type="dxa"/>
          </w:tcPr>
          <w:tcPr/>
          <w:p>
            <w:pPr>
              <w:pStyle w:val="Compact"/>
              <w:jc w:val="left"/>
            </w:pPr>
            <w:r>
              <w:t xml:space="preserve">BM</w:t>
            </w:r>
          </w:p>
        </w:tc>
        <w:tc>
          <w:tcPr>
            <w:tcW w:w="1500" w:type="dxa"/>
          </w:tcPr>
          <w:tcPr/>
          <w:p>
            <w:pPr>
              <w:pStyle w:val="Compact"/>
              <w:jc w:val="left"/>
            </w:pPr>
            <w:r>
              <w:t xml:space="preserve">—</w:t>
            </w:r>
          </w:p>
        </w:tc>
        <w:tc>
          <w:tcPr>
            <w:tcW w:w="1254" w:type="dxa"/>
          </w:tcPr>
          <w:tcPr/>
          <w:p>
            <w:pPr>
              <w:pStyle w:val="Compact"/>
              <w:jc w:val="left"/>
            </w:pPr>
            <w:r>
              <w:t xml:space="preserve">2021-2024</w:t>
            </w:r>
          </w:p>
        </w:tc>
        <w:tc>
          <w:tcPr>
            <w:tcW w:w="3125" w:type="dxa"/>
          </w:tcPr>
          <w:tcPr/>
          <w:p>
            <w:pPr>
              <w:pStyle w:val="Compact"/>
              <w:jc w:val="left"/>
            </w:pPr>
            <w:r>
              <w:t xml:space="preserve">Audits ENERCA/SODECA/SOCATEL publiés (2021) ; rapports annuels de risques budgétaires des EP</w:t>
            </w:r>
          </w:p>
        </w:tc>
        <w:tc>
          <w:tcPr>
            <w:tcW w:w="1566" w:type="dxa"/>
          </w:tcPr>
          <w:tcPr/>
          <w:p>
            <w:pPr>
              <w:pStyle w:val="Compact"/>
              <w:jc w:val="left"/>
            </w:pPr>
            <w:r>
              <w:t xml:space="preserve">Action de politique de rendement (PPA)</w:t>
            </w:r>
          </w:p>
        </w:tc>
        <w:tc>
          <w:tcPr>
            <w:tcW w:w="2335" w:type="dxa"/>
          </w:tcPr>
          <w:tcPr/>
          <w:p>
            <w:pPr>
              <w:pStyle w:val="Compact"/>
              <w:jc w:val="left"/>
            </w:pPr>
            <w:r>
              <w:t xml:space="preserve">Réalisé</w:t>
            </w:r>
          </w:p>
        </w:tc>
        <w:tc>
          <w:tcPr>
            <w:tcW w:w="692" w:type="dxa"/>
          </w:tcPr>
          <w:tcPr/>
          <w:p>
            <w:pPr>
              <w:pStyle w:val="Compact"/>
              <w:jc w:val="left"/>
            </w:pPr>
            <w:r>
              <w:t xml:space="preserve">[3]</w:t>
            </w:r>
          </w:p>
        </w:tc>
      </w:tr>
      <w:tr>
        <w:tc>
          <w:tcPr>
            <w:tcW w:w="3143" w:type="dxa"/>
          </w:tcPr>
          <w:tcPr/>
          <w:p>
            <w:pPr>
              <w:pStyle w:val="Compact"/>
              <w:jc w:val="left"/>
            </w:pPr>
            <w:r>
              <w:t xml:space="preserve">FEC (3e-4e revues)</w:t>
            </w:r>
          </w:p>
        </w:tc>
        <w:tc>
          <w:tcPr>
            <w:tcW w:w="952" w:type="dxa"/>
          </w:tcPr>
          <w:tcPr/>
          <w:p>
            <w:pPr>
              <w:pStyle w:val="Compact"/>
              <w:jc w:val="left"/>
            </w:pPr>
            <w:r>
              <w:t xml:space="preserve">FMI</w:t>
            </w:r>
          </w:p>
        </w:tc>
        <w:tc>
          <w:tcPr>
            <w:tcW w:w="1500" w:type="dxa"/>
          </w:tcPr>
          <w:tcPr/>
          <w:p>
            <w:pPr>
              <w:pStyle w:val="Compact"/>
              <w:jc w:val="left"/>
            </w:pPr>
            <w:r>
              <w:t xml:space="preserve">DTS 43,22 M décaissés (juin 2025)</w:t>
            </w:r>
          </w:p>
        </w:tc>
        <w:tc>
          <w:tcPr>
            <w:tcW w:w="1254" w:type="dxa"/>
          </w:tcPr>
          <w:tcPr/>
          <w:p>
            <w:pPr>
              <w:pStyle w:val="Compact"/>
              <w:jc w:val="left"/>
            </w:pPr>
            <w:r>
              <w:t xml:space="preserve">2023-2026</w:t>
            </w:r>
          </w:p>
        </w:tc>
        <w:tc>
          <w:tcPr>
            <w:tcW w:w="3125" w:type="dxa"/>
          </w:tcPr>
          <w:tcPr/>
          <w:p>
            <w:pPr>
              <w:pStyle w:val="Compact"/>
              <w:jc w:val="left"/>
            </w:pPr>
            <w:r>
              <w:t xml:space="preserve">Plan d’apurement des arriérés croisés avec les EP</w:t>
            </w:r>
          </w:p>
        </w:tc>
        <w:tc>
          <w:tcPr>
            <w:tcW w:w="1566" w:type="dxa"/>
          </w:tcPr>
          <w:tcPr/>
          <w:p>
            <w:pPr>
              <w:pStyle w:val="Compact"/>
              <w:jc w:val="left"/>
            </w:pPr>
            <w:r>
              <w:t xml:space="preserve">—</w:t>
            </w:r>
          </w:p>
        </w:tc>
        <w:tc>
          <w:tcPr>
            <w:tcW w:w="2335" w:type="dxa"/>
          </w:tcPr>
          <w:tcPr/>
          <w:p>
            <w:pPr>
              <w:pStyle w:val="Compact"/>
              <w:jc w:val="left"/>
            </w:pPr>
            <w:r>
              <w:t xml:space="preserve">Réalisé pour ENERCA (déc. 2023)</w:t>
            </w:r>
          </w:p>
        </w:tc>
        <w:tc>
          <w:tcPr>
            <w:tcW w:w="692" w:type="dxa"/>
          </w:tcPr>
          <w:tcPr/>
          <w:p>
            <w:pPr>
              <w:pStyle w:val="Compact"/>
              <w:jc w:val="left"/>
            </w:pPr>
            <w:r>
              <w:t xml:space="preserve">[3]</w:t>
            </w:r>
          </w:p>
        </w:tc>
      </w:tr>
      <w:tr>
        <w:tc>
          <w:tcPr>
            <w:tcW w:w="3143" w:type="dxa"/>
          </w:tcPr>
          <w:tcPr/>
          <w:p>
            <w:pPr>
              <w:pStyle w:val="Compact"/>
              <w:jc w:val="left"/>
            </w:pPr>
            <w:r>
              <w:t xml:space="preserve">Interconnexion RCA-RDC (Boali)</w:t>
            </w:r>
          </w:p>
        </w:tc>
        <w:tc>
          <w:tcPr>
            <w:tcW w:w="952" w:type="dxa"/>
          </w:tcPr>
          <w:tcPr/>
          <w:p>
            <w:pPr>
              <w:pStyle w:val="Compact"/>
              <w:jc w:val="left"/>
            </w:pPr>
            <w:r>
              <w:t xml:space="preserve">BAD</w:t>
            </w:r>
          </w:p>
        </w:tc>
        <w:tc>
          <w:tcPr>
            <w:tcW w:w="1500" w:type="dxa"/>
          </w:tcPr>
          <w:tcPr/>
          <w:p>
            <w:pPr>
              <w:pStyle w:val="Compact"/>
              <w:jc w:val="left"/>
            </w:pPr>
            <w:r>
              <w:t xml:space="preserve">1,2 M UC (pacte)</w:t>
            </w:r>
          </w:p>
        </w:tc>
        <w:tc>
          <w:tcPr>
            <w:tcW w:w="1254" w:type="dxa"/>
          </w:tcPr>
          <w:tcPr/>
          <w:p>
            <w:pPr>
              <w:pStyle w:val="Compact"/>
              <w:jc w:val="left"/>
            </w:pPr>
            <w:r>
              <w:t xml:space="preserve">2012-2026</w:t>
            </w:r>
          </w:p>
        </w:tc>
        <w:tc>
          <w:tcPr>
            <w:tcW w:w="3125" w:type="dxa"/>
          </w:tcPr>
          <w:tcPr/>
          <w:p>
            <w:pPr>
              <w:pStyle w:val="Compact"/>
              <w:jc w:val="left"/>
            </w:pPr>
            <w:r>
              <w:t xml:space="preserve">[?]</w:t>
            </w:r>
          </w:p>
        </w:tc>
        <w:tc>
          <w:tcPr>
            <w:tcW w:w="1566" w:type="dxa"/>
          </w:tcPr>
          <w:tcPr/>
          <w:p>
            <w:pPr>
              <w:pStyle w:val="Compact"/>
              <w:jc w:val="left"/>
            </w:pPr>
            <w:r>
              <w:t xml:space="preserve">[?]</w:t>
            </w:r>
          </w:p>
        </w:tc>
        <w:tc>
          <w:tcPr>
            <w:tcW w:w="2335" w:type="dxa"/>
          </w:tcPr>
          <w:tcPr/>
          <w:p>
            <w:pPr>
              <w:pStyle w:val="Compact"/>
              <w:jc w:val="left"/>
            </w:pPr>
            <w:r>
              <w:t xml:space="preserve">[?] non vérifié en primaire</w:t>
            </w:r>
          </w:p>
        </w:tc>
        <w:tc>
          <w:tcPr>
            <w:tcW w:w="692" w:type="dxa"/>
          </w:tcPr>
          <w:tcPr/>
          <w:p>
            <w:pPr>
              <w:pStyle w:val="Compact"/>
              <w:jc w:val="left"/>
            </w:pPr>
            <w:r>
              <w:t xml:space="preserve">[P]</w:t>
            </w:r>
          </w:p>
        </w:tc>
      </w:tr>
    </w:tbl>
    <w:bookmarkEnd w:id="87"/>
    <w:bookmarkStart w:id="88" w:name="écart-pacte-réalité-4"/>
    <w:p>
      <w:pPr>
        <w:pStyle w:val="Heading3"/>
      </w:pPr>
      <w:r>
        <w:t xml:space="preserve">5. Écart pacte ↔ réalité</w:t>
      </w:r>
    </w:p>
    <w:p>
      <w:pPr>
        <w:numPr>
          <w:ilvl w:val="0"/>
          <w:numId w:val="1040"/>
        </w:numPr>
        <w:pStyle w:val="Compact"/>
      </w:pPr>
      <w:r>
        <w:rPr>
          <w:bCs/>
          <w:b/>
        </w:rPr>
        <w:t xml:space="preserve">Arriérés</w:t>
      </w:r>
      <w:r>
        <w:t xml:space="preserve"> </w:t>
      </w:r>
      <w:r>
        <w:t xml:space="preserve">: le pacte (juin 2026) affiche 52 Md FCFA de créances impayées et veut « clarifier les dettes croisées État-ENERCA » ; le FMI (juin 2025) indique que l’État a</w:t>
      </w:r>
      <w:r>
        <w:t xml:space="preserve"> </w:t>
      </w:r>
      <w:r>
        <w:rPr>
          <w:bCs/>
          <w:b/>
        </w:rPr>
        <w:t xml:space="preserve">soldé sa dette envers ENERCA en décembre 2023</w:t>
      </w:r>
      <w:r>
        <w:t xml:space="preserve"> </w:t>
      </w:r>
      <w:r>
        <w:t xml:space="preserve">— les 52 Md relèveraient donc surtout de clients non étatiques ou d’arriérés reconstitués depuis 2024 [E] (à vérifier).</w:t>
      </w:r>
    </w:p>
    <w:p>
      <w:pPr>
        <w:numPr>
          <w:ilvl w:val="0"/>
          <w:numId w:val="1040"/>
        </w:numPr>
        <w:pStyle w:val="Compact"/>
      </w:pPr>
      <w:r>
        <w:t xml:space="preserve">Pacte : pertes 20 % ; BM 2019 : 40 % (7 + 33) — baisse non documentée en primaire [?].</w:t>
      </w:r>
    </w:p>
    <w:p>
      <w:pPr>
        <w:numPr>
          <w:ilvl w:val="0"/>
          <w:numId w:val="1040"/>
        </w:numPr>
        <w:pStyle w:val="Compact"/>
      </w:pPr>
      <w:r>
        <w:t xml:space="preserve">Pacte : recouvrement 86,2 % ; BM 2017 : 67 % [2] [V].</w:t>
      </w:r>
    </w:p>
    <w:p>
      <w:pPr>
        <w:numPr>
          <w:ilvl w:val="0"/>
          <w:numId w:val="1040"/>
        </w:numPr>
        <w:pStyle w:val="Compact"/>
      </w:pPr>
      <w:r>
        <w:t xml:space="preserve">Pacte : « absence d’ajustement tarifaire depuis trois décennies » ; la BM en 2019 situait le recouvrement effectif des coûts à 55 % [2] [V] — cohérent.</w:t>
      </w:r>
    </w:p>
    <w:p>
      <w:pPr>
        <w:numPr>
          <w:ilvl w:val="0"/>
          <w:numId w:val="1040"/>
        </w:numPr>
        <w:pStyle w:val="Compact"/>
      </w:pPr>
      <w:r>
        <w:t xml:space="preserve">Le FMI juge la situation financière d’ENERCA « raisonnablement sous contrôle » avec des « bénéfices étonnamment élevés » (2023), en contraste avec le tableau de crise dressé par le pacte [3] [V] — probable effet de l’apurement des arriérés de l’État en 2023 [E].</w:t>
      </w:r>
    </w:p>
    <w:bookmarkEnd w:id="88"/>
    <w:bookmarkStart w:id="89" w:name="diagnostic-synthétique-4"/>
    <w:p>
      <w:pPr>
        <w:pStyle w:val="Heading3"/>
      </w:pPr>
      <w:r>
        <w:t xml:space="preserve">6. Diagnostic synthétique</w:t>
      </w:r>
    </w:p>
    <w:p>
      <w:pPr>
        <w:numPr>
          <w:ilvl w:val="0"/>
          <w:numId w:val="1041"/>
        </w:numPr>
        <w:pStyle w:val="Compact"/>
      </w:pPr>
      <w:r>
        <w:t xml:space="preserve">Financière :</w:t>
      </w:r>
      <w:r>
        <w:t xml:space="preserve"> </w:t>
      </w:r>
      <w:r>
        <w:rPr>
          <w:bCs/>
          <w:b/>
        </w:rPr>
        <w:t xml:space="preserve">faible à moyenne</w:t>
      </w:r>
      <w:r>
        <w:t xml:space="preserve"> </w:t>
      </w:r>
      <w:r>
        <w:t xml:space="preserve">(dette = 55 % de la dette des EP, tarif à ~55 % du coût en 2019, mais comptes 2023 bénéficiaires selon le MFB). Technique :</w:t>
      </w:r>
      <w:r>
        <w:t xml:space="preserve"> </w:t>
      </w:r>
      <w:r>
        <w:rPr>
          <w:bCs/>
          <w:b/>
        </w:rPr>
        <w:t xml:space="preserve">faible</w:t>
      </w:r>
      <w:r>
        <w:t xml:space="preserve"> </w:t>
      </w:r>
      <w:r>
        <w:t xml:space="preserve">(capacité très limitée, délestages, intégration du solaire difficile). Gouvernance :</w:t>
      </w:r>
      <w:r>
        <w:t xml:space="preserve"> </w:t>
      </w:r>
      <w:r>
        <w:rPr>
          <w:bCs/>
          <w:b/>
        </w:rPr>
        <w:t xml:space="preserve">faible</w:t>
      </w:r>
      <w:r>
        <w:t xml:space="preserve"> </w:t>
      </w:r>
      <w:r>
        <w:t xml:space="preserve">(pas de régulateur autonome, comptes historiquement non audités, capacité limitée).</w:t>
      </w:r>
    </w:p>
    <w:p>
      <w:pPr>
        <w:numPr>
          <w:ilvl w:val="0"/>
          <w:numId w:val="1041"/>
        </w:numPr>
        <w:pStyle w:val="Compact"/>
      </w:pPr>
      <w:r>
        <w:t xml:space="preserve">Causes racines : (1) sous-capacité de production et réseau dégradé par le conflit ; (2) tarif administré sans ajustement ; (3) absence de cadre de régulation et faible capacité institutionnelle.</w:t>
      </w:r>
    </w:p>
    <w:p>
      <w:pPr>
        <w:numPr>
          <w:ilvl w:val="0"/>
          <w:numId w:val="1041"/>
        </w:numPr>
        <w:pStyle w:val="Compact"/>
      </w:pPr>
      <w:r>
        <w:t xml:space="preserve">Phase 3 : grille tarifaire en vigueur et étude tarifaire de 2021 ; rapports annuels MFB sur les EP (2021-2023) ; coût de l’énergie solaire+stockage vs hydro.</w:t>
      </w:r>
    </w:p>
    <w:bookmarkEnd w:id="89"/>
    <w:bookmarkStart w:id="90" w:name="inconnus-4"/>
    <w:p>
      <w:pPr>
        <w:pStyle w:val="Heading3"/>
      </w:pPr>
      <w:r>
        <w:t xml:space="preserve">7. Inconnus</w:t>
      </w:r>
    </w:p>
    <w:p>
      <w:pPr>
        <w:numPr>
          <w:ilvl w:val="0"/>
          <w:numId w:val="1042"/>
        </w:numPr>
        <w:pStyle w:val="Compact"/>
      </w:pPr>
      <w:r>
        <w:t xml:space="preserve">CA, résultat et dette d’ENERCA en valeur (2023-2025) [?] ; nature des 52 Md FCFA de créances [?] ; documents BAD primaires [?] ; date du contrat de performance [?].</w:t>
      </w:r>
    </w:p>
    <w:bookmarkEnd w:id="90"/>
    <w:bookmarkStart w:id="91" w:name="sources-5"/>
    <w:p>
      <w:pPr>
        <w:pStyle w:val="Heading3"/>
      </w:pPr>
      <w:r>
        <w:t xml:space="preserve">Sources</w:t>
      </w:r>
    </w:p>
    <w:p>
      <w:pPr>
        <w:pStyle w:val="FirstParagraph"/>
      </w:pPr>
      <w:r>
        <w:t xml:space="preserve">[1] Banque mondiale, ISR, CAR-Electricity Sector Strengthening and Access Project (P176683), 10-06-2026. https://documents.worldbank.org/curated/en/099061026042039116/pdf/P176683-6b866c1b-ee0f-4522-be82-3099f5cf6b59.pdf</w:t>
      </w:r>
      <w:r>
        <w:t xml:space="preserve"> </w:t>
      </w:r>
      <w:r>
        <w:t xml:space="preserve">[2] Banque mondiale, Implementation Completion and Results Report, CAR Emergency Electricity Supply and Access Project (PURACEL, P164885), 18-12-2024. https://documents.worldbank.org/curated/en/099121924112038518/pdf/BOSIB-dbdb1cd8-20df-4819-9df0-4221470797fa.pdf</w:t>
      </w:r>
      <w:r>
        <w:t xml:space="preserve"> </w:t>
      </w:r>
      <w:r>
        <w:t xml:space="preserve">[3] FMI, « Central African Republic: Third and Fourth Reviews under the ECF », IMF Country Report No. 25/140, juin 2025 (LoI §23 ; AVD, annexe sur les EP). https://meetings.imf.org/-/media/Files/Publications/CR/2025/English/1cafea2025001-print-pdf.ashx</w:t>
      </w:r>
      <w:r>
        <w:t xml:space="preserve"> </w:t>
      </w:r>
      <w:r>
        <w:t xml:space="preserve">[4] Banque mondiale, API Projects (search.worldbank.org/api/v2/projects), fiches RCA, consulté le 2026-10-18.</w:t>
      </w:r>
      <w:r>
        <w:t xml:space="preserve"> </w:t>
      </w:r>
      <w:r>
        <w:t xml:space="preserve">[P] Fiche phase 1 (Pacte national de l’énergie de la RCA, juin 2026) : ../../phase1/fiches/CAF_centrafrique.md</w:t>
      </w:r>
    </w:p>
    <w:p>
      <w:r>
        <w:br w:type="page"/>
      </w:r>
    </w:p>
    <w:bookmarkEnd w:id="91"/>
    <w:bookmarkEnd w:id="92"/>
    <w:bookmarkStart w:id="102" w:name="X616b715513783e12f55299f79f1d1b49e66c0fd"/>
    <w:p>
      <w:pPr>
        <w:pStyle w:val="Heading2"/>
      </w:pPr>
      <w:r>
        <w:t xml:space="preserve">Diagnostic opérateur — CIE / CI-ENERGIES (Côte d’Ivoire)</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la fiche phase 1 : ../../phase1/fiches/CIV_cote-divoire.md (« pacte »).</w:t>
      </w:r>
    </w:p>
    <w:bookmarkStart w:id="93" w:name="identité-5"/>
    <w:p>
      <w:pPr>
        <w:pStyle w:val="Heading3"/>
      </w:pPr>
      <w:r>
        <w:t xml:space="preserve">0. Identité</w:t>
      </w:r>
    </w:p>
    <w:p>
      <w:pPr>
        <w:numPr>
          <w:ilvl w:val="0"/>
          <w:numId w:val="1043"/>
        </w:numPr>
        <w:pStyle w:val="Compact"/>
      </w:pPr>
      <w:r>
        <w:rPr>
          <w:bCs/>
          <w:b/>
        </w:rPr>
        <w:t xml:space="preserve">Modèle</w:t>
      </w:r>
      <w:r>
        <w:t xml:space="preserve"> </w:t>
      </w:r>
      <w:r>
        <w:t xml:space="preserve">: un affermage public-privé.</w:t>
      </w:r>
    </w:p>
    <w:p>
      <w:pPr>
        <w:numPr>
          <w:ilvl w:val="1"/>
          <w:numId w:val="1044"/>
        </w:numPr>
        <w:pStyle w:val="Compact"/>
      </w:pPr>
      <w:r>
        <w:rPr>
          <w:bCs/>
          <w:b/>
        </w:rPr>
        <w:t xml:space="preserve">CI-ENERGIES</w:t>
      </w:r>
      <w:r>
        <w:t xml:space="preserve"> </w:t>
      </w:r>
      <w:r>
        <w:t xml:space="preserve">est une société d’État de patrimoine (décret 2011-472). Elle porte les actifs, la planification, la maîtrise d’ouvrage des investissements, le dispatching et l’équilibre financier du secteur (pacte).</w:t>
      </w:r>
    </w:p>
    <w:p>
      <w:pPr>
        <w:numPr>
          <w:ilvl w:val="1"/>
          <w:numId w:val="1044"/>
        </w:numPr>
        <w:pStyle w:val="Compact"/>
      </w:pPr>
      <w:r>
        <w:rPr>
          <w:bCs/>
          <w:b/>
        </w:rPr>
        <w:t xml:space="preserve">CIE</w:t>
      </w:r>
      <w:r>
        <w:t xml:space="preserve"> </w:t>
      </w:r>
      <w:r>
        <w:t xml:space="preserve">(Compagnie Ivoirienne d’Électricité) est une société privée cotée à la BRVM, filiale du groupe Eranove. Elle exploite le transport, la distribution, la commercialisation et une partie de la production hydro en vertu d’une convention de concession ou d’affermage [5 ; 9] [V/S].</w:t>
      </w:r>
    </w:p>
    <w:p>
      <w:pPr>
        <w:numPr>
          <w:ilvl w:val="1"/>
          <w:numId w:val="1044"/>
        </w:numPr>
        <w:pStyle w:val="Compact"/>
      </w:pPr>
      <w:r>
        <w:t xml:space="preserve">Environ 65 % de la capacité appartient à des IPP : CIPREL, Azito, Atinkou, Aggreko, Karpowership (pacte).</w:t>
      </w:r>
    </w:p>
    <w:p>
      <w:pPr>
        <w:numPr>
          <w:ilvl w:val="1"/>
          <w:numId w:val="1044"/>
        </w:numPr>
        <w:pStyle w:val="Compact"/>
      </w:pPr>
      <w:r>
        <w:t xml:space="preserve">Un arrêté interministériel de 2025-2026 approuve le</w:t>
      </w:r>
      <w:r>
        <w:t xml:space="preserve"> </w:t>
      </w:r>
      <w:r>
        <w:rPr>
          <w:bCs/>
          <w:b/>
        </w:rPr>
        <w:t xml:space="preserve">Règlement de service concédé État-CIE</w:t>
      </w:r>
      <w:r>
        <w:t xml:space="preserve"> </w:t>
      </w:r>
      <w:r>
        <w:t xml:space="preserve">: c’est une action préalable de la DPF1 2026 [2] [V].</w:t>
      </w:r>
    </w:p>
    <w:p>
      <w:pPr>
        <w:numPr>
          <w:ilvl w:val="0"/>
          <w:numId w:val="1043"/>
        </w:numPr>
        <w:pStyle w:val="Compact"/>
      </w:pPr>
      <w:r>
        <w:rPr>
          <w:bCs/>
          <w:b/>
        </w:rPr>
        <w:t xml:space="preserve">Tutelle</w:t>
      </w:r>
      <w:r>
        <w:t xml:space="preserve"> </w:t>
      </w:r>
      <w:r>
        <w:t xml:space="preserve">: ministère des Mines, du Pétrole et de l’Énergie (MMPE) et ministère des Finances et du Budget (MFB) [2] [V].</w:t>
      </w:r>
    </w:p>
    <w:p>
      <w:pPr>
        <w:numPr>
          <w:ilvl w:val="0"/>
          <w:numId w:val="1043"/>
        </w:numPr>
        <w:pStyle w:val="Compact"/>
      </w:pPr>
      <w:r>
        <w:rPr>
          <w:bCs/>
          <w:b/>
        </w:rPr>
        <w:t xml:space="preserve">Régulateur</w:t>
      </w:r>
      <w:r>
        <w:t xml:space="preserve"> </w:t>
      </w:r>
      <w:r>
        <w:t xml:space="preserve">: ANARE-CI. Il publie un rapport d’activités annuel, transmis à l’exécutif et non au Parlement selon l’ERI de la BAD [10] [S]. Le dernier rapport repéré est celui de 2021 (solde du secteur après subvention de +29 Md FCFA) [10] [S].</w:t>
      </w:r>
    </w:p>
    <w:p>
      <w:pPr>
        <w:numPr>
          <w:ilvl w:val="0"/>
          <w:numId w:val="1043"/>
        </w:numPr>
        <w:pStyle w:val="Compact"/>
      </w:pPr>
      <w:r>
        <w:rPr>
          <w:bCs/>
          <w:b/>
        </w:rPr>
        <w:t xml:space="preserve">Derniers comptes publiés</w:t>
      </w:r>
      <w:r>
        <w:t xml:space="preserve"> </w:t>
      </w:r>
      <w:r>
        <w:t xml:space="preserve">:</w:t>
      </w:r>
    </w:p>
    <w:p>
      <w:pPr>
        <w:numPr>
          <w:ilvl w:val="1"/>
          <w:numId w:val="1045"/>
        </w:numPr>
        <w:pStyle w:val="Compact"/>
      </w:pPr>
      <w:r>
        <w:t xml:space="preserve">CIE : exercice 2025, publié à la BRVM (comptes audités d’une société cotée) [5] [V/S] ;</w:t>
      </w:r>
    </w:p>
    <w:p>
      <w:pPr>
        <w:numPr>
          <w:ilvl w:val="1"/>
          <w:numId w:val="1045"/>
        </w:numPr>
        <w:pStyle w:val="Compact"/>
      </w:pPr>
      <w:r>
        <w:t xml:space="preserve">CI-ENERGIES : rapport de gestion 2023 (cité par le pacte) ; aucun rapport 2024 ou 2025 n’a été trouvé en ligne [?]. Les comptes de CI-ENERGIES sont certifiés par des commissaires aux comptes [3, plan d’action PforR] [V].</w:t>
      </w:r>
    </w:p>
    <w:bookmarkEnd w:id="93"/>
    <w:bookmarkStart w:id="94" w:name="situation-financière-5"/>
    <w:p>
      <w:pPr>
        <w:pStyle w:val="Heading3"/>
      </w:pPr>
      <w:r>
        <w:t xml:space="preserve">1. Situation financière</w:t>
      </w:r>
    </w:p>
    <w:tbl>
      <w:tblPr>
        <w:tblStyle w:val="Table"/>
        <w:tblW w:type="dxa" w:w="14570"/>
        <w:tblLook w:firstRow="1" w:lastRow="0" w:firstColumn="0" w:lastColumn="0" w:noHBand="0" w:noVBand="0" w:val="0020"/>
        <w:jc w:val="start"/>
      </w:tblPr>
      <w:tblGrid>
        <w:gridCol w:w="3567"/>
        <w:gridCol w:w="7380"/>
        <w:gridCol w:w="976"/>
        <w:gridCol w:w="1370"/>
        <w:gridCol w:w="1275"/>
      </w:tblGrid>
      <w:tr>
        <w:trPr>
          <w:tblHeader w:val="true"/>
        </w:trPr>
        <w:tc>
          <w:tcPr>
            <w:tcW w:w="3567" w:type="dxa"/>
          </w:tcPr>
          <w:tcPr/>
          <w:p>
            <w:pPr>
              <w:pStyle w:val="Compact"/>
              <w:jc w:val="left"/>
            </w:pPr>
            <w:r>
              <w:t xml:space="preserve">Indicateur</w:t>
            </w:r>
          </w:p>
        </w:tc>
        <w:tc>
          <w:tcPr>
            <w:tcW w:w="7380" w:type="dxa"/>
          </w:tcPr>
          <w:tcPr/>
          <w:p>
            <w:pPr>
              <w:pStyle w:val="Compact"/>
              <w:jc w:val="left"/>
            </w:pPr>
            <w:r>
              <w:t xml:space="preserve">Valeur</w:t>
            </w:r>
          </w:p>
        </w:tc>
        <w:tc>
          <w:tcPr>
            <w:tcW w:w="976" w:type="dxa"/>
          </w:tcPr>
          <w:tcPr/>
          <w:p>
            <w:pPr>
              <w:pStyle w:val="Compact"/>
              <w:jc w:val="left"/>
            </w:pPr>
            <w:r>
              <w:t xml:space="preserve">Année</w:t>
            </w:r>
          </w:p>
        </w:tc>
        <w:tc>
          <w:tcPr>
            <w:tcW w:w="1370" w:type="dxa"/>
          </w:tcPr>
          <w:tcPr/>
          <w:p>
            <w:pPr>
              <w:pStyle w:val="Compact"/>
              <w:jc w:val="left"/>
            </w:pPr>
            <w:r>
              <w:t xml:space="preserve">Statut</w:t>
            </w:r>
          </w:p>
        </w:tc>
        <w:tc>
          <w:tcPr>
            <w:tcW w:w="1275" w:type="dxa"/>
          </w:tcPr>
          <w:tcPr/>
          <w:p>
            <w:pPr>
              <w:pStyle w:val="Compact"/>
              <w:jc w:val="left"/>
            </w:pPr>
            <w:r>
              <w:t xml:space="preserve">Source</w:t>
            </w:r>
          </w:p>
        </w:tc>
      </w:tr>
      <w:tr>
        <w:tc>
          <w:tcPr>
            <w:tcW w:w="3567" w:type="dxa"/>
          </w:tcPr>
          <w:tcPr/>
          <w:p>
            <w:pPr>
              <w:pStyle w:val="Compact"/>
              <w:jc w:val="left"/>
            </w:pPr>
            <w:r>
              <w:t xml:space="preserve">CA de la CIE (rémunération de l’opérateur, pas recettes du secteur)</w:t>
            </w:r>
          </w:p>
        </w:tc>
        <w:tc>
          <w:tcPr>
            <w:tcW w:w="7380" w:type="dxa"/>
          </w:tcPr>
          <w:tcPr/>
          <w:p>
            <w:pPr>
              <w:pStyle w:val="Compact"/>
              <w:jc w:val="left"/>
            </w:pPr>
            <w:r>
              <w:t xml:space="preserve">302,3 Md FCFA (263,3 Md en 2024)</w:t>
            </w:r>
          </w:p>
        </w:tc>
        <w:tc>
          <w:tcPr>
            <w:tcW w:w="976" w:type="dxa"/>
          </w:tcPr>
          <w:tcPr/>
          <w:p>
            <w:pPr>
              <w:pStyle w:val="Compact"/>
              <w:jc w:val="left"/>
            </w:pPr>
            <w:r>
              <w:t xml:space="preserve">2025</w:t>
            </w:r>
          </w:p>
        </w:tc>
        <w:tc>
          <w:tcPr>
            <w:tcW w:w="1370" w:type="dxa"/>
          </w:tcPr>
          <w:tcPr/>
          <w:p>
            <w:pPr>
              <w:pStyle w:val="Compact"/>
              <w:jc w:val="left"/>
            </w:pPr>
            <w:r>
              <w:t xml:space="preserve">[V] (BRVM, via presse)</w:t>
            </w:r>
          </w:p>
        </w:tc>
        <w:tc>
          <w:tcPr>
            <w:tcW w:w="1275" w:type="dxa"/>
          </w:tcPr>
          <w:tcPr/>
          <w:p>
            <w:pPr>
              <w:pStyle w:val="Compact"/>
              <w:jc w:val="left"/>
            </w:pPr>
            <w:r>
              <w:t xml:space="preserve">[5]</w:t>
            </w:r>
          </w:p>
        </w:tc>
      </w:tr>
      <w:tr>
        <w:tc>
          <w:tcPr>
            <w:tcW w:w="3567" w:type="dxa"/>
          </w:tcPr>
          <w:tcPr/>
          <w:p>
            <w:pPr>
              <w:pStyle w:val="Compact"/>
              <w:jc w:val="left"/>
            </w:pPr>
            <w:r>
              <w:t xml:space="preserve">Résultat net de la CIE</w:t>
            </w:r>
          </w:p>
        </w:tc>
        <w:tc>
          <w:tcPr>
            <w:tcW w:w="7380" w:type="dxa"/>
          </w:tcPr>
          <w:tcPr/>
          <w:p>
            <w:pPr>
              <w:pStyle w:val="Compact"/>
              <w:jc w:val="left"/>
            </w:pPr>
            <w:r>
              <w:t xml:space="preserve">13,13 Md FCFA (10,1 en 2024), dividende = 100 % du résultat</w:t>
            </w:r>
          </w:p>
        </w:tc>
        <w:tc>
          <w:tcPr>
            <w:tcW w:w="976" w:type="dxa"/>
          </w:tcPr>
          <w:tcPr/>
          <w:p>
            <w:pPr>
              <w:pStyle w:val="Compact"/>
              <w:jc w:val="left"/>
            </w:pPr>
            <w:r>
              <w:t xml:space="preserve">2025</w:t>
            </w:r>
          </w:p>
        </w:tc>
        <w:tc>
          <w:tcPr>
            <w:tcW w:w="1370" w:type="dxa"/>
          </w:tcPr>
          <w:tcPr/>
          <w:p>
            <w:pPr>
              <w:pStyle w:val="Compact"/>
              <w:jc w:val="left"/>
            </w:pPr>
            <w:r>
              <w:t xml:space="preserve">[V/S]</w:t>
            </w:r>
          </w:p>
        </w:tc>
        <w:tc>
          <w:tcPr>
            <w:tcW w:w="1275" w:type="dxa"/>
          </w:tcPr>
          <w:tcPr/>
          <w:p>
            <w:pPr>
              <w:pStyle w:val="Compact"/>
              <w:jc w:val="left"/>
            </w:pPr>
            <w:r>
              <w:t xml:space="preserve">[5]</w:t>
            </w:r>
          </w:p>
        </w:tc>
      </w:tr>
      <w:tr>
        <w:tc>
          <w:tcPr>
            <w:tcW w:w="3567" w:type="dxa"/>
          </w:tcPr>
          <w:tcPr/>
          <w:p>
            <w:pPr>
              <w:pStyle w:val="Compact"/>
              <w:jc w:val="left"/>
            </w:pPr>
            <w:r>
              <w:t xml:space="preserve">EBITDA de la CIE</w:t>
            </w:r>
          </w:p>
        </w:tc>
        <w:tc>
          <w:tcPr>
            <w:tcW w:w="7380" w:type="dxa"/>
          </w:tcPr>
          <w:tcPr/>
          <w:p>
            <w:pPr>
              <w:pStyle w:val="Compact"/>
              <w:jc w:val="left"/>
            </w:pPr>
            <w:r>
              <w:t xml:space="preserve">37,2 Md FCFA (+23,2 %)</w:t>
            </w:r>
          </w:p>
        </w:tc>
        <w:tc>
          <w:tcPr>
            <w:tcW w:w="976" w:type="dxa"/>
          </w:tcPr>
          <w:tcPr/>
          <w:p>
            <w:pPr>
              <w:pStyle w:val="Compact"/>
              <w:jc w:val="left"/>
            </w:pPr>
            <w:r>
              <w:t xml:space="preserve">2025</w:t>
            </w:r>
          </w:p>
        </w:tc>
        <w:tc>
          <w:tcPr>
            <w:tcW w:w="1370" w:type="dxa"/>
          </w:tcPr>
          <w:tcPr/>
          <w:p>
            <w:pPr>
              <w:pStyle w:val="Compact"/>
              <w:jc w:val="left"/>
            </w:pPr>
            <w:r>
              <w:t xml:space="preserve">[S]</w:t>
            </w:r>
          </w:p>
        </w:tc>
        <w:tc>
          <w:tcPr>
            <w:tcW w:w="1275" w:type="dxa"/>
          </w:tcPr>
          <w:tcPr/>
          <w:p>
            <w:pPr>
              <w:pStyle w:val="Compact"/>
              <w:jc w:val="left"/>
            </w:pPr>
            <w:r>
              <w:t xml:space="preserve">[5]</w:t>
            </w:r>
          </w:p>
        </w:tc>
      </w:tr>
      <w:tr>
        <w:tc>
          <w:tcPr>
            <w:tcW w:w="3567" w:type="dxa"/>
          </w:tcPr>
          <w:tcPr/>
          <w:p>
            <w:pPr>
              <w:pStyle w:val="Compact"/>
              <w:jc w:val="left"/>
            </w:pPr>
            <w:r>
              <w:t xml:space="preserve">Équilibre du secteur (ratio recettes tarifaires / coûts G+T+D+gestion+commercial)</w:t>
            </w:r>
          </w:p>
        </w:tc>
        <w:tc>
          <w:tcPr>
            <w:tcW w:w="7380" w:type="dxa"/>
          </w:tcPr>
          <w:tcPr/>
          <w:p>
            <w:pPr>
              <w:pStyle w:val="Compact"/>
              <w:jc w:val="left"/>
            </w:pPr>
            <w:r>
              <w:rPr>
                <w:bCs/>
                <w:b/>
              </w:rPr>
              <w:t xml:space="preserve">0,91</w:t>
            </w:r>
            <w:r>
              <w:t xml:space="preserve"> </w:t>
            </w:r>
            <w:r>
              <w:t xml:space="preserve">en 2024,</w:t>
            </w:r>
            <w:r>
              <w:t xml:space="preserve"> </w:t>
            </w:r>
            <w:r>
              <w:rPr>
                <w:bCs/>
                <w:b/>
              </w:rPr>
              <w:t xml:space="preserve">cible 1,10 en 2028</w:t>
            </w:r>
          </w:p>
        </w:tc>
        <w:tc>
          <w:tcPr>
            <w:tcW w:w="976" w:type="dxa"/>
          </w:tcPr>
          <w:tcPr/>
          <w:p>
            <w:pPr>
              <w:pStyle w:val="Compact"/>
              <w:jc w:val="left"/>
            </w:pPr>
            <w:r>
              <w:t xml:space="preserve">2024</w:t>
            </w:r>
          </w:p>
        </w:tc>
        <w:tc>
          <w:tcPr>
            <w:tcW w:w="1370" w:type="dxa"/>
          </w:tcPr>
          <w:tcPr/>
          <w:p>
            <w:pPr>
              <w:pStyle w:val="Compact"/>
              <w:jc w:val="left"/>
            </w:pPr>
            <w:r>
              <w:t xml:space="preserve">[V]</w:t>
            </w:r>
          </w:p>
        </w:tc>
        <w:tc>
          <w:tcPr>
            <w:tcW w:w="1275" w:type="dxa"/>
          </w:tcPr>
          <w:tcPr/>
          <w:p>
            <w:pPr>
              <w:pStyle w:val="Compact"/>
              <w:jc w:val="left"/>
            </w:pPr>
            <w:r>
              <w:t xml:space="preserve">[2, cadre de résultats DPF1]</w:t>
            </w:r>
          </w:p>
        </w:tc>
      </w:tr>
      <w:tr>
        <w:tc>
          <w:tcPr>
            <w:tcW w:w="3567" w:type="dxa"/>
          </w:tcPr>
          <w:tcPr/>
          <w:p>
            <w:pPr>
              <w:pStyle w:val="Compact"/>
              <w:jc w:val="left"/>
            </w:pPr>
            <w:r>
              <w:t xml:space="preserve">Solde d’exploitation du secteur</w:t>
            </w:r>
          </w:p>
        </w:tc>
        <w:tc>
          <w:tcPr>
            <w:tcW w:w="7380" w:type="dxa"/>
          </w:tcPr>
          <w:tcPr/>
          <w:p>
            <w:pPr>
              <w:pStyle w:val="Compact"/>
              <w:jc w:val="left"/>
            </w:pPr>
            <w:r>
              <w:t xml:space="preserve">-87,1 M USD (2022) ; +49,6 M USD (2023) (pacte)</w:t>
            </w:r>
          </w:p>
        </w:tc>
        <w:tc>
          <w:tcPr>
            <w:tcW w:w="976" w:type="dxa"/>
          </w:tcPr>
          <w:tcPr/>
          <w:p>
            <w:pPr>
              <w:pStyle w:val="Compact"/>
              <w:jc w:val="left"/>
            </w:pPr>
            <w:r>
              <w:t xml:space="preserve">2022-23</w:t>
            </w:r>
          </w:p>
        </w:tc>
        <w:tc>
          <w:tcPr>
            <w:tcW w:w="1370" w:type="dxa"/>
          </w:tcPr>
          <w:tcPr/>
          <w:p>
            <w:pPr>
              <w:pStyle w:val="Compact"/>
              <w:jc w:val="left"/>
            </w:pPr>
            <w:r>
              <w:t xml:space="preserve">pacte</w:t>
            </w:r>
          </w:p>
        </w:tc>
        <w:tc>
          <w:tcPr>
            <w:tcW w:w="1275" w:type="dxa"/>
          </w:tcPr>
          <w:tcPr/>
          <w:p>
            <w:pPr>
              <w:pStyle w:val="Compact"/>
              <w:jc w:val="left"/>
            </w:pPr>
            <w:r>
              <w:t xml:space="preserve">phase 1</w:t>
            </w:r>
          </w:p>
        </w:tc>
      </w:tr>
      <w:tr>
        <w:tc>
          <w:tcPr>
            <w:tcW w:w="3567" w:type="dxa"/>
          </w:tcPr>
          <w:tcPr/>
          <w:p>
            <w:pPr>
              <w:pStyle w:val="Compact"/>
              <w:jc w:val="left"/>
            </w:pPr>
            <w:r>
              <w:t xml:space="preserve">Déficit 2023 (presse)</w:t>
            </w:r>
          </w:p>
        </w:tc>
        <w:tc>
          <w:tcPr>
            <w:tcW w:w="7380" w:type="dxa"/>
          </w:tcPr>
          <w:tcPr/>
          <w:p>
            <w:pPr>
              <w:pStyle w:val="Compact"/>
              <w:jc w:val="left"/>
            </w:pPr>
            <w:r>
              <w:t xml:space="preserve">127 Md FCFA. Ce chiffre contredit l’excédent du pacte ; les définitions diffèrent probablement (avant/après subvention) [E]</w:t>
            </w:r>
          </w:p>
        </w:tc>
        <w:tc>
          <w:tcPr>
            <w:tcW w:w="976" w:type="dxa"/>
          </w:tcPr>
          <w:tcPr/>
          <w:p>
            <w:pPr>
              <w:pStyle w:val="Compact"/>
              <w:jc w:val="left"/>
            </w:pPr>
            <w:r>
              <w:t xml:space="preserve">2023</w:t>
            </w:r>
          </w:p>
        </w:tc>
        <w:tc>
          <w:tcPr>
            <w:tcW w:w="1370" w:type="dxa"/>
          </w:tcPr>
          <w:tcPr/>
          <w:p>
            <w:pPr>
              <w:pStyle w:val="Compact"/>
              <w:jc w:val="left"/>
            </w:pPr>
            <w:r>
              <w:t xml:space="preserve">[S]</w:t>
            </w:r>
          </w:p>
        </w:tc>
        <w:tc>
          <w:tcPr>
            <w:tcW w:w="1275" w:type="dxa"/>
          </w:tcPr>
          <w:tcPr/>
          <w:p>
            <w:pPr>
              <w:pStyle w:val="Compact"/>
              <w:jc w:val="left"/>
            </w:pPr>
            <w:r>
              <w:t xml:space="preserve">[11]</w:t>
            </w:r>
          </w:p>
        </w:tc>
      </w:tr>
      <w:tr>
        <w:tc>
          <w:tcPr>
            <w:tcW w:w="3567" w:type="dxa"/>
          </w:tcPr>
          <w:tcPr/>
          <w:p>
            <w:pPr>
              <w:pStyle w:val="Compact"/>
              <w:jc w:val="left"/>
            </w:pPr>
            <w:r>
              <w:t xml:space="preserve">Dette CI-ENERGIES / dette IPP</w:t>
            </w:r>
          </w:p>
        </w:tc>
        <w:tc>
          <w:tcPr>
            <w:tcW w:w="7380" w:type="dxa"/>
          </w:tcPr>
          <w:tcPr/>
          <w:p>
            <w:pPr>
              <w:pStyle w:val="Compact"/>
              <w:jc w:val="left"/>
            </w:pPr>
            <w:r>
              <w:t xml:space="preserve">364,18 Md FCFA dus aux IPP (2023, pacte). Dette de CI-ENERGIES de plus de 1 300 Md FCFA (presse 2023, citant Africa Intelligence)</w:t>
            </w:r>
          </w:p>
        </w:tc>
        <w:tc>
          <w:tcPr>
            <w:tcW w:w="976" w:type="dxa"/>
          </w:tcPr>
          <w:tcPr/>
          <w:p>
            <w:pPr>
              <w:pStyle w:val="Compact"/>
              <w:jc w:val="left"/>
            </w:pPr>
            <w:r>
              <w:t xml:space="preserve">2023</w:t>
            </w:r>
          </w:p>
        </w:tc>
        <w:tc>
          <w:tcPr>
            <w:tcW w:w="1370" w:type="dxa"/>
          </w:tcPr>
          <w:tcPr/>
          <w:p>
            <w:pPr>
              <w:pStyle w:val="Compact"/>
              <w:jc w:val="left"/>
            </w:pPr>
            <w:r>
              <w:t xml:space="preserve">pacte / [S]</w:t>
            </w:r>
          </w:p>
        </w:tc>
        <w:tc>
          <w:tcPr>
            <w:tcW w:w="1275" w:type="dxa"/>
          </w:tcPr>
          <w:tcPr/>
          <w:p>
            <w:pPr>
              <w:pStyle w:val="Compact"/>
              <w:jc w:val="left"/>
            </w:pPr>
            <w:r>
              <w:t xml:space="preserve">phase 1 ; [11]</w:t>
            </w:r>
          </w:p>
        </w:tc>
      </w:tr>
      <w:tr>
        <w:tc>
          <w:tcPr>
            <w:tcW w:w="3567" w:type="dxa"/>
          </w:tcPr>
          <w:tcPr/>
          <w:p>
            <w:pPr>
              <w:pStyle w:val="Compact"/>
              <w:jc w:val="left"/>
            </w:pPr>
            <w:r>
              <w:t xml:space="preserve">Arriérés publics et à l’export</w:t>
            </w:r>
          </w:p>
        </w:tc>
        <w:tc>
          <w:tcPr>
            <w:tcW w:w="7380" w:type="dxa"/>
          </w:tcPr>
          <w:tcPr/>
          <w:p>
            <w:pPr>
              <w:pStyle w:val="Compact"/>
              <w:jc w:val="left"/>
            </w:pPr>
            <w:r>
              <w:t xml:space="preserve">créances sur l’Administration de 28,2 Md FCFA (2023, pacte) ; créances à l’export de 130 Md, dont 106 Md sur EDM-Mali (2023, pacte). Le FMI demande en 2026 de garder « a firm focus on ensuring the financial viability of the electricity sector, including in the context of payment arrears from neighboring countries »</w:t>
            </w:r>
          </w:p>
        </w:tc>
        <w:tc>
          <w:tcPr>
            <w:tcW w:w="976" w:type="dxa"/>
          </w:tcPr>
          <w:tcPr/>
          <w:p>
            <w:pPr>
              <w:pStyle w:val="Compact"/>
              <w:jc w:val="left"/>
            </w:pPr>
            <w:r>
              <w:t xml:space="preserve">2023-26</w:t>
            </w:r>
          </w:p>
        </w:tc>
        <w:tc>
          <w:tcPr>
            <w:tcW w:w="1370" w:type="dxa"/>
          </w:tcPr>
          <w:tcPr/>
          <w:p>
            <w:pPr>
              <w:pStyle w:val="Compact"/>
              <w:jc w:val="left"/>
            </w:pPr>
            <w:r>
              <w:t xml:space="preserve">pacte / [V]</w:t>
            </w:r>
          </w:p>
        </w:tc>
        <w:tc>
          <w:tcPr>
            <w:tcW w:w="1275" w:type="dxa"/>
          </w:tcPr>
          <w:tcPr/>
          <w:p>
            <w:pPr>
              <w:pStyle w:val="Compact"/>
              <w:jc w:val="left"/>
            </w:pPr>
            <w:r>
              <w:t xml:space="preserve">[1, §17]</w:t>
            </w:r>
          </w:p>
        </w:tc>
      </w:tr>
      <w:tr>
        <w:tc>
          <w:tcPr>
            <w:tcW w:w="3567" w:type="dxa"/>
          </w:tcPr>
          <w:tcPr/>
          <w:p>
            <w:pPr>
              <w:pStyle w:val="Compact"/>
              <w:jc w:val="left"/>
            </w:pPr>
            <w:r>
              <w:t xml:space="preserve">Transferts de l’État</w:t>
            </w:r>
          </w:p>
        </w:tc>
        <w:tc>
          <w:tcPr>
            <w:tcW w:w="7380" w:type="dxa"/>
          </w:tcPr>
          <w:tcPr/>
          <w:p>
            <w:pPr>
              <w:pStyle w:val="Compact"/>
              <w:jc w:val="left"/>
            </w:pPr>
            <w:r>
              <w:t xml:space="preserve">subvention de 130 Md FCFA, soit 234 M USD (2023, pacte). La BM décrit un « periodic reliance on fiscal transfers to clear sector arrears » [2, §38]</w:t>
            </w:r>
          </w:p>
        </w:tc>
        <w:tc>
          <w:tcPr>
            <w:tcW w:w="976" w:type="dxa"/>
          </w:tcPr>
          <w:tcPr/>
          <w:p>
            <w:pPr>
              <w:pStyle w:val="Compact"/>
              <w:jc w:val="left"/>
            </w:pPr>
            <w:r>
              <w:t xml:space="preserve">2023</w:t>
            </w:r>
          </w:p>
        </w:tc>
        <w:tc>
          <w:tcPr>
            <w:tcW w:w="1370" w:type="dxa"/>
          </w:tcPr>
          <w:tcPr/>
          <w:p>
            <w:pPr>
              <w:pStyle w:val="Compact"/>
              <w:jc w:val="left"/>
            </w:pPr>
            <w:r>
              <w:t xml:space="preserve">pacte / [V]</w:t>
            </w:r>
          </w:p>
        </w:tc>
        <w:tc>
          <w:tcPr>
            <w:tcW w:w="1275" w:type="dxa"/>
          </w:tcPr>
          <w:tcPr/>
          <w:p>
            <w:pPr>
              <w:pStyle w:val="Compact"/>
              <w:jc w:val="left"/>
            </w:pPr>
            <w:r>
              <w:t xml:space="preserve">[2]</w:t>
            </w:r>
          </w:p>
        </w:tc>
      </w:tr>
      <w:tr>
        <w:tc>
          <w:tcPr>
            <w:tcW w:w="3567" w:type="dxa"/>
          </w:tcPr>
          <w:tcPr/>
          <w:p>
            <w:pPr>
              <w:pStyle w:val="Compact"/>
              <w:jc w:val="left"/>
            </w:pPr>
            <w:r>
              <w:t xml:space="preserve">Taux de recouvrement</w:t>
            </w:r>
          </w:p>
        </w:tc>
        <w:tc>
          <w:tcPr>
            <w:tcW w:w="7380" w:type="dxa"/>
          </w:tcPr>
          <w:tcPr/>
          <w:p>
            <w:pPr>
              <w:pStyle w:val="Compact"/>
              <w:jc w:val="left"/>
            </w:pPr>
            <w:r>
              <w:t xml:space="preserve">[?] non trouvé. La DPF1 impose le prépaiement aux clients de 15 A ou moins (76 % des clients postpayés) et le paiement automatique des factures publiques [2, §39]</w:t>
            </w:r>
          </w:p>
        </w:tc>
        <w:tc>
          <w:tcPr>
            <w:tcW w:w="976" w:type="dxa"/>
          </w:tcPr>
          <w:tcPr/>
          <w:p>
            <w:pPr>
              <w:pStyle w:val="Compact"/>
              <w:jc w:val="left"/>
            </w:pPr>
            <w:r>
              <w:t xml:space="preserve">—</w:t>
            </w:r>
          </w:p>
        </w:tc>
        <w:tc>
          <w:tcPr>
            <w:tcW w:w="1370" w:type="dxa"/>
          </w:tcPr>
          <w:tcPr/>
          <w:p>
            <w:pPr>
              <w:pStyle w:val="Compact"/>
              <w:jc w:val="left"/>
            </w:pPr>
            <w:r>
              <w:t xml:space="preserve">[?]</w:t>
            </w:r>
          </w:p>
        </w:tc>
        <w:tc>
          <w:tcPr>
            <w:tcW w:w="1275" w:type="dxa"/>
          </w:tcPr>
          <w:tcPr/>
          <w:p>
            <w:pPr>
              <w:pStyle w:val="Compact"/>
              <w:jc w:val="left"/>
            </w:pPr>
            <w:r>
              <w:t xml:space="preserve">[2]</w:t>
            </w:r>
          </w:p>
        </w:tc>
      </w:tr>
      <w:tr>
        <w:tc>
          <w:tcPr>
            <w:tcW w:w="3567" w:type="dxa"/>
          </w:tcPr>
          <w:tcPr/>
          <w:p>
            <w:pPr>
              <w:pStyle w:val="Compact"/>
              <w:jc w:val="left"/>
            </w:pPr>
            <w:r>
              <w:t xml:space="preserve">Recette moyenne par kWh</w:t>
            </w:r>
          </w:p>
        </w:tc>
        <w:tc>
          <w:tcPr>
            <w:tcW w:w="7380" w:type="dxa"/>
          </w:tcPr>
          <w:tcPr/>
          <w:p>
            <w:pPr>
              <w:pStyle w:val="Compact"/>
              <w:jc w:val="left"/>
            </w:pPr>
            <w:r>
              <w:t xml:space="preserve">83 FCFA/kWh HT en 2024 (BT 80,6 ; MT/HT 85), contre 71 en 2023. Hausses de 10 % au 01/07/2023 (MT/HT) et au 01/01/2024 (toutes catégories)</w:t>
            </w:r>
          </w:p>
        </w:tc>
        <w:tc>
          <w:tcPr>
            <w:tcW w:w="976" w:type="dxa"/>
          </w:tcPr>
          <w:tcPr/>
          <w:p>
            <w:pPr>
              <w:pStyle w:val="Compact"/>
              <w:jc w:val="left"/>
            </w:pPr>
            <w:r>
              <w:t xml:space="preserve">2024</w:t>
            </w:r>
          </w:p>
        </w:tc>
        <w:tc>
          <w:tcPr>
            <w:tcW w:w="1370" w:type="dxa"/>
          </w:tcPr>
          <w:tcPr/>
          <w:p>
            <w:pPr>
              <w:pStyle w:val="Compact"/>
              <w:jc w:val="left"/>
            </w:pPr>
            <w:r>
              <w:t xml:space="preserve">[V] (DGE/MEFB)</w:t>
            </w:r>
          </w:p>
        </w:tc>
        <w:tc>
          <w:tcPr>
            <w:tcW w:w="1275" w:type="dxa"/>
          </w:tcPr>
          <w:tcPr/>
          <w:p>
            <w:pPr>
              <w:pStyle w:val="Compact"/>
              <w:jc w:val="left"/>
            </w:pPr>
            <w:r>
              <w:t xml:space="preserve">[4]</w:t>
            </w:r>
          </w:p>
        </w:tc>
      </w:tr>
      <w:tr>
        <w:tc>
          <w:tcPr>
            <w:tcW w:w="3567" w:type="dxa"/>
          </w:tcPr>
          <w:tcPr/>
          <w:p>
            <w:pPr>
              <w:pStyle w:val="Compact"/>
              <w:jc w:val="left"/>
            </w:pPr>
            <w:r>
              <w:t xml:space="preserve">Coût complet par kWh</w:t>
            </w:r>
          </w:p>
        </w:tc>
        <w:tc>
          <w:tcPr>
            <w:tcW w:w="7380" w:type="dxa"/>
          </w:tcPr>
          <w:tcPr/>
          <w:p>
            <w:pPr>
              <w:pStyle w:val="Compact"/>
              <w:jc w:val="left"/>
            </w:pPr>
            <w:r>
              <w:t xml:space="preserve">[?] non publié. Implicitement environ 91 FCFA/kWh si le ratio de 0,91 s’applique à la recette moyenne [E]</w:t>
            </w:r>
          </w:p>
        </w:tc>
        <w:tc>
          <w:tcPr>
            <w:tcW w:w="976" w:type="dxa"/>
          </w:tcPr>
          <w:tcPr/>
          <w:p>
            <w:pPr>
              <w:pStyle w:val="Compact"/>
              <w:jc w:val="left"/>
            </w:pPr>
            <w:r>
              <w:t xml:space="preserve">2024</w:t>
            </w:r>
          </w:p>
        </w:tc>
        <w:tc>
          <w:tcPr>
            <w:tcW w:w="1370" w:type="dxa"/>
          </w:tcPr>
          <w:tcPr/>
          <w:p>
            <w:pPr>
              <w:pStyle w:val="Compact"/>
              <w:jc w:val="left"/>
            </w:pPr>
            <w:r>
              <w:t xml:space="preserve">[E]</w:t>
            </w:r>
          </w:p>
        </w:tc>
        <w:tc>
          <w:tcPr>
            <w:tcW w:w="1275" w:type="dxa"/>
          </w:tcPr>
          <w:tcPr/>
          <w:p>
            <w:pPr>
              <w:pStyle w:val="Compact"/>
              <w:jc w:val="left"/>
            </w:pPr>
            <w:r>
              <w:t xml:space="preserve">[2 ; 4]</w:t>
            </w:r>
          </w:p>
        </w:tc>
      </w:tr>
      <w:tr>
        <w:tc>
          <w:tcPr>
            <w:tcW w:w="3567" w:type="dxa"/>
          </w:tcPr>
          <w:tcPr/>
          <w:p>
            <w:pPr>
              <w:pStyle w:val="Compact"/>
              <w:jc w:val="left"/>
            </w:pPr>
            <w:r>
              <w:t xml:space="preserve">Notation</w:t>
            </w:r>
          </w:p>
        </w:tc>
        <w:tc>
          <w:tcPr>
            <w:tcW w:w="7380" w:type="dxa"/>
          </w:tcPr>
          <w:tcPr/>
          <w:p>
            <w:pPr>
              <w:pStyle w:val="Compact"/>
              <w:jc w:val="left"/>
            </w:pPr>
            <w:r>
              <w:t xml:space="preserve">souverain : risque de surendettement abaissé de modéré à faible (FMI 2026). CIE et CI-ENERGIES : [?]</w:t>
            </w:r>
          </w:p>
        </w:tc>
        <w:tc>
          <w:tcPr>
            <w:tcW w:w="976" w:type="dxa"/>
          </w:tcPr>
          <w:tcPr/>
          <w:p>
            <w:pPr>
              <w:pStyle w:val="Compact"/>
              <w:jc w:val="left"/>
            </w:pPr>
            <w:r>
              <w:t xml:space="preserve">2026</w:t>
            </w:r>
          </w:p>
        </w:tc>
        <w:tc>
          <w:tcPr>
            <w:tcW w:w="1370" w:type="dxa"/>
          </w:tcPr>
          <w:tcPr/>
          <w:p>
            <w:pPr>
              <w:pStyle w:val="Compact"/>
              <w:jc w:val="left"/>
            </w:pPr>
            <w:r>
              <w:t xml:space="preserve">[V]</w:t>
            </w:r>
          </w:p>
        </w:tc>
        <w:tc>
          <w:tcPr>
            <w:tcW w:w="1275" w:type="dxa"/>
          </w:tcPr>
          <w:tcPr/>
          <w:p>
            <w:pPr>
              <w:pStyle w:val="Compact"/>
              <w:jc w:val="left"/>
            </w:pPr>
            <w:r>
              <w:t xml:space="preserve">[1]</w:t>
            </w:r>
          </w:p>
        </w:tc>
      </w:tr>
    </w:tbl>
    <w:bookmarkEnd w:id="94"/>
    <w:bookmarkStart w:id="95" w:name="situation-technique-5"/>
    <w:p>
      <w:pPr>
        <w:pStyle w:val="Heading3"/>
      </w:pPr>
      <w:r>
        <w:t xml:space="preserve">2. Situation technique</w:t>
      </w:r>
    </w:p>
    <w:tbl>
      <w:tblPr>
        <w:tblStyle w:val="Table"/>
        <w:tblW w:type="dxa" w:w="14570"/>
        <w:tblLook w:firstRow="1" w:lastRow="0" w:firstColumn="0" w:lastColumn="0" w:noHBand="0" w:noVBand="0" w:val="0020"/>
        <w:jc w:val="start"/>
      </w:tblPr>
      <w:tblGrid>
        <w:gridCol w:w="2667"/>
        <w:gridCol w:w="8513"/>
        <w:gridCol w:w="1176"/>
        <w:gridCol w:w="918"/>
        <w:gridCol w:w="1294"/>
      </w:tblGrid>
      <w:tr>
        <w:trPr>
          <w:tblHeader w:val="true"/>
        </w:trPr>
        <w:tc>
          <w:tcPr>
            <w:tcW w:w="2667" w:type="dxa"/>
          </w:tcPr>
          <w:tcPr/>
          <w:p>
            <w:pPr>
              <w:pStyle w:val="Compact"/>
              <w:jc w:val="left"/>
            </w:pPr>
            <w:r>
              <w:t xml:space="preserve">Indicateur</w:t>
            </w:r>
          </w:p>
        </w:tc>
        <w:tc>
          <w:tcPr>
            <w:tcW w:w="8513" w:type="dxa"/>
          </w:tcPr>
          <w:tcPr/>
          <w:p>
            <w:pPr>
              <w:pStyle w:val="Compact"/>
              <w:jc w:val="left"/>
            </w:pPr>
            <w:r>
              <w:t xml:space="preserve">Valeur</w:t>
            </w:r>
          </w:p>
        </w:tc>
        <w:tc>
          <w:tcPr>
            <w:tcW w:w="1176" w:type="dxa"/>
          </w:tcPr>
          <w:tcPr/>
          <w:p>
            <w:pPr>
              <w:pStyle w:val="Compact"/>
              <w:jc w:val="left"/>
            </w:pPr>
            <w:r>
              <w:t xml:space="preserve">Année</w:t>
            </w:r>
          </w:p>
        </w:tc>
        <w:tc>
          <w:tcPr>
            <w:tcW w:w="918" w:type="dxa"/>
          </w:tcPr>
          <w:tcPr/>
          <w:p>
            <w:pPr>
              <w:pStyle w:val="Compact"/>
              <w:jc w:val="left"/>
            </w:pPr>
            <w:r>
              <w:t xml:space="preserve">Statut</w:t>
            </w:r>
          </w:p>
        </w:tc>
        <w:tc>
          <w:tcPr>
            <w:tcW w:w="1294" w:type="dxa"/>
          </w:tcPr>
          <w:tcPr/>
          <w:p>
            <w:pPr>
              <w:pStyle w:val="Compact"/>
              <w:jc w:val="left"/>
            </w:pPr>
            <w:r>
              <w:t xml:space="preserve">Source</w:t>
            </w:r>
          </w:p>
        </w:tc>
      </w:tr>
      <w:tr>
        <w:tc>
          <w:tcPr>
            <w:tcW w:w="2667" w:type="dxa"/>
          </w:tcPr>
          <w:tcPr/>
          <w:p>
            <w:pPr>
              <w:pStyle w:val="Compact"/>
              <w:jc w:val="left"/>
            </w:pPr>
            <w:r>
              <w:t xml:space="preserve">Capacité installée</w:t>
            </w:r>
          </w:p>
        </w:tc>
        <w:tc>
          <w:tcPr>
            <w:tcW w:w="8513" w:type="dxa"/>
          </w:tcPr>
          <w:tcPr/>
          <w:p>
            <w:pPr>
              <w:pStyle w:val="Compact"/>
              <w:jc w:val="left"/>
            </w:pPr>
            <w:r>
              <w:t xml:space="preserve">3 019 MW en 2024 (DGE) ; 3 259 MW en 2025 selon le FMI (2 229 MW en 2020)</w:t>
            </w:r>
          </w:p>
        </w:tc>
        <w:tc>
          <w:tcPr>
            <w:tcW w:w="1176" w:type="dxa"/>
          </w:tcPr>
          <w:tcPr/>
          <w:p>
            <w:pPr>
              <w:pStyle w:val="Compact"/>
              <w:jc w:val="left"/>
            </w:pPr>
            <w:r>
              <w:t xml:space="preserve">2024-25</w:t>
            </w:r>
          </w:p>
        </w:tc>
        <w:tc>
          <w:tcPr>
            <w:tcW w:w="918" w:type="dxa"/>
          </w:tcPr>
          <w:tcPr/>
          <w:p>
            <w:pPr>
              <w:pStyle w:val="Compact"/>
              <w:jc w:val="left"/>
            </w:pPr>
            <w:r>
              <w:t xml:space="preserve">[V]</w:t>
            </w:r>
          </w:p>
        </w:tc>
        <w:tc>
          <w:tcPr>
            <w:tcW w:w="1294" w:type="dxa"/>
          </w:tcPr>
          <w:tcPr/>
          <w:p>
            <w:pPr>
              <w:pStyle w:val="Compact"/>
              <w:jc w:val="left"/>
            </w:pPr>
            <w:r>
              <w:t xml:space="preserve">[4 ; 1, annexe PND]</w:t>
            </w:r>
          </w:p>
        </w:tc>
      </w:tr>
      <w:tr>
        <w:tc>
          <w:tcPr>
            <w:tcW w:w="2667" w:type="dxa"/>
          </w:tcPr>
          <w:tcPr/>
          <w:p>
            <w:pPr>
              <w:pStyle w:val="Compact"/>
              <w:jc w:val="left"/>
            </w:pPr>
            <w:r>
              <w:t xml:space="preserve">Production</w:t>
            </w:r>
          </w:p>
        </w:tc>
        <w:tc>
          <w:tcPr>
            <w:tcW w:w="8513" w:type="dxa"/>
          </w:tcPr>
          <w:tcPr/>
          <w:p>
            <w:pPr>
              <w:pStyle w:val="Compact"/>
              <w:jc w:val="left"/>
            </w:pPr>
            <w:r>
              <w:t xml:space="preserve">13 919 GWh en 2024 : thermique gaz 75,1 %, hydro 24,5 %, solaire 0,37 %</w:t>
            </w:r>
          </w:p>
        </w:tc>
        <w:tc>
          <w:tcPr>
            <w:tcW w:w="1176" w:type="dxa"/>
          </w:tcPr>
          <w:tcPr/>
          <w:p>
            <w:pPr>
              <w:pStyle w:val="Compact"/>
              <w:jc w:val="left"/>
            </w:pPr>
            <w:r>
              <w:t xml:space="preserve">2024</w:t>
            </w:r>
          </w:p>
        </w:tc>
        <w:tc>
          <w:tcPr>
            <w:tcW w:w="918" w:type="dxa"/>
          </w:tcPr>
          <w:tcPr/>
          <w:p>
            <w:pPr>
              <w:pStyle w:val="Compact"/>
              <w:jc w:val="left"/>
            </w:pPr>
            <w:r>
              <w:t xml:space="preserve">[V]</w:t>
            </w:r>
          </w:p>
        </w:tc>
        <w:tc>
          <w:tcPr>
            <w:tcW w:w="1294" w:type="dxa"/>
          </w:tcPr>
          <w:tcPr/>
          <w:p>
            <w:pPr>
              <w:pStyle w:val="Compact"/>
              <w:jc w:val="left"/>
            </w:pPr>
            <w:r>
              <w:t xml:space="preserve">[4]</w:t>
            </w:r>
          </w:p>
        </w:tc>
      </w:tr>
      <w:tr>
        <w:tc>
          <w:tcPr>
            <w:tcW w:w="2667" w:type="dxa"/>
          </w:tcPr>
          <w:tcPr/>
          <w:p>
            <w:pPr>
              <w:pStyle w:val="Compact"/>
              <w:jc w:val="left"/>
            </w:pPr>
            <w:r>
              <w:t xml:space="preserve">Exportations</w:t>
            </w:r>
          </w:p>
        </w:tc>
        <w:tc>
          <w:tcPr>
            <w:tcW w:w="8513" w:type="dxa"/>
          </w:tcPr>
          <w:tcPr/>
          <w:p>
            <w:pPr>
              <w:pStyle w:val="Compact"/>
              <w:jc w:val="left"/>
            </w:pPr>
            <w:r>
              <w:t xml:space="preserve">730 GWh en 2024 (1 052 en 2023), soit environ 5,2 % de la production</w:t>
            </w:r>
          </w:p>
        </w:tc>
        <w:tc>
          <w:tcPr>
            <w:tcW w:w="1176" w:type="dxa"/>
          </w:tcPr>
          <w:tcPr/>
          <w:p>
            <w:pPr>
              <w:pStyle w:val="Compact"/>
              <w:jc w:val="left"/>
            </w:pPr>
            <w:r>
              <w:t xml:space="preserve">2024</w:t>
            </w:r>
          </w:p>
        </w:tc>
        <w:tc>
          <w:tcPr>
            <w:tcW w:w="918" w:type="dxa"/>
          </w:tcPr>
          <w:tcPr/>
          <w:p>
            <w:pPr>
              <w:pStyle w:val="Compact"/>
              <w:jc w:val="left"/>
            </w:pPr>
            <w:r>
              <w:t xml:space="preserve">[V]</w:t>
            </w:r>
          </w:p>
        </w:tc>
        <w:tc>
          <w:tcPr>
            <w:tcW w:w="1294" w:type="dxa"/>
          </w:tcPr>
          <w:tcPr/>
          <w:p>
            <w:pPr>
              <w:pStyle w:val="Compact"/>
              <w:jc w:val="left"/>
            </w:pPr>
            <w:r>
              <w:t xml:space="preserve">[4]</w:t>
            </w:r>
          </w:p>
        </w:tc>
      </w:tr>
      <w:tr>
        <w:tc>
          <w:tcPr>
            <w:tcW w:w="2667" w:type="dxa"/>
          </w:tcPr>
          <w:tcPr/>
          <w:p>
            <w:pPr>
              <w:pStyle w:val="Compact"/>
              <w:jc w:val="left"/>
            </w:pPr>
            <w:r>
              <w:t xml:space="preserve">Rendement global (1 – pertes)</w:t>
            </w:r>
          </w:p>
        </w:tc>
        <w:tc>
          <w:tcPr>
            <w:tcW w:w="8513" w:type="dxa"/>
          </w:tcPr>
          <w:tcPr/>
          <w:p>
            <w:pPr>
              <w:pStyle w:val="Compact"/>
              <w:jc w:val="left"/>
            </w:pPr>
            <w:r>
              <w:t xml:space="preserve">83,7 % en 2024 (cible de 85 % en 2030), soit environ 16,3 % de pertes [E]. Le pacte donne 84,99 % pour 2023</w:t>
            </w:r>
          </w:p>
        </w:tc>
        <w:tc>
          <w:tcPr>
            <w:tcW w:w="1176" w:type="dxa"/>
          </w:tcPr>
          <w:tcPr/>
          <w:p>
            <w:pPr>
              <w:pStyle w:val="Compact"/>
              <w:jc w:val="left"/>
            </w:pPr>
            <w:r>
              <w:t xml:space="preserve">2024</w:t>
            </w:r>
          </w:p>
        </w:tc>
        <w:tc>
          <w:tcPr>
            <w:tcW w:w="918" w:type="dxa"/>
          </w:tcPr>
          <w:tcPr/>
          <w:p>
            <w:pPr>
              <w:pStyle w:val="Compact"/>
              <w:jc w:val="left"/>
            </w:pPr>
            <w:r>
              <w:t xml:space="preserve">[V]</w:t>
            </w:r>
          </w:p>
        </w:tc>
        <w:tc>
          <w:tcPr>
            <w:tcW w:w="1294" w:type="dxa"/>
          </w:tcPr>
          <w:tcPr/>
          <w:p>
            <w:pPr>
              <w:pStyle w:val="Compact"/>
              <w:jc w:val="left"/>
            </w:pPr>
            <w:r>
              <w:t xml:space="preserve">[4]</w:t>
            </w:r>
          </w:p>
        </w:tc>
      </w:tr>
      <w:tr>
        <w:tc>
          <w:tcPr>
            <w:tcW w:w="2667" w:type="dxa"/>
          </w:tcPr>
          <w:tcPr/>
          <w:p>
            <w:pPr>
              <w:pStyle w:val="Compact"/>
              <w:jc w:val="left"/>
            </w:pPr>
            <w:r>
              <w:t xml:space="preserve">Pertes techniques (zone nord, NEDA)</w:t>
            </w:r>
          </w:p>
        </w:tc>
        <w:tc>
          <w:tcPr>
            <w:tcW w:w="8513" w:type="dxa"/>
          </w:tcPr>
          <w:tcPr/>
          <w:p>
            <w:pPr>
              <w:pStyle w:val="Compact"/>
              <w:jc w:val="left"/>
            </w:pPr>
            <w:r>
              <w:t xml:space="preserve">13 % (réf. déc. 2022), toujours 13 % en août 2026, cible de 10 % en 2028</w:t>
            </w:r>
          </w:p>
        </w:tc>
        <w:tc>
          <w:tcPr>
            <w:tcW w:w="1176" w:type="dxa"/>
          </w:tcPr>
          <w:tcPr/>
          <w:p>
            <w:pPr>
              <w:pStyle w:val="Compact"/>
              <w:jc w:val="left"/>
            </w:pPr>
            <w:r>
              <w:t xml:space="preserve">2026</w:t>
            </w:r>
          </w:p>
        </w:tc>
        <w:tc>
          <w:tcPr>
            <w:tcW w:w="918" w:type="dxa"/>
          </w:tcPr>
          <w:tcPr/>
          <w:p>
            <w:pPr>
              <w:pStyle w:val="Compact"/>
              <w:jc w:val="left"/>
            </w:pPr>
            <w:r>
              <w:t xml:space="preserve">[V]</w:t>
            </w:r>
          </w:p>
        </w:tc>
        <w:tc>
          <w:tcPr>
            <w:tcW w:w="1294" w:type="dxa"/>
          </w:tcPr>
          <w:tcPr/>
          <w:p>
            <w:pPr>
              <w:pStyle w:val="Compact"/>
              <w:jc w:val="left"/>
            </w:pPr>
            <w:r>
              <w:t xml:space="preserve">[3]</w:t>
            </w:r>
          </w:p>
        </w:tc>
      </w:tr>
      <w:tr>
        <w:tc>
          <w:tcPr>
            <w:tcW w:w="2667" w:type="dxa"/>
          </w:tcPr>
          <w:tcPr/>
          <w:p>
            <w:pPr>
              <w:pStyle w:val="Compact"/>
              <w:jc w:val="left"/>
            </w:pPr>
            <w:r>
              <w:t xml:space="preserve">Temps moyen de coupure</w:t>
            </w:r>
          </w:p>
        </w:tc>
        <w:tc>
          <w:tcPr>
            <w:tcW w:w="8513" w:type="dxa"/>
          </w:tcPr>
          <w:tcPr/>
          <w:p>
            <w:pPr>
              <w:pStyle w:val="Compact"/>
              <w:jc w:val="left"/>
            </w:pPr>
            <w:r>
              <w:t xml:space="preserve">26 h 13 en 2024 (17 h 54 en 2021, 44 h 38 en 2015). Le FMI cite 18,22 h en 2024 : définitions divergentes à signaler [E]. Zone NEDA : 15,36 h, sans amélioration en août 2026</w:t>
            </w:r>
          </w:p>
        </w:tc>
        <w:tc>
          <w:tcPr>
            <w:tcW w:w="1176" w:type="dxa"/>
          </w:tcPr>
          <w:tcPr/>
          <w:p>
            <w:pPr>
              <w:pStyle w:val="Compact"/>
              <w:jc w:val="left"/>
            </w:pPr>
            <w:r>
              <w:t xml:space="preserve">2024-26</w:t>
            </w:r>
          </w:p>
        </w:tc>
        <w:tc>
          <w:tcPr>
            <w:tcW w:w="918" w:type="dxa"/>
          </w:tcPr>
          <w:tcPr/>
          <w:p>
            <w:pPr>
              <w:pStyle w:val="Compact"/>
              <w:jc w:val="left"/>
            </w:pPr>
            <w:r>
              <w:t xml:space="preserve">[V]</w:t>
            </w:r>
          </w:p>
        </w:tc>
        <w:tc>
          <w:tcPr>
            <w:tcW w:w="1294" w:type="dxa"/>
          </w:tcPr>
          <w:tcPr/>
          <w:p>
            <w:pPr>
              <w:pStyle w:val="Compact"/>
              <w:jc w:val="left"/>
            </w:pPr>
            <w:r>
              <w:t xml:space="preserve">[4 ; 1 ; 3]</w:t>
            </w:r>
          </w:p>
        </w:tc>
      </w:tr>
      <w:tr>
        <w:tc>
          <w:tcPr>
            <w:tcW w:w="2667" w:type="dxa"/>
          </w:tcPr>
          <w:tcPr/>
          <w:p>
            <w:pPr>
              <w:pStyle w:val="Compact"/>
              <w:jc w:val="left"/>
            </w:pPr>
            <w:r>
              <w:t xml:space="preserve">Délestages</w:t>
            </w:r>
          </w:p>
        </w:tc>
        <w:tc>
          <w:tcPr>
            <w:tcW w:w="8513" w:type="dxa"/>
          </w:tcPr>
          <w:tcPr/>
          <w:p>
            <w:pPr>
              <w:pStyle w:val="Compact"/>
              <w:jc w:val="left"/>
            </w:pPr>
            <w:r>
              <w:t xml:space="preserve">délestages récurrents début 2026, assortis d’un plan d’investissement de 1,2 Md USD (700 Md FCFA) annoncé par CI-ENERGIES le 27/03/2026</w:t>
            </w:r>
          </w:p>
        </w:tc>
        <w:tc>
          <w:tcPr>
            <w:tcW w:w="1176" w:type="dxa"/>
          </w:tcPr>
          <w:tcPr/>
          <w:p>
            <w:pPr>
              <w:pStyle w:val="Compact"/>
              <w:jc w:val="left"/>
            </w:pPr>
            <w:r>
              <w:t xml:space="preserve">2026</w:t>
            </w:r>
          </w:p>
        </w:tc>
        <w:tc>
          <w:tcPr>
            <w:tcW w:w="918" w:type="dxa"/>
          </w:tcPr>
          <w:tcPr/>
          <w:p>
            <w:pPr>
              <w:pStyle w:val="Compact"/>
              <w:jc w:val="left"/>
            </w:pPr>
            <w:r>
              <w:t xml:space="preserve">[S]</w:t>
            </w:r>
          </w:p>
        </w:tc>
        <w:tc>
          <w:tcPr>
            <w:tcW w:w="1294" w:type="dxa"/>
          </w:tcPr>
          <w:tcPr/>
          <w:p>
            <w:pPr>
              <w:pStyle w:val="Compact"/>
              <w:jc w:val="left"/>
            </w:pPr>
            <w:r>
              <w:t xml:space="preserve">[12]</w:t>
            </w:r>
          </w:p>
        </w:tc>
      </w:tr>
      <w:tr>
        <w:tc>
          <w:tcPr>
            <w:tcW w:w="2667" w:type="dxa"/>
          </w:tcPr>
          <w:tcPr/>
          <w:p>
            <w:pPr>
              <w:pStyle w:val="Compact"/>
              <w:jc w:val="left"/>
            </w:pPr>
            <w:r>
              <w:t xml:space="preserve">Clients</w:t>
            </w:r>
          </w:p>
        </w:tc>
        <w:tc>
          <w:tcPr>
            <w:tcW w:w="8513" w:type="dxa"/>
          </w:tcPr>
          <w:tcPr/>
          <w:p>
            <w:pPr>
              <w:pStyle w:val="Compact"/>
              <w:jc w:val="left"/>
            </w:pPr>
            <w:r>
              <w:t xml:space="preserve">5,28 millions d’abonnés CIE en 2025 (+694 000) [5]. Pacte : 4,04 M de clients, dont 2,75 M prépayés (2023)</w:t>
            </w:r>
          </w:p>
        </w:tc>
        <w:tc>
          <w:tcPr>
            <w:tcW w:w="1176" w:type="dxa"/>
          </w:tcPr>
          <w:tcPr/>
          <w:p>
            <w:pPr>
              <w:pStyle w:val="Compact"/>
              <w:jc w:val="left"/>
            </w:pPr>
            <w:r>
              <w:t xml:space="preserve">2025</w:t>
            </w:r>
          </w:p>
        </w:tc>
        <w:tc>
          <w:tcPr>
            <w:tcW w:w="918" w:type="dxa"/>
          </w:tcPr>
          <w:tcPr/>
          <w:p>
            <w:pPr>
              <w:pStyle w:val="Compact"/>
              <w:jc w:val="left"/>
            </w:pPr>
            <w:r>
              <w:t xml:space="preserve">[S]</w:t>
            </w:r>
          </w:p>
        </w:tc>
        <w:tc>
          <w:tcPr>
            <w:tcW w:w="1294" w:type="dxa"/>
          </w:tcPr>
          <w:tcPr/>
          <w:p>
            <w:pPr>
              <w:pStyle w:val="Compact"/>
              <w:jc w:val="left"/>
            </w:pPr>
            <w:r>
              <w:t xml:space="preserve">[5]</w:t>
            </w:r>
          </w:p>
        </w:tc>
      </w:tr>
      <w:tr>
        <w:tc>
          <w:tcPr>
            <w:tcW w:w="2667" w:type="dxa"/>
          </w:tcPr>
          <w:tcPr/>
          <w:p>
            <w:pPr>
              <w:pStyle w:val="Compact"/>
              <w:jc w:val="left"/>
            </w:pPr>
            <w:r>
              <w:t xml:space="preserve">Accès</w:t>
            </w:r>
          </w:p>
        </w:tc>
        <w:tc>
          <w:tcPr>
            <w:tcW w:w="8513" w:type="dxa"/>
          </w:tcPr>
          <w:tcPr/>
          <w:p>
            <w:pPr>
              <w:pStyle w:val="Compact"/>
              <w:jc w:val="left"/>
            </w:pPr>
            <w:r>
              <w:t xml:space="preserve">taux d’accès de 98,6 % et taux de couverture de 94,3 % en 2024 (localités)</w:t>
            </w:r>
          </w:p>
        </w:tc>
        <w:tc>
          <w:tcPr>
            <w:tcW w:w="1176" w:type="dxa"/>
          </w:tcPr>
          <w:tcPr/>
          <w:p>
            <w:pPr>
              <w:pStyle w:val="Compact"/>
              <w:jc w:val="left"/>
            </w:pPr>
            <w:r>
              <w:t xml:space="preserve">2024</w:t>
            </w:r>
          </w:p>
        </w:tc>
        <w:tc>
          <w:tcPr>
            <w:tcW w:w="918" w:type="dxa"/>
          </w:tcPr>
          <w:tcPr/>
          <w:p>
            <w:pPr>
              <w:pStyle w:val="Compact"/>
              <w:jc w:val="left"/>
            </w:pPr>
            <w:r>
              <w:t xml:space="preserve">[V]</w:t>
            </w:r>
          </w:p>
        </w:tc>
        <w:tc>
          <w:tcPr>
            <w:tcW w:w="1294" w:type="dxa"/>
          </w:tcPr>
          <w:tcPr/>
          <w:p>
            <w:pPr>
              <w:pStyle w:val="Compact"/>
              <w:jc w:val="left"/>
            </w:pPr>
            <w:r>
              <w:t xml:space="preserve">[4]</w:t>
            </w:r>
          </w:p>
        </w:tc>
      </w:tr>
    </w:tbl>
    <w:bookmarkEnd w:id="95"/>
    <w:bookmarkStart w:id="96" w:name="situation-économique-et-gouvernance-5"/>
    <w:p>
      <w:pPr>
        <w:pStyle w:val="Heading3"/>
      </w:pPr>
      <w:r>
        <w:t xml:space="preserve">3. Situation économique et gouvernance</w:t>
      </w:r>
    </w:p>
    <w:p>
      <w:pPr>
        <w:numPr>
          <w:ilvl w:val="0"/>
          <w:numId w:val="1046"/>
        </w:numPr>
        <w:pStyle w:val="Compact"/>
      </w:pPr>
      <w:r>
        <w:rPr>
          <w:bCs/>
          <w:b/>
        </w:rPr>
        <w:t xml:space="preserve">PPA</w:t>
      </w:r>
      <w:r>
        <w:t xml:space="preserve"> </w:t>
      </w:r>
      <w:r>
        <w:t xml:space="preserve">: le prix et les volumes des IPP gaz (CIPREL, Azito, Atinkou) sont payés en partie en devises, avec du gaz domestique (Baleine, Foxtrot) et importé. Les termes ne sont pas publics [?]. Selon la BM, la dérogation à la mise en concurrence est fréquente pour les IPP, d’où un décret de gouvernance des concessions (DPF1, action préalable n° 1) [2] [V].</w:t>
      </w:r>
    </w:p>
    <w:p>
      <w:pPr>
        <w:numPr>
          <w:ilvl w:val="0"/>
          <w:numId w:val="1046"/>
        </w:numPr>
        <w:pStyle w:val="Compact"/>
      </w:pPr>
      <w:r>
        <w:rPr>
          <w:bCs/>
          <w:b/>
        </w:rPr>
        <w:t xml:space="preserve">Change et combustible</w:t>
      </w:r>
      <w:r>
        <w:t xml:space="preserve"> </w:t>
      </w:r>
      <w:r>
        <w:t xml:space="preserve">: exposition au prix du gaz et des combustibles liquides. Le « recours excessif à la production à base de combustibles liquides » et les pannes des IPP figurent parmi les causes du déficit [2, §38] [V].</w:t>
      </w:r>
    </w:p>
    <w:p>
      <w:pPr>
        <w:numPr>
          <w:ilvl w:val="0"/>
          <w:numId w:val="1046"/>
        </w:numPr>
        <w:pStyle w:val="Compact"/>
      </w:pPr>
      <w:r>
        <w:rPr>
          <w:bCs/>
          <w:b/>
        </w:rPr>
        <w:t xml:space="preserve">Plan de redressement</w:t>
      </w:r>
      <w:r>
        <w:t xml:space="preserve"> </w:t>
      </w:r>
      <w:r>
        <w:t xml:space="preserve">: l’action « plan global d’assainissement » (pacte, échéance S1 2025) était annoncée par la DPF3 (2024). Le rapport M300 de mars 2026 la classe « Delayed » (phase 1). La DPF1 2026 en reprend la séquence : règles et périodicité de révision tarifaire, convention État/CI-ENERGIES (déclencheur DPF2), nouvelle structure tarifaire (déclencheur DPF3), plan de financement triennal [2, §39] [V]. Le FMI (MEFP 2026) confirme un décret modificatif sur les règles tarifaires et un arrêté de nouvelle structure tarifaire « en discussion ». Il confirme aussi trois arrêtés du 23/03/2026 (n° 0225, 0226 et 0227) sur le transport, l’accès au réseau et l’autoproduction [1, MEFP §45] [V].</w:t>
      </w:r>
    </w:p>
    <w:p>
      <w:pPr>
        <w:numPr>
          <w:ilvl w:val="0"/>
          <w:numId w:val="1046"/>
        </w:numPr>
        <w:pStyle w:val="Compact"/>
      </w:pPr>
      <w:r>
        <w:rPr>
          <w:bCs/>
          <w:b/>
        </w:rPr>
        <w:t xml:space="preserve">Gouvernance</w:t>
      </w:r>
      <w:r>
        <w:t xml:space="preserve"> </w:t>
      </w:r>
      <w:r>
        <w:t xml:space="preserve">: la CIE est cotée et ses comptes sont publics. Pour CI-ENERGIES, le rapport d’activité exigé par le PforR « n’était pas encore en place » selon l’ISR d’octobre 2026 [3] [V]. La contrepartie budgétaire du NEDA n’est financée qu’à 31,7 % : 32 M EUR, avec 68,6 M EUR à trouver en 2027-2028 [3] [V].</w:t>
      </w:r>
    </w:p>
    <w:bookmarkEnd w:id="96"/>
    <w:bookmarkStart w:id="97" w:name="X5ce639ac1436ae1b9aff605a18b5414f52aaf29"/>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575"/>
        <w:gridCol w:w="845"/>
        <w:gridCol w:w="2252"/>
        <w:gridCol w:w="1281"/>
        <w:gridCol w:w="2955"/>
        <w:gridCol w:w="1714"/>
        <w:gridCol w:w="1249"/>
        <w:gridCol w:w="696"/>
      </w:tblGrid>
      <w:tr>
        <w:trPr>
          <w:tblHeader w:val="true"/>
        </w:trPr>
        <w:tc>
          <w:tcPr>
            <w:tcW w:w="3575" w:type="dxa"/>
          </w:tcPr>
          <w:tcPr/>
          <w:p>
            <w:pPr>
              <w:pStyle w:val="Compact"/>
              <w:jc w:val="left"/>
            </w:pPr>
            <w:r>
              <w:t xml:space="preserve">Programme / projet</w:t>
            </w:r>
          </w:p>
        </w:tc>
        <w:tc>
          <w:tcPr>
            <w:tcW w:w="845" w:type="dxa"/>
          </w:tcPr>
          <w:tcPr/>
          <w:p>
            <w:pPr>
              <w:pStyle w:val="Compact"/>
              <w:jc w:val="left"/>
            </w:pPr>
            <w:r>
              <w:t xml:space="preserve">Bailleur</w:t>
            </w:r>
          </w:p>
        </w:tc>
        <w:tc>
          <w:tcPr>
            <w:tcW w:w="2252" w:type="dxa"/>
          </w:tcPr>
          <w:tcPr/>
          <w:p>
            <w:pPr>
              <w:pStyle w:val="Compact"/>
              <w:jc w:val="left"/>
            </w:pPr>
            <w:r>
              <w:t xml:space="preserve">Montant</w:t>
            </w:r>
          </w:p>
        </w:tc>
        <w:tc>
          <w:tcPr>
            <w:tcW w:w="1281" w:type="dxa"/>
          </w:tcPr>
          <w:tcPr/>
          <w:p>
            <w:pPr>
              <w:pStyle w:val="Compact"/>
              <w:jc w:val="left"/>
            </w:pPr>
            <w:r>
              <w:t xml:space="preserve">Années</w:t>
            </w:r>
          </w:p>
        </w:tc>
        <w:tc>
          <w:tcPr>
            <w:tcW w:w="2955" w:type="dxa"/>
          </w:tcPr>
          <w:tcPr/>
          <w:p>
            <w:pPr>
              <w:pStyle w:val="Compact"/>
              <w:jc w:val="left"/>
            </w:pPr>
            <w:r>
              <w:t xml:space="preserve">Objectifs liés à l’opérateur</w:t>
            </w:r>
          </w:p>
        </w:tc>
        <w:tc>
          <w:tcPr>
            <w:tcW w:w="1714" w:type="dxa"/>
          </w:tcPr>
          <w:tcPr/>
          <w:p>
            <w:pPr>
              <w:pStyle w:val="Compact"/>
              <w:jc w:val="left"/>
            </w:pPr>
            <w:r>
              <w:t xml:space="preserve">Conditions / indicateurs</w:t>
            </w:r>
          </w:p>
        </w:tc>
        <w:tc>
          <w:tcPr>
            <w:tcW w:w="1249" w:type="dxa"/>
          </w:tcPr>
          <w:tcPr/>
          <w:p>
            <w:pPr>
              <w:pStyle w:val="Compact"/>
              <w:jc w:val="left"/>
            </w:pPr>
            <w:r>
              <w:t xml:space="preserve">Statut</w:t>
            </w:r>
          </w:p>
        </w:tc>
        <w:tc>
          <w:tcPr>
            <w:tcW w:w="696" w:type="dxa"/>
          </w:tcPr>
          <w:tcPr/>
          <w:p>
            <w:pPr>
              <w:pStyle w:val="Compact"/>
              <w:jc w:val="left"/>
            </w:pPr>
            <w:r>
              <w:t xml:space="preserve">Source</w:t>
            </w:r>
          </w:p>
        </w:tc>
      </w:tr>
      <w:tr>
        <w:tc>
          <w:tcPr>
            <w:tcW w:w="3575" w:type="dxa"/>
          </w:tcPr>
          <w:tcPr/>
          <w:p>
            <w:pPr>
              <w:pStyle w:val="Compact"/>
              <w:jc w:val="left"/>
            </w:pPr>
            <w:r>
              <w:t xml:space="preserve">Côte d’Ivoire National Electricity Digitalization and Access (NEDA),</w:t>
            </w:r>
            <w:r>
              <w:t xml:space="preserve"> </w:t>
            </w:r>
            <w:r>
              <w:rPr>
                <w:bCs/>
                <w:b/>
              </w:rPr>
              <w:t xml:space="preserve">P176776</w:t>
            </w:r>
            <w:r>
              <w:t xml:space="preserve"> </w:t>
            </w:r>
            <w:r>
              <w:t xml:space="preserve">(PforR)</w:t>
            </w:r>
          </w:p>
        </w:tc>
        <w:tc>
          <w:tcPr>
            <w:tcW w:w="845" w:type="dxa"/>
          </w:tcPr>
          <w:tcPr/>
          <w:p>
            <w:pPr>
              <w:pStyle w:val="Compact"/>
              <w:jc w:val="left"/>
            </w:pPr>
            <w:r>
              <w:t xml:space="preserve">BM (IDA)</w:t>
            </w:r>
          </w:p>
        </w:tc>
        <w:tc>
          <w:tcPr>
            <w:tcW w:w="2252" w:type="dxa"/>
          </w:tcPr>
          <w:tcPr/>
          <w:p>
            <w:pPr>
              <w:pStyle w:val="Compact"/>
              <w:jc w:val="left"/>
            </w:pPr>
            <w:r>
              <w:t xml:space="preserve">300 M USD (révisé à 339,41 M USD-équiv. ; 79 % décaissé)</w:t>
            </w:r>
          </w:p>
        </w:tc>
        <w:tc>
          <w:tcPr>
            <w:tcW w:w="1281" w:type="dxa"/>
          </w:tcPr>
          <w:tcPr/>
          <w:p>
            <w:pPr>
              <w:pStyle w:val="Compact"/>
              <w:jc w:val="left"/>
            </w:pPr>
            <w:r>
              <w:t xml:space="preserve">20/12/2022 – 31/03/2028</w:t>
            </w:r>
          </w:p>
        </w:tc>
        <w:tc>
          <w:tcPr>
            <w:tcW w:w="2955" w:type="dxa"/>
          </w:tcPr>
          <w:tcPr/>
          <w:p>
            <w:pPr>
              <w:pStyle w:val="Compact"/>
              <w:jc w:val="left"/>
            </w:pPr>
            <w:r>
              <w:t xml:space="preserve">raccordements PEPT, extension du réseau, digitalisation des postes et du réseau MT, capacités de CI-ENERGIES</w:t>
            </w:r>
          </w:p>
        </w:tc>
        <w:tc>
          <w:tcPr>
            <w:tcW w:w="1714" w:type="dxa"/>
          </w:tcPr>
          <w:tcPr/>
          <w:p>
            <w:pPr>
              <w:pStyle w:val="Compact"/>
              <w:jc w:val="left"/>
            </w:pPr>
            <w:r>
              <w:t xml:space="preserve">DLI de raccordements (350 019 ménages, 1,82 M de personnes en août 2026) ; pertes techniques zone nord de 13 % à 10 % ; coupures de 15,36 h à 12,22 h</w:t>
            </w:r>
          </w:p>
        </w:tc>
        <w:tc>
          <w:tcPr>
            <w:tcW w:w="1249" w:type="dxa"/>
          </w:tcPr>
          <w:tcPr/>
          <w:p>
            <w:pPr>
              <w:pStyle w:val="Compact"/>
              <w:jc w:val="left"/>
            </w:pPr>
            <w:r>
              <w:t xml:space="preserve">actif ; ISR 10/2026 : PDO et IP « Satisfactory », risque « Substantial »</w:t>
            </w:r>
          </w:p>
        </w:tc>
        <w:tc>
          <w:tcPr>
            <w:tcW w:w="696" w:type="dxa"/>
          </w:tcPr>
          <w:tcPr/>
          <w:p>
            <w:pPr>
              <w:pStyle w:val="Compact"/>
              <w:jc w:val="left"/>
            </w:pPr>
            <w:r>
              <w:t xml:space="preserve">[3 ; 6]</w:t>
            </w:r>
          </w:p>
        </w:tc>
      </w:tr>
      <w:tr>
        <w:tc>
          <w:tcPr>
            <w:tcW w:w="3575" w:type="dxa"/>
          </w:tcPr>
          <w:tcPr/>
          <w:p>
            <w:pPr>
              <w:pStyle w:val="Compact"/>
              <w:jc w:val="left"/>
            </w:pPr>
            <w:r>
              <w:t xml:space="preserve">Côte d’Ivoire Private Investment and Productive Jobs</w:t>
            </w:r>
            <w:r>
              <w:t xml:space="preserve"> </w:t>
            </w:r>
            <w:r>
              <w:rPr>
                <w:bCs/>
                <w:b/>
              </w:rPr>
              <w:t xml:space="preserve">DPF1, P510901</w:t>
            </w:r>
          </w:p>
        </w:tc>
        <w:tc>
          <w:tcPr>
            <w:tcW w:w="845" w:type="dxa"/>
          </w:tcPr>
          <w:tcPr/>
          <w:p>
            <w:pPr>
              <w:pStyle w:val="Compact"/>
              <w:jc w:val="left"/>
            </w:pPr>
            <w:r>
              <w:t xml:space="preserve">BM</w:t>
            </w:r>
          </w:p>
        </w:tc>
        <w:tc>
          <w:tcPr>
            <w:tcW w:w="2252" w:type="dxa"/>
          </w:tcPr>
          <w:tcPr/>
          <w:p>
            <w:pPr>
              <w:pStyle w:val="Compact"/>
              <w:jc w:val="left"/>
            </w:pPr>
            <w:r>
              <w:t xml:space="preserve">400 M USD</w:t>
            </w:r>
          </w:p>
        </w:tc>
        <w:tc>
          <w:tcPr>
            <w:tcW w:w="1281" w:type="dxa"/>
          </w:tcPr>
          <w:tcPr/>
          <w:p>
            <w:pPr>
              <w:pStyle w:val="Compact"/>
              <w:jc w:val="left"/>
            </w:pPr>
            <w:r>
              <w:t xml:space="preserve">approuvée le 05/06/2026 – clôture 11/2027</w:t>
            </w:r>
          </w:p>
        </w:tc>
        <w:tc>
          <w:tcPr>
            <w:tcW w:w="2955" w:type="dxa"/>
          </w:tcPr>
          <w:tcPr/>
          <w:p>
            <w:pPr>
              <w:pStyle w:val="Compact"/>
              <w:jc w:val="left"/>
            </w:pPr>
            <w:r>
              <w:t xml:space="preserve">viabilité financière du secteur</w:t>
            </w:r>
          </w:p>
        </w:tc>
        <w:tc>
          <w:tcPr>
            <w:tcW w:w="1714" w:type="dxa"/>
          </w:tcPr>
          <w:tcPr/>
          <w:p>
            <w:pPr>
              <w:pStyle w:val="Compact"/>
              <w:jc w:val="left"/>
            </w:pPr>
            <w:r>
              <w:t xml:space="preserve">AP n° 1 : décret de gouvernance des concessions IPP et 4 arrêtés sur l’autoproduction et l’accès au réseau.</w:t>
            </w:r>
            <w:r>
              <w:t xml:space="preserve"> </w:t>
            </w:r>
            <w:r>
              <w:rPr>
                <w:bCs/>
                <w:b/>
              </w:rPr>
              <w:t xml:space="preserve">AP n° 2 : Règlement de service concédé État-CIE, prépaiement obligatoire, procédure de validation et de paiement des factures de l’État.</w:t>
            </w:r>
            <w:r>
              <w:t xml:space="preserve"> </w:t>
            </w:r>
            <w:r>
              <w:t xml:space="preserve">Déclencheurs DPF2 et DPF3 : règles tarifaires, convention État/CI-ENERGIES, nouvelle structure tarifaire.</w:t>
            </w:r>
            <w:r>
              <w:t xml:space="preserve"> </w:t>
            </w:r>
            <w:r>
              <w:rPr>
                <w:bCs/>
                <w:b/>
              </w:rPr>
              <w:t xml:space="preserve">Indicateur : ratio recettes/coûts de 0,91 (2024) à 1,10 (2028)</w:t>
            </w:r>
          </w:p>
        </w:tc>
        <w:tc>
          <w:tcPr>
            <w:tcW w:w="1249" w:type="dxa"/>
          </w:tcPr>
          <w:tcPr/>
          <w:p>
            <w:pPr>
              <w:pStyle w:val="Compact"/>
              <w:jc w:val="left"/>
            </w:pPr>
            <w:r>
              <w:t xml:space="preserve">active</w:t>
            </w:r>
          </w:p>
        </w:tc>
        <w:tc>
          <w:tcPr>
            <w:tcW w:w="696" w:type="dxa"/>
          </w:tcPr>
          <w:tcPr/>
          <w:p>
            <w:pPr>
              <w:pStyle w:val="Compact"/>
              <w:jc w:val="left"/>
            </w:pPr>
            <w:r>
              <w:t xml:space="preserve">[2 ; 6]</w:t>
            </w:r>
          </w:p>
        </w:tc>
      </w:tr>
      <w:tr>
        <w:tc>
          <w:tcPr>
            <w:tcW w:w="3575" w:type="dxa"/>
          </w:tcPr>
          <w:tcPr/>
          <w:p>
            <w:pPr>
              <w:pStyle w:val="Compact"/>
              <w:jc w:val="left"/>
            </w:pPr>
            <w:r>
              <w:t xml:space="preserve">Investment for Growth DPF3/PBG/D4D,</w:t>
            </w:r>
            <w:r>
              <w:t xml:space="preserve"> </w:t>
            </w:r>
            <w:r>
              <w:rPr>
                <w:bCs/>
                <w:b/>
              </w:rPr>
              <w:t xml:space="preserve">P180234</w:t>
            </w:r>
          </w:p>
        </w:tc>
        <w:tc>
          <w:tcPr>
            <w:tcW w:w="845" w:type="dxa"/>
          </w:tcPr>
          <w:tcPr/>
          <w:p>
            <w:pPr>
              <w:pStyle w:val="Compact"/>
              <w:jc w:val="left"/>
            </w:pPr>
            <w:r>
              <w:t xml:space="preserve">BM (+ garantie PBG ; MIGA)</w:t>
            </w:r>
          </w:p>
        </w:tc>
        <w:tc>
          <w:tcPr>
            <w:tcW w:w="2252" w:type="dxa"/>
          </w:tcPr>
          <w:tcPr/>
          <w:p>
            <w:pPr>
              <w:pStyle w:val="Compact"/>
              <w:jc w:val="left"/>
            </w:pPr>
            <w:r>
              <w:t xml:space="preserve">310,6 M USD + garantie (PBG P181752, 543,5 M) ; SLL de 433 M EUR</w:t>
            </w:r>
          </w:p>
        </w:tc>
        <w:tc>
          <w:tcPr>
            <w:tcW w:w="1281" w:type="dxa"/>
          </w:tcPr>
          <w:tcPr/>
          <w:p>
            <w:pPr>
              <w:pStyle w:val="Compact"/>
              <w:jc w:val="left"/>
            </w:pPr>
            <w:r>
              <w:t xml:space="preserve">2024-2025</w:t>
            </w:r>
          </w:p>
        </w:tc>
        <w:tc>
          <w:tcPr>
            <w:tcW w:w="2955" w:type="dxa"/>
          </w:tcPr>
          <w:tcPr/>
          <w:p>
            <w:pPr>
              <w:pStyle w:val="Compact"/>
              <w:jc w:val="left"/>
            </w:pPr>
            <w:r>
              <w:t xml:space="preserve">annonce le plan global d’assainissement du secteur et la restructuration de la dette d’exploitation</w:t>
            </w:r>
          </w:p>
        </w:tc>
        <w:tc>
          <w:tcPr>
            <w:tcW w:w="1714" w:type="dxa"/>
          </w:tcPr>
          <w:tcPr/>
          <w:p>
            <w:pPr>
              <w:pStyle w:val="Compact"/>
              <w:jc w:val="left"/>
            </w:pPr>
            <w:r>
              <w:t xml:space="preserve">KPI EnR du SLL</w:t>
            </w:r>
          </w:p>
        </w:tc>
        <w:tc>
          <w:tcPr>
            <w:tcW w:w="1249" w:type="dxa"/>
          </w:tcPr>
          <w:tcPr/>
          <w:p>
            <w:pPr>
              <w:pStyle w:val="Compact"/>
              <w:jc w:val="left"/>
            </w:pPr>
            <w:r>
              <w:t xml:space="preserve">clôturée</w:t>
            </w:r>
          </w:p>
        </w:tc>
        <w:tc>
          <w:tcPr>
            <w:tcW w:w="696" w:type="dxa"/>
          </w:tcPr>
          <w:tcPr/>
          <w:p>
            <w:pPr>
              <w:pStyle w:val="Compact"/>
              <w:jc w:val="left"/>
            </w:pPr>
            <w:r>
              <w:t xml:space="preserve">[7 ; 6]</w:t>
            </w:r>
          </w:p>
        </w:tc>
      </w:tr>
      <w:tr>
        <w:tc>
          <w:tcPr>
            <w:tcW w:w="3575" w:type="dxa"/>
          </w:tcPr>
          <w:tcPr/>
          <w:p>
            <w:pPr>
              <w:pStyle w:val="Compact"/>
              <w:jc w:val="left"/>
            </w:pPr>
            <w:r>
              <w:t xml:space="preserve">Côte d’Ivoire Renewable Energy &amp; Financial Stability Initiative (REFI),</w:t>
            </w:r>
            <w:r>
              <w:t xml:space="preserve"> </w:t>
            </w:r>
            <w:r>
              <w:rPr>
                <w:bCs/>
                <w:b/>
              </w:rPr>
              <w:t xml:space="preserve">P510702</w:t>
            </w:r>
          </w:p>
        </w:tc>
        <w:tc>
          <w:tcPr>
            <w:tcW w:w="845" w:type="dxa"/>
          </w:tcPr>
          <w:tcPr/>
          <w:p>
            <w:pPr>
              <w:pStyle w:val="Compact"/>
              <w:jc w:val="left"/>
            </w:pPr>
            <w:r>
              <w:t xml:space="preserve">BM (garantie BIRD) + MIGA</w:t>
            </w:r>
          </w:p>
        </w:tc>
        <w:tc>
          <w:tcPr>
            <w:tcW w:w="2252" w:type="dxa"/>
          </w:tcPr>
          <w:tcPr/>
          <w:p>
            <w:pPr>
              <w:pStyle w:val="Compact"/>
              <w:jc w:val="left"/>
            </w:pPr>
            <w:r>
              <w:t xml:space="preserve">20 M USD (montant API)</w:t>
            </w:r>
          </w:p>
        </w:tc>
        <w:tc>
          <w:tcPr>
            <w:tcW w:w="1281" w:type="dxa"/>
          </w:tcPr>
          <w:tcPr/>
          <w:p>
            <w:pPr>
              <w:pStyle w:val="Compact"/>
              <w:jc w:val="left"/>
            </w:pPr>
            <w:r>
              <w:t xml:space="preserve">prévu le 25/02/2027</w:t>
            </w:r>
          </w:p>
        </w:tc>
        <w:tc>
          <w:tcPr>
            <w:tcW w:w="2955" w:type="dxa"/>
          </w:tcPr>
          <w:tcPr/>
          <w:p>
            <w:pPr>
              <w:pStyle w:val="Compact"/>
              <w:jc w:val="left"/>
            </w:pPr>
            <w:r>
              <w:rPr>
                <w:bCs/>
                <w:b/>
              </w:rPr>
              <w:t xml:space="preserve">refinancer le passif du secteur</w:t>
            </w:r>
            <w:r>
              <w:t xml:space="preserve"> </w:t>
            </w:r>
            <w:r>
              <w:t xml:space="preserve">et environ 200 MW solaires</w:t>
            </w:r>
          </w:p>
        </w:tc>
        <w:tc>
          <w:tcPr>
            <w:tcW w:w="1714" w:type="dxa"/>
          </w:tcPr>
          <w:tcPr/>
          <w:p>
            <w:pPr>
              <w:pStyle w:val="Compact"/>
              <w:jc w:val="left"/>
            </w:pPr>
            <w:r>
              <w:t xml:space="preserve">[?]</w:t>
            </w:r>
          </w:p>
        </w:tc>
        <w:tc>
          <w:tcPr>
            <w:tcW w:w="1249" w:type="dxa"/>
          </w:tcPr>
          <w:tcPr/>
          <w:p>
            <w:pPr>
              <w:pStyle w:val="Compact"/>
              <w:jc w:val="left"/>
            </w:pPr>
            <w:r>
              <w:t xml:space="preserve">en préparation</w:t>
            </w:r>
          </w:p>
        </w:tc>
        <w:tc>
          <w:tcPr>
            <w:tcW w:w="696" w:type="dxa"/>
          </w:tcPr>
          <w:tcPr/>
          <w:p>
            <w:pPr>
              <w:pStyle w:val="Compact"/>
              <w:jc w:val="left"/>
            </w:pPr>
            <w:r>
              <w:t xml:space="preserve">[2, §40 ; 6]</w:t>
            </w:r>
          </w:p>
        </w:tc>
      </w:tr>
      <w:tr>
        <w:tc>
          <w:tcPr>
            <w:tcW w:w="3575" w:type="dxa"/>
          </w:tcPr>
          <w:tcPr/>
          <w:p>
            <w:pPr>
              <w:pStyle w:val="Compact"/>
              <w:jc w:val="left"/>
            </w:pPr>
            <w:r>
              <w:t xml:space="preserve">WAPP Ghana–Côte d’Ivoire Interconnection Ph. 1 (WA-REMP MPA),</w:t>
            </w:r>
            <w:r>
              <w:t xml:space="preserve"> </w:t>
            </w:r>
            <w:r>
              <w:rPr>
                <w:bCs/>
                <w:b/>
              </w:rPr>
              <w:t xml:space="preserve">P178923</w:t>
            </w:r>
          </w:p>
        </w:tc>
        <w:tc>
          <w:tcPr>
            <w:tcW w:w="845" w:type="dxa"/>
          </w:tcPr>
          <w:tcPr/>
          <w:p>
            <w:pPr>
              <w:pStyle w:val="Compact"/>
              <w:jc w:val="left"/>
            </w:pPr>
            <w:r>
              <w:t xml:space="preserve">BM</w:t>
            </w:r>
          </w:p>
        </w:tc>
        <w:tc>
          <w:tcPr>
            <w:tcW w:w="2252" w:type="dxa"/>
          </w:tcPr>
          <w:tcPr/>
          <w:p>
            <w:pPr>
              <w:pStyle w:val="Compact"/>
              <w:jc w:val="left"/>
            </w:pPr>
            <w:r>
              <w:t xml:space="preserve">314 M USD (régional)</w:t>
            </w:r>
          </w:p>
        </w:tc>
        <w:tc>
          <w:tcPr>
            <w:tcW w:w="1281" w:type="dxa"/>
          </w:tcPr>
          <w:tcPr/>
          <w:p>
            <w:pPr>
              <w:pStyle w:val="Compact"/>
              <w:jc w:val="left"/>
            </w:pPr>
            <w:r>
              <w:t xml:space="preserve">24/01/2025</w:t>
            </w:r>
          </w:p>
        </w:tc>
        <w:tc>
          <w:tcPr>
            <w:tcW w:w="2955" w:type="dxa"/>
          </w:tcPr>
          <w:tcPr/>
          <w:p>
            <w:pPr>
              <w:pStyle w:val="Compact"/>
              <w:jc w:val="left"/>
            </w:pPr>
            <w:r>
              <w:t xml:space="preserve">interconnexion, export</w:t>
            </w:r>
          </w:p>
        </w:tc>
        <w:tc>
          <w:tcPr>
            <w:tcW w:w="1714" w:type="dxa"/>
          </w:tcPr>
          <w:tcPr/>
          <w:p>
            <w:pPr>
              <w:pStyle w:val="Compact"/>
              <w:jc w:val="left"/>
            </w:pPr>
            <w:r>
              <w:t xml:space="preserve">—</w:t>
            </w:r>
          </w:p>
        </w:tc>
        <w:tc>
          <w:tcPr>
            <w:tcW w:w="1249" w:type="dxa"/>
          </w:tcPr>
          <w:tcPr/>
          <w:p>
            <w:pPr>
              <w:pStyle w:val="Compact"/>
              <w:jc w:val="left"/>
            </w:pPr>
            <w:r>
              <w:t xml:space="preserve">actif</w:t>
            </w:r>
          </w:p>
        </w:tc>
        <w:tc>
          <w:tcPr>
            <w:tcW w:w="696" w:type="dxa"/>
          </w:tcPr>
          <w:tcPr/>
          <w:p>
            <w:pPr>
              <w:pStyle w:val="Compact"/>
              <w:jc w:val="left"/>
            </w:pPr>
            <w:r>
              <w:t xml:space="preserve">[6]</w:t>
            </w:r>
          </w:p>
        </w:tc>
      </w:tr>
      <w:tr>
        <w:tc>
          <w:tcPr>
            <w:tcW w:w="3575" w:type="dxa"/>
          </w:tcPr>
          <w:tcPr/>
          <w:p>
            <w:pPr>
              <w:pStyle w:val="Compact"/>
              <w:jc w:val="left"/>
            </w:pPr>
            <w:r>
              <w:t xml:space="preserve">Regional Electricity Access and BEST,</w:t>
            </w:r>
            <w:r>
              <w:t xml:space="preserve"> </w:t>
            </w:r>
            <w:r>
              <w:rPr>
                <w:bCs/>
                <w:b/>
              </w:rPr>
              <w:t xml:space="preserve">P167569</w:t>
            </w:r>
          </w:p>
        </w:tc>
        <w:tc>
          <w:tcPr>
            <w:tcW w:w="845" w:type="dxa"/>
          </w:tcPr>
          <w:tcPr/>
          <w:p>
            <w:pPr>
              <w:pStyle w:val="Compact"/>
              <w:jc w:val="left"/>
            </w:pPr>
            <w:r>
              <w:t xml:space="preserve">BM</w:t>
            </w:r>
          </w:p>
        </w:tc>
        <w:tc>
          <w:tcPr>
            <w:tcW w:w="2252" w:type="dxa"/>
          </w:tcPr>
          <w:tcPr/>
          <w:p>
            <w:pPr>
              <w:pStyle w:val="Compact"/>
              <w:jc w:val="left"/>
            </w:pPr>
            <w:r>
              <w:t xml:space="preserve">465 M USD (régional)</w:t>
            </w:r>
          </w:p>
        </w:tc>
        <w:tc>
          <w:tcPr>
            <w:tcW w:w="1281" w:type="dxa"/>
          </w:tcPr>
          <w:tcPr/>
          <w:p>
            <w:pPr>
              <w:pStyle w:val="Compact"/>
              <w:jc w:val="left"/>
            </w:pPr>
            <w:r>
              <w:t xml:space="preserve">2021-2028</w:t>
            </w:r>
          </w:p>
        </w:tc>
        <w:tc>
          <w:tcPr>
            <w:tcW w:w="2955" w:type="dxa"/>
          </w:tcPr>
          <w:tcPr/>
          <w:p>
            <w:pPr>
              <w:pStyle w:val="Compact"/>
              <w:jc w:val="left"/>
            </w:pPr>
            <w:r>
              <w:t xml:space="preserve">stockage par batteries, accès</w:t>
            </w:r>
          </w:p>
        </w:tc>
        <w:tc>
          <w:tcPr>
            <w:tcW w:w="1714" w:type="dxa"/>
          </w:tcPr>
          <w:tcPr/>
          <w:p>
            <w:pPr>
              <w:pStyle w:val="Compact"/>
              <w:jc w:val="left"/>
            </w:pPr>
            <w:r>
              <w:t xml:space="preserve">—</w:t>
            </w:r>
          </w:p>
        </w:tc>
        <w:tc>
          <w:tcPr>
            <w:tcW w:w="1249" w:type="dxa"/>
          </w:tcPr>
          <w:tcPr/>
          <w:p>
            <w:pPr>
              <w:pStyle w:val="Compact"/>
              <w:jc w:val="left"/>
            </w:pPr>
            <w:r>
              <w:t xml:space="preserve">actif</w:t>
            </w:r>
          </w:p>
        </w:tc>
        <w:tc>
          <w:tcPr>
            <w:tcW w:w="696" w:type="dxa"/>
          </w:tcPr>
          <w:tcPr/>
          <w:p>
            <w:pPr>
              <w:pStyle w:val="Compact"/>
              <w:jc w:val="left"/>
            </w:pPr>
            <w:r>
              <w:t xml:space="preserve">[6]</w:t>
            </w:r>
          </w:p>
        </w:tc>
      </w:tr>
      <w:tr>
        <w:tc>
          <w:tcPr>
            <w:tcW w:w="3575" w:type="dxa"/>
          </w:tcPr>
          <w:tcPr/>
          <w:p>
            <w:pPr>
              <w:pStyle w:val="Compact"/>
              <w:jc w:val="left"/>
            </w:pPr>
            <w:r>
              <w:t xml:space="preserve">CI-ENERGIES Guarantee Project,</w:t>
            </w:r>
            <w:r>
              <w:t xml:space="preserve"> </w:t>
            </w:r>
            <w:r>
              <w:rPr>
                <w:bCs/>
                <w:b/>
              </w:rPr>
              <w:t xml:space="preserve">P164145</w:t>
            </w:r>
          </w:p>
        </w:tc>
        <w:tc>
          <w:tcPr>
            <w:tcW w:w="845" w:type="dxa"/>
          </w:tcPr>
          <w:tcPr/>
          <w:p>
            <w:pPr>
              <w:pStyle w:val="Compact"/>
              <w:jc w:val="left"/>
            </w:pPr>
            <w:r>
              <w:t xml:space="preserve">BM (garantie IDA)</w:t>
            </w:r>
          </w:p>
        </w:tc>
        <w:tc>
          <w:tcPr>
            <w:tcW w:w="2252" w:type="dxa"/>
          </w:tcPr>
          <w:tcPr/>
          <w:p>
            <w:pPr>
              <w:pStyle w:val="Compact"/>
              <w:jc w:val="left"/>
            </w:pPr>
            <w:r>
              <w:t xml:space="preserve">280 M USD</w:t>
            </w:r>
          </w:p>
        </w:tc>
        <w:tc>
          <w:tcPr>
            <w:tcW w:w="1281" w:type="dxa"/>
          </w:tcPr>
          <w:tcPr/>
          <w:p>
            <w:pPr>
              <w:pStyle w:val="Compact"/>
              <w:jc w:val="left"/>
            </w:pPr>
            <w:r>
              <w:t xml:space="preserve">2018</w:t>
            </w:r>
          </w:p>
        </w:tc>
        <w:tc>
          <w:tcPr>
            <w:tcW w:w="2955" w:type="dxa"/>
          </w:tcPr>
          <w:tcPr/>
          <w:p>
            <w:pPr>
              <w:pStyle w:val="Compact"/>
              <w:jc w:val="left"/>
            </w:pPr>
            <w:r>
              <w:t xml:space="preserve">refinancement du passif court terme de CI-ENERGIES</w:t>
            </w:r>
          </w:p>
        </w:tc>
        <w:tc>
          <w:tcPr>
            <w:tcW w:w="1714" w:type="dxa"/>
          </w:tcPr>
          <w:tcPr/>
          <w:p>
            <w:pPr>
              <w:pStyle w:val="Compact"/>
              <w:jc w:val="left"/>
            </w:pPr>
            <w:r>
              <w:t xml:space="preserve">—</w:t>
            </w:r>
          </w:p>
        </w:tc>
        <w:tc>
          <w:tcPr>
            <w:tcW w:w="1249" w:type="dxa"/>
          </w:tcPr>
          <w:tcPr/>
          <w:p>
            <w:pPr>
              <w:pStyle w:val="Compact"/>
              <w:jc w:val="left"/>
            </w:pPr>
            <w:r>
              <w:t xml:space="preserve">clôturé</w:t>
            </w:r>
          </w:p>
        </w:tc>
        <w:tc>
          <w:tcPr>
            <w:tcW w:w="696" w:type="dxa"/>
          </w:tcPr>
          <w:tcPr/>
          <w:p>
            <w:pPr>
              <w:pStyle w:val="Compact"/>
              <w:jc w:val="left"/>
            </w:pPr>
            <w:r>
              <w:t xml:space="preserve">[6]</w:t>
            </w:r>
          </w:p>
        </w:tc>
      </w:tr>
      <w:tr>
        <w:tc>
          <w:tcPr>
            <w:tcW w:w="3575" w:type="dxa"/>
          </w:tcPr>
          <w:tcPr/>
          <w:p>
            <w:pPr>
              <w:pStyle w:val="Compact"/>
              <w:jc w:val="left"/>
            </w:pPr>
            <w:r>
              <w:t xml:space="preserve">PROSER II (Power System Infrastructure Strengthening and Electricity Access Ph. II), 46002-P-CI-FA0-025</w:t>
            </w:r>
          </w:p>
        </w:tc>
        <w:tc>
          <w:tcPr>
            <w:tcW w:w="845" w:type="dxa"/>
          </w:tcPr>
          <w:tcPr/>
          <w:p>
            <w:pPr>
              <w:pStyle w:val="Compact"/>
              <w:jc w:val="left"/>
            </w:pPr>
            <w:r>
              <w:t xml:space="preserve">BAD</w:t>
            </w:r>
          </w:p>
        </w:tc>
        <w:tc>
          <w:tcPr>
            <w:tcW w:w="2252" w:type="dxa"/>
          </w:tcPr>
          <w:tcPr/>
          <w:p>
            <w:pPr>
              <w:pStyle w:val="Compact"/>
              <w:jc w:val="left"/>
            </w:pPr>
            <w:r>
              <w:t xml:space="preserve">87,65 + 40,20 M DTS (environ 173,4 M USD)</w:t>
            </w:r>
          </w:p>
        </w:tc>
        <w:tc>
          <w:tcPr>
            <w:tcW w:w="1281" w:type="dxa"/>
          </w:tcPr>
          <w:tcPr/>
          <w:p>
            <w:pPr>
              <w:pStyle w:val="Compact"/>
              <w:jc w:val="left"/>
            </w:pPr>
            <w:r>
              <w:t xml:space="preserve">15/05/2026</w:t>
            </w:r>
          </w:p>
        </w:tc>
        <w:tc>
          <w:tcPr>
            <w:tcW w:w="2955" w:type="dxa"/>
          </w:tcPr>
          <w:tcPr/>
          <w:p>
            <w:pPr>
              <w:pStyle w:val="Compact"/>
              <w:jc w:val="left"/>
            </w:pPr>
            <w:r>
              <w:t xml:space="preserve">réseaux T&amp;D, accès</w:t>
            </w:r>
          </w:p>
        </w:tc>
        <w:tc>
          <w:tcPr>
            <w:tcW w:w="1714" w:type="dxa"/>
          </w:tcPr>
          <w:tcPr/>
          <w:p>
            <w:pPr>
              <w:pStyle w:val="Compact"/>
              <w:jc w:val="left"/>
            </w:pPr>
            <w:r>
              <w:t xml:space="preserve">[?]</w:t>
            </w:r>
          </w:p>
        </w:tc>
        <w:tc>
          <w:tcPr>
            <w:tcW w:w="1249" w:type="dxa"/>
          </w:tcPr>
          <w:tcPr/>
          <w:p>
            <w:pPr>
              <w:pStyle w:val="Compact"/>
              <w:jc w:val="left"/>
            </w:pPr>
            <w:r>
              <w:t xml:space="preserve">approuvé, non décaissé</w:t>
            </w:r>
          </w:p>
        </w:tc>
        <w:tc>
          <w:tcPr>
            <w:tcW w:w="696" w:type="dxa"/>
          </w:tcPr>
          <w:tcPr/>
          <w:p>
            <w:pPr>
              <w:pStyle w:val="Compact"/>
              <w:jc w:val="left"/>
            </w:pPr>
            <w:r>
              <w:t xml:space="preserve">[8]</w:t>
            </w:r>
          </w:p>
        </w:tc>
      </w:tr>
      <w:tr>
        <w:tc>
          <w:tcPr>
            <w:tcW w:w="3575" w:type="dxa"/>
          </w:tcPr>
          <w:tcPr/>
          <w:p>
            <w:pPr>
              <w:pStyle w:val="Compact"/>
              <w:jc w:val="left"/>
            </w:pPr>
            <w:r>
              <w:t xml:space="preserve">PROSER I, 46002-P-CI-FA0-024</w:t>
            </w:r>
          </w:p>
        </w:tc>
        <w:tc>
          <w:tcPr>
            <w:tcW w:w="845" w:type="dxa"/>
          </w:tcPr>
          <w:tcPr/>
          <w:p>
            <w:pPr>
              <w:pStyle w:val="Compact"/>
              <w:jc w:val="left"/>
            </w:pPr>
            <w:r>
              <w:t xml:space="preserve">BAD</w:t>
            </w:r>
          </w:p>
        </w:tc>
        <w:tc>
          <w:tcPr>
            <w:tcW w:w="2252" w:type="dxa"/>
          </w:tcPr>
          <w:tcPr/>
          <w:p>
            <w:pPr>
              <w:pStyle w:val="Compact"/>
              <w:jc w:val="left"/>
            </w:pPr>
            <w:r>
              <w:t xml:space="preserve">environ 181 M USD (IATI), 39,8 M USD décaissés</w:t>
            </w:r>
          </w:p>
        </w:tc>
        <w:tc>
          <w:tcPr>
            <w:tcW w:w="1281" w:type="dxa"/>
          </w:tcPr>
          <w:tcPr/>
          <w:p>
            <w:pPr>
              <w:pStyle w:val="Compact"/>
              <w:jc w:val="left"/>
            </w:pPr>
            <w:r>
              <w:t xml:space="preserve">2020</w:t>
            </w:r>
          </w:p>
        </w:tc>
        <w:tc>
          <w:tcPr>
            <w:tcW w:w="2955" w:type="dxa"/>
          </w:tcPr>
          <w:tcPr/>
          <w:p>
            <w:pPr>
              <w:pStyle w:val="Compact"/>
              <w:jc w:val="left"/>
            </w:pPr>
            <w:r>
              <w:t xml:space="preserve">réseaux, accès</w:t>
            </w:r>
          </w:p>
        </w:tc>
        <w:tc>
          <w:tcPr>
            <w:tcW w:w="1714" w:type="dxa"/>
          </w:tcPr>
          <w:tcPr/>
          <w:p>
            <w:pPr>
              <w:pStyle w:val="Compact"/>
              <w:jc w:val="left"/>
            </w:pPr>
            <w:r>
              <w:t xml:space="preserve">[?]</w:t>
            </w:r>
          </w:p>
        </w:tc>
        <w:tc>
          <w:tcPr>
            <w:tcW w:w="1249" w:type="dxa"/>
          </w:tcPr>
          <w:tcPr/>
          <w:p>
            <w:pPr>
              <w:pStyle w:val="Compact"/>
              <w:jc w:val="left"/>
            </w:pPr>
            <w:r>
              <w:t xml:space="preserve">en cours</w:t>
            </w:r>
          </w:p>
        </w:tc>
        <w:tc>
          <w:tcPr>
            <w:tcW w:w="696" w:type="dxa"/>
          </w:tcPr>
          <w:tcPr/>
          <w:p>
            <w:pPr>
              <w:pStyle w:val="Compact"/>
              <w:jc w:val="left"/>
            </w:pPr>
            <w:r>
              <w:t xml:space="preserve">[8]</w:t>
            </w:r>
          </w:p>
        </w:tc>
      </w:tr>
      <w:tr>
        <w:tc>
          <w:tcPr>
            <w:tcW w:w="3575" w:type="dxa"/>
          </w:tcPr>
          <w:tcPr/>
          <w:p>
            <w:pPr>
              <w:pStyle w:val="Compact"/>
              <w:jc w:val="left"/>
            </w:pPr>
            <w:r>
              <w:t xml:space="preserve">M300 – Programme Électricité pour Tous Ph. II (PEPT), tranches B et C, 46002-P-CI-FA0-029 / -028</w:t>
            </w:r>
          </w:p>
        </w:tc>
        <w:tc>
          <w:tcPr>
            <w:tcW w:w="845" w:type="dxa"/>
          </w:tcPr>
          <w:tcPr/>
          <w:p>
            <w:pPr>
              <w:pStyle w:val="Compact"/>
              <w:jc w:val="left"/>
            </w:pPr>
            <w:r>
              <w:t xml:space="preserve">BAD</w:t>
            </w:r>
          </w:p>
        </w:tc>
        <w:tc>
          <w:tcPr>
            <w:tcW w:w="2252" w:type="dxa"/>
          </w:tcPr>
          <w:tcPr/>
          <w:p>
            <w:pPr>
              <w:pStyle w:val="Compact"/>
              <w:jc w:val="left"/>
            </w:pPr>
            <w:r>
              <w:t xml:space="preserve">6,50 + 12,99 M DTS (environ 26,5 M USD)</w:t>
            </w:r>
          </w:p>
        </w:tc>
        <w:tc>
          <w:tcPr>
            <w:tcW w:w="1281" w:type="dxa"/>
          </w:tcPr>
          <w:tcPr/>
          <w:p>
            <w:pPr>
              <w:pStyle w:val="Compact"/>
              <w:jc w:val="left"/>
            </w:pPr>
            <w:r>
              <w:t xml:space="preserve">15/10/2025</w:t>
            </w:r>
          </w:p>
        </w:tc>
        <w:tc>
          <w:tcPr>
            <w:tcW w:w="2955" w:type="dxa"/>
          </w:tcPr>
          <w:tcPr/>
          <w:p>
            <w:pPr>
              <w:pStyle w:val="Compact"/>
              <w:jc w:val="left"/>
            </w:pPr>
            <w:r>
              <w:t xml:space="preserve">raccordements sociaux</w:t>
            </w:r>
          </w:p>
        </w:tc>
        <w:tc>
          <w:tcPr>
            <w:tcW w:w="1714" w:type="dxa"/>
          </w:tcPr>
          <w:tcPr/>
          <w:p>
            <w:pPr>
              <w:pStyle w:val="Compact"/>
              <w:jc w:val="left"/>
            </w:pPr>
            <w:r>
              <w:t xml:space="preserve">[?]</w:t>
            </w:r>
          </w:p>
        </w:tc>
        <w:tc>
          <w:tcPr>
            <w:tcW w:w="1249" w:type="dxa"/>
          </w:tcPr>
          <w:tcPr/>
          <w:p>
            <w:pPr>
              <w:pStyle w:val="Compact"/>
              <w:jc w:val="left"/>
            </w:pPr>
            <w:r>
              <w:t xml:space="preserve">approuvé</w:t>
            </w:r>
          </w:p>
        </w:tc>
        <w:tc>
          <w:tcPr>
            <w:tcW w:w="696" w:type="dxa"/>
          </w:tcPr>
          <w:tcPr/>
          <w:p>
            <w:pPr>
              <w:pStyle w:val="Compact"/>
              <w:jc w:val="left"/>
            </w:pPr>
            <w:r>
              <w:t xml:space="preserve">[8]</w:t>
            </w:r>
          </w:p>
        </w:tc>
      </w:tr>
      <w:tr>
        <w:tc>
          <w:tcPr>
            <w:tcW w:w="3575" w:type="dxa"/>
          </w:tcPr>
          <w:tcPr/>
          <w:p>
            <w:pPr>
              <w:pStyle w:val="Compact"/>
              <w:jc w:val="left"/>
            </w:pPr>
            <w:r>
              <w:t xml:space="preserve">Sixième revue FEC/MEDC et cinquième revue FRD</w:t>
            </w:r>
          </w:p>
        </w:tc>
        <w:tc>
          <w:tcPr>
            <w:tcW w:w="845" w:type="dxa"/>
          </w:tcPr>
          <w:tcPr/>
          <w:p>
            <w:pPr>
              <w:pStyle w:val="Compact"/>
              <w:jc w:val="left"/>
            </w:pPr>
            <w:r>
              <w:t xml:space="preserve">FMI</w:t>
            </w:r>
          </w:p>
        </w:tc>
        <w:tc>
          <w:tcPr>
            <w:tcW w:w="2252" w:type="dxa"/>
          </w:tcPr>
          <w:tcPr/>
          <w:p>
            <w:pPr>
              <w:pStyle w:val="Compact"/>
              <w:jc w:val="left"/>
            </w:pPr>
            <w:r>
              <w:t xml:space="preserve">environ 832,8 M USD décaissés à la dernière revue</w:t>
            </w:r>
          </w:p>
        </w:tc>
        <w:tc>
          <w:tcPr>
            <w:tcW w:w="1281" w:type="dxa"/>
          </w:tcPr>
          <w:tcPr/>
          <w:p>
            <w:pPr>
              <w:pStyle w:val="Compact"/>
              <w:jc w:val="left"/>
            </w:pPr>
            <w:r>
              <w:t xml:space="preserve">2023-2026 (fin du programme)</w:t>
            </w:r>
          </w:p>
        </w:tc>
        <w:tc>
          <w:tcPr>
            <w:tcW w:w="2955" w:type="dxa"/>
          </w:tcPr>
          <w:tcPr/>
          <w:p>
            <w:pPr>
              <w:pStyle w:val="Compact"/>
              <w:jc w:val="left"/>
            </w:pPr>
            <w:r>
              <w:t xml:space="preserve">viabilité du secteur électrique (recommandation), réformes tarifaires dans le MEFP</w:t>
            </w:r>
          </w:p>
        </w:tc>
        <w:tc>
          <w:tcPr>
            <w:tcW w:w="1714" w:type="dxa"/>
          </w:tcPr>
          <w:tcPr/>
          <w:p>
            <w:pPr>
              <w:pStyle w:val="Compact"/>
              <w:jc w:val="left"/>
            </w:pPr>
            <w:r>
              <w:t xml:space="preserve">aucun repère structurel énergie identifié [?]</w:t>
            </w:r>
          </w:p>
        </w:tc>
        <w:tc>
          <w:tcPr>
            <w:tcW w:w="1249" w:type="dxa"/>
          </w:tcPr>
          <w:tcPr/>
          <w:p>
            <w:pPr>
              <w:pStyle w:val="Compact"/>
              <w:jc w:val="left"/>
            </w:pPr>
            <w:r>
              <w:t xml:space="preserve">achevé (06/2026)</w:t>
            </w:r>
          </w:p>
        </w:tc>
        <w:tc>
          <w:tcPr>
            <w:tcW w:w="696" w:type="dxa"/>
          </w:tcPr>
          <w:tcPr/>
          <w:p>
            <w:pPr>
              <w:pStyle w:val="Compact"/>
              <w:jc w:val="left"/>
            </w:pPr>
            <w:r>
              <w:t xml:space="preserve">[1]</w:t>
            </w:r>
          </w:p>
        </w:tc>
      </w:tr>
    </w:tbl>
    <w:bookmarkEnd w:id="97"/>
    <w:bookmarkStart w:id="98" w:name="écart-pacte-réalité-5"/>
    <w:p>
      <w:pPr>
        <w:pStyle w:val="Heading3"/>
      </w:pPr>
      <w:r>
        <w:t xml:space="preserve">5. Écart pacte ↔ réalité</w:t>
      </w:r>
    </w:p>
    <w:p>
      <w:pPr>
        <w:numPr>
          <w:ilvl w:val="0"/>
          <w:numId w:val="1047"/>
        </w:numPr>
        <w:pStyle w:val="Compact"/>
      </w:pPr>
      <w:r>
        <w:rPr>
          <w:bCs/>
          <w:b/>
        </w:rPr>
        <w:t xml:space="preserve">Équilibre financier</w:t>
      </w:r>
      <w:r>
        <w:t xml:space="preserve"> </w:t>
      </w:r>
      <w:r>
        <w:t xml:space="preserve">: le pacte parle d’une « situation de quasi-équilibre ». La BM chiffre la couverture à</w:t>
      </w:r>
      <w:r>
        <w:t xml:space="preserve"> </w:t>
      </w:r>
      <w:r>
        <w:rPr>
          <w:bCs/>
          <w:b/>
        </w:rPr>
        <w:t xml:space="preserve">0,91 en 2024</w:t>
      </w:r>
      <w:r>
        <w:t xml:space="preserve">, soit un déficit structurel d’environ 9 % des coûts [2]. La presse rapporte un déficit de 127 Md FCFA en 2023 [11], là où le pacte affiche un solde positif de 49,6 M USD. L’écart tient probablement au traitement de la subvention de 130 Md FCFA, à clarifier.</w:t>
      </w:r>
    </w:p>
    <w:p>
      <w:pPr>
        <w:numPr>
          <w:ilvl w:val="0"/>
          <w:numId w:val="1047"/>
        </w:numPr>
        <w:pStyle w:val="Compact"/>
      </w:pPr>
      <w:r>
        <w:rPr>
          <w:bCs/>
          <w:b/>
        </w:rPr>
        <w:t xml:space="preserve">Tarifs</w:t>
      </w:r>
      <w:r>
        <w:t xml:space="preserve"> </w:t>
      </w:r>
      <w:r>
        <w:t xml:space="preserve">: le pacte donne un tarif moyen de 71,03 FCFA/kWh (2023). Les données officielles 2024 montrent</w:t>
      </w:r>
      <w:r>
        <w:t xml:space="preserve"> </w:t>
      </w:r>
      <w:r>
        <w:rPr>
          <w:bCs/>
          <w:b/>
        </w:rPr>
        <w:t xml:space="preserve">83 FCFA/kWh</w:t>
      </w:r>
      <w:r>
        <w:t xml:space="preserve"> </w:t>
      </w:r>
      <w:r>
        <w:t xml:space="preserve">après deux hausses de 10 % [4]. Le pacte ne mentionne pas la hausse de janvier 2024.</w:t>
      </w:r>
    </w:p>
    <w:p>
      <w:pPr>
        <w:numPr>
          <w:ilvl w:val="0"/>
          <w:numId w:val="1047"/>
        </w:numPr>
        <w:pStyle w:val="Compact"/>
      </w:pPr>
      <w:r>
        <w:rPr>
          <w:bCs/>
          <w:b/>
        </w:rPr>
        <w:t xml:space="preserve">Plan d’assainissement</w:t>
      </w:r>
      <w:r>
        <w:t xml:space="preserve"> </w:t>
      </w:r>
      <w:r>
        <w:t xml:space="preserve">promis pour le S1 2025 : non adopté à notre connaissance. Ses éléments sont repoussés en déclencheurs DPF2 et DPF3 (2027-2028) [2].</w:t>
      </w:r>
    </w:p>
    <w:p>
      <w:pPr>
        <w:numPr>
          <w:ilvl w:val="0"/>
          <w:numId w:val="1047"/>
        </w:numPr>
        <w:pStyle w:val="Compact"/>
      </w:pPr>
      <w:r>
        <w:rPr>
          <w:bCs/>
          <w:b/>
        </w:rPr>
        <w:t xml:space="preserve">Qualité de service</w:t>
      </w:r>
      <w:r>
        <w:t xml:space="preserve"> </w:t>
      </w:r>
      <w:r>
        <w:t xml:space="preserve">: le pacte cite un SAIDI de 19,5 h (2023). La DGE donne 26 h 13 en 2024 et des délestages sont signalés en 2026 [4 ; 12]. Les sources primaires divergent elles-mêmes (le FMI cite 18,22 h).</w:t>
      </w:r>
    </w:p>
    <w:p>
      <w:pPr>
        <w:numPr>
          <w:ilvl w:val="0"/>
          <w:numId w:val="1047"/>
        </w:numPr>
        <w:pStyle w:val="Compact"/>
      </w:pPr>
      <w:r>
        <w:t xml:space="preserve">Les chiffres de la CI-ENERGIES (dette IPP de 364 Md, créances EDM de 106 Md) n’ont</w:t>
      </w:r>
      <w:r>
        <w:t xml:space="preserve"> </w:t>
      </w:r>
      <w:r>
        <w:rPr>
          <w:bCs/>
          <w:b/>
        </w:rPr>
        <w:t xml:space="preserve">pas pu être recoupés</w:t>
      </w:r>
      <w:r>
        <w:t xml:space="preserve"> </w:t>
      </w:r>
      <w:r>
        <w:t xml:space="preserve">au-delà du pacte.</w:t>
      </w:r>
    </w:p>
    <w:bookmarkEnd w:id="98"/>
    <w:bookmarkStart w:id="99" w:name="diagnostic-synthétique-5"/>
    <w:p>
      <w:pPr>
        <w:pStyle w:val="Heading3"/>
      </w:pPr>
      <w:r>
        <w:t xml:space="preserve">6. Diagnostic synthétique</w:t>
      </w:r>
    </w:p>
    <w:p>
      <w:pPr>
        <w:numPr>
          <w:ilvl w:val="0"/>
          <w:numId w:val="1048"/>
        </w:numPr>
        <w:pStyle w:val="Compact"/>
      </w:pPr>
      <w:r>
        <w:rPr>
          <w:bCs/>
          <w:b/>
        </w:rPr>
        <w:t xml:space="preserve">Financière : moyenne-faible.</w:t>
      </w:r>
      <w:r>
        <w:t xml:space="preserve"> </w:t>
      </w:r>
      <w:r>
        <w:t xml:space="preserve">L’opérateur privé (CIE) est rentable, mais le secteur porté par CI-ENERGIES reste déficitaire (ratio de 0,91) et dépend de transferts et de restructurations de dette. Les créances à l’export (Mali) pèsent.</w:t>
      </w:r>
    </w:p>
    <w:p>
      <w:pPr>
        <w:numPr>
          <w:ilvl w:val="0"/>
          <w:numId w:val="1048"/>
        </w:numPr>
        <w:pStyle w:val="Compact"/>
      </w:pPr>
      <w:r>
        <w:rPr>
          <w:bCs/>
          <w:b/>
        </w:rPr>
        <w:t xml:space="preserve">Technique : moyenne-forte.</w:t>
      </w:r>
      <w:r>
        <w:t xml:space="preserve"> </w:t>
      </w:r>
      <w:r>
        <w:t xml:space="preserve">Le parc est large (plus de 3 GW), l’accès élevé et les pertes moyennes (environ 16 %), mais la fiabilité se dégrade en 2024-2026.</w:t>
      </w:r>
    </w:p>
    <w:p>
      <w:pPr>
        <w:numPr>
          <w:ilvl w:val="0"/>
          <w:numId w:val="1048"/>
        </w:numPr>
        <w:pStyle w:val="Compact"/>
      </w:pPr>
      <w:r>
        <w:rPr>
          <w:bCs/>
          <w:b/>
        </w:rPr>
        <w:t xml:space="preserve">Gouvernance : moyenne.</w:t>
      </w:r>
      <w:r>
        <w:t xml:space="preserve"> </w:t>
      </w:r>
      <w:r>
        <w:t xml:space="preserve">Le régulateur est bien structuré, l’affermage clair et la CIE cotée, mais CI-ENERGIES publie peu (pas de rapport public récent) et le recours au gré à gré pour les IPP est fréquent.</w:t>
      </w:r>
    </w:p>
    <w:p>
      <w:pPr>
        <w:numPr>
          <w:ilvl w:val="0"/>
          <w:numId w:val="1048"/>
        </w:numPr>
        <w:pStyle w:val="Compact"/>
      </w:pPr>
      <w:r>
        <w:rPr>
          <w:bCs/>
          <w:b/>
        </w:rPr>
        <w:t xml:space="preserve">Causes racines</w:t>
      </w:r>
      <w:r>
        <w:t xml:space="preserve"> </w:t>
      </w:r>
      <w:r>
        <w:t xml:space="preserve">: (1) des tarifs longtemps gelés (environ 69 FCFA/kWh de 2015 à 2022) face à des coûts gaz et IPP en hausse ; (2) des impayés publics et à l’export ; (3) des investissements portés par CI-ENERGIES à crédit, avec dettes rétrocédées.</w:t>
      </w:r>
    </w:p>
    <w:p>
      <w:pPr>
        <w:numPr>
          <w:ilvl w:val="0"/>
          <w:numId w:val="1048"/>
        </w:numPr>
        <w:pStyle w:val="Compact"/>
      </w:pPr>
      <w:r>
        <w:rPr>
          <w:bCs/>
          <w:b/>
        </w:rPr>
        <w:t xml:space="preserve">Phase 3</w:t>
      </w:r>
      <w:r>
        <w:t xml:space="preserve"> </w:t>
      </w:r>
      <w:r>
        <w:t xml:space="preserve">: coût de revient par segment (production IPP, transport, distribution) ; formule de rémunération de la CIE ; impact de la structure tarifaire en préparation ; prix à l’export.</w:t>
      </w:r>
    </w:p>
    <w:bookmarkEnd w:id="99"/>
    <w:bookmarkStart w:id="100" w:name="inconnus-5"/>
    <w:p>
      <w:pPr>
        <w:pStyle w:val="Heading3"/>
      </w:pPr>
      <w:r>
        <w:t xml:space="preserve">7. Inconnus</w:t>
      </w:r>
    </w:p>
    <w:p>
      <w:pPr>
        <w:numPr>
          <w:ilvl w:val="0"/>
          <w:numId w:val="1049"/>
        </w:numPr>
        <w:pStyle w:val="Compact"/>
      </w:pPr>
      <w:r>
        <w:t xml:space="preserve">États financiers 2024-2025 de CI-ENERGIES [?] ; dette totale du secteur à jour [?] ; arriérés EDM actualisés [?].</w:t>
      </w:r>
    </w:p>
    <w:p>
      <w:pPr>
        <w:numPr>
          <w:ilvl w:val="0"/>
          <w:numId w:val="1049"/>
        </w:numPr>
        <w:pStyle w:val="Compact"/>
      </w:pPr>
      <w:r>
        <w:t xml:space="preserve">Taux de recouvrement [?] ; pertes commerciales [?].</w:t>
      </w:r>
    </w:p>
    <w:p>
      <w:pPr>
        <w:numPr>
          <w:ilvl w:val="0"/>
          <w:numId w:val="1049"/>
        </w:numPr>
        <w:pStyle w:val="Compact"/>
      </w:pPr>
      <w:r>
        <w:t xml:space="preserve">Montant de la subvention 2024-2025 [?] ; termes des PPA [?] ; montant final de la garantie REFI [?].</w:t>
      </w:r>
    </w:p>
    <w:bookmarkEnd w:id="100"/>
    <w:bookmarkStart w:id="101" w:name="sources-6"/>
    <w:p>
      <w:pPr>
        <w:pStyle w:val="Heading3"/>
      </w:pPr>
      <w:r>
        <w:t xml:space="preserve">Sources</w:t>
      </w:r>
    </w:p>
    <w:p>
      <w:pPr>
        <w:pStyle w:val="FirstParagraph"/>
      </w:pPr>
      <w:r>
        <w:t xml:space="preserve">[1] FMI,</w:t>
      </w:r>
      <w:r>
        <w:t xml:space="preserve"> </w:t>
      </w:r>
      <w:r>
        <w:rPr>
          <w:iCs/>
          <w:i/>
        </w:rPr>
        <w:t xml:space="preserve">Côte d’Ivoire: Sixth Review Under the EFF and ECF Arrangements and Fifth Review Under the RSF</w:t>
      </w:r>
      <w:r>
        <w:t xml:space="preserve">, IMF Country Report No. 26/171, 10/06/2026 (staff report §17 ; MEFP §44-45 ; annexe PND). https://www.imf.org/-/media/files/publications/cr/2026/english/1civea2026002.pdf</w:t>
      </w:r>
      <w:r>
        <w:t xml:space="preserve"> </w:t>
      </w:r>
      <w:r>
        <w:t xml:space="preserve">[2] Banque mondiale,</w:t>
      </w:r>
      <w:r>
        <w:t xml:space="preserve"> </w:t>
      </w:r>
      <w:r>
        <w:rPr>
          <w:iCs/>
          <w:i/>
        </w:rPr>
        <w:t xml:space="preserve">Program Document — Côte d’Ivoire First Private Investment for Productive Jobs DPF (P510901)</w:t>
      </w:r>
      <w:r>
        <w:t xml:space="preserve">, 05/2026. https://documents.worldbank.org/curated/en/099051426101537931/text/BOSIB-6f8da722-c315-441e-b23f-6010c4781679.txt</w:t>
      </w:r>
      <w:r>
        <w:t xml:space="preserve"> </w:t>
      </w:r>
      <w:r>
        <w:t xml:space="preserve">[3] Banque mondiale,</w:t>
      </w:r>
      <w:r>
        <w:t xml:space="preserve"> </w:t>
      </w:r>
      <w:r>
        <w:rPr>
          <w:iCs/>
          <w:i/>
        </w:rPr>
        <w:t xml:space="preserve">ISR n° 9 — NEDA (P176776)</w:t>
      </w:r>
      <w:r>
        <w:t xml:space="preserve">, 02/10/2026. https://documents.worldbank.org/curated/en/099100226110514513/text/P176776-e86e1031-dee2-414e-9183-ace87bfa0b79.txt</w:t>
      </w:r>
      <w:r>
        <w:t xml:space="preserve"> </w:t>
      </w:r>
      <w:r>
        <w:t xml:space="preserve">[4] Direction générale de l’Économie (MEFB), « Électricité — activités sectorielles », sources MMPE et annuaire CI-ENERGIES, mise à jour du 26/11/2025. https://economie-ivoirienne.ci/activites-sectorielles/electricite.html</w:t>
      </w:r>
      <w:r>
        <w:t xml:space="preserve"> </w:t>
      </w:r>
      <w:r>
        <w:t xml:space="preserve">[5] Résultats 2025 de la CIE (BRVM) : AllAfrica, 26/05/2026, https://fr.allafrica.com/stories/202605260710.html ; Sika Finance, https://www.sikafinance.com/marches/la-cie-propose-un-dividende-brut-de-234-fcfa-par-action-au-titre-de-l-exercice-2025_61872 ; Daba Finance, https://dabafinance.com/en/news/cie-profit-rises-electricity-demand-lifts-revenue</w:t>
      </w:r>
      <w:r>
        <w:t xml:space="preserve"> </w:t>
      </w:r>
      <w:r>
        <w:t xml:space="preserve">[6] Banque mondiale, API Projects v3 (search.worldbank.org/api/v3/projects), consultée le 18/10/2026.</w:t>
      </w:r>
      <w:r>
        <w:t xml:space="preserve"> </w:t>
      </w:r>
      <w:r>
        <w:t xml:space="preserve">[7] Banque mondiale,</w:t>
      </w:r>
      <w:r>
        <w:t xml:space="preserve"> </w:t>
      </w:r>
      <w:r>
        <w:rPr>
          <w:iCs/>
          <w:i/>
        </w:rPr>
        <w:t xml:space="preserve">Program Document — Third Investment for Growth DPF and PBG (P180234)</w:t>
      </w:r>
      <w:r>
        <w:t xml:space="preserve">, 11/2024, https://documents.worldbank.org/curated/en/099111124150025880/text/BOSIB-bb49b060-3555-4e0c-8d57-8efdb2d54f6b.txt ; ISR de 12/2025, https://documents.worldbank.org/curated/en/099121625095526661/text/P180234-dc29362f-ba38-4c8b-9206-bf8a74f31bbf.txt</w:t>
      </w:r>
      <w:r>
        <w:t xml:space="preserve"> </w:t>
      </w:r>
      <w:r>
        <w:t xml:space="preserve">[8] BAD, données IATI (XM-DAC-46002) via d-portal.org, consultées le 18/10/2026.</w:t>
      </w:r>
      <w:r>
        <w:t xml:space="preserve"> </w:t>
      </w:r>
      <w:r>
        <w:t xml:space="preserve">[9] Banque mondiale, PAD</w:t>
      </w:r>
      <w:r>
        <w:t xml:space="preserve"> </w:t>
      </w:r>
      <w:r>
        <w:rPr>
          <w:iCs/>
          <w:i/>
        </w:rPr>
        <w:t xml:space="preserve">Electricity Transmission and Access Project</w:t>
      </w:r>
      <w:r>
        <w:t xml:space="preserve"> </w:t>
      </w:r>
      <w:r>
        <w:t xml:space="preserve">(P157055), 2017 (description de l’affermage CIE). https://documents1.worldbank.org/curated/en/450031491098454445/pdf/COTE-DIVOIRE-PAD-03132017.pdf</w:t>
      </w:r>
      <w:r>
        <w:t xml:space="preserve"> </w:t>
      </w:r>
      <w:r>
        <w:t xml:space="preserve">[10] BAD,</w:t>
      </w:r>
      <w:r>
        <w:t xml:space="preserve"> </w:t>
      </w:r>
      <w:r>
        <w:rPr>
          <w:iCs/>
          <w:i/>
        </w:rPr>
        <w:t xml:space="preserve">Electricity Regulatory Index</w:t>
      </w:r>
      <w:r>
        <w:t xml:space="preserve"> </w:t>
      </w:r>
      <w:r>
        <w:t xml:space="preserve">— fiche Côte d’Ivoire, https://africa-energy-portal.org/eri/country/cote-divoire ; AllAfrica, 22/01/2023 (rapport ANARE 2021), https://fr.allafrica.com/stories/202301220020.html</w:t>
      </w:r>
      <w:r>
        <w:t xml:space="preserve"> </w:t>
      </w:r>
      <w:r>
        <w:t xml:space="preserve">[11] Connection Ivoirienne, 18/05/2023 (dette de CI-ENERGIES) ; même site, 04/01/2024 (déficit 2023). https://connectionivoirienne.net/2023/05/18/ci-energies-traine-toujours-une-dette-de-plus-de-1300-milliards-de-fcfa/</w:t>
      </w:r>
      <w:r>
        <w:t xml:space="preserve"> </w:t>
      </w:r>
      <w:r>
        <w:t xml:space="preserve">[12] Le360 Afrique, « Côte d’Ivoire : un plan d’investissement de 1,2 milliard de dollars pour le renforcement du réseau électrique », 03/2026. https://afrique.le360.ma/economie/cote-divoire-un-plan-dinvestissement-de-12-milliard-de-dollars-pour-le-renforcement-du-reseau_UIDMEPWW7FCMLMG4MRYEPFW57E/</w:t>
      </w:r>
    </w:p>
    <w:p>
      <w:r>
        <w:br w:type="page"/>
      </w:r>
    </w:p>
    <w:bookmarkEnd w:id="101"/>
    <w:bookmarkEnd w:id="102"/>
    <w:bookmarkStart w:id="112" w:name="X5c9568049921f5b2766c4dd4dd2d9cd0f5ab532"/>
    <w:p>
      <w:pPr>
        <w:pStyle w:val="Heading2"/>
      </w:pPr>
      <w:r>
        <w:t xml:space="preserve">Diagnostic opérateur — ENEO / SOCADEL (avec SONATREL) (Cameroun)</w:t>
      </w:r>
    </w:p>
    <w:p>
      <w:pPr>
        <w:pStyle w:val="BlockText"/>
      </w:pPr>
      <w:r>
        <w:t xml:space="preserve">Phase 2 — Mission 300. Statuts :</w:t>
      </w:r>
      <w:r>
        <w:t xml:space="preserve"> </w:t>
      </w:r>
      <w:r>
        <w:rPr>
          <w:bCs/>
          <w:b/>
        </w:rPr>
        <w:t xml:space="preserve">[V]</w:t>
      </w:r>
      <w:r>
        <w:t xml:space="preserve"> </w:t>
      </w:r>
      <w:r>
        <w:t xml:space="preserve">document primaire (états financiers, régulateur, document de projet BM/BAD, FMI)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Pacte : ../../phase1/fiches/CMR_cameroun.md (« (pacte) », [P]). Recherche du 2026-10-18.</w:t>
      </w:r>
    </w:p>
    <w:bookmarkStart w:id="103" w:name="identité-6"/>
    <w:p>
      <w:pPr>
        <w:pStyle w:val="Heading3"/>
      </w:pPr>
      <w:r>
        <w:t xml:space="preserve">0. Identité</w:t>
      </w:r>
    </w:p>
    <w:p>
      <w:pPr>
        <w:numPr>
          <w:ilvl w:val="0"/>
          <w:numId w:val="1050"/>
        </w:numPr>
        <w:pStyle w:val="Compact"/>
      </w:pPr>
      <w:r>
        <w:rPr>
          <w:bCs/>
          <w:b/>
        </w:rPr>
        <w:t xml:space="preserve">Renationalisation achevée</w:t>
      </w:r>
      <w:r>
        <w:t xml:space="preserve"> </w:t>
      </w:r>
      <w:r>
        <w:t xml:space="preserve">: protocole d’achat des parts d’Actis (51 %) signé le</w:t>
      </w:r>
      <w:r>
        <w:t xml:space="preserve"> </w:t>
      </w:r>
      <w:r>
        <w:rPr>
          <w:bCs/>
          <w:b/>
        </w:rPr>
        <w:t xml:space="preserve">19-11-2025</w:t>
      </w:r>
      <w:r>
        <w:t xml:space="preserve"> </w:t>
      </w:r>
      <w:r>
        <w:t xml:space="preserve">[2] [V] ; État porté à 95 % du capital (5 % réservés au personnel) [1] [V][6] [S] ; prix rapporté de 78 Md FCFA (~140 M USD) et clôture les 10 et 17 février 2026 [6] [S]. Par</w:t>
      </w:r>
      <w:r>
        <w:t xml:space="preserve"> </w:t>
      </w:r>
      <w:r>
        <w:rPr>
          <w:bCs/>
          <w:b/>
        </w:rPr>
        <w:t xml:space="preserve">décret du 4 mai 2026</w:t>
      </w:r>
      <w:r>
        <w:t xml:space="preserve">, Energy of Cameroon SA (ENEO) devient la</w:t>
      </w:r>
      <w:r>
        <w:t xml:space="preserve"> </w:t>
      </w:r>
      <w:r>
        <w:rPr>
          <w:bCs/>
          <w:b/>
        </w:rPr>
        <w:t xml:space="preserve">SOCADEL</w:t>
      </w:r>
      <w:r>
        <w:t xml:space="preserve">, société à capital public héritant des actifs et de la concession ; DG nommé le 05-05-2026 (ancien DGA d’ENEO) [6] [S]. L’ISR BM de sept. 2026 parle d’« ENEO (now SOCADEL) » [3] [V].</w:t>
      </w:r>
    </w:p>
    <w:p>
      <w:pPr>
        <w:numPr>
          <w:ilvl w:val="0"/>
          <w:numId w:val="1050"/>
        </w:numPr>
        <w:pStyle w:val="Compact"/>
      </w:pPr>
      <w:r>
        <w:t xml:space="preserve">Périmètre : SOCADEL = production thermique/hydro historique (~1 GW selon Enerdata [6] [S]) + distribution et commercialisation ;</w:t>
      </w:r>
      <w:r>
        <w:t xml:space="preserve"> </w:t>
      </w:r>
      <w:r>
        <w:rPr>
          <w:bCs/>
          <w:b/>
        </w:rPr>
        <w:t xml:space="preserve">SONATREL</w:t>
      </w:r>
      <w:r>
        <w:t xml:space="preserve"> </w:t>
      </w:r>
      <w:r>
        <w:t xml:space="preserve">(société publique, 2018) = transport ; EDC = ouvrages hydro de l’État ; IPP : KPDC et DPDC (Globeleq), NHPC (Nachtigal, 420 MW, en service depuis juin 2024) [4] [V][P].</w:t>
      </w:r>
    </w:p>
    <w:p>
      <w:pPr>
        <w:numPr>
          <w:ilvl w:val="0"/>
          <w:numId w:val="1050"/>
        </w:numPr>
        <w:pStyle w:val="Compact"/>
      </w:pPr>
      <w:r>
        <w:t xml:space="preserve">Régulateur : ARSEL ; fixe le revenu maximal autorisé (MAR) d’ENEO et de SONATREL ; résolutions MAR 2026 émises fin décembre 2025 [3] [V]. Tarifs BT/MT régulés gelés depuis 2012 (pacte) [P].</w:t>
      </w:r>
    </w:p>
    <w:p>
      <w:pPr>
        <w:numPr>
          <w:ilvl w:val="0"/>
          <w:numId w:val="1050"/>
        </w:numPr>
        <w:pStyle w:val="Compact"/>
      </w:pPr>
      <w:r>
        <w:t xml:space="preserve">Derniers comptes publiés : [?] non trouvés en ligne (ni ENEO ni SONATREL). La BM cite « ENEO’s financials » pour les arriérés [4] [V]. Les audits de performance ENEO/SONATREL par l’ARSEL ne sont</w:t>
      </w:r>
      <w:r>
        <w:t xml:space="preserve"> </w:t>
      </w:r>
      <w:r>
        <w:rPr>
          <w:bCs/>
          <w:b/>
        </w:rPr>
        <w:t xml:space="preserve">pas encore publiés</w:t>
      </w:r>
      <w:r>
        <w:t xml:space="preserve"> </w:t>
      </w:r>
      <w:r>
        <w:t xml:space="preserve">(DLI 4 non atteint, juin 2026) [3] [V].</w:t>
      </w:r>
    </w:p>
    <w:bookmarkEnd w:id="103"/>
    <w:bookmarkStart w:id="104" w:name="situation-financière-6"/>
    <w:p>
      <w:pPr>
        <w:pStyle w:val="Heading3"/>
      </w:pPr>
      <w:r>
        <w:t xml:space="preserve">1. Situation financière</w:t>
      </w:r>
    </w:p>
    <w:tbl>
      <w:tblPr>
        <w:tblStyle w:val="Table"/>
        <w:tblW w:type="dxa" w:w="14570"/>
        <w:tblLook w:firstRow="1" w:lastRow="0" w:firstColumn="0" w:lastColumn="0" w:noHBand="0" w:noVBand="0" w:val="0020"/>
        <w:jc w:val="start"/>
      </w:tblPr>
      <w:tblGrid>
        <w:gridCol w:w="3213"/>
        <w:gridCol w:w="7531"/>
        <w:gridCol w:w="1403"/>
        <w:gridCol w:w="1310"/>
        <w:gridCol w:w="1112"/>
      </w:tblGrid>
      <w:tr>
        <w:trPr>
          <w:tblHeader w:val="true"/>
        </w:trPr>
        <w:tc>
          <w:tcPr>
            <w:tcW w:w="3213" w:type="dxa"/>
          </w:tcPr>
          <w:tcPr/>
          <w:p>
            <w:pPr>
              <w:pStyle w:val="Compact"/>
              <w:jc w:val="left"/>
            </w:pPr>
            <w:r>
              <w:t xml:space="preserve">Indicateur</w:t>
            </w:r>
          </w:p>
        </w:tc>
        <w:tc>
          <w:tcPr>
            <w:tcW w:w="7531" w:type="dxa"/>
          </w:tcPr>
          <w:tcPr/>
          <w:p>
            <w:pPr>
              <w:pStyle w:val="Compact"/>
              <w:jc w:val="left"/>
            </w:pPr>
            <w:r>
              <w:t xml:space="preserve">Valeur</w:t>
            </w:r>
          </w:p>
        </w:tc>
        <w:tc>
          <w:tcPr>
            <w:tcW w:w="1403" w:type="dxa"/>
          </w:tcPr>
          <w:tcPr/>
          <w:p>
            <w:pPr>
              <w:pStyle w:val="Compact"/>
              <w:jc w:val="left"/>
            </w:pPr>
            <w:r>
              <w:t xml:space="preserve">Année</w:t>
            </w:r>
          </w:p>
        </w:tc>
        <w:tc>
          <w:tcPr>
            <w:tcW w:w="1310" w:type="dxa"/>
          </w:tcPr>
          <w:tcPr/>
          <w:p>
            <w:pPr>
              <w:pStyle w:val="Compact"/>
              <w:jc w:val="left"/>
            </w:pPr>
            <w:r>
              <w:t xml:space="preserve">Statut</w:t>
            </w:r>
          </w:p>
        </w:tc>
        <w:tc>
          <w:tcPr>
            <w:tcW w:w="1112" w:type="dxa"/>
          </w:tcPr>
          <w:tcPr/>
          <w:p>
            <w:pPr>
              <w:pStyle w:val="Compact"/>
              <w:jc w:val="left"/>
            </w:pPr>
            <w:r>
              <w:t xml:space="preserve">Source</w:t>
            </w:r>
          </w:p>
        </w:tc>
      </w:tr>
      <w:tr>
        <w:tc>
          <w:tcPr>
            <w:tcW w:w="3213" w:type="dxa"/>
          </w:tcPr>
          <w:tcPr/>
          <w:p>
            <w:pPr>
              <w:pStyle w:val="Compact"/>
              <w:jc w:val="left"/>
            </w:pPr>
            <w:r>
              <w:t xml:space="preserve">Chiffre d’affaires</w:t>
            </w:r>
          </w:p>
        </w:tc>
        <w:tc>
          <w:tcPr>
            <w:tcW w:w="7531" w:type="dxa"/>
          </w:tcPr>
          <w:tcPr/>
          <w:p>
            <w:pPr>
              <w:pStyle w:val="Compact"/>
              <w:jc w:val="left"/>
            </w:pPr>
            <w:r>
              <w:t xml:space="preserve">Encaissements ≈</w:t>
            </w:r>
            <w:r>
              <w:t xml:space="preserve"> </w:t>
            </w:r>
            <w:r>
              <w:rPr>
                <w:bCs/>
                <w:b/>
              </w:rPr>
              <w:t xml:space="preserve">31 Md FCFA/mois</w:t>
            </w:r>
            <w:r>
              <w:t xml:space="preserve"> </w:t>
            </w:r>
            <w:r>
              <w:t xml:space="preserve">contre ≈ 44 Md FCFA/mois d’obligations (déficit structurel de trésorerie ≈ 13 Md/mois)</w:t>
            </w:r>
          </w:p>
        </w:tc>
        <w:tc>
          <w:tcPr>
            <w:tcW w:w="1403" w:type="dxa"/>
          </w:tcPr>
          <w:tcPr/>
          <w:p>
            <w:pPr>
              <w:pStyle w:val="Compact"/>
              <w:jc w:val="left"/>
            </w:pPr>
            <w:r>
              <w:t xml:space="preserve">2025-2026</w:t>
            </w:r>
          </w:p>
        </w:tc>
        <w:tc>
          <w:tcPr>
            <w:tcW w:w="1310" w:type="dxa"/>
          </w:tcPr>
          <w:tcPr/>
          <w:p>
            <w:pPr>
              <w:pStyle w:val="Compact"/>
              <w:jc w:val="left"/>
            </w:pPr>
            <w:r>
              <w:t xml:space="preserve">[V]</w:t>
            </w:r>
          </w:p>
        </w:tc>
        <w:tc>
          <w:tcPr>
            <w:tcW w:w="1112" w:type="dxa"/>
          </w:tcPr>
          <w:tcPr/>
          <w:p>
            <w:pPr>
              <w:pStyle w:val="Compact"/>
              <w:jc w:val="left"/>
            </w:pPr>
            <w:r>
              <w:t xml:space="preserve">[1]</w:t>
            </w:r>
          </w:p>
        </w:tc>
      </w:tr>
      <w:tr>
        <w:tc>
          <w:tcPr>
            <w:tcW w:w="3213" w:type="dxa"/>
          </w:tcPr>
          <w:tcPr/>
          <w:p>
            <w:pPr>
              <w:pStyle w:val="Compact"/>
              <w:jc w:val="left"/>
            </w:pPr>
            <w:r>
              <w:t xml:space="preserve">Résultat net</w:t>
            </w:r>
          </w:p>
        </w:tc>
        <w:tc>
          <w:tcPr>
            <w:tcW w:w="7531" w:type="dxa"/>
          </w:tcPr>
          <w:tcPr/>
          <w:p>
            <w:pPr>
              <w:pStyle w:val="Compact"/>
              <w:jc w:val="left"/>
            </w:pPr>
            <w:r>
              <w:t xml:space="preserve">[?] non trouvé ; « détresse financière », « quasi-faillite »</w:t>
            </w:r>
          </w:p>
        </w:tc>
        <w:tc>
          <w:tcPr>
            <w:tcW w:w="1403" w:type="dxa"/>
          </w:tcPr>
          <w:tcPr/>
          <w:p>
            <w:pPr>
              <w:pStyle w:val="Compact"/>
              <w:jc w:val="left"/>
            </w:pPr>
            <w:r>
              <w:t xml:space="preserve">2025</w:t>
            </w:r>
          </w:p>
        </w:tc>
        <w:tc>
          <w:tcPr>
            <w:tcW w:w="1310" w:type="dxa"/>
          </w:tcPr>
          <w:tcPr/>
          <w:p>
            <w:pPr>
              <w:pStyle w:val="Compact"/>
              <w:jc w:val="left"/>
            </w:pPr>
            <w:r>
              <w:t xml:space="preserve">[V]</w:t>
            </w:r>
          </w:p>
        </w:tc>
        <w:tc>
          <w:tcPr>
            <w:tcW w:w="1112" w:type="dxa"/>
          </w:tcPr>
          <w:tcPr/>
          <w:p>
            <w:pPr>
              <w:pStyle w:val="Compact"/>
              <w:jc w:val="left"/>
            </w:pPr>
            <w:r>
              <w:t xml:space="preserve">[4]</w:t>
            </w:r>
          </w:p>
        </w:tc>
      </w:tr>
      <w:tr>
        <w:tc>
          <w:tcPr>
            <w:tcW w:w="3213" w:type="dxa"/>
          </w:tcPr>
          <w:tcPr/>
          <w:p>
            <w:pPr>
              <w:pStyle w:val="Compact"/>
              <w:jc w:val="left"/>
            </w:pPr>
            <w:r>
              <w:t xml:space="preserve">EBITDA</w:t>
            </w:r>
          </w:p>
        </w:tc>
        <w:tc>
          <w:tcPr>
            <w:tcW w:w="7531" w:type="dxa"/>
          </w:tcPr>
          <w:tcPr/>
          <w:p>
            <w:pPr>
              <w:pStyle w:val="Compact"/>
              <w:jc w:val="left"/>
            </w:pPr>
            <w:r>
              <w:t xml:space="preserve">[?]</w:t>
            </w:r>
          </w:p>
        </w:tc>
        <w:tc>
          <w:tcPr>
            <w:tcW w:w="1403" w:type="dxa"/>
          </w:tcPr>
          <w:tcPr/>
          <w:p>
            <w:pPr>
              <w:pStyle w:val="Compact"/>
              <w:jc w:val="left"/>
            </w:pPr>
            <w:r>
              <w:t xml:space="preserve">—</w:t>
            </w:r>
          </w:p>
        </w:tc>
        <w:tc>
          <w:tcPr>
            <w:tcW w:w="1310" w:type="dxa"/>
          </w:tcPr>
          <w:tcPr/>
          <w:p>
            <w:pPr>
              <w:pStyle w:val="Compact"/>
              <w:jc w:val="left"/>
            </w:pPr>
            <w:r>
              <w:t xml:space="preserve">[?]</w:t>
            </w:r>
          </w:p>
        </w:tc>
        <w:tc>
          <w:tcPr>
            <w:tcW w:w="1112" w:type="dxa"/>
          </w:tcPr>
          <w:tcPr/>
          <w:p>
            <w:pPr>
              <w:pStyle w:val="Compact"/>
              <w:jc w:val="left"/>
            </w:pPr>
            <w:r>
              <w:t xml:space="preserve">—</w:t>
            </w:r>
          </w:p>
        </w:tc>
      </w:tr>
      <w:tr>
        <w:tc>
          <w:tcPr>
            <w:tcW w:w="3213" w:type="dxa"/>
          </w:tcPr>
          <w:tcPr/>
          <w:p>
            <w:pPr>
              <w:pStyle w:val="Compact"/>
              <w:jc w:val="left"/>
            </w:pPr>
            <w:r>
              <w:t xml:space="preserve">Dette totale ; fournisseurs</w:t>
            </w:r>
          </w:p>
        </w:tc>
        <w:tc>
          <w:tcPr>
            <w:tcW w:w="7531" w:type="dxa"/>
          </w:tcPr>
          <w:tcPr/>
          <w:p>
            <w:pPr>
              <w:pStyle w:val="Compact"/>
              <w:jc w:val="left"/>
            </w:pPr>
            <w:r>
              <w:t xml:space="preserve">≈ 800 Md FCFA dont ≈ 500 Md fournisseurs (fin 2024) (pacte) ; non recoupé en primaire</w:t>
            </w:r>
          </w:p>
        </w:tc>
        <w:tc>
          <w:tcPr>
            <w:tcW w:w="1403" w:type="dxa"/>
          </w:tcPr>
          <w:tcPr/>
          <w:p>
            <w:pPr>
              <w:pStyle w:val="Compact"/>
              <w:jc w:val="left"/>
            </w:pPr>
            <w:r>
              <w:t xml:space="preserve">2024</w:t>
            </w:r>
          </w:p>
        </w:tc>
        <w:tc>
          <w:tcPr>
            <w:tcW w:w="1310" w:type="dxa"/>
          </w:tcPr>
          <w:tcPr/>
          <w:p>
            <w:pPr>
              <w:pStyle w:val="Compact"/>
              <w:jc w:val="left"/>
            </w:pPr>
            <w:r>
              <w:t xml:space="preserve">[P]</w:t>
            </w:r>
          </w:p>
        </w:tc>
        <w:tc>
          <w:tcPr>
            <w:tcW w:w="1112" w:type="dxa"/>
          </w:tcPr>
          <w:tcPr/>
          <w:p>
            <w:pPr>
              <w:pStyle w:val="Compact"/>
              <w:jc w:val="left"/>
            </w:pPr>
            <w:r>
              <w:t xml:space="preserve">[P]</w:t>
            </w:r>
          </w:p>
        </w:tc>
      </w:tr>
      <w:tr>
        <w:tc>
          <w:tcPr>
            <w:tcW w:w="3213" w:type="dxa"/>
          </w:tcPr>
          <w:tcPr/>
          <w:p>
            <w:pPr>
              <w:pStyle w:val="Compact"/>
              <w:jc w:val="left"/>
            </w:pPr>
            <w:r>
              <w:t xml:space="preserve">Arriérés de l’État et EP</w:t>
            </w:r>
          </w:p>
        </w:tc>
        <w:tc>
          <w:tcPr>
            <w:tcW w:w="7531" w:type="dxa"/>
          </w:tcPr>
          <w:tcPr/>
          <w:p>
            <w:pPr>
              <w:pStyle w:val="Compact"/>
              <w:jc w:val="left"/>
            </w:pPr>
            <w:r>
              <w:rPr>
                <w:bCs/>
                <w:b/>
              </w:rPr>
              <w:t xml:space="preserve">&gt; 700 Md FCFA (&gt; 2,1 % du PIB) fin 2024 selon le FMI</w:t>
            </w:r>
            <w:r>
              <w:t xml:space="preserve"> </w:t>
            </w:r>
            <w:r>
              <w:t xml:space="preserve">; la BM retient 96 Md FCFA (août 2024) pour la seule consommation des administrations/EP — 123 (2020), 108 (2021), 68 (2022), 99 (2023) Md FCFA —, hors réclamations non reconnues par l’État : compensation tarifaire ~161 Md et éclairage public ~73 Md (août 2024)</w:t>
            </w:r>
          </w:p>
        </w:tc>
        <w:tc>
          <w:tcPr>
            <w:tcW w:w="1403" w:type="dxa"/>
          </w:tcPr>
          <w:tcPr/>
          <w:p>
            <w:pPr>
              <w:pStyle w:val="Compact"/>
              <w:jc w:val="left"/>
            </w:pPr>
            <w:r>
              <w:t xml:space="preserve">2020-2024</w:t>
            </w:r>
          </w:p>
        </w:tc>
        <w:tc>
          <w:tcPr>
            <w:tcW w:w="1310" w:type="dxa"/>
          </w:tcPr>
          <w:tcPr/>
          <w:p>
            <w:pPr>
              <w:pStyle w:val="Compact"/>
              <w:jc w:val="left"/>
            </w:pPr>
            <w:r>
              <w:t xml:space="preserve">[V] (périmètres différents)</w:t>
            </w:r>
          </w:p>
        </w:tc>
        <w:tc>
          <w:tcPr>
            <w:tcW w:w="1112" w:type="dxa"/>
          </w:tcPr>
          <w:tcPr/>
          <w:p>
            <w:pPr>
              <w:pStyle w:val="Compact"/>
              <w:jc w:val="left"/>
            </w:pPr>
            <w:r>
              <w:t xml:space="preserve">[1][4]</w:t>
            </w:r>
          </w:p>
        </w:tc>
      </w:tr>
      <w:tr>
        <w:tc>
          <w:tcPr>
            <w:tcW w:w="3213" w:type="dxa"/>
          </w:tcPr>
          <w:tcPr/>
          <w:p>
            <w:pPr>
              <w:pStyle w:val="Compact"/>
              <w:jc w:val="left"/>
            </w:pPr>
            <w:r>
              <w:t xml:space="preserve">Subventions</w:t>
            </w:r>
          </w:p>
        </w:tc>
        <w:tc>
          <w:tcPr>
            <w:tcW w:w="7531" w:type="dxa"/>
          </w:tcPr>
          <w:tcPr/>
          <w:p>
            <w:pPr>
              <w:pStyle w:val="Compact"/>
              <w:jc w:val="left"/>
            </w:pPr>
            <w:r>
              <w:t xml:space="preserve">Compensation tarifaire 67 Md FCFA (2025, pacte) ; coût implicite des prix administrés des EP estimé à 0,2 % du PIB (68 Md FCFA, tous secteurs) ; montant 2026 de compensation estimé par l’ARSEL inscrit en loi de finances</w:t>
            </w:r>
          </w:p>
        </w:tc>
        <w:tc>
          <w:tcPr>
            <w:tcW w:w="1403" w:type="dxa"/>
          </w:tcPr>
          <w:tcPr/>
          <w:p>
            <w:pPr>
              <w:pStyle w:val="Compact"/>
              <w:jc w:val="left"/>
            </w:pPr>
            <w:r>
              <w:t xml:space="preserve">2024-2026</w:t>
            </w:r>
          </w:p>
        </w:tc>
        <w:tc>
          <w:tcPr>
            <w:tcW w:w="1310" w:type="dxa"/>
          </w:tcPr>
          <w:tcPr/>
          <w:p>
            <w:pPr>
              <w:pStyle w:val="Compact"/>
              <w:jc w:val="left"/>
            </w:pPr>
            <w:r>
              <w:t xml:space="preserve">[P] / [V]</w:t>
            </w:r>
          </w:p>
        </w:tc>
        <w:tc>
          <w:tcPr>
            <w:tcW w:w="1112" w:type="dxa"/>
          </w:tcPr>
          <w:tcPr/>
          <w:p>
            <w:pPr>
              <w:pStyle w:val="Compact"/>
              <w:jc w:val="left"/>
            </w:pPr>
            <w:r>
              <w:t xml:space="preserve">[P][1][3]</w:t>
            </w:r>
          </w:p>
        </w:tc>
      </w:tr>
      <w:tr>
        <w:tc>
          <w:tcPr>
            <w:tcW w:w="3213" w:type="dxa"/>
          </w:tcPr>
          <w:tcPr/>
          <w:p>
            <w:pPr>
              <w:pStyle w:val="Compact"/>
              <w:jc w:val="left"/>
            </w:pPr>
            <w:r>
              <w:t xml:space="preserve">Taux de recouvrement</w:t>
            </w:r>
          </w:p>
        </w:tc>
        <w:tc>
          <w:tcPr>
            <w:tcW w:w="7531" w:type="dxa"/>
          </w:tcPr>
          <w:tcPr/>
          <w:p>
            <w:pPr>
              <w:pStyle w:val="Compact"/>
              <w:jc w:val="left"/>
            </w:pPr>
            <w:r>
              <w:t xml:space="preserve">72 % (pacte) ; [?] non recoupé</w:t>
            </w:r>
          </w:p>
        </w:tc>
        <w:tc>
          <w:tcPr>
            <w:tcW w:w="1403" w:type="dxa"/>
          </w:tcPr>
          <w:tcPr/>
          <w:p>
            <w:pPr>
              <w:pStyle w:val="Compact"/>
              <w:jc w:val="left"/>
            </w:pPr>
            <w:r>
              <w:t xml:space="preserve">~2024</w:t>
            </w:r>
          </w:p>
        </w:tc>
        <w:tc>
          <w:tcPr>
            <w:tcW w:w="1310" w:type="dxa"/>
          </w:tcPr>
          <w:tcPr/>
          <w:p>
            <w:pPr>
              <w:pStyle w:val="Compact"/>
              <w:jc w:val="left"/>
            </w:pPr>
            <w:r>
              <w:t xml:space="preserve">[P]</w:t>
            </w:r>
          </w:p>
        </w:tc>
        <w:tc>
          <w:tcPr>
            <w:tcW w:w="1112" w:type="dxa"/>
          </w:tcPr>
          <w:tcPr/>
          <w:p>
            <w:pPr>
              <w:pStyle w:val="Compact"/>
              <w:jc w:val="left"/>
            </w:pPr>
            <w:r>
              <w:t xml:space="preserve">[P]</w:t>
            </w:r>
          </w:p>
        </w:tc>
      </w:tr>
      <w:tr>
        <w:tc>
          <w:tcPr>
            <w:tcW w:w="3213" w:type="dxa"/>
          </w:tcPr>
          <w:tcPr/>
          <w:p>
            <w:pPr>
              <w:pStyle w:val="Compact"/>
              <w:jc w:val="left"/>
            </w:pPr>
            <w:r>
              <w:t xml:space="preserve">Écart de revenu MAR vs recettes tarifaires</w:t>
            </w:r>
          </w:p>
        </w:tc>
        <w:tc>
          <w:tcPr>
            <w:tcW w:w="7531" w:type="dxa"/>
          </w:tcPr>
          <w:tcPr/>
          <w:p>
            <w:pPr>
              <w:pStyle w:val="Compact"/>
              <w:jc w:val="left"/>
            </w:pPr>
            <w:r>
              <w:rPr>
                <w:bCs/>
                <w:b/>
              </w:rPr>
              <w:t xml:space="preserve">9,5 % du MAR (juil. 2022), inchangé en juin 2026</w:t>
            </w:r>
            <w:r>
              <w:t xml:space="preserve">, cible 5 % fin 2027 (DLI 1 « off-track »)</w:t>
            </w:r>
          </w:p>
        </w:tc>
        <w:tc>
          <w:tcPr>
            <w:tcW w:w="1403" w:type="dxa"/>
          </w:tcPr>
          <w:tcPr/>
          <w:p>
            <w:pPr>
              <w:pStyle w:val="Compact"/>
              <w:jc w:val="left"/>
            </w:pPr>
            <w:r>
              <w:t xml:space="preserve">2022-2026</w:t>
            </w:r>
          </w:p>
        </w:tc>
        <w:tc>
          <w:tcPr>
            <w:tcW w:w="1310" w:type="dxa"/>
          </w:tcPr>
          <w:tcPr/>
          <w:p>
            <w:pPr>
              <w:pStyle w:val="Compact"/>
              <w:jc w:val="left"/>
            </w:pPr>
            <w:r>
              <w:t xml:space="preserve">[V]</w:t>
            </w:r>
          </w:p>
        </w:tc>
        <w:tc>
          <w:tcPr>
            <w:tcW w:w="1112" w:type="dxa"/>
          </w:tcPr>
          <w:tcPr/>
          <w:p>
            <w:pPr>
              <w:pStyle w:val="Compact"/>
              <w:jc w:val="left"/>
            </w:pPr>
            <w:r>
              <w:t xml:space="preserve">[3]</w:t>
            </w:r>
          </w:p>
        </w:tc>
      </w:tr>
      <w:tr>
        <w:tc>
          <w:tcPr>
            <w:tcW w:w="3213" w:type="dxa"/>
          </w:tcPr>
          <w:tcPr/>
          <w:p>
            <w:pPr>
              <w:pStyle w:val="Compact"/>
              <w:jc w:val="left"/>
            </w:pPr>
            <w:r>
              <w:t xml:space="preserve">Déficit quasi-budgétaire / risque</w:t>
            </w:r>
          </w:p>
        </w:tc>
        <w:tc>
          <w:tcPr>
            <w:tcW w:w="7531" w:type="dxa"/>
          </w:tcPr>
          <w:tcPr/>
          <w:p>
            <w:pPr>
              <w:pStyle w:val="Compact"/>
              <w:jc w:val="left"/>
            </w:pPr>
            <w:r>
              <w:t xml:space="preserve">Chaque mois de retard du rachat d’Actis coûtait 10-15 Md FCFA à l’État ; Nachtigal ajoute ≥ 10 Md FCFA/mois de facture ;</w:t>
            </w:r>
            <w:r>
              <w:t xml:space="preserve"> </w:t>
            </w:r>
            <w:r>
              <w:rPr>
                <w:bCs/>
                <w:b/>
              </w:rPr>
              <w:t xml:space="preserve">lettre de crédit garantie BM (Nachtigal) tirée à &gt; 85 M EUR (56 Md FCFA)</w:t>
            </w:r>
            <w:r>
              <w:t xml:space="preserve">, à reconstituer ; budget 2026 : 135 Md FCFA de prises de participation/réhabilitation, surtout pour ENEO</w:t>
            </w:r>
          </w:p>
        </w:tc>
        <w:tc>
          <w:tcPr>
            <w:tcW w:w="1403" w:type="dxa"/>
          </w:tcPr>
          <w:tcPr/>
          <w:p>
            <w:pPr>
              <w:pStyle w:val="Compact"/>
              <w:jc w:val="left"/>
            </w:pPr>
            <w:r>
              <w:t xml:space="preserve">2025-2026</w:t>
            </w:r>
          </w:p>
        </w:tc>
        <w:tc>
          <w:tcPr>
            <w:tcW w:w="1310" w:type="dxa"/>
          </w:tcPr>
          <w:tcPr/>
          <w:p>
            <w:pPr>
              <w:pStyle w:val="Compact"/>
              <w:jc w:val="left"/>
            </w:pPr>
            <w:r>
              <w:t xml:space="preserve">[V]</w:t>
            </w:r>
          </w:p>
        </w:tc>
        <w:tc>
          <w:tcPr>
            <w:tcW w:w="1112" w:type="dxa"/>
          </w:tcPr>
          <w:tcPr/>
          <w:p>
            <w:pPr>
              <w:pStyle w:val="Compact"/>
              <w:jc w:val="left"/>
            </w:pPr>
            <w:r>
              <w:t xml:space="preserve">[4][2][1]</w:t>
            </w:r>
          </w:p>
        </w:tc>
      </w:tr>
      <w:tr>
        <w:tc>
          <w:tcPr>
            <w:tcW w:w="3213" w:type="dxa"/>
          </w:tcPr>
          <w:tcPr/>
          <w:p>
            <w:pPr>
              <w:pStyle w:val="Compact"/>
              <w:jc w:val="left"/>
            </w:pPr>
            <w:r>
              <w:t xml:space="preserve">Notation</w:t>
            </w:r>
          </w:p>
        </w:tc>
        <w:tc>
          <w:tcPr>
            <w:tcW w:w="7531" w:type="dxa"/>
          </w:tcPr>
          <w:tcPr/>
          <w:p>
            <w:pPr>
              <w:pStyle w:val="Compact"/>
              <w:jc w:val="left"/>
            </w:pPr>
            <w:r>
              <w:t xml:space="preserve">Aucune</w:t>
            </w:r>
          </w:p>
        </w:tc>
        <w:tc>
          <w:tcPr>
            <w:tcW w:w="1403" w:type="dxa"/>
          </w:tcPr>
          <w:tcPr/>
          <w:p>
            <w:pPr>
              <w:pStyle w:val="Compact"/>
              <w:jc w:val="left"/>
            </w:pPr>
            <w:r>
              <w:t xml:space="preserve">—</w:t>
            </w:r>
          </w:p>
        </w:tc>
        <w:tc>
          <w:tcPr>
            <w:tcW w:w="1310" w:type="dxa"/>
          </w:tcPr>
          <w:tcPr/>
          <w:p>
            <w:pPr>
              <w:pStyle w:val="Compact"/>
              <w:jc w:val="left"/>
            </w:pPr>
            <w:r>
              <w:t xml:space="preserve">—</w:t>
            </w:r>
          </w:p>
        </w:tc>
        <w:tc>
          <w:tcPr>
            <w:tcW w:w="1112" w:type="dxa"/>
          </w:tcPr>
          <w:tcPr/>
          <w:p>
            <w:pPr>
              <w:pStyle w:val="Compact"/>
              <w:jc w:val="left"/>
            </w:pPr>
            <w:r>
              <w:t xml:space="preserve">—</w:t>
            </w:r>
          </w:p>
        </w:tc>
      </w:tr>
    </w:tbl>
    <w:bookmarkEnd w:id="104"/>
    <w:bookmarkStart w:id="105" w:name="situation-technique-6"/>
    <w:p>
      <w:pPr>
        <w:pStyle w:val="Heading3"/>
      </w:pPr>
      <w:r>
        <w:t xml:space="preserve">2. Situation technique</w:t>
      </w:r>
    </w:p>
    <w:tbl>
      <w:tblPr>
        <w:tblStyle w:val="Table"/>
        <w:tblW w:type="dxa" w:w="14570"/>
        <w:tblLook w:firstRow="1" w:lastRow="0" w:firstColumn="0" w:lastColumn="0" w:noHBand="0" w:noVBand="0" w:val="0020"/>
        <w:jc w:val="start"/>
      </w:tblPr>
      <w:tblGrid>
        <w:gridCol w:w="2254"/>
        <w:gridCol w:w="8472"/>
        <w:gridCol w:w="1337"/>
        <w:gridCol w:w="1260"/>
        <w:gridCol w:w="1246"/>
      </w:tblGrid>
      <w:tr>
        <w:trPr>
          <w:tblHeader w:val="true"/>
        </w:trPr>
        <w:tc>
          <w:tcPr>
            <w:tcW w:w="2254" w:type="dxa"/>
          </w:tcPr>
          <w:tcPr/>
          <w:p>
            <w:pPr>
              <w:pStyle w:val="Compact"/>
              <w:jc w:val="left"/>
            </w:pPr>
            <w:r>
              <w:t xml:space="preserve">Indicateur</w:t>
            </w:r>
          </w:p>
        </w:tc>
        <w:tc>
          <w:tcPr>
            <w:tcW w:w="8472" w:type="dxa"/>
          </w:tcPr>
          <w:tcPr/>
          <w:p>
            <w:pPr>
              <w:pStyle w:val="Compact"/>
              <w:jc w:val="left"/>
            </w:pPr>
            <w:r>
              <w:t xml:space="preserve">Valeur</w:t>
            </w:r>
          </w:p>
        </w:tc>
        <w:tc>
          <w:tcPr>
            <w:tcW w:w="1337" w:type="dxa"/>
          </w:tcPr>
          <w:tcPr/>
          <w:p>
            <w:pPr>
              <w:pStyle w:val="Compact"/>
              <w:jc w:val="left"/>
            </w:pPr>
            <w:r>
              <w:t xml:space="preserve">Année</w:t>
            </w:r>
          </w:p>
        </w:tc>
        <w:tc>
          <w:tcPr>
            <w:tcW w:w="1260" w:type="dxa"/>
          </w:tcPr>
          <w:tcPr/>
          <w:p>
            <w:pPr>
              <w:pStyle w:val="Compact"/>
              <w:jc w:val="left"/>
            </w:pPr>
            <w:r>
              <w:t xml:space="preserve">Statut</w:t>
            </w:r>
          </w:p>
        </w:tc>
        <w:tc>
          <w:tcPr>
            <w:tcW w:w="1246" w:type="dxa"/>
          </w:tcPr>
          <w:tcPr/>
          <w:p>
            <w:pPr>
              <w:pStyle w:val="Compact"/>
              <w:jc w:val="left"/>
            </w:pPr>
            <w:r>
              <w:t xml:space="preserve">Source</w:t>
            </w:r>
          </w:p>
        </w:tc>
      </w:tr>
      <w:tr>
        <w:tc>
          <w:tcPr>
            <w:tcW w:w="2254" w:type="dxa"/>
          </w:tcPr>
          <w:tcPr/>
          <w:p>
            <w:pPr>
              <w:pStyle w:val="Compact"/>
              <w:jc w:val="left"/>
            </w:pPr>
            <w:r>
              <w:t xml:space="preserve">Capacité</w:t>
            </w:r>
          </w:p>
        </w:tc>
        <w:tc>
          <w:tcPr>
            <w:tcW w:w="8472" w:type="dxa"/>
          </w:tcPr>
          <w:tcPr/>
          <w:p>
            <w:pPr>
              <w:pStyle w:val="Compact"/>
              <w:jc w:val="left"/>
            </w:pPr>
            <w:r>
              <w:t xml:space="preserve">2 011 MW installés / 1 727 disponibles (pacte) ; Nachtigal en service mais l’offre effective n’a pas augmenté faute de capacités de transport et distribution</w:t>
            </w:r>
          </w:p>
        </w:tc>
        <w:tc>
          <w:tcPr>
            <w:tcW w:w="1337" w:type="dxa"/>
          </w:tcPr>
          <w:tcPr/>
          <w:p>
            <w:pPr>
              <w:pStyle w:val="Compact"/>
              <w:jc w:val="left"/>
            </w:pPr>
            <w:r>
              <w:t xml:space="preserve">2024-2026</w:t>
            </w:r>
          </w:p>
        </w:tc>
        <w:tc>
          <w:tcPr>
            <w:tcW w:w="1260" w:type="dxa"/>
          </w:tcPr>
          <w:tcPr/>
          <w:p>
            <w:pPr>
              <w:pStyle w:val="Compact"/>
              <w:jc w:val="left"/>
            </w:pPr>
            <w:r>
              <w:t xml:space="preserve">[P]/[V]</w:t>
            </w:r>
          </w:p>
        </w:tc>
        <w:tc>
          <w:tcPr>
            <w:tcW w:w="1246" w:type="dxa"/>
          </w:tcPr>
          <w:tcPr/>
          <w:p>
            <w:pPr>
              <w:pStyle w:val="Compact"/>
              <w:jc w:val="left"/>
            </w:pPr>
            <w:r>
              <w:t xml:space="preserve">[P][1]</w:t>
            </w:r>
          </w:p>
        </w:tc>
      </w:tr>
      <w:tr>
        <w:tc>
          <w:tcPr>
            <w:tcW w:w="2254" w:type="dxa"/>
          </w:tcPr>
          <w:tcPr/>
          <w:p>
            <w:pPr>
              <w:pStyle w:val="Compact"/>
              <w:jc w:val="left"/>
            </w:pPr>
            <w:r>
              <w:t xml:space="preserve">Pertes</w:t>
            </w:r>
          </w:p>
        </w:tc>
        <w:tc>
          <w:tcPr>
            <w:tcW w:w="8472" w:type="dxa"/>
          </w:tcPr>
          <w:tcPr/>
          <w:p>
            <w:pPr>
              <w:pStyle w:val="Compact"/>
              <w:jc w:val="left"/>
            </w:pPr>
            <w:r>
              <w:t xml:space="preserve">14 % techniques + 14 % commerciales (2023, pacte) ; [?] non recoupé</w:t>
            </w:r>
          </w:p>
        </w:tc>
        <w:tc>
          <w:tcPr>
            <w:tcW w:w="1337" w:type="dxa"/>
          </w:tcPr>
          <w:tcPr/>
          <w:p>
            <w:pPr>
              <w:pStyle w:val="Compact"/>
              <w:jc w:val="left"/>
            </w:pPr>
            <w:r>
              <w:t xml:space="preserve">2023</w:t>
            </w:r>
          </w:p>
        </w:tc>
        <w:tc>
          <w:tcPr>
            <w:tcW w:w="1260" w:type="dxa"/>
          </w:tcPr>
          <w:tcPr/>
          <w:p>
            <w:pPr>
              <w:pStyle w:val="Compact"/>
              <w:jc w:val="left"/>
            </w:pPr>
            <w:r>
              <w:t xml:space="preserve">[P]</w:t>
            </w:r>
          </w:p>
        </w:tc>
        <w:tc>
          <w:tcPr>
            <w:tcW w:w="1246" w:type="dxa"/>
          </w:tcPr>
          <w:tcPr/>
          <w:p>
            <w:pPr>
              <w:pStyle w:val="Compact"/>
              <w:jc w:val="left"/>
            </w:pPr>
            <w:r>
              <w:t xml:space="preserve">[P]</w:t>
            </w:r>
          </w:p>
        </w:tc>
      </w:tr>
      <w:tr>
        <w:tc>
          <w:tcPr>
            <w:tcW w:w="2254" w:type="dxa"/>
          </w:tcPr>
          <w:tcPr/>
          <w:p>
            <w:pPr>
              <w:pStyle w:val="Compact"/>
              <w:jc w:val="left"/>
            </w:pPr>
            <w:r>
              <w:t xml:space="preserve">SAIDI/SAIFI</w:t>
            </w:r>
          </w:p>
        </w:tc>
        <w:tc>
          <w:tcPr>
            <w:tcW w:w="8472" w:type="dxa"/>
          </w:tcPr>
          <w:tcPr/>
          <w:p>
            <w:pPr>
              <w:pStyle w:val="Compact"/>
              <w:jc w:val="left"/>
            </w:pPr>
            <w:r>
              <w:t xml:space="preserve">[?] non trouvé</w:t>
            </w:r>
          </w:p>
        </w:tc>
        <w:tc>
          <w:tcPr>
            <w:tcW w:w="1337" w:type="dxa"/>
          </w:tcPr>
          <w:tcPr/>
          <w:p>
            <w:pPr>
              <w:pStyle w:val="Compact"/>
              <w:jc w:val="left"/>
            </w:pPr>
            <w:r>
              <w:t xml:space="preserve">—</w:t>
            </w:r>
          </w:p>
        </w:tc>
        <w:tc>
          <w:tcPr>
            <w:tcW w:w="1260" w:type="dxa"/>
          </w:tcPr>
          <w:tcPr/>
          <w:p>
            <w:pPr>
              <w:pStyle w:val="Compact"/>
              <w:jc w:val="left"/>
            </w:pPr>
            <w:r>
              <w:t xml:space="preserve">[?]</w:t>
            </w:r>
          </w:p>
        </w:tc>
        <w:tc>
          <w:tcPr>
            <w:tcW w:w="1246" w:type="dxa"/>
          </w:tcPr>
          <w:tcPr/>
          <w:p>
            <w:pPr>
              <w:pStyle w:val="Compact"/>
              <w:jc w:val="left"/>
            </w:pPr>
            <w:r>
              <w:t xml:space="preserve">—</w:t>
            </w:r>
          </w:p>
        </w:tc>
      </w:tr>
      <w:tr>
        <w:tc>
          <w:tcPr>
            <w:tcW w:w="2254" w:type="dxa"/>
          </w:tcPr>
          <w:tcPr/>
          <w:p>
            <w:pPr>
              <w:pStyle w:val="Compact"/>
              <w:jc w:val="left"/>
            </w:pPr>
            <w:r>
              <w:t xml:space="preserve">Clients / comptage</w:t>
            </w:r>
          </w:p>
        </w:tc>
        <w:tc>
          <w:tcPr>
            <w:tcW w:w="8472" w:type="dxa"/>
          </w:tcPr>
          <w:tcPr/>
          <w:p>
            <w:pPr>
              <w:pStyle w:val="Compact"/>
              <w:jc w:val="left"/>
            </w:pPr>
            <w:r>
              <w:t xml:space="preserve">~2 M d’abonnés, 641 644 prépayés (pacte) ; PforR : 95 000 compteurs AMI achetés, pose à partir du T4 2026 ; 15 000 compteurs intelligents pour les bâtiments publics (0 posé, juin 2026) ; 150 000 lampadaires à compter (0)</w:t>
            </w:r>
          </w:p>
        </w:tc>
        <w:tc>
          <w:tcPr>
            <w:tcW w:w="1337" w:type="dxa"/>
          </w:tcPr>
          <w:tcPr/>
          <w:p>
            <w:pPr>
              <w:pStyle w:val="Compact"/>
              <w:jc w:val="left"/>
            </w:pPr>
            <w:r>
              <w:t xml:space="preserve">2026</w:t>
            </w:r>
          </w:p>
        </w:tc>
        <w:tc>
          <w:tcPr>
            <w:tcW w:w="1260" w:type="dxa"/>
          </w:tcPr>
          <w:tcPr/>
          <w:p>
            <w:pPr>
              <w:pStyle w:val="Compact"/>
              <w:jc w:val="left"/>
            </w:pPr>
            <w:r>
              <w:t xml:space="preserve">[V]</w:t>
            </w:r>
          </w:p>
        </w:tc>
        <w:tc>
          <w:tcPr>
            <w:tcW w:w="1246" w:type="dxa"/>
          </w:tcPr>
          <w:tcPr/>
          <w:p>
            <w:pPr>
              <w:pStyle w:val="Compact"/>
              <w:jc w:val="left"/>
            </w:pPr>
            <w:r>
              <w:t xml:space="preserve">[3][P]</w:t>
            </w:r>
          </w:p>
        </w:tc>
      </w:tr>
      <w:tr>
        <w:tc>
          <w:tcPr>
            <w:tcW w:w="2254" w:type="dxa"/>
          </w:tcPr>
          <w:tcPr/>
          <w:p>
            <w:pPr>
              <w:pStyle w:val="Compact"/>
              <w:jc w:val="left"/>
            </w:pPr>
            <w:r>
              <w:t xml:space="preserve">Mix</w:t>
            </w:r>
          </w:p>
        </w:tc>
        <w:tc>
          <w:tcPr>
            <w:tcW w:w="8472" w:type="dxa"/>
          </w:tcPr>
          <w:tcPr/>
          <w:p>
            <w:pPr>
              <w:pStyle w:val="Compact"/>
              <w:jc w:val="left"/>
            </w:pPr>
            <w:r>
              <w:t xml:space="preserve">~70 % hydro en capacité (pacte)</w:t>
            </w:r>
          </w:p>
        </w:tc>
        <w:tc>
          <w:tcPr>
            <w:tcW w:w="1337" w:type="dxa"/>
          </w:tcPr>
          <w:tcPr/>
          <w:p>
            <w:pPr>
              <w:pStyle w:val="Compact"/>
              <w:jc w:val="left"/>
            </w:pPr>
            <w:r>
              <w:t xml:space="preserve">2025</w:t>
            </w:r>
          </w:p>
        </w:tc>
        <w:tc>
          <w:tcPr>
            <w:tcW w:w="1260" w:type="dxa"/>
          </w:tcPr>
          <w:tcPr/>
          <w:p>
            <w:pPr>
              <w:pStyle w:val="Compact"/>
              <w:jc w:val="left"/>
            </w:pPr>
            <w:r>
              <w:t xml:space="preserve">[P]</w:t>
            </w:r>
          </w:p>
        </w:tc>
        <w:tc>
          <w:tcPr>
            <w:tcW w:w="1246" w:type="dxa"/>
          </w:tcPr>
          <w:tcPr/>
          <w:p>
            <w:pPr>
              <w:pStyle w:val="Compact"/>
              <w:jc w:val="left"/>
            </w:pPr>
            <w:r>
              <w:t xml:space="preserve">[P]</w:t>
            </w:r>
          </w:p>
        </w:tc>
      </w:tr>
      <w:tr>
        <w:tc>
          <w:tcPr>
            <w:tcW w:w="2254" w:type="dxa"/>
          </w:tcPr>
          <w:tcPr/>
          <w:p>
            <w:pPr>
              <w:pStyle w:val="Compact"/>
              <w:jc w:val="left"/>
            </w:pPr>
            <w:r>
              <w:t xml:space="preserve">Transport</w:t>
            </w:r>
          </w:p>
        </w:tc>
        <w:tc>
          <w:tcPr>
            <w:tcW w:w="8472" w:type="dxa"/>
          </w:tcPr>
          <w:tcPr/>
          <w:p>
            <w:pPr>
              <w:pStyle w:val="Compact"/>
              <w:jc w:val="left"/>
            </w:pPr>
            <w:r>
              <w:t xml:space="preserve">Capacité de transformation SONATREL 2 898 000 kVA (2023) → 3 084 000 kVA (juin 2026), cible 3 136 900</w:t>
            </w:r>
          </w:p>
        </w:tc>
        <w:tc>
          <w:tcPr>
            <w:tcW w:w="1337" w:type="dxa"/>
          </w:tcPr>
          <w:tcPr/>
          <w:p>
            <w:pPr>
              <w:pStyle w:val="Compact"/>
              <w:jc w:val="left"/>
            </w:pPr>
            <w:r>
              <w:t xml:space="preserve">2026</w:t>
            </w:r>
          </w:p>
        </w:tc>
        <w:tc>
          <w:tcPr>
            <w:tcW w:w="1260" w:type="dxa"/>
          </w:tcPr>
          <w:tcPr/>
          <w:p>
            <w:pPr>
              <w:pStyle w:val="Compact"/>
              <w:jc w:val="left"/>
            </w:pPr>
            <w:r>
              <w:t xml:space="preserve">[V]</w:t>
            </w:r>
          </w:p>
        </w:tc>
        <w:tc>
          <w:tcPr>
            <w:tcW w:w="1246" w:type="dxa"/>
          </w:tcPr>
          <w:tcPr/>
          <w:p>
            <w:pPr>
              <w:pStyle w:val="Compact"/>
              <w:jc w:val="left"/>
            </w:pPr>
            <w:r>
              <w:t xml:space="preserve">[3]</w:t>
            </w:r>
          </w:p>
        </w:tc>
      </w:tr>
    </w:tbl>
    <w:bookmarkEnd w:id="105"/>
    <w:bookmarkStart w:id="106" w:name="situation-économique-et-gouvernance-6"/>
    <w:p>
      <w:pPr>
        <w:pStyle w:val="Heading3"/>
      </w:pPr>
      <w:r>
        <w:t xml:space="preserve">3. Situation économique et gouvernance</w:t>
      </w:r>
    </w:p>
    <w:p>
      <w:pPr>
        <w:numPr>
          <w:ilvl w:val="0"/>
          <w:numId w:val="1051"/>
        </w:numPr>
        <w:pStyle w:val="Compact"/>
      </w:pPr>
      <w:r>
        <w:t xml:space="preserve">PPA : contrats « take-or-pay » de Nachtigal et des centrales Globeleq (Kribi, Dibamba) garantis par la BM/MIGA ; « défauts répétés de paiement d’ENEO et de l’État vis-à-vis de NHPC » [2] [V] ; le take-or-pay de Nachtigal « pèsera sur le budget tant que les contraintes de transport empêchent l’utilisation » [1] [V].</w:t>
      </w:r>
    </w:p>
    <w:p>
      <w:pPr>
        <w:numPr>
          <w:ilvl w:val="0"/>
          <w:numId w:val="1051"/>
        </w:numPr>
        <w:pStyle w:val="Compact"/>
      </w:pPr>
      <w:r>
        <w:t xml:space="preserve">Change et combustible : [?] détail non trouvé (PPA Nachtigal en devises probables [E]).</w:t>
      </w:r>
    </w:p>
    <w:p>
      <w:pPr>
        <w:numPr>
          <w:ilvl w:val="0"/>
          <w:numId w:val="1051"/>
        </w:numPr>
        <w:pStyle w:val="Compact"/>
      </w:pPr>
      <w:r>
        <w:t xml:space="preserve">Plan de redressement : étude du plan de redressement d’ENEO reportée au T1 2026 [2] [V] ; feuille de route sectorielle à valider fin janvier 2026 [2] [V] ; statut [?].</w:t>
      </w:r>
    </w:p>
    <w:p>
      <w:pPr>
        <w:numPr>
          <w:ilvl w:val="0"/>
          <w:numId w:val="1051"/>
        </w:numPr>
        <w:pStyle w:val="Compact"/>
      </w:pPr>
      <w:r>
        <w:t xml:space="preserve">Gouvernance : la DPF3 (BM) prévoit comme déclencheur un recrutement</w:t>
      </w:r>
      <w:r>
        <w:t xml:space="preserve"> </w:t>
      </w:r>
      <w:r>
        <w:rPr>
          <w:bCs/>
          <w:b/>
        </w:rPr>
        <w:t xml:space="preserve">compétitif</w:t>
      </w:r>
      <w:r>
        <w:t xml:space="preserve"> </w:t>
      </w:r>
      <w:r>
        <w:t xml:space="preserve">du DG, du PCA et de deux administrateurs indépendants ; or la nomination du DG de SOCADEL (mai 2026) a été faite par le conseil présidé par le ministre de l’Eau et de l’Énergie [4] [V][6] [S] — conformité au déclencheur [?]. FMI : la renationalisation « accroît l’exposition de l’État », gouvernance des EP faible (mandats expirés) [1] [V].</w:t>
      </w:r>
    </w:p>
    <w:bookmarkEnd w:id="106"/>
    <w:bookmarkStart w:id="107" w:name="X27aa62e5ed06cbf2c82a79c293b40bafb3b7a5b"/>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058"/>
        <w:gridCol w:w="927"/>
        <w:gridCol w:w="1749"/>
        <w:gridCol w:w="1094"/>
        <w:gridCol w:w="2655"/>
        <w:gridCol w:w="2740"/>
        <w:gridCol w:w="1648"/>
        <w:gridCol w:w="695"/>
      </w:tblGrid>
      <w:tr>
        <w:trPr>
          <w:tblHeader w:val="true"/>
        </w:trPr>
        <w:tc>
          <w:tcPr>
            <w:tcW w:w="3058" w:type="dxa"/>
          </w:tcPr>
          <w:tcPr/>
          <w:p>
            <w:pPr>
              <w:pStyle w:val="Compact"/>
              <w:jc w:val="left"/>
            </w:pPr>
            <w:r>
              <w:t xml:space="preserve">Programme / projet</w:t>
            </w:r>
          </w:p>
        </w:tc>
        <w:tc>
          <w:tcPr>
            <w:tcW w:w="927" w:type="dxa"/>
          </w:tcPr>
          <w:tcPr/>
          <w:p>
            <w:pPr>
              <w:pStyle w:val="Compact"/>
              <w:jc w:val="left"/>
            </w:pPr>
            <w:r>
              <w:t xml:space="preserve">Bailleur</w:t>
            </w:r>
          </w:p>
        </w:tc>
        <w:tc>
          <w:tcPr>
            <w:tcW w:w="1749" w:type="dxa"/>
          </w:tcPr>
          <w:tcPr/>
          <w:p>
            <w:pPr>
              <w:pStyle w:val="Compact"/>
              <w:jc w:val="left"/>
            </w:pPr>
            <w:r>
              <w:t xml:space="preserve">Montant</w:t>
            </w:r>
          </w:p>
        </w:tc>
        <w:tc>
          <w:tcPr>
            <w:tcW w:w="1094" w:type="dxa"/>
          </w:tcPr>
          <w:tcPr/>
          <w:p>
            <w:pPr>
              <w:pStyle w:val="Compact"/>
              <w:jc w:val="left"/>
            </w:pPr>
            <w:r>
              <w:t xml:space="preserve">Années</w:t>
            </w:r>
          </w:p>
        </w:tc>
        <w:tc>
          <w:tcPr>
            <w:tcW w:w="2655" w:type="dxa"/>
          </w:tcPr>
          <w:tcPr/>
          <w:p>
            <w:pPr>
              <w:pStyle w:val="Compact"/>
              <w:jc w:val="left"/>
            </w:pPr>
            <w:r>
              <w:t xml:space="preserve">Objectifs liés à l’opérateur</w:t>
            </w:r>
          </w:p>
        </w:tc>
        <w:tc>
          <w:tcPr>
            <w:tcW w:w="2740" w:type="dxa"/>
          </w:tcPr>
          <w:tcPr/>
          <w:p>
            <w:pPr>
              <w:pStyle w:val="Compact"/>
              <w:jc w:val="left"/>
            </w:pPr>
            <w:r>
              <w:t xml:space="preserve">Conditions/indicateurs</w:t>
            </w:r>
          </w:p>
        </w:tc>
        <w:tc>
          <w:tcPr>
            <w:tcW w:w="1648" w:type="dxa"/>
          </w:tcPr>
          <w:tcPr/>
          <w:p>
            <w:pPr>
              <w:pStyle w:val="Compact"/>
              <w:jc w:val="left"/>
            </w:pPr>
            <w:r>
              <w:t xml:space="preserve">Statut d’exécution</w:t>
            </w:r>
          </w:p>
        </w:tc>
        <w:tc>
          <w:tcPr>
            <w:tcW w:w="695" w:type="dxa"/>
          </w:tcPr>
          <w:tcPr/>
          <w:p>
            <w:pPr>
              <w:pStyle w:val="Compact"/>
              <w:jc w:val="left"/>
            </w:pPr>
            <w:r>
              <w:t xml:space="preserve">Source</w:t>
            </w:r>
          </w:p>
        </w:tc>
      </w:tr>
      <w:tr>
        <w:tc>
          <w:tcPr>
            <w:tcW w:w="3058" w:type="dxa"/>
          </w:tcPr>
          <w:tcPr/>
          <w:p>
            <w:pPr>
              <w:pStyle w:val="Compact"/>
              <w:jc w:val="left"/>
            </w:pPr>
            <w:r>
              <w:t xml:space="preserve">Cameroon Power Sector Reform Program (PRSEC, PforR + IPF),</w:t>
            </w:r>
            <w:r>
              <w:t xml:space="preserve"> </w:t>
            </w:r>
            <w:r>
              <w:rPr>
                <w:bCs/>
                <w:b/>
              </w:rPr>
              <w:t xml:space="preserve">P178136</w:t>
            </w:r>
          </w:p>
        </w:tc>
        <w:tc>
          <w:tcPr>
            <w:tcW w:w="927" w:type="dxa"/>
          </w:tcPr>
          <w:tcPr/>
          <w:p>
            <w:pPr>
              <w:pStyle w:val="Compact"/>
              <w:jc w:val="left"/>
            </w:pPr>
            <w:r>
              <w:t xml:space="preserve">BM (IDA 73940)</w:t>
            </w:r>
          </w:p>
        </w:tc>
        <w:tc>
          <w:tcPr>
            <w:tcW w:w="1749" w:type="dxa"/>
          </w:tcPr>
          <w:tcPr/>
          <w:p>
            <w:pPr>
              <w:pStyle w:val="Compact"/>
              <w:jc w:val="left"/>
            </w:pPr>
            <w:r>
              <w:t xml:space="preserve">300 M USD (révisé 319,33 M)</w:t>
            </w:r>
          </w:p>
        </w:tc>
        <w:tc>
          <w:tcPr>
            <w:tcW w:w="1094" w:type="dxa"/>
          </w:tcPr>
          <w:tcPr/>
          <w:p>
            <w:pPr>
              <w:pStyle w:val="Compact"/>
              <w:jc w:val="left"/>
            </w:pPr>
            <w:r>
              <w:t xml:space="preserve">08/2023-06/2028</w:t>
            </w:r>
          </w:p>
        </w:tc>
        <w:tc>
          <w:tcPr>
            <w:tcW w:w="2655" w:type="dxa"/>
          </w:tcPr>
          <w:tcPr/>
          <w:p>
            <w:pPr>
              <w:pStyle w:val="Compact"/>
              <w:jc w:val="left"/>
            </w:pPr>
            <w:r>
              <w:t xml:space="preserve">Performance financière et transparence du secteur ; accès</w:t>
            </w:r>
          </w:p>
        </w:tc>
        <w:tc>
          <w:tcPr>
            <w:tcW w:w="2740" w:type="dxa"/>
          </w:tcPr>
          <w:tcPr/>
          <w:p>
            <w:pPr>
              <w:pStyle w:val="Compact"/>
              <w:jc w:val="left"/>
            </w:pPr>
            <w:r>
              <w:t xml:space="preserve">DLI 1 : écart MAR/recettes 9,5 % → 5 % ; DLI 2 : paiement trimestriel de la compensation tarifaire et des factures publiques 2027 ; DLI 3 : compteurs bâtiments publics ; DLI 4 : publication des audits ARSEL ENEO/SONATREL ; DLI accès/ENR/transformation</w:t>
            </w:r>
          </w:p>
        </w:tc>
        <w:tc>
          <w:tcPr>
            <w:tcW w:w="1648" w:type="dxa"/>
          </w:tcPr>
          <w:tcPr/>
          <w:p>
            <w:pPr>
              <w:pStyle w:val="Compact"/>
              <w:jc w:val="left"/>
            </w:pPr>
            <w:r>
              <w:t xml:space="preserve">Décaissé 114,15 M (35,75 %) ; aucun DLI atteint en 2025 (vérificateur indépendant non recruté) ; 20 690 personnes raccordées sur 1 055 000</w:t>
            </w:r>
          </w:p>
        </w:tc>
        <w:tc>
          <w:tcPr>
            <w:tcW w:w="695" w:type="dxa"/>
          </w:tcPr>
          <w:tcPr/>
          <w:p>
            <w:pPr>
              <w:pStyle w:val="Compact"/>
              <w:jc w:val="left"/>
            </w:pPr>
            <w:r>
              <w:t xml:space="preserve">[3][2]</w:t>
            </w:r>
          </w:p>
        </w:tc>
      </w:tr>
      <w:tr>
        <w:tc>
          <w:tcPr>
            <w:tcW w:w="3058" w:type="dxa"/>
          </w:tcPr>
          <w:tcPr/>
          <w:p>
            <w:pPr>
              <w:pStyle w:val="Compact"/>
              <w:jc w:val="left"/>
            </w:pPr>
            <w:r>
              <w:t xml:space="preserve">Cameroon Second Fiscal Sustainability, Inclusive and Sustainable Growth DPF,</w:t>
            </w:r>
            <w:r>
              <w:t xml:space="preserve"> </w:t>
            </w:r>
            <w:r>
              <w:rPr>
                <w:bCs/>
                <w:b/>
              </w:rPr>
              <w:t xml:space="preserve">P180017</w:t>
            </w:r>
          </w:p>
        </w:tc>
        <w:tc>
          <w:tcPr>
            <w:tcW w:w="927" w:type="dxa"/>
          </w:tcPr>
          <w:tcPr/>
          <w:p>
            <w:pPr>
              <w:pStyle w:val="Compact"/>
              <w:jc w:val="left"/>
            </w:pPr>
            <w:r>
              <w:t xml:space="preserve">BM (prêt 97850-CM)</w:t>
            </w:r>
          </w:p>
        </w:tc>
        <w:tc>
          <w:tcPr>
            <w:tcW w:w="1749" w:type="dxa"/>
          </w:tcPr>
          <w:tcPr/>
          <w:p>
            <w:pPr>
              <w:pStyle w:val="Compact"/>
              <w:jc w:val="left"/>
            </w:pPr>
            <w:r>
              <w:t xml:space="preserve">189,4 M EUR (≈ 200 M USD) selon le document de programme ; 400 M USD dans l’API [?]</w:t>
            </w:r>
          </w:p>
        </w:tc>
        <w:tc>
          <w:tcPr>
            <w:tcW w:w="1094" w:type="dxa"/>
          </w:tcPr>
          <w:tcPr/>
          <w:p>
            <w:pPr>
              <w:pStyle w:val="Compact"/>
              <w:jc w:val="left"/>
            </w:pPr>
            <w:r>
              <w:t xml:space="preserve">approuvé ~mars 2025</w:t>
            </w:r>
          </w:p>
        </w:tc>
        <w:tc>
          <w:tcPr>
            <w:tcW w:w="2655" w:type="dxa"/>
          </w:tcPr>
          <w:tcPr/>
          <w:p>
            <w:pPr>
              <w:pStyle w:val="Compact"/>
              <w:jc w:val="left"/>
            </w:pPr>
            <w:r>
              <w:t xml:space="preserve">Domaine 11 « performance des services d’électricité »</w:t>
            </w:r>
          </w:p>
        </w:tc>
        <w:tc>
          <w:tcPr>
            <w:tcW w:w="2740" w:type="dxa"/>
          </w:tcPr>
          <w:tcPr/>
          <w:p>
            <w:pPr>
              <w:pStyle w:val="Compact"/>
              <w:jc w:val="left"/>
            </w:pPr>
            <w:r>
              <w:rPr>
                <w:bCs/>
                <w:b/>
              </w:rPr>
              <w:t xml:space="preserve">Déclencheur DPF3 n° 11</w:t>
            </w:r>
            <w:r>
              <w:t xml:space="preserve"> </w:t>
            </w:r>
            <w:r>
              <w:t xml:space="preserve">: gouvernance d’ENEO (recrutement compétitif DG/PCA/2 administrateurs) et cadre contraignant d’apurement des arriérés publics ; RI : arriérés publics &lt; 5 Md FCFA en 2026</w:t>
            </w:r>
          </w:p>
        </w:tc>
        <w:tc>
          <w:tcPr>
            <w:tcW w:w="1648" w:type="dxa"/>
          </w:tcPr>
          <w:tcPr/>
          <w:p>
            <w:pPr>
              <w:pStyle w:val="Compact"/>
              <w:jc w:val="left"/>
            </w:pPr>
            <w:r>
              <w:t xml:space="preserve">DPF3 en préparation [?]</w:t>
            </w:r>
          </w:p>
        </w:tc>
        <w:tc>
          <w:tcPr>
            <w:tcW w:w="695" w:type="dxa"/>
          </w:tcPr>
          <w:tcPr/>
          <w:p>
            <w:pPr>
              <w:pStyle w:val="Compact"/>
              <w:jc w:val="left"/>
            </w:pPr>
            <w:r>
              <w:t xml:space="preserve">[4]</w:t>
            </w:r>
          </w:p>
        </w:tc>
      </w:tr>
      <w:tr>
        <w:tc>
          <w:tcPr>
            <w:tcW w:w="3058" w:type="dxa"/>
          </w:tcPr>
          <w:tcPr/>
          <w:p>
            <w:pPr>
              <w:pStyle w:val="Compact"/>
              <w:jc w:val="left"/>
            </w:pPr>
            <w:r>
              <w:t xml:space="preserve">Electricity Transmission and Reform Project (PRRTERS), P152755</w:t>
            </w:r>
          </w:p>
        </w:tc>
        <w:tc>
          <w:tcPr>
            <w:tcW w:w="927" w:type="dxa"/>
          </w:tcPr>
          <w:tcPr/>
          <w:p>
            <w:pPr>
              <w:pStyle w:val="Compact"/>
              <w:jc w:val="left"/>
            </w:pPr>
            <w:r>
              <w:t xml:space="preserve">BM</w:t>
            </w:r>
          </w:p>
        </w:tc>
        <w:tc>
          <w:tcPr>
            <w:tcW w:w="1749" w:type="dxa"/>
          </w:tcPr>
          <w:tcPr/>
          <w:p>
            <w:pPr>
              <w:pStyle w:val="Compact"/>
              <w:jc w:val="left"/>
            </w:pPr>
            <w:r>
              <w:t xml:space="preserve">325 M USD</w:t>
            </w:r>
          </w:p>
        </w:tc>
        <w:tc>
          <w:tcPr>
            <w:tcW w:w="1094" w:type="dxa"/>
          </w:tcPr>
          <w:tcPr/>
          <w:p>
            <w:pPr>
              <w:pStyle w:val="Compact"/>
              <w:jc w:val="left"/>
            </w:pPr>
            <w:r>
              <w:t xml:space="preserve">2016-2024</w:t>
            </w:r>
          </w:p>
        </w:tc>
        <w:tc>
          <w:tcPr>
            <w:tcW w:w="2655" w:type="dxa"/>
          </w:tcPr>
          <w:tcPr/>
          <w:p>
            <w:pPr>
              <w:pStyle w:val="Compact"/>
              <w:jc w:val="left"/>
            </w:pPr>
            <w:r>
              <w:t xml:space="preserve">SONATREL (transport)</w:t>
            </w:r>
          </w:p>
        </w:tc>
        <w:tc>
          <w:tcPr>
            <w:tcW w:w="2740" w:type="dxa"/>
          </w:tcPr>
          <w:tcPr/>
          <w:p>
            <w:pPr>
              <w:pStyle w:val="Compact"/>
              <w:jc w:val="left"/>
            </w:pPr>
            <w:r>
              <w:t xml:space="preserve">—</w:t>
            </w:r>
          </w:p>
        </w:tc>
        <w:tc>
          <w:tcPr>
            <w:tcW w:w="1648" w:type="dxa"/>
          </w:tcPr>
          <w:tcPr/>
          <w:p>
            <w:pPr>
              <w:pStyle w:val="Compact"/>
              <w:jc w:val="left"/>
            </w:pPr>
            <w:r>
              <w:t xml:space="preserve">Clôture prévue 30-11-2024</w:t>
            </w:r>
          </w:p>
        </w:tc>
        <w:tc>
          <w:tcPr>
            <w:tcW w:w="695" w:type="dxa"/>
          </w:tcPr>
          <w:tcPr/>
          <w:p>
            <w:pPr>
              <w:pStyle w:val="Compact"/>
              <w:jc w:val="left"/>
            </w:pPr>
            <w:r>
              <w:t xml:space="preserve">[7]</w:t>
            </w:r>
          </w:p>
        </w:tc>
      </w:tr>
      <w:tr>
        <w:tc>
          <w:tcPr>
            <w:tcW w:w="3058" w:type="dxa"/>
          </w:tcPr>
          <w:tcPr/>
          <w:p>
            <w:pPr>
              <w:pStyle w:val="Compact"/>
              <w:jc w:val="left"/>
            </w:pPr>
            <w:r>
              <w:t xml:space="preserve">Cameroon-Chad Power Interconnection (PIRECT), P168185</w:t>
            </w:r>
          </w:p>
        </w:tc>
        <w:tc>
          <w:tcPr>
            <w:tcW w:w="927" w:type="dxa"/>
          </w:tcPr>
          <w:tcPr/>
          <w:p>
            <w:pPr>
              <w:pStyle w:val="Compact"/>
              <w:jc w:val="left"/>
            </w:pPr>
            <w:r>
              <w:t xml:space="preserve">BM + BAD + BID + UE</w:t>
            </w:r>
          </w:p>
        </w:tc>
        <w:tc>
          <w:tcPr>
            <w:tcW w:w="1749" w:type="dxa"/>
          </w:tcPr>
          <w:tcPr/>
          <w:p>
            <w:pPr>
              <w:pStyle w:val="Compact"/>
              <w:jc w:val="left"/>
            </w:pPr>
            <w:r>
              <w:t xml:space="preserve">650,5 M USD (BM, régional)</w:t>
            </w:r>
          </w:p>
        </w:tc>
        <w:tc>
          <w:tcPr>
            <w:tcW w:w="1094" w:type="dxa"/>
          </w:tcPr>
          <w:tcPr/>
          <w:p>
            <w:pPr>
              <w:pStyle w:val="Compact"/>
              <w:jc w:val="left"/>
            </w:pPr>
            <w:r>
              <w:t xml:space="preserve">2020-2027</w:t>
            </w:r>
          </w:p>
        </w:tc>
        <w:tc>
          <w:tcPr>
            <w:tcW w:w="2655" w:type="dxa"/>
          </w:tcPr>
          <w:tcPr/>
          <w:p>
            <w:pPr>
              <w:pStyle w:val="Compact"/>
              <w:jc w:val="left"/>
            </w:pPr>
            <w:r>
              <w:t xml:space="preserve">SONATREL (agence d’exécution)</w:t>
            </w:r>
          </w:p>
        </w:tc>
        <w:tc>
          <w:tcPr>
            <w:tcW w:w="2740" w:type="dxa"/>
          </w:tcPr>
          <w:tcPr/>
          <w:p>
            <w:pPr>
              <w:pStyle w:val="Compact"/>
              <w:jc w:val="left"/>
            </w:pPr>
            <w:r>
              <w:t xml:space="preserve">Gap BAD de 240 M EUR côté Cameroun</w:t>
            </w:r>
          </w:p>
        </w:tc>
        <w:tc>
          <w:tcPr>
            <w:tcW w:w="1648" w:type="dxa"/>
          </w:tcPr>
          <w:tcPr/>
          <w:p>
            <w:pPr>
              <w:pStyle w:val="Compact"/>
              <w:jc w:val="left"/>
            </w:pPr>
            <w:r>
              <w:t xml:space="preserve">En cours</w:t>
            </w:r>
          </w:p>
        </w:tc>
        <w:tc>
          <w:tcPr>
            <w:tcW w:w="695" w:type="dxa"/>
          </w:tcPr>
          <w:tcPr/>
          <w:p>
            <w:pPr>
              <w:pStyle w:val="Compact"/>
              <w:jc w:val="left"/>
            </w:pPr>
            <w:r>
              <w:t xml:space="preserve">[7][8]</w:t>
            </w:r>
          </w:p>
        </w:tc>
      </w:tr>
      <w:tr>
        <w:tc>
          <w:tcPr>
            <w:tcW w:w="3058" w:type="dxa"/>
          </w:tcPr>
          <w:tcPr/>
          <w:p>
            <w:pPr>
              <w:pStyle w:val="Compact"/>
              <w:jc w:val="left"/>
            </w:pPr>
            <w:r>
              <w:t xml:space="preserve">Nachtigal Hydropower Project, P157734 (garanties)</w:t>
            </w:r>
          </w:p>
        </w:tc>
        <w:tc>
          <w:tcPr>
            <w:tcW w:w="927" w:type="dxa"/>
          </w:tcPr>
          <w:tcPr/>
          <w:p>
            <w:pPr>
              <w:pStyle w:val="Compact"/>
              <w:jc w:val="left"/>
            </w:pPr>
            <w:r>
              <w:t xml:space="preserve">BM/IFC/MIGA</w:t>
            </w:r>
          </w:p>
        </w:tc>
        <w:tc>
          <w:tcPr>
            <w:tcW w:w="1749" w:type="dxa"/>
          </w:tcPr>
          <w:tcPr/>
          <w:p>
            <w:pPr>
              <w:pStyle w:val="Compact"/>
              <w:jc w:val="left"/>
            </w:pPr>
            <w:r>
              <w:t xml:space="preserve">850 M USD (engagement BM)</w:t>
            </w:r>
          </w:p>
        </w:tc>
        <w:tc>
          <w:tcPr>
            <w:tcW w:w="1094" w:type="dxa"/>
          </w:tcPr>
          <w:tcPr/>
          <w:p>
            <w:pPr>
              <w:pStyle w:val="Compact"/>
              <w:jc w:val="left"/>
            </w:pPr>
            <w:r>
              <w:t xml:space="preserve">2018-2025</w:t>
            </w:r>
          </w:p>
        </w:tc>
        <w:tc>
          <w:tcPr>
            <w:tcW w:w="2655" w:type="dxa"/>
          </w:tcPr>
          <w:tcPr/>
          <w:p>
            <w:pPr>
              <w:pStyle w:val="Compact"/>
              <w:jc w:val="left"/>
            </w:pPr>
            <w:r>
              <w:t xml:space="preserve">Garantie de paiement / lettre de crédit au bénéfice de NHPC</w:t>
            </w:r>
          </w:p>
        </w:tc>
        <w:tc>
          <w:tcPr>
            <w:tcW w:w="2740" w:type="dxa"/>
          </w:tcPr>
          <w:tcPr/>
          <w:p>
            <w:pPr>
              <w:pStyle w:val="Compact"/>
              <w:jc w:val="left"/>
            </w:pPr>
            <w:r>
              <w:t xml:space="preserve">LC tirée &gt; 85 M EUR</w:t>
            </w:r>
          </w:p>
        </w:tc>
        <w:tc>
          <w:tcPr>
            <w:tcW w:w="1648" w:type="dxa"/>
          </w:tcPr>
          <w:tcPr/>
          <w:p>
            <w:pPr>
              <w:pStyle w:val="Compact"/>
              <w:jc w:val="left"/>
            </w:pPr>
            <w:r>
              <w:t xml:space="preserve">En vigueur</w:t>
            </w:r>
          </w:p>
        </w:tc>
        <w:tc>
          <w:tcPr>
            <w:tcW w:w="695" w:type="dxa"/>
          </w:tcPr>
          <w:tcPr/>
          <w:p>
            <w:pPr>
              <w:pStyle w:val="Compact"/>
              <w:jc w:val="left"/>
            </w:pPr>
            <w:r>
              <w:t xml:space="preserve">[7][2]</w:t>
            </w:r>
          </w:p>
        </w:tc>
      </w:tr>
      <w:tr>
        <w:tc>
          <w:tcPr>
            <w:tcW w:w="3058" w:type="dxa"/>
          </w:tcPr>
          <w:tcPr/>
          <w:p>
            <w:pPr>
              <w:pStyle w:val="Compact"/>
              <w:jc w:val="left"/>
            </w:pPr>
            <w:r>
              <w:t xml:space="preserve">Rural Electricity Access Project for Underserved Regions (PERACE), P163881</w:t>
            </w:r>
          </w:p>
        </w:tc>
        <w:tc>
          <w:tcPr>
            <w:tcW w:w="927" w:type="dxa"/>
          </w:tcPr>
          <w:tcPr/>
          <w:p>
            <w:pPr>
              <w:pStyle w:val="Compact"/>
              <w:jc w:val="left"/>
            </w:pPr>
            <w:r>
              <w:t xml:space="preserve">BM</w:t>
            </w:r>
          </w:p>
        </w:tc>
        <w:tc>
          <w:tcPr>
            <w:tcW w:w="1749" w:type="dxa"/>
          </w:tcPr>
          <w:tcPr/>
          <w:p>
            <w:pPr>
              <w:pStyle w:val="Compact"/>
              <w:jc w:val="left"/>
            </w:pPr>
            <w:r>
              <w:t xml:space="preserve">150 M USD</w:t>
            </w:r>
          </w:p>
        </w:tc>
        <w:tc>
          <w:tcPr>
            <w:tcW w:w="1094" w:type="dxa"/>
          </w:tcPr>
          <w:tcPr/>
          <w:p>
            <w:pPr>
              <w:pStyle w:val="Compact"/>
              <w:jc w:val="left"/>
            </w:pPr>
            <w:r>
              <w:t xml:space="preserve">2018-2025</w:t>
            </w:r>
          </w:p>
        </w:tc>
        <w:tc>
          <w:tcPr>
            <w:tcW w:w="2655" w:type="dxa"/>
          </w:tcPr>
          <w:tcPr/>
          <w:p>
            <w:pPr>
              <w:pStyle w:val="Compact"/>
              <w:jc w:val="left"/>
            </w:pPr>
            <w:r>
              <w:t xml:space="preserve">Électrification rurale</w:t>
            </w:r>
          </w:p>
        </w:tc>
        <w:tc>
          <w:tcPr>
            <w:tcW w:w="2740" w:type="dxa"/>
          </w:tcPr>
          <w:tcPr/>
          <w:p>
            <w:pPr>
              <w:pStyle w:val="Compact"/>
              <w:jc w:val="left"/>
            </w:pPr>
            <w:r>
              <w:t xml:space="preserve">—</w:t>
            </w:r>
          </w:p>
        </w:tc>
        <w:tc>
          <w:tcPr>
            <w:tcW w:w="1648" w:type="dxa"/>
          </w:tcPr>
          <w:tcPr/>
          <w:p>
            <w:pPr>
              <w:pStyle w:val="Compact"/>
              <w:jc w:val="left"/>
            </w:pPr>
            <w:r>
              <w:t xml:space="preserve">[?]</w:t>
            </w:r>
          </w:p>
        </w:tc>
        <w:tc>
          <w:tcPr>
            <w:tcW w:w="695" w:type="dxa"/>
          </w:tcPr>
          <w:tcPr/>
          <w:p>
            <w:pPr>
              <w:pStyle w:val="Compact"/>
              <w:jc w:val="left"/>
            </w:pPr>
            <w:r>
              <w:t xml:space="preserve">[7]</w:t>
            </w:r>
          </w:p>
        </w:tc>
      </w:tr>
      <w:tr>
        <w:tc>
          <w:tcPr>
            <w:tcW w:w="3058" w:type="dxa"/>
          </w:tcPr>
          <w:tcPr/>
          <w:p>
            <w:pPr>
              <w:pStyle w:val="Compact"/>
              <w:jc w:val="left"/>
            </w:pPr>
            <w:r>
              <w:t xml:space="preserve">PARSEC</w:t>
            </w:r>
          </w:p>
        </w:tc>
        <w:tc>
          <w:tcPr>
            <w:tcW w:w="927" w:type="dxa"/>
          </w:tcPr>
          <w:tcPr/>
          <w:p>
            <w:pPr>
              <w:pStyle w:val="Compact"/>
              <w:jc w:val="left"/>
            </w:pPr>
            <w:r>
              <w:t xml:space="preserve">BAD</w:t>
            </w:r>
          </w:p>
        </w:tc>
        <w:tc>
          <w:tcPr>
            <w:tcW w:w="1749" w:type="dxa"/>
          </w:tcPr>
          <w:tcPr/>
          <w:p>
            <w:pPr>
              <w:pStyle w:val="Compact"/>
              <w:jc w:val="left"/>
            </w:pPr>
            <w:r>
              <w:t xml:space="preserve">74,25 M EUR (pacte)</w:t>
            </w:r>
          </w:p>
        </w:tc>
        <w:tc>
          <w:tcPr>
            <w:tcW w:w="1094" w:type="dxa"/>
          </w:tcPr>
          <w:tcPr/>
          <w:p>
            <w:pPr>
              <w:pStyle w:val="Compact"/>
              <w:jc w:val="left"/>
            </w:pPr>
            <w:r>
              <w:t xml:space="preserve">2024-2025</w:t>
            </w:r>
          </w:p>
        </w:tc>
        <w:tc>
          <w:tcPr>
            <w:tcW w:w="2655" w:type="dxa"/>
          </w:tcPr>
          <w:tcPr/>
          <w:p>
            <w:pPr>
              <w:pStyle w:val="Compact"/>
              <w:jc w:val="left"/>
            </w:pPr>
            <w:r>
              <w:t xml:space="preserve">Appui budgétaire secteur électricité</w:t>
            </w:r>
          </w:p>
        </w:tc>
        <w:tc>
          <w:tcPr>
            <w:tcW w:w="2740" w:type="dxa"/>
          </w:tcPr>
          <w:tcPr/>
          <w:p>
            <w:pPr>
              <w:pStyle w:val="Compact"/>
              <w:jc w:val="left"/>
            </w:pPr>
            <w:r>
              <w:t xml:space="preserve">[?] non vérifié en primaire</w:t>
            </w:r>
          </w:p>
        </w:tc>
        <w:tc>
          <w:tcPr>
            <w:tcW w:w="1648" w:type="dxa"/>
          </w:tcPr>
          <w:tcPr/>
          <w:p>
            <w:pPr>
              <w:pStyle w:val="Compact"/>
              <w:jc w:val="left"/>
            </w:pPr>
            <w:r>
              <w:t xml:space="preserve">[?]</w:t>
            </w:r>
          </w:p>
        </w:tc>
        <w:tc>
          <w:tcPr>
            <w:tcW w:w="695" w:type="dxa"/>
          </w:tcPr>
          <w:tcPr/>
          <w:p>
            <w:pPr>
              <w:pStyle w:val="Compact"/>
              <w:jc w:val="left"/>
            </w:pPr>
            <w:r>
              <w:t xml:space="preserve">[P]</w:t>
            </w:r>
          </w:p>
        </w:tc>
      </w:tr>
      <w:tr>
        <w:tc>
          <w:tcPr>
            <w:tcW w:w="3058" w:type="dxa"/>
          </w:tcPr>
          <w:tcPr/>
          <w:p>
            <w:pPr>
              <w:pStyle w:val="Compact"/>
              <w:jc w:val="left"/>
            </w:pPr>
            <w:r>
              <w:t xml:space="preserve">Article IV 2026</w:t>
            </w:r>
          </w:p>
        </w:tc>
        <w:tc>
          <w:tcPr>
            <w:tcW w:w="927" w:type="dxa"/>
          </w:tcPr>
          <w:tcPr/>
          <w:p>
            <w:pPr>
              <w:pStyle w:val="Compact"/>
              <w:jc w:val="left"/>
            </w:pPr>
            <w:r>
              <w:t xml:space="preserve">FMI</w:t>
            </w:r>
          </w:p>
        </w:tc>
        <w:tc>
          <w:tcPr>
            <w:tcW w:w="1749" w:type="dxa"/>
          </w:tcPr>
          <w:tcPr/>
          <w:p>
            <w:pPr>
              <w:pStyle w:val="Compact"/>
              <w:jc w:val="left"/>
            </w:pPr>
            <w:r>
              <w:t xml:space="preserve">—</w:t>
            </w:r>
          </w:p>
        </w:tc>
        <w:tc>
          <w:tcPr>
            <w:tcW w:w="1094" w:type="dxa"/>
          </w:tcPr>
          <w:tcPr/>
          <w:p>
            <w:pPr>
              <w:pStyle w:val="Compact"/>
              <w:jc w:val="left"/>
            </w:pPr>
            <w:r>
              <w:t xml:space="preserve">mars 2026</w:t>
            </w:r>
          </w:p>
        </w:tc>
        <w:tc>
          <w:tcPr>
            <w:tcW w:w="2655" w:type="dxa"/>
          </w:tcPr>
          <w:tcPr/>
          <w:p>
            <w:pPr>
              <w:pStyle w:val="Compact"/>
              <w:jc w:val="left"/>
            </w:pPr>
            <w:r>
              <w:t xml:space="preserve">Risques budgétaires liés à ENEO</w:t>
            </w:r>
          </w:p>
        </w:tc>
        <w:tc>
          <w:tcPr>
            <w:tcW w:w="2740" w:type="dxa"/>
          </w:tcPr>
          <w:tcPr/>
          <w:p>
            <w:pPr>
              <w:pStyle w:val="Compact"/>
              <w:jc w:val="left"/>
            </w:pPr>
            <w:r>
              <w:t xml:space="preserve">Recommande la surveillance des EP et des dettes croisées</w:t>
            </w:r>
          </w:p>
        </w:tc>
        <w:tc>
          <w:tcPr>
            <w:tcW w:w="1648" w:type="dxa"/>
          </w:tcPr>
          <w:tcPr/>
          <w:p>
            <w:pPr>
              <w:pStyle w:val="Compact"/>
              <w:jc w:val="left"/>
            </w:pPr>
            <w:r>
              <w:t xml:space="preserve">—</w:t>
            </w:r>
          </w:p>
        </w:tc>
        <w:tc>
          <w:tcPr>
            <w:tcW w:w="695" w:type="dxa"/>
          </w:tcPr>
          <w:tcPr/>
          <w:p>
            <w:pPr>
              <w:pStyle w:val="Compact"/>
              <w:jc w:val="left"/>
            </w:pPr>
            <w:r>
              <w:t xml:space="preserve">[1]</w:t>
            </w:r>
          </w:p>
        </w:tc>
      </w:tr>
    </w:tbl>
    <w:bookmarkEnd w:id="107"/>
    <w:bookmarkStart w:id="108" w:name="écart-pacte-réalité-6"/>
    <w:p>
      <w:pPr>
        <w:pStyle w:val="Heading3"/>
      </w:pPr>
      <w:r>
        <w:t xml:space="preserve">5. Écart pacte ↔ réalité</w:t>
      </w:r>
    </w:p>
    <w:p>
      <w:pPr>
        <w:numPr>
          <w:ilvl w:val="0"/>
          <w:numId w:val="1052"/>
        </w:numPr>
        <w:pStyle w:val="Compact"/>
      </w:pPr>
      <w:r>
        <w:rPr>
          <w:bCs/>
          <w:b/>
        </w:rPr>
        <w:t xml:space="preserve">Arriérés publics</w:t>
      </w:r>
      <w:r>
        <w:t xml:space="preserve"> </w:t>
      </w:r>
      <w:r>
        <w:t xml:space="preserve">: pacte « 10 Md (administration) + 72 Md (entités publiques) » ; BM 96 Md (août 2024) hors 234 Md contestés ;</w:t>
      </w:r>
      <w:r>
        <w:t xml:space="preserve"> </w:t>
      </w:r>
      <w:r>
        <w:rPr>
          <w:bCs/>
          <w:b/>
        </w:rPr>
        <w:t xml:space="preserve">FMI &gt; 700 Md FCFA fin 2024</w:t>
      </w:r>
      <w:r>
        <w:t xml:space="preserve"> </w:t>
      </w:r>
      <w:r>
        <w:t xml:space="preserve">— facteur ~8 d’écart selon le périmètre [P][4][1].</w:t>
      </w:r>
    </w:p>
    <w:p>
      <w:pPr>
        <w:numPr>
          <w:ilvl w:val="0"/>
          <w:numId w:val="1052"/>
        </w:numPr>
        <w:pStyle w:val="Compact"/>
      </w:pPr>
      <w:r>
        <w:t xml:space="preserve">Pacte : « réduire la compensation tarifaire de 6 %/an » et « équilibre financier en 2028 » → l’écart MAR/recettes reste bloqué à 9,5 % depuis 2022 [3] [V] ; le FMI juge les tarifs « bien en deçà du recouvrement des coûts » [1] [V].</w:t>
      </w:r>
    </w:p>
    <w:p>
      <w:pPr>
        <w:numPr>
          <w:ilvl w:val="0"/>
          <w:numId w:val="1052"/>
        </w:numPr>
        <w:pStyle w:val="Compact"/>
      </w:pPr>
      <w:r>
        <w:t xml:space="preserve">Pacte : restructuration d’ENEO d’ici fin 2026 avec plan de redressement en février 2026 → rachat fait (nov. 2025-fév. 2026) et transformation en SOCADEL (mai 2026), mais étude de redressement à peine lancée [2] [V].</w:t>
      </w:r>
    </w:p>
    <w:p>
      <w:pPr>
        <w:numPr>
          <w:ilvl w:val="0"/>
          <w:numId w:val="1052"/>
        </w:numPr>
        <w:pStyle w:val="Compact"/>
      </w:pPr>
      <w:r>
        <w:t xml:space="preserve">Pacte : publication des états financiers de toutes les entreprises du secteur → aucun compte publié trouvé [?].</w:t>
      </w:r>
    </w:p>
    <w:bookmarkEnd w:id="108"/>
    <w:bookmarkStart w:id="109" w:name="diagnostic-synthétique-6"/>
    <w:p>
      <w:pPr>
        <w:pStyle w:val="Heading3"/>
      </w:pPr>
      <w:r>
        <w:t xml:space="preserve">6. Diagnostic synthétique</w:t>
      </w:r>
    </w:p>
    <w:p>
      <w:pPr>
        <w:numPr>
          <w:ilvl w:val="0"/>
          <w:numId w:val="1053"/>
        </w:numPr>
        <w:pStyle w:val="Compact"/>
      </w:pPr>
      <w:r>
        <w:t xml:space="preserve">Financière :</w:t>
      </w:r>
      <w:r>
        <w:t xml:space="preserve"> </w:t>
      </w:r>
      <w:r>
        <w:rPr>
          <w:bCs/>
          <w:b/>
        </w:rPr>
        <w:t xml:space="preserve">faible</w:t>
      </w:r>
      <w:r>
        <w:t xml:space="preserve"> </w:t>
      </w:r>
      <w:r>
        <w:t xml:space="preserve">(trésorerie structurellement négative, arriérés croisés massifs, LC Nachtigal tirée). Technique :</w:t>
      </w:r>
      <w:r>
        <w:t xml:space="preserve"> </w:t>
      </w:r>
      <w:r>
        <w:rPr>
          <w:bCs/>
          <w:b/>
        </w:rPr>
        <w:t xml:space="preserve">moyenne</w:t>
      </w:r>
      <w:r>
        <w:t xml:space="preserve"> </w:t>
      </w:r>
      <w:r>
        <w:t xml:space="preserve">(parc hydro important mais goulots T&amp;D, Nachtigal sous-utilisé). Gouvernance :</w:t>
      </w:r>
      <w:r>
        <w:t xml:space="preserve"> </w:t>
      </w:r>
      <w:r>
        <w:rPr>
          <w:bCs/>
          <w:b/>
        </w:rPr>
        <w:t xml:space="preserve">faible à moyenne</w:t>
      </w:r>
      <w:r>
        <w:t xml:space="preserve"> </w:t>
      </w:r>
      <w:r>
        <w:t xml:space="preserve">(régulation MAR existante, mais tarifs gelés, renationalisation sans plan de redressement publié).</w:t>
      </w:r>
    </w:p>
    <w:p>
      <w:pPr>
        <w:numPr>
          <w:ilvl w:val="0"/>
          <w:numId w:val="1053"/>
        </w:numPr>
        <w:pStyle w:val="Compact"/>
      </w:pPr>
      <w:r>
        <w:t xml:space="preserve">Causes racines : (1) gel tarifaire BT/MT depuis 2012 et compensation non payée ; (2) arriérés et dettes croisées de l’État ; (3) sous-investissement T&amp;D face à une production take-or-pay croissante.</w:t>
      </w:r>
    </w:p>
    <w:p>
      <w:pPr>
        <w:numPr>
          <w:ilvl w:val="0"/>
          <w:numId w:val="1053"/>
        </w:numPr>
        <w:pStyle w:val="Compact"/>
      </w:pPr>
      <w:r>
        <w:t xml:space="preserve">Phase 3 : MAR ARSEL 2026 ; coût d’achat Nachtigal/KPDC/DPDC ; montant réel de la compensation ; bilan d’ouverture SOCADEL.</w:t>
      </w:r>
    </w:p>
    <w:bookmarkEnd w:id="109"/>
    <w:bookmarkStart w:id="110" w:name="inconnus-6"/>
    <w:p>
      <w:pPr>
        <w:pStyle w:val="Heading3"/>
      </w:pPr>
      <w:r>
        <w:t xml:space="preserve">7. Inconnus</w:t>
      </w:r>
    </w:p>
    <w:p>
      <w:pPr>
        <w:numPr>
          <w:ilvl w:val="0"/>
          <w:numId w:val="1054"/>
        </w:numPr>
        <w:pStyle w:val="Compact"/>
      </w:pPr>
      <w:r>
        <w:t xml:space="preserve">États financiers ENEO 2023-2025 et SONATREL [?] ; taux de pertes et de recouvrement récents en primaire [?] ; contenu du décret du 4-5-2026 [?] ; montant final DPF3 [?] ; documents BAD (PARSEC) [?].</w:t>
      </w:r>
    </w:p>
    <w:bookmarkEnd w:id="110"/>
    <w:bookmarkStart w:id="111" w:name="sources-7"/>
    <w:p>
      <w:pPr>
        <w:pStyle w:val="Heading3"/>
      </w:pPr>
      <w:r>
        <w:t xml:space="preserve">Sources</w:t>
      </w:r>
    </w:p>
    <w:p>
      <w:pPr>
        <w:pStyle w:val="FirstParagraph"/>
      </w:pPr>
      <w:r>
        <w:t xml:space="preserve">[1] FMI, « Cameroon: 2026 Article IV Consultation — Staff Report », IMF Country Report No. 26/81, avril 2026 (annexe sur les EP). https://www.imf.org/-/media/files/publications/cr/2026/english/1cmrea2026001-source-pdf.pdf</w:t>
      </w:r>
      <w:r>
        <w:t xml:space="preserve"> </w:t>
      </w:r>
      <w:r>
        <w:t xml:space="preserve">[2] Banque mondiale, aide-mémoire « Cameroun — Programme de Réformes du Secteur de l’Électricité (PforR) : Mission du secteur de l’énergie, 17-27 novembre 2025 ». https://documents.worldbank.org/curated/en/099122325124046915/pdf/P178136-ef8b46fe-f4cd-40b4-b6c8-f06d5e03cb55.pdf</w:t>
      </w:r>
      <w:r>
        <w:t xml:space="preserve"> </w:t>
      </w:r>
      <w:r>
        <w:t xml:space="preserve">[3] Banque mondiale, ISR Seq. 8, Cameroon Power Sector Reform Program (P178136), 30-09-2026. https://documents.worldbank.org/curated/en/099093026124041310/pdf/P178136-a4903580-44df-4a2c-8fa6-12ea4a6a8846.pdf</w:t>
      </w:r>
      <w:r>
        <w:t xml:space="preserve"> </w:t>
      </w:r>
      <w:r>
        <w:t xml:space="preserve">[4] Banque mondiale, Program Document, « Cameroon Second Fiscal Sustainability, Inclusive and Sustainable Growth DPF » (P180017), février 2025. https://documents.worldbank.org/curated/en/099022525100522901/pdf/BOSIB-b1070112-2a8a-454d-aac2-e5f817381226.pdf</w:t>
      </w:r>
      <w:r>
        <w:t xml:space="preserve"> </w:t>
      </w:r>
      <w:r>
        <w:t xml:space="preserve">[5] FMI, « Cameroon: Selected Issues », IMF Country Report No. 26/82, avril 2026 (accès 68,2 % en 2024). https://www.imf.org/-/media/files/publications/cr/2026/english/1cmrea2026002-source-pdf.pdf</w:t>
      </w:r>
      <w:r>
        <w:t xml:space="preserve"> </w:t>
      </w:r>
      <w:r>
        <w:t xml:space="preserve">[6] Enerdata, « Cameroon renationalises power company Eneo, renames it SOCADEL », 2026. https://www.enerdata.net/publications/daily-energy-news/cameroon-renationalises-power-company-eneo-renames-it-socadel.html ; Labase Lextenso, « Cameroun : transformation d’ENEO en SOCADEL », 2026. https://www.labase-lextenso.fr/l-essentiel-droits-africains-des-affaires/2026-n8/cameroun-transformation-d-eneo-en-socadel-nouvelle-societe-a-capital-public-DAA203y8 ; Camer.be, « SOCADEL : le Cameroun reprend son électricité, mais 800 milliards de dettes attendent ». https://www.camer.be/93347/30:27/socadel-le-cameroun-reprend-son-electricite-mais-800-milliards-de-dettes-attendent-cameroon.html</w:t>
      </w:r>
      <w:r>
        <w:t xml:space="preserve"> </w:t>
      </w:r>
      <w:r>
        <w:t xml:space="preserve">[7] Banque mondiale, API Projects (search.worldbank.org/api/v2/projects), fiches Cameroun, consulté le 2026-10-18.</w:t>
      </w:r>
      <w:r>
        <w:t xml:space="preserve"> </w:t>
      </w:r>
      <w:r>
        <w:t xml:space="preserve">[8] Banque mondiale, aide-mémoire Tchad mai 2025 (PIRECT). https://documents.worldbank.org/curated/en/099062525113021319/pdf/P174495-7bf869c0-069a-4311-9d41-5979b4d9efe7.pdf</w:t>
      </w:r>
      <w:r>
        <w:t xml:space="preserve"> </w:t>
      </w:r>
      <w:r>
        <w:t xml:space="preserve">[P] Fiche phase 1 (Compact énergétique du Cameroun, sept. 2025) : ../../phase1/fiches/CMR_cameroun.md</w:t>
      </w:r>
    </w:p>
    <w:p>
      <w:r>
        <w:br w:type="page"/>
      </w:r>
    </w:p>
    <w:bookmarkEnd w:id="111"/>
    <w:bookmarkEnd w:id="112"/>
    <w:bookmarkStart w:id="122" w:name="X7fce62ec5e2bc6285ee6a2daf90eecda1b2fcd9"/>
    <w:p>
      <w:pPr>
        <w:pStyle w:val="Heading2"/>
      </w:pPr>
      <w:r>
        <w:t xml:space="preserve">Diagnostic opérateur — SNEL (République démocratique du Congo)</w:t>
      </w:r>
    </w:p>
    <w:p>
      <w:pPr>
        <w:pStyle w:val="BlockText"/>
      </w:pPr>
      <w:r>
        <w:t xml:space="preserve">Phase 2 — Mission 300. Statuts :</w:t>
      </w:r>
      <w:r>
        <w:t xml:space="preserve"> </w:t>
      </w:r>
      <w:r>
        <w:rPr>
          <w:bCs/>
          <w:b/>
        </w:rPr>
        <w:t xml:space="preserve">[V]</w:t>
      </w:r>
      <w:r>
        <w:t xml:space="preserve"> </w:t>
      </w:r>
      <w:r>
        <w:t xml:space="preserve">document primaire (états financiers, régulateur, document de projet BM/BAD, FMI)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Pacte : ../../phase1/fiches/COD_rdcongo.md (cité « (pacte) », [P]). Recherche du 2026-10-18.</w:t>
      </w:r>
    </w:p>
    <w:bookmarkStart w:id="113" w:name="identité-7"/>
    <w:p>
      <w:pPr>
        <w:pStyle w:val="Heading3"/>
      </w:pPr>
      <w:r>
        <w:t xml:space="preserve">0. Identité</w:t>
      </w:r>
    </w:p>
    <w:p>
      <w:pPr>
        <w:numPr>
          <w:ilvl w:val="0"/>
          <w:numId w:val="1055"/>
        </w:numPr>
        <w:pStyle w:val="Compact"/>
      </w:pPr>
      <w:r>
        <w:t xml:space="preserve">Société Nationale d’Électricité (SNEL SA), société commerciale à capitaux 100 % publics, verticalement intégrée ; contrôle « plus de 90 % des infrastructures de production, transport et distribution » [3] [V]. Capacité « d’environ 2 700 MW, principalement détenue par SNEL » [1] [V]. Tutelle technique MRHE, tutelle de portefeuille (COPIREP pilote les réformes) [2] [V].</w:t>
      </w:r>
    </w:p>
    <w:p>
      <w:pPr>
        <w:numPr>
          <w:ilvl w:val="0"/>
          <w:numId w:val="1055"/>
        </w:numPr>
        <w:pStyle w:val="Compact"/>
      </w:pPr>
      <w:r>
        <w:t xml:space="preserve">Régulateur : ARE (Autorité de Régulation du secteur de l’Électricité, loi de 2014). Indépendance faible en pratique : l’ajustement tarifaire SNEL est « bloqué avec l’ancien DG de l’ARE », à relancer avec le nouveau DG [2] [V] ; l’ARE a dû être « ré-engagée » dans le projet AGREE [2] [V].</w:t>
      </w:r>
    </w:p>
    <w:p>
      <w:pPr>
        <w:numPr>
          <w:ilvl w:val="0"/>
          <w:numId w:val="1055"/>
        </w:numPr>
        <w:pStyle w:val="Compact"/>
      </w:pPr>
      <w:r>
        <w:t xml:space="preserve">Restructuration : le gouvernement n’a</w:t>
      </w:r>
      <w:r>
        <w:t xml:space="preserve"> </w:t>
      </w:r>
      <w:r>
        <w:rPr>
          <w:bCs/>
          <w:b/>
        </w:rPr>
        <w:t xml:space="preserve">toujours pas arrêté l’option de restructuration de la SNEL</w:t>
      </w:r>
      <w:r>
        <w:t xml:space="preserve"> </w:t>
      </w:r>
      <w:r>
        <w:t xml:space="preserve">(dégroupage interne, contrat de gestion, affermage, concession, restructuration de dette…) ; c’était une action attendue pour le 25-03-2026 et un déclencheur (trigger #10) de la 2e DPF [2][4][1] [V].</w:t>
      </w:r>
    </w:p>
    <w:p>
      <w:pPr>
        <w:numPr>
          <w:ilvl w:val="0"/>
          <w:numId w:val="1055"/>
        </w:numPr>
        <w:pStyle w:val="Compact"/>
      </w:pPr>
      <w:r>
        <w:t xml:space="preserve">Derniers états financiers publiés : le pacte indique des comptes audités 2020 au plus tard [P] ; la BM a analysé des états financiers « audités » couvrant 2018-2024 pour sa revue des EP [3] [V], mais</w:t>
      </w:r>
      <w:r>
        <w:t xml:space="preserve"> </w:t>
      </w:r>
      <w:r>
        <w:rPr>
          <w:bCs/>
          <w:b/>
        </w:rPr>
        <w:t xml:space="preserve">aucun état financier SNEL n’a été trouvé en accès public</w:t>
      </w:r>
      <w:r>
        <w:t xml:space="preserve"> </w:t>
      </w:r>
      <w:r>
        <w:t xml:space="preserve">[?]. Le FMI note que seule la Gécamines a publié ses comptes 2024 (août 2025) et que l’État veut en faire une pratique pour toutes les EP [5] [V].</w:t>
      </w:r>
    </w:p>
    <w:bookmarkEnd w:id="113"/>
    <w:bookmarkStart w:id="114" w:name="situation-financière-7"/>
    <w:p>
      <w:pPr>
        <w:pStyle w:val="Heading3"/>
      </w:pPr>
      <w:r>
        <w:t xml:space="preserve">1. Situation financière</w:t>
      </w:r>
    </w:p>
    <w:tbl>
      <w:tblPr>
        <w:tblStyle w:val="Table"/>
        <w:tblW w:type="dxa" w:w="14570"/>
        <w:tblLook w:firstRow="1" w:lastRow="0" w:firstColumn="0" w:lastColumn="0" w:noHBand="0" w:noVBand="0" w:val="0020"/>
        <w:jc w:val="start"/>
      </w:tblPr>
      <w:tblGrid>
        <w:gridCol w:w="2903"/>
        <w:gridCol w:w="8171"/>
        <w:gridCol w:w="1097"/>
        <w:gridCol w:w="1308"/>
        <w:gridCol w:w="1090"/>
      </w:tblGrid>
      <w:tr>
        <w:trPr>
          <w:tblHeader w:val="true"/>
        </w:trPr>
        <w:tc>
          <w:tcPr>
            <w:tcW w:w="2903" w:type="dxa"/>
          </w:tcPr>
          <w:tcPr/>
          <w:p>
            <w:pPr>
              <w:pStyle w:val="Compact"/>
              <w:jc w:val="left"/>
            </w:pPr>
            <w:r>
              <w:t xml:space="preserve">Indicateur</w:t>
            </w:r>
          </w:p>
        </w:tc>
        <w:tc>
          <w:tcPr>
            <w:tcW w:w="8171" w:type="dxa"/>
          </w:tcPr>
          <w:tcPr/>
          <w:p>
            <w:pPr>
              <w:pStyle w:val="Compact"/>
              <w:jc w:val="left"/>
            </w:pPr>
            <w:r>
              <w:t xml:space="preserve">Valeur</w:t>
            </w:r>
          </w:p>
        </w:tc>
        <w:tc>
          <w:tcPr>
            <w:tcW w:w="1097" w:type="dxa"/>
          </w:tcPr>
          <w:tcPr/>
          <w:p>
            <w:pPr>
              <w:pStyle w:val="Compact"/>
              <w:jc w:val="left"/>
            </w:pPr>
            <w:r>
              <w:t xml:space="preserve">Année</w:t>
            </w:r>
          </w:p>
        </w:tc>
        <w:tc>
          <w:tcPr>
            <w:tcW w:w="1308" w:type="dxa"/>
          </w:tcPr>
          <w:tcPr/>
          <w:p>
            <w:pPr>
              <w:pStyle w:val="Compact"/>
              <w:jc w:val="left"/>
            </w:pPr>
            <w:r>
              <w:t xml:space="preserve">Statut</w:t>
            </w:r>
          </w:p>
        </w:tc>
        <w:tc>
          <w:tcPr>
            <w:tcW w:w="1090" w:type="dxa"/>
          </w:tcPr>
          <w:tcPr/>
          <w:p>
            <w:pPr>
              <w:pStyle w:val="Compact"/>
              <w:jc w:val="left"/>
            </w:pPr>
            <w:r>
              <w:t xml:space="preserve">Source</w:t>
            </w:r>
          </w:p>
        </w:tc>
      </w:tr>
      <w:tr>
        <w:tc>
          <w:tcPr>
            <w:tcW w:w="2903" w:type="dxa"/>
          </w:tcPr>
          <w:tcPr/>
          <w:p>
            <w:pPr>
              <w:pStyle w:val="Compact"/>
              <w:jc w:val="left"/>
            </w:pPr>
            <w:r>
              <w:t xml:space="preserve">Chiffre d’affaires</w:t>
            </w:r>
          </w:p>
        </w:tc>
        <w:tc>
          <w:tcPr>
            <w:tcW w:w="8171" w:type="dxa"/>
          </w:tcPr>
          <w:tcPr/>
          <w:p>
            <w:pPr>
              <w:pStyle w:val="Compact"/>
              <w:jc w:val="left"/>
            </w:pPr>
            <w:r>
              <w:t xml:space="preserve">[?] non trouvé en primaire ; dette « plus de trois fois le CA 2022 » (pacte) → CA 2022 &lt; 1 Md USD [E]</w:t>
            </w:r>
          </w:p>
        </w:tc>
        <w:tc>
          <w:tcPr>
            <w:tcW w:w="1097" w:type="dxa"/>
          </w:tcPr>
          <w:tcPr/>
          <w:p>
            <w:pPr>
              <w:pStyle w:val="Compact"/>
              <w:jc w:val="left"/>
            </w:pPr>
            <w:r>
              <w:t xml:space="preserve">2022</w:t>
            </w:r>
          </w:p>
        </w:tc>
        <w:tc>
          <w:tcPr>
            <w:tcW w:w="1308" w:type="dxa"/>
          </w:tcPr>
          <w:tcPr/>
          <w:p>
            <w:pPr>
              <w:pStyle w:val="Compact"/>
              <w:jc w:val="left"/>
            </w:pPr>
            <w:r>
              <w:t xml:space="preserve">[P]/[E]</w:t>
            </w:r>
          </w:p>
        </w:tc>
        <w:tc>
          <w:tcPr>
            <w:tcW w:w="1090" w:type="dxa"/>
          </w:tcPr>
          <w:tcPr/>
          <w:p>
            <w:pPr>
              <w:pStyle w:val="Compact"/>
              <w:jc w:val="left"/>
            </w:pPr>
            <w:r>
              <w:t xml:space="preserve">[P][8]</w:t>
            </w:r>
          </w:p>
        </w:tc>
      </w:tr>
      <w:tr>
        <w:tc>
          <w:tcPr>
            <w:tcW w:w="2903" w:type="dxa"/>
          </w:tcPr>
          <w:tcPr/>
          <w:p>
            <w:pPr>
              <w:pStyle w:val="Compact"/>
              <w:jc w:val="left"/>
            </w:pPr>
            <w:r>
              <w:t xml:space="preserve">Résultat net / marge nette</w:t>
            </w:r>
          </w:p>
        </w:tc>
        <w:tc>
          <w:tcPr>
            <w:tcW w:w="8171" w:type="dxa"/>
          </w:tcPr>
          <w:tcPr/>
          <w:p>
            <w:pPr>
              <w:pStyle w:val="Compact"/>
              <w:jc w:val="left"/>
            </w:pPr>
            <w:r>
              <w:t xml:space="preserve">Marge nette « améliorée à partir de 2022 » ; rendement des actifs et des fonds propres des EP « majoritairement négatif » ; SNEL classée parmi les EP ayant des difficultés à servir leur dette</w:t>
            </w:r>
          </w:p>
        </w:tc>
        <w:tc>
          <w:tcPr>
            <w:tcW w:w="1097" w:type="dxa"/>
          </w:tcPr>
          <w:tcPr/>
          <w:p>
            <w:pPr>
              <w:pStyle w:val="Compact"/>
              <w:jc w:val="left"/>
            </w:pPr>
            <w:r>
              <w:t xml:space="preserve">2018-2024</w:t>
            </w:r>
          </w:p>
        </w:tc>
        <w:tc>
          <w:tcPr>
            <w:tcW w:w="1308" w:type="dxa"/>
          </w:tcPr>
          <w:tcPr/>
          <w:p>
            <w:pPr>
              <w:pStyle w:val="Compact"/>
              <w:jc w:val="left"/>
            </w:pPr>
            <w:r>
              <w:t xml:space="preserve">[V]</w:t>
            </w:r>
          </w:p>
        </w:tc>
        <w:tc>
          <w:tcPr>
            <w:tcW w:w="1090" w:type="dxa"/>
          </w:tcPr>
          <w:tcPr/>
          <w:p>
            <w:pPr>
              <w:pStyle w:val="Compact"/>
              <w:jc w:val="left"/>
            </w:pPr>
            <w:r>
              <w:t xml:space="preserve">[3]</w:t>
            </w:r>
          </w:p>
        </w:tc>
      </w:tr>
      <w:tr>
        <w:tc>
          <w:tcPr>
            <w:tcW w:w="2903" w:type="dxa"/>
          </w:tcPr>
          <w:tcPr/>
          <w:p>
            <w:pPr>
              <w:pStyle w:val="Compact"/>
              <w:jc w:val="left"/>
            </w:pPr>
            <w:r>
              <w:t xml:space="preserve">EBITDA</w:t>
            </w:r>
          </w:p>
        </w:tc>
        <w:tc>
          <w:tcPr>
            <w:tcW w:w="8171" w:type="dxa"/>
          </w:tcPr>
          <w:tcPr/>
          <w:p>
            <w:pPr>
              <w:pStyle w:val="Compact"/>
              <w:jc w:val="left"/>
            </w:pPr>
            <w:r>
              <w:t xml:space="preserve">[?] non trouvé</w:t>
            </w:r>
          </w:p>
        </w:tc>
        <w:tc>
          <w:tcPr>
            <w:tcW w:w="1097" w:type="dxa"/>
          </w:tcPr>
          <w:tcPr/>
          <w:p>
            <w:pPr>
              <w:pStyle w:val="Compact"/>
              <w:jc w:val="left"/>
            </w:pPr>
            <w:r>
              <w:t xml:space="preserve">—</w:t>
            </w:r>
          </w:p>
        </w:tc>
        <w:tc>
          <w:tcPr>
            <w:tcW w:w="1308" w:type="dxa"/>
          </w:tcPr>
          <w:tcPr/>
          <w:p>
            <w:pPr>
              <w:pStyle w:val="Compact"/>
              <w:jc w:val="left"/>
            </w:pPr>
            <w:r>
              <w:t xml:space="preserve">[?]</w:t>
            </w:r>
          </w:p>
        </w:tc>
        <w:tc>
          <w:tcPr>
            <w:tcW w:w="1090" w:type="dxa"/>
          </w:tcPr>
          <w:tcPr/>
          <w:p>
            <w:pPr>
              <w:pStyle w:val="Compact"/>
              <w:jc w:val="left"/>
            </w:pPr>
            <w:r>
              <w:t xml:space="preserve">—</w:t>
            </w:r>
          </w:p>
        </w:tc>
      </w:tr>
      <w:tr>
        <w:tc>
          <w:tcPr>
            <w:tcW w:w="2903" w:type="dxa"/>
          </w:tcPr>
          <w:tcPr/>
          <w:p>
            <w:pPr>
              <w:pStyle w:val="Compact"/>
              <w:jc w:val="left"/>
            </w:pPr>
            <w:r>
              <w:t xml:space="preserve">Dette totale</w:t>
            </w:r>
          </w:p>
        </w:tc>
        <w:tc>
          <w:tcPr>
            <w:tcW w:w="8171" w:type="dxa"/>
          </w:tcPr>
          <w:tcPr/>
          <w:p>
            <w:pPr>
              <w:pStyle w:val="Compact"/>
              <w:jc w:val="left"/>
            </w:pPr>
            <w:r>
              <w:rPr>
                <w:bCs/>
                <w:b/>
              </w:rPr>
              <w:t xml:space="preserve">SNEL ≈ 75 % de la dette des EP</w:t>
            </w:r>
            <w:r>
              <w:t xml:space="preserve">, laquelle atteint 7,3 % du PIB en 2023 (42 % de la dette publique extérieure) → ~5,5 % du PIB [E] ; pacte : ~3 Md USD (75 % financière dont contrats miniers, 13 % commerciale, 11 % fiscale)</w:t>
            </w:r>
          </w:p>
        </w:tc>
        <w:tc>
          <w:tcPr>
            <w:tcW w:w="1097" w:type="dxa"/>
          </w:tcPr>
          <w:tcPr/>
          <w:p>
            <w:pPr>
              <w:pStyle w:val="Compact"/>
              <w:jc w:val="left"/>
            </w:pPr>
            <w:r>
              <w:t xml:space="preserve">2023</w:t>
            </w:r>
          </w:p>
        </w:tc>
        <w:tc>
          <w:tcPr>
            <w:tcW w:w="1308" w:type="dxa"/>
          </w:tcPr>
          <w:tcPr/>
          <w:p>
            <w:pPr>
              <w:pStyle w:val="Compact"/>
              <w:jc w:val="left"/>
            </w:pPr>
            <w:r>
              <w:t xml:space="preserve">[V] / [P]</w:t>
            </w:r>
          </w:p>
        </w:tc>
        <w:tc>
          <w:tcPr>
            <w:tcW w:w="1090" w:type="dxa"/>
          </w:tcPr>
          <w:tcPr/>
          <w:p>
            <w:pPr>
              <w:pStyle w:val="Compact"/>
              <w:jc w:val="left"/>
            </w:pPr>
            <w:r>
              <w:t xml:space="preserve">[3][P]</w:t>
            </w:r>
          </w:p>
        </w:tc>
      </w:tr>
      <w:tr>
        <w:tc>
          <w:tcPr>
            <w:tcW w:w="2903" w:type="dxa"/>
          </w:tcPr>
          <w:tcPr/>
          <w:p>
            <w:pPr>
              <w:pStyle w:val="Compact"/>
              <w:jc w:val="left"/>
            </w:pPr>
            <w:r>
              <w:t xml:space="preserve">Arriérés de l’État</w:t>
            </w:r>
          </w:p>
        </w:tc>
        <w:tc>
          <w:tcPr>
            <w:tcW w:w="8171" w:type="dxa"/>
          </w:tcPr>
          <w:tcPr/>
          <w:p>
            <w:pPr>
              <w:pStyle w:val="Compact"/>
              <w:jc w:val="left"/>
            </w:pPr>
            <w:r>
              <w:t xml:space="preserve">≈ 110 M USD (pacte) ; MoU de règlement signé le 22-01-2025 ; ordre de virement mensuel permanent décidé en Conseil des ministres le 28-03-2025 (dès avril 2025) ; « les arriérés restants menacent toujours la stabilité financière de la SNEL » (déc. 2025)</w:t>
            </w:r>
          </w:p>
        </w:tc>
        <w:tc>
          <w:tcPr>
            <w:tcW w:w="1097" w:type="dxa"/>
          </w:tcPr>
          <w:tcPr/>
          <w:p>
            <w:pPr>
              <w:pStyle w:val="Compact"/>
              <w:jc w:val="left"/>
            </w:pPr>
            <w:r>
              <w:t xml:space="preserve">2025</w:t>
            </w:r>
          </w:p>
        </w:tc>
        <w:tc>
          <w:tcPr>
            <w:tcW w:w="1308" w:type="dxa"/>
          </w:tcPr>
          <w:tcPr/>
          <w:p>
            <w:pPr>
              <w:pStyle w:val="Compact"/>
              <w:jc w:val="left"/>
            </w:pPr>
            <w:r>
              <w:t xml:space="preserve">[V]</w:t>
            </w:r>
          </w:p>
        </w:tc>
        <w:tc>
          <w:tcPr>
            <w:tcW w:w="1090" w:type="dxa"/>
          </w:tcPr>
          <w:tcPr/>
          <w:p>
            <w:pPr>
              <w:pStyle w:val="Compact"/>
              <w:jc w:val="left"/>
            </w:pPr>
            <w:r>
              <w:t xml:space="preserve">[1][4][P]</w:t>
            </w:r>
          </w:p>
        </w:tc>
      </w:tr>
      <w:tr>
        <w:tc>
          <w:tcPr>
            <w:tcW w:w="2903" w:type="dxa"/>
          </w:tcPr>
          <w:tcPr/>
          <w:p>
            <w:pPr>
              <w:pStyle w:val="Compact"/>
              <w:jc w:val="left"/>
            </w:pPr>
            <w:r>
              <w:t xml:space="preserve">Transferts / subventions</w:t>
            </w:r>
          </w:p>
        </w:tc>
        <w:tc>
          <w:tcPr>
            <w:tcW w:w="8171" w:type="dxa"/>
          </w:tcPr>
          <w:tcPr/>
          <w:p>
            <w:pPr>
              <w:pStyle w:val="Compact"/>
              <w:jc w:val="left"/>
            </w:pPr>
            <w:r>
              <w:t xml:space="preserve">[?] non chiffré ; nombreuses institutions et « ayants droit » (hauts responsables) bénéficient d’électricité gratuite</w:t>
            </w:r>
          </w:p>
        </w:tc>
        <w:tc>
          <w:tcPr>
            <w:tcW w:w="1097" w:type="dxa"/>
          </w:tcPr>
          <w:tcPr/>
          <w:p>
            <w:pPr>
              <w:pStyle w:val="Compact"/>
              <w:jc w:val="left"/>
            </w:pPr>
            <w:r>
              <w:t xml:space="preserve">2025</w:t>
            </w:r>
          </w:p>
        </w:tc>
        <w:tc>
          <w:tcPr>
            <w:tcW w:w="1308" w:type="dxa"/>
          </w:tcPr>
          <w:tcPr/>
          <w:p>
            <w:pPr>
              <w:pStyle w:val="Compact"/>
              <w:jc w:val="left"/>
            </w:pPr>
            <w:r>
              <w:t xml:space="preserve">[V]</w:t>
            </w:r>
          </w:p>
        </w:tc>
        <w:tc>
          <w:tcPr>
            <w:tcW w:w="1090" w:type="dxa"/>
          </w:tcPr>
          <w:tcPr/>
          <w:p>
            <w:pPr>
              <w:pStyle w:val="Compact"/>
              <w:jc w:val="left"/>
            </w:pPr>
            <w:r>
              <w:t xml:space="preserve">[1]</w:t>
            </w:r>
          </w:p>
        </w:tc>
      </w:tr>
      <w:tr>
        <w:tc>
          <w:tcPr>
            <w:tcW w:w="2903" w:type="dxa"/>
          </w:tcPr>
          <w:tcPr/>
          <w:p>
            <w:pPr>
              <w:pStyle w:val="Compact"/>
              <w:jc w:val="left"/>
            </w:pPr>
            <w:r>
              <w:t xml:space="preserve">Taux de recouvrement</w:t>
            </w:r>
          </w:p>
        </w:tc>
        <w:tc>
          <w:tcPr>
            <w:tcW w:w="8171" w:type="dxa"/>
          </w:tcPr>
          <w:tcPr/>
          <w:p>
            <w:pPr>
              <w:pStyle w:val="Compact"/>
              <w:jc w:val="left"/>
            </w:pPr>
            <w:r>
              <w:rPr>
                <w:bCs/>
                <w:b/>
              </w:rPr>
              <w:t xml:space="preserve">55,91 % (déc. 2023) → 70,87 % (déc. 2025)</w:t>
            </w:r>
            <w:r>
              <w:t xml:space="preserve"> </w:t>
            </w:r>
            <w:r>
              <w:t xml:space="preserve">(indicateur DPF) ; mais l’indicateur AGREE donne</w:t>
            </w:r>
            <w:r>
              <w:t xml:space="preserve"> </w:t>
            </w:r>
            <w:r>
              <w:rPr>
                <w:bCs/>
                <w:b/>
              </w:rPr>
              <w:t xml:space="preserve">60 %</w:t>
            </w:r>
            <w:r>
              <w:t xml:space="preserve"> </w:t>
            </w:r>
            <w:r>
              <w:t xml:space="preserve">(avr.-juin 2026) : HT 84 % (oct. 2024) → 60 %, MT 65 %, BT 40 %</w:t>
            </w:r>
          </w:p>
        </w:tc>
        <w:tc>
          <w:tcPr>
            <w:tcW w:w="1097" w:type="dxa"/>
          </w:tcPr>
          <w:tcPr/>
          <w:p>
            <w:pPr>
              <w:pStyle w:val="Compact"/>
              <w:jc w:val="left"/>
            </w:pPr>
            <w:r>
              <w:t xml:space="preserve">2023-2026</w:t>
            </w:r>
          </w:p>
        </w:tc>
        <w:tc>
          <w:tcPr>
            <w:tcW w:w="1308" w:type="dxa"/>
          </w:tcPr>
          <w:tcPr/>
          <w:p>
            <w:pPr>
              <w:pStyle w:val="Compact"/>
              <w:jc w:val="left"/>
            </w:pPr>
            <w:r>
              <w:t xml:space="preserve">[V] (définitions divergentes)</w:t>
            </w:r>
          </w:p>
        </w:tc>
        <w:tc>
          <w:tcPr>
            <w:tcW w:w="1090" w:type="dxa"/>
          </w:tcPr>
          <w:tcPr/>
          <w:p>
            <w:pPr>
              <w:pStyle w:val="Compact"/>
              <w:jc w:val="left"/>
            </w:pPr>
            <w:r>
              <w:t xml:space="preserve">[1][4][2]</w:t>
            </w:r>
          </w:p>
        </w:tc>
      </w:tr>
      <w:tr>
        <w:tc>
          <w:tcPr>
            <w:tcW w:w="2903" w:type="dxa"/>
          </w:tcPr>
          <w:tcPr/>
          <w:p>
            <w:pPr>
              <w:pStyle w:val="Compact"/>
              <w:jc w:val="left"/>
            </w:pPr>
            <w:r>
              <w:t xml:space="preserve">Recette moyenne vs coût par kWh</w:t>
            </w:r>
          </w:p>
        </w:tc>
        <w:tc>
          <w:tcPr>
            <w:tcW w:w="8171" w:type="dxa"/>
          </w:tcPr>
          <w:tcPr/>
          <w:p>
            <w:pPr>
              <w:pStyle w:val="Compact"/>
              <w:jc w:val="left"/>
            </w:pPr>
            <w:r>
              <w:t xml:space="preserve">Tarif moyen ≈ 9 c USD/kWh, coût 0,4 USD/kWh (pacte, non recoupé)</w:t>
            </w:r>
          </w:p>
        </w:tc>
        <w:tc>
          <w:tcPr>
            <w:tcW w:w="1097" w:type="dxa"/>
          </w:tcPr>
          <w:tcPr/>
          <w:p>
            <w:pPr>
              <w:pStyle w:val="Compact"/>
              <w:jc w:val="left"/>
            </w:pPr>
            <w:r>
              <w:t xml:space="preserve">~2024</w:t>
            </w:r>
          </w:p>
        </w:tc>
        <w:tc>
          <w:tcPr>
            <w:tcW w:w="1308" w:type="dxa"/>
          </w:tcPr>
          <w:tcPr/>
          <w:p>
            <w:pPr>
              <w:pStyle w:val="Compact"/>
              <w:jc w:val="left"/>
            </w:pPr>
            <w:r>
              <w:t xml:space="preserve">[P]</w:t>
            </w:r>
          </w:p>
        </w:tc>
        <w:tc>
          <w:tcPr>
            <w:tcW w:w="1090" w:type="dxa"/>
          </w:tcPr>
          <w:tcPr/>
          <w:p>
            <w:pPr>
              <w:pStyle w:val="Compact"/>
              <w:jc w:val="left"/>
            </w:pPr>
            <w:r>
              <w:t xml:space="preserve">[P]</w:t>
            </w:r>
          </w:p>
        </w:tc>
      </w:tr>
      <w:tr>
        <w:tc>
          <w:tcPr>
            <w:tcW w:w="2903" w:type="dxa"/>
          </w:tcPr>
          <w:tcPr/>
          <w:p>
            <w:pPr>
              <w:pStyle w:val="Compact"/>
              <w:jc w:val="left"/>
            </w:pPr>
            <w:r>
              <w:t xml:space="preserve">Déficit quasi-budgétaire</w:t>
            </w:r>
          </w:p>
        </w:tc>
        <w:tc>
          <w:tcPr>
            <w:tcW w:w="8171" w:type="dxa"/>
          </w:tcPr>
          <w:tcPr/>
          <w:p>
            <w:pPr>
              <w:pStyle w:val="Compact"/>
              <w:jc w:val="left"/>
            </w:pPr>
            <w:r>
              <w:t xml:space="preserve">[?] non estimé ; défaut des 11 principales EP coûterait ~179 M USD/an au budget, SNEL et Gécamines étant les plus coûteuses</w:t>
            </w:r>
          </w:p>
        </w:tc>
        <w:tc>
          <w:tcPr>
            <w:tcW w:w="1097" w:type="dxa"/>
          </w:tcPr>
          <w:tcPr/>
          <w:p>
            <w:pPr>
              <w:pStyle w:val="Compact"/>
              <w:jc w:val="left"/>
            </w:pPr>
            <w:r>
              <w:t xml:space="preserve">2026</w:t>
            </w:r>
          </w:p>
        </w:tc>
        <w:tc>
          <w:tcPr>
            <w:tcW w:w="1308" w:type="dxa"/>
          </w:tcPr>
          <w:tcPr/>
          <w:p>
            <w:pPr>
              <w:pStyle w:val="Compact"/>
              <w:jc w:val="left"/>
            </w:pPr>
            <w:r>
              <w:t xml:space="preserve">[V]</w:t>
            </w:r>
          </w:p>
        </w:tc>
        <w:tc>
          <w:tcPr>
            <w:tcW w:w="1090" w:type="dxa"/>
          </w:tcPr>
          <w:tcPr/>
          <w:p>
            <w:pPr>
              <w:pStyle w:val="Compact"/>
              <w:jc w:val="left"/>
            </w:pPr>
            <w:r>
              <w:t xml:space="preserve">[3]</w:t>
            </w:r>
          </w:p>
        </w:tc>
      </w:tr>
      <w:tr>
        <w:tc>
          <w:tcPr>
            <w:tcW w:w="2903" w:type="dxa"/>
          </w:tcPr>
          <w:tcPr/>
          <w:p>
            <w:pPr>
              <w:pStyle w:val="Compact"/>
              <w:jc w:val="left"/>
            </w:pPr>
            <w:r>
              <w:t xml:space="preserve">Notation</w:t>
            </w:r>
          </w:p>
        </w:tc>
        <w:tc>
          <w:tcPr>
            <w:tcW w:w="8171" w:type="dxa"/>
          </w:tcPr>
          <w:tcPr/>
          <w:p>
            <w:pPr>
              <w:pStyle w:val="Compact"/>
              <w:jc w:val="left"/>
            </w:pPr>
            <w:r>
              <w:t xml:space="preserve">Aucune</w:t>
            </w:r>
          </w:p>
        </w:tc>
        <w:tc>
          <w:tcPr>
            <w:tcW w:w="1097" w:type="dxa"/>
          </w:tcPr>
          <w:tcPr/>
          <w:p>
            <w:pPr>
              <w:pStyle w:val="Compact"/>
              <w:jc w:val="left"/>
            </w:pPr>
            <w:r>
              <w:t xml:space="preserve">—</w:t>
            </w:r>
          </w:p>
        </w:tc>
        <w:tc>
          <w:tcPr>
            <w:tcW w:w="1308" w:type="dxa"/>
          </w:tcPr>
          <w:tcPr/>
          <w:p>
            <w:pPr>
              <w:pStyle w:val="Compact"/>
              <w:jc w:val="left"/>
            </w:pPr>
            <w:r>
              <w:t xml:space="preserve">—</w:t>
            </w:r>
          </w:p>
        </w:tc>
        <w:tc>
          <w:tcPr>
            <w:tcW w:w="1090" w:type="dxa"/>
          </w:tcPr>
          <w:tcPr/>
          <w:p>
            <w:pPr>
              <w:pStyle w:val="Compact"/>
              <w:jc w:val="left"/>
            </w:pPr>
            <w:r>
              <w:t xml:space="preserve">—</w:t>
            </w:r>
          </w:p>
        </w:tc>
      </w:tr>
    </w:tbl>
    <w:bookmarkEnd w:id="114"/>
    <w:bookmarkStart w:id="115" w:name="situation-technique-7"/>
    <w:p>
      <w:pPr>
        <w:pStyle w:val="Heading3"/>
      </w:pPr>
      <w:r>
        <w:t xml:space="preserve">2. Situation technique</w:t>
      </w:r>
    </w:p>
    <w:tbl>
      <w:tblPr>
        <w:tblStyle w:val="Table"/>
        <w:tblW w:type="dxa" w:w="14570"/>
        <w:tblLook w:firstRow="1" w:lastRow="0" w:firstColumn="0" w:lastColumn="0" w:noHBand="0" w:noVBand="0" w:val="0020"/>
        <w:jc w:val="start"/>
      </w:tblPr>
      <w:tblGrid>
        <w:gridCol w:w="2385"/>
        <w:gridCol w:w="8245"/>
        <w:gridCol w:w="1298"/>
        <w:gridCol w:w="1107"/>
        <w:gridCol w:w="1534"/>
      </w:tblGrid>
      <w:tr>
        <w:trPr>
          <w:tblHeader w:val="true"/>
        </w:trPr>
        <w:tc>
          <w:tcPr>
            <w:tcW w:w="2385" w:type="dxa"/>
          </w:tcPr>
          <w:tcPr/>
          <w:p>
            <w:pPr>
              <w:pStyle w:val="Compact"/>
              <w:jc w:val="left"/>
            </w:pPr>
            <w:r>
              <w:t xml:space="preserve">Indicateur</w:t>
            </w:r>
          </w:p>
        </w:tc>
        <w:tc>
          <w:tcPr>
            <w:tcW w:w="8245" w:type="dxa"/>
          </w:tcPr>
          <w:tcPr/>
          <w:p>
            <w:pPr>
              <w:pStyle w:val="Compact"/>
              <w:jc w:val="left"/>
            </w:pPr>
            <w:r>
              <w:t xml:space="preserve">Valeur</w:t>
            </w:r>
          </w:p>
        </w:tc>
        <w:tc>
          <w:tcPr>
            <w:tcW w:w="1298" w:type="dxa"/>
          </w:tcPr>
          <w:tcPr/>
          <w:p>
            <w:pPr>
              <w:pStyle w:val="Compact"/>
              <w:jc w:val="left"/>
            </w:pPr>
            <w:r>
              <w:t xml:space="preserve">Année</w:t>
            </w:r>
          </w:p>
        </w:tc>
        <w:tc>
          <w:tcPr>
            <w:tcW w:w="1107" w:type="dxa"/>
          </w:tcPr>
          <w:tcPr/>
          <w:p>
            <w:pPr>
              <w:pStyle w:val="Compact"/>
              <w:jc w:val="left"/>
            </w:pPr>
            <w:r>
              <w:t xml:space="preserve">Statut</w:t>
            </w:r>
          </w:p>
        </w:tc>
        <w:tc>
          <w:tcPr>
            <w:tcW w:w="1534" w:type="dxa"/>
          </w:tcPr>
          <w:tcPr/>
          <w:p>
            <w:pPr>
              <w:pStyle w:val="Compact"/>
              <w:jc w:val="left"/>
            </w:pPr>
            <w:r>
              <w:t xml:space="preserve">Source</w:t>
            </w:r>
          </w:p>
        </w:tc>
      </w:tr>
      <w:tr>
        <w:tc>
          <w:tcPr>
            <w:tcW w:w="2385" w:type="dxa"/>
          </w:tcPr>
          <w:tcPr/>
          <w:p>
            <w:pPr>
              <w:pStyle w:val="Compact"/>
              <w:jc w:val="left"/>
            </w:pPr>
            <w:r>
              <w:t xml:space="preserve">Capacité</w:t>
            </w:r>
          </w:p>
        </w:tc>
        <w:tc>
          <w:tcPr>
            <w:tcW w:w="8245" w:type="dxa"/>
          </w:tcPr>
          <w:tcPr/>
          <w:p>
            <w:pPr>
              <w:pStyle w:val="Compact"/>
              <w:jc w:val="left"/>
            </w:pPr>
            <w:r>
              <w:t xml:space="preserve">~2 700 MW (BM 2025) vs 3 067 MW installés (pacte) ; utilisation du potentiel hydro 3,2 %</w:t>
            </w:r>
          </w:p>
        </w:tc>
        <w:tc>
          <w:tcPr>
            <w:tcW w:w="1298" w:type="dxa"/>
          </w:tcPr>
          <w:tcPr/>
          <w:p>
            <w:pPr>
              <w:pStyle w:val="Compact"/>
              <w:jc w:val="left"/>
            </w:pPr>
            <w:r>
              <w:t xml:space="preserve">2025</w:t>
            </w:r>
          </w:p>
        </w:tc>
        <w:tc>
          <w:tcPr>
            <w:tcW w:w="1107" w:type="dxa"/>
          </w:tcPr>
          <w:tcPr/>
          <w:p>
            <w:pPr>
              <w:pStyle w:val="Compact"/>
              <w:jc w:val="left"/>
            </w:pPr>
            <w:r>
              <w:t xml:space="preserve">[V]</w:t>
            </w:r>
          </w:p>
        </w:tc>
        <w:tc>
          <w:tcPr>
            <w:tcW w:w="1534" w:type="dxa"/>
          </w:tcPr>
          <w:tcPr/>
          <w:p>
            <w:pPr>
              <w:pStyle w:val="Compact"/>
              <w:jc w:val="left"/>
            </w:pPr>
            <w:r>
              <w:t xml:space="preserve">[1][3][P]</w:t>
            </w:r>
          </w:p>
        </w:tc>
      </w:tr>
      <w:tr>
        <w:tc>
          <w:tcPr>
            <w:tcW w:w="2385" w:type="dxa"/>
          </w:tcPr>
          <w:tcPr/>
          <w:p>
            <w:pPr>
              <w:pStyle w:val="Compact"/>
              <w:jc w:val="left"/>
            </w:pPr>
            <w:r>
              <w:t xml:space="preserve">Pertes totales</w:t>
            </w:r>
          </w:p>
        </w:tc>
        <w:tc>
          <w:tcPr>
            <w:tcW w:w="8245" w:type="dxa"/>
          </w:tcPr>
          <w:tcPr/>
          <w:p>
            <w:pPr>
              <w:pStyle w:val="Compact"/>
              <w:jc w:val="left"/>
            </w:pPr>
            <w:r>
              <w:rPr>
                <w:bCs/>
                <w:b/>
              </w:rPr>
              <w:t xml:space="preserve">45,9 % (déc. 2023) → 49,06 % (déc. 2025)</w:t>
            </w:r>
            <w:r>
              <w:t xml:space="preserve">, cible 40 % fin 2027 ; « environ 46 % de l’électricité produite n’est pas livrée, facturée et encaissée » ; pertes techniques estimées à 37 % (2023)</w:t>
            </w:r>
          </w:p>
        </w:tc>
        <w:tc>
          <w:tcPr>
            <w:tcW w:w="1298" w:type="dxa"/>
          </w:tcPr>
          <w:tcPr/>
          <w:p>
            <w:pPr>
              <w:pStyle w:val="Compact"/>
              <w:jc w:val="left"/>
            </w:pPr>
            <w:r>
              <w:t xml:space="preserve">2023-2025</w:t>
            </w:r>
          </w:p>
        </w:tc>
        <w:tc>
          <w:tcPr>
            <w:tcW w:w="1107" w:type="dxa"/>
          </w:tcPr>
          <w:tcPr/>
          <w:p>
            <w:pPr>
              <w:pStyle w:val="Compact"/>
              <w:jc w:val="left"/>
            </w:pPr>
            <w:r>
              <w:t xml:space="preserve">[V]</w:t>
            </w:r>
          </w:p>
        </w:tc>
        <w:tc>
          <w:tcPr>
            <w:tcW w:w="1534" w:type="dxa"/>
          </w:tcPr>
          <w:tcPr/>
          <w:p>
            <w:pPr>
              <w:pStyle w:val="Compact"/>
              <w:jc w:val="left"/>
            </w:pPr>
            <w:r>
              <w:t xml:space="preserve">[1][4][3]</w:t>
            </w:r>
          </w:p>
        </w:tc>
      </w:tr>
      <w:tr>
        <w:tc>
          <w:tcPr>
            <w:tcW w:w="2385" w:type="dxa"/>
          </w:tcPr>
          <w:tcPr/>
          <w:p>
            <w:pPr>
              <w:pStyle w:val="Compact"/>
              <w:jc w:val="left"/>
            </w:pPr>
            <w:r>
              <w:t xml:space="preserve">SAIDI/SAIFI</w:t>
            </w:r>
          </w:p>
        </w:tc>
        <w:tc>
          <w:tcPr>
            <w:tcW w:w="8245" w:type="dxa"/>
          </w:tcPr>
          <w:tcPr/>
          <w:p>
            <w:pPr>
              <w:pStyle w:val="Compact"/>
              <w:jc w:val="left"/>
            </w:pPr>
            <w:r>
              <w:t xml:space="preserve">[?] non trouvé ; « coupures fréquentes et délestages »</w:t>
            </w:r>
          </w:p>
        </w:tc>
        <w:tc>
          <w:tcPr>
            <w:tcW w:w="1298" w:type="dxa"/>
          </w:tcPr>
          <w:tcPr/>
          <w:p>
            <w:pPr>
              <w:pStyle w:val="Compact"/>
              <w:jc w:val="left"/>
            </w:pPr>
            <w:r>
              <w:t xml:space="preserve">2026</w:t>
            </w:r>
          </w:p>
        </w:tc>
        <w:tc>
          <w:tcPr>
            <w:tcW w:w="1107" w:type="dxa"/>
          </w:tcPr>
          <w:tcPr/>
          <w:p>
            <w:pPr>
              <w:pStyle w:val="Compact"/>
              <w:jc w:val="left"/>
            </w:pPr>
            <w:r>
              <w:t xml:space="preserve">[V]</w:t>
            </w:r>
          </w:p>
        </w:tc>
        <w:tc>
          <w:tcPr>
            <w:tcW w:w="1534" w:type="dxa"/>
          </w:tcPr>
          <w:tcPr/>
          <w:p>
            <w:pPr>
              <w:pStyle w:val="Compact"/>
              <w:jc w:val="left"/>
            </w:pPr>
            <w:r>
              <w:t xml:space="preserve">[3]</w:t>
            </w:r>
          </w:p>
        </w:tc>
      </w:tr>
      <w:tr>
        <w:tc>
          <w:tcPr>
            <w:tcW w:w="2385" w:type="dxa"/>
          </w:tcPr>
          <w:tcPr/>
          <w:p>
            <w:pPr>
              <w:pStyle w:val="Compact"/>
              <w:jc w:val="left"/>
            </w:pPr>
            <w:r>
              <w:t xml:space="preserve">Clients / prépayé</w:t>
            </w:r>
          </w:p>
        </w:tc>
        <w:tc>
          <w:tcPr>
            <w:tcW w:w="8245" w:type="dxa"/>
          </w:tcPr>
          <w:tcPr/>
          <w:p>
            <w:pPr>
              <w:pStyle w:val="Compact"/>
              <w:jc w:val="left"/>
            </w:pPr>
            <w:r>
              <w:t xml:space="preserve">&gt; 1 million de clients (pacte) ; contrat de</w:t>
            </w:r>
            <w:r>
              <w:t xml:space="preserve"> </w:t>
            </w:r>
            <w:r>
              <w:rPr>
                <w:bCs/>
                <w:b/>
              </w:rPr>
              <w:t xml:space="preserve">110 000 compteurs prépayés</w:t>
            </w:r>
            <w:r>
              <w:t xml:space="preserve"> </w:t>
            </w:r>
            <w:r>
              <w:t xml:space="preserve">(Shenzhen Londian), livraison à Kinshasa prévue juin 2026 ; 150 000 supplémentaires prévus</w:t>
            </w:r>
          </w:p>
        </w:tc>
        <w:tc>
          <w:tcPr>
            <w:tcW w:w="1298" w:type="dxa"/>
          </w:tcPr>
          <w:tcPr/>
          <w:p>
            <w:pPr>
              <w:pStyle w:val="Compact"/>
              <w:jc w:val="left"/>
            </w:pPr>
            <w:r>
              <w:t xml:space="preserve">2026</w:t>
            </w:r>
          </w:p>
        </w:tc>
        <w:tc>
          <w:tcPr>
            <w:tcW w:w="1107" w:type="dxa"/>
          </w:tcPr>
          <w:tcPr/>
          <w:p>
            <w:pPr>
              <w:pStyle w:val="Compact"/>
              <w:jc w:val="left"/>
            </w:pPr>
            <w:r>
              <w:t xml:space="preserve">[V]</w:t>
            </w:r>
          </w:p>
        </w:tc>
        <w:tc>
          <w:tcPr>
            <w:tcW w:w="1534" w:type="dxa"/>
          </w:tcPr>
          <w:tcPr/>
          <w:p>
            <w:pPr>
              <w:pStyle w:val="Compact"/>
              <w:jc w:val="left"/>
            </w:pPr>
            <w:r>
              <w:t xml:space="preserve">[2][P]</w:t>
            </w:r>
          </w:p>
        </w:tc>
      </w:tr>
      <w:tr>
        <w:tc>
          <w:tcPr>
            <w:tcW w:w="2385" w:type="dxa"/>
          </w:tcPr>
          <w:tcPr/>
          <w:p>
            <w:pPr>
              <w:pStyle w:val="Compact"/>
              <w:jc w:val="left"/>
            </w:pPr>
            <w:r>
              <w:t xml:space="preserve">Mix</w:t>
            </w:r>
          </w:p>
        </w:tc>
        <w:tc>
          <w:tcPr>
            <w:tcW w:w="8245" w:type="dxa"/>
          </w:tcPr>
          <w:tcPr/>
          <w:p>
            <w:pPr>
              <w:pStyle w:val="Compact"/>
              <w:jc w:val="left"/>
            </w:pPr>
            <w:r>
              <w:t xml:space="preserve">~98-99 % hydro (pacte)</w:t>
            </w:r>
          </w:p>
        </w:tc>
        <w:tc>
          <w:tcPr>
            <w:tcW w:w="1298" w:type="dxa"/>
          </w:tcPr>
          <w:tcPr/>
          <w:p>
            <w:pPr>
              <w:pStyle w:val="Compact"/>
              <w:jc w:val="left"/>
            </w:pPr>
            <w:r>
              <w:t xml:space="preserve">—</w:t>
            </w:r>
          </w:p>
        </w:tc>
        <w:tc>
          <w:tcPr>
            <w:tcW w:w="1107" w:type="dxa"/>
          </w:tcPr>
          <w:tcPr/>
          <w:p>
            <w:pPr>
              <w:pStyle w:val="Compact"/>
              <w:jc w:val="left"/>
            </w:pPr>
            <w:r>
              <w:t xml:space="preserve">[P]</w:t>
            </w:r>
          </w:p>
        </w:tc>
        <w:tc>
          <w:tcPr>
            <w:tcW w:w="1534" w:type="dxa"/>
          </w:tcPr>
          <w:tcPr/>
          <w:p>
            <w:pPr>
              <w:pStyle w:val="Compact"/>
              <w:jc w:val="left"/>
            </w:pPr>
            <w:r>
              <w:t xml:space="preserve">[P]</w:t>
            </w:r>
          </w:p>
        </w:tc>
      </w:tr>
      <w:tr>
        <w:tc>
          <w:tcPr>
            <w:tcW w:w="2385" w:type="dxa"/>
          </w:tcPr>
          <w:tcPr/>
          <w:p>
            <w:pPr>
              <w:pStyle w:val="Compact"/>
              <w:jc w:val="left"/>
            </w:pPr>
            <w:r>
              <w:t xml:space="preserve">Délestages</w:t>
            </w:r>
          </w:p>
        </w:tc>
        <w:tc>
          <w:tcPr>
            <w:tcW w:w="8245" w:type="dxa"/>
          </w:tcPr>
          <w:tcPr/>
          <w:p>
            <w:pPr>
              <w:pStyle w:val="Compact"/>
              <w:jc w:val="left"/>
            </w:pPr>
            <w:r>
              <w:t xml:space="preserve">Fréquents (BM 2026) ; données chiffrées [?]</w:t>
            </w:r>
          </w:p>
        </w:tc>
        <w:tc>
          <w:tcPr>
            <w:tcW w:w="1298" w:type="dxa"/>
          </w:tcPr>
          <w:tcPr/>
          <w:p>
            <w:pPr>
              <w:pStyle w:val="Compact"/>
              <w:jc w:val="left"/>
            </w:pPr>
            <w:r>
              <w:t xml:space="preserve">2026</w:t>
            </w:r>
          </w:p>
        </w:tc>
        <w:tc>
          <w:tcPr>
            <w:tcW w:w="1107" w:type="dxa"/>
          </w:tcPr>
          <w:tcPr/>
          <w:p>
            <w:pPr>
              <w:pStyle w:val="Compact"/>
              <w:jc w:val="left"/>
            </w:pPr>
            <w:r>
              <w:t xml:space="preserve">[V]</w:t>
            </w:r>
          </w:p>
        </w:tc>
        <w:tc>
          <w:tcPr>
            <w:tcW w:w="1534" w:type="dxa"/>
          </w:tcPr>
          <w:tcPr/>
          <w:p>
            <w:pPr>
              <w:pStyle w:val="Compact"/>
              <w:jc w:val="left"/>
            </w:pPr>
            <w:r>
              <w:t xml:space="preserve">[3]</w:t>
            </w:r>
          </w:p>
        </w:tc>
      </w:tr>
    </w:tbl>
    <w:bookmarkEnd w:id="115"/>
    <w:bookmarkStart w:id="116" w:name="situation-économique-et-gouvernance-7"/>
    <w:p>
      <w:pPr>
        <w:pStyle w:val="Heading3"/>
      </w:pPr>
      <w:r>
        <w:t xml:space="preserve">3. Situation économique et gouvernance</w:t>
      </w:r>
    </w:p>
    <w:p>
      <w:pPr>
        <w:numPr>
          <w:ilvl w:val="0"/>
          <w:numId w:val="1056"/>
        </w:numPr>
        <w:pStyle w:val="Compact"/>
      </w:pPr>
      <w:r>
        <w:t xml:space="preserve">PPA / contrats : contrats de financement minier générateurs de dette (42 % de la dette financière selon le pacte) [P][8] ; SNEL appelée à être l’acheteur d’Inga 3 et d’IPP solaires — la BM conditionne cela à sa transformation en « acheteur crédible » [1] [V].</w:t>
      </w:r>
    </w:p>
    <w:p>
      <w:pPr>
        <w:numPr>
          <w:ilvl w:val="0"/>
          <w:numId w:val="1056"/>
        </w:numPr>
        <w:pStyle w:val="Compact"/>
      </w:pPr>
      <w:r>
        <w:t xml:space="preserve">Change : tarifs en CDF, dette financière largement en devises [E] ; détail [?].</w:t>
      </w:r>
    </w:p>
    <w:p>
      <w:pPr>
        <w:numPr>
          <w:ilvl w:val="0"/>
          <w:numId w:val="1056"/>
        </w:numPr>
        <w:pStyle w:val="Compact"/>
      </w:pPr>
      <w:r>
        <w:rPr>
          <w:bCs/>
          <w:b/>
        </w:rPr>
        <w:t xml:space="preserve">Contrat de performance État-SNEL signé le 2 octobre 2024</w:t>
      </w:r>
      <w:r>
        <w:t xml:space="preserve"> </w:t>
      </w:r>
      <w:r>
        <w:t xml:space="preserve">(action préalable n° 10 de la DPF) ; TDR de l’auditeur du contrat approuvés le 18-02-2026 [1][2] [V]. Étude de redressement (Nodalis) achevée ; étude de restructuration de la dette par Ernst &amp; Young (rapport de collecte de données remis le 28-01-2026) ; classification juridique des actifs (contrat attendu mai 2026) ; ERP (contrat prévu 30-08-2026) [2] [V].</w:t>
      </w:r>
    </w:p>
    <w:p>
      <w:pPr>
        <w:numPr>
          <w:ilvl w:val="0"/>
          <w:numId w:val="1056"/>
        </w:numPr>
        <w:pStyle w:val="Compact"/>
      </w:pPr>
      <w:r>
        <w:t xml:space="preserve">Gouvernance : « vol et détournements financiers étendus » cités par la BM [1] [V] ; changements de direction de la SNEL et de gouvernement en 2025 ayant retardé les réformes [2] [V].</w:t>
      </w:r>
    </w:p>
    <w:bookmarkEnd w:id="116"/>
    <w:bookmarkStart w:id="117" w:name="X31f296e9008b0b2d9e63b3cb96b202aafc6df76"/>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2738"/>
        <w:gridCol w:w="922"/>
        <w:gridCol w:w="1581"/>
        <w:gridCol w:w="1237"/>
        <w:gridCol w:w="3038"/>
        <w:gridCol w:w="1907"/>
        <w:gridCol w:w="2451"/>
        <w:gridCol w:w="693"/>
      </w:tblGrid>
      <w:tr>
        <w:trPr>
          <w:tblHeader w:val="true"/>
        </w:trPr>
        <w:tc>
          <w:tcPr>
            <w:tcW w:w="2738" w:type="dxa"/>
          </w:tcPr>
          <w:tcPr/>
          <w:p>
            <w:pPr>
              <w:pStyle w:val="Compact"/>
              <w:jc w:val="left"/>
            </w:pPr>
            <w:r>
              <w:t xml:space="preserve">Programme / projet</w:t>
            </w:r>
          </w:p>
        </w:tc>
        <w:tc>
          <w:tcPr>
            <w:tcW w:w="922" w:type="dxa"/>
          </w:tcPr>
          <w:tcPr/>
          <w:p>
            <w:pPr>
              <w:pStyle w:val="Compact"/>
              <w:jc w:val="left"/>
            </w:pPr>
            <w:r>
              <w:t xml:space="preserve">Bailleur</w:t>
            </w:r>
          </w:p>
        </w:tc>
        <w:tc>
          <w:tcPr>
            <w:tcW w:w="1581" w:type="dxa"/>
          </w:tcPr>
          <w:tcPr/>
          <w:p>
            <w:pPr>
              <w:pStyle w:val="Compact"/>
              <w:jc w:val="left"/>
            </w:pPr>
            <w:r>
              <w:t xml:space="preserve">Montant</w:t>
            </w:r>
          </w:p>
        </w:tc>
        <w:tc>
          <w:tcPr>
            <w:tcW w:w="1237" w:type="dxa"/>
          </w:tcPr>
          <w:tcPr/>
          <w:p>
            <w:pPr>
              <w:pStyle w:val="Compact"/>
              <w:jc w:val="left"/>
            </w:pPr>
            <w:r>
              <w:t xml:space="preserve">Années</w:t>
            </w:r>
          </w:p>
        </w:tc>
        <w:tc>
          <w:tcPr>
            <w:tcW w:w="3038" w:type="dxa"/>
          </w:tcPr>
          <w:tcPr/>
          <w:p>
            <w:pPr>
              <w:pStyle w:val="Compact"/>
              <w:jc w:val="left"/>
            </w:pPr>
            <w:r>
              <w:t xml:space="preserve">Objectifs liés à l’opérateur</w:t>
            </w:r>
          </w:p>
        </w:tc>
        <w:tc>
          <w:tcPr>
            <w:tcW w:w="1907" w:type="dxa"/>
          </w:tcPr>
          <w:tcPr/>
          <w:p>
            <w:pPr>
              <w:pStyle w:val="Compact"/>
              <w:jc w:val="left"/>
            </w:pPr>
            <w:r>
              <w:t xml:space="preserve">Conditions/indicateurs</w:t>
            </w:r>
          </w:p>
        </w:tc>
        <w:tc>
          <w:tcPr>
            <w:tcW w:w="2451" w:type="dxa"/>
          </w:tcPr>
          <w:tcPr/>
          <w:p>
            <w:pPr>
              <w:pStyle w:val="Compact"/>
              <w:jc w:val="left"/>
            </w:pPr>
            <w:r>
              <w:t xml:space="preserve">Statut d’exécution</w:t>
            </w:r>
          </w:p>
        </w:tc>
        <w:tc>
          <w:tcPr>
            <w:tcW w:w="693" w:type="dxa"/>
          </w:tcPr>
          <w:tcPr/>
          <w:p>
            <w:pPr>
              <w:pStyle w:val="Compact"/>
              <w:jc w:val="left"/>
            </w:pPr>
            <w:r>
              <w:t xml:space="preserve">Source</w:t>
            </w:r>
          </w:p>
        </w:tc>
      </w:tr>
      <w:tr>
        <w:tc>
          <w:tcPr>
            <w:tcW w:w="2738" w:type="dxa"/>
          </w:tcPr>
          <w:tcPr/>
          <w:p>
            <w:pPr>
              <w:pStyle w:val="Compact"/>
              <w:jc w:val="left"/>
            </w:pPr>
            <w:r>
              <w:t xml:space="preserve">Access, Governance and Reform for the Electricity and Water Sectors Project (AGREE),</w:t>
            </w:r>
            <w:r>
              <w:t xml:space="preserve"> </w:t>
            </w:r>
            <w:r>
              <w:rPr>
                <w:bCs/>
                <w:b/>
              </w:rPr>
              <w:t xml:space="preserve">P173506</w:t>
            </w:r>
          </w:p>
        </w:tc>
        <w:tc>
          <w:tcPr>
            <w:tcW w:w="922" w:type="dxa"/>
          </w:tcPr>
          <w:tcPr/>
          <w:p>
            <w:pPr>
              <w:pStyle w:val="Compact"/>
              <w:jc w:val="left"/>
            </w:pPr>
            <w:r>
              <w:t xml:space="preserve">BM (IDA crédit 7066-ZR / don D989-ZR) + FVC 34 M USD + AFD 41 M EUR</w:t>
            </w:r>
          </w:p>
        </w:tc>
        <w:tc>
          <w:tcPr>
            <w:tcW w:w="1581" w:type="dxa"/>
          </w:tcPr>
          <w:tcPr/>
          <w:p>
            <w:pPr>
              <w:pStyle w:val="Compact"/>
              <w:jc w:val="left"/>
            </w:pPr>
            <w:r>
              <w:t xml:space="preserve">634 M USD à l’approbation ;</w:t>
            </w:r>
            <w:r>
              <w:t xml:space="preserve"> </w:t>
            </w:r>
            <w:r>
              <w:rPr>
                <w:bCs/>
                <w:b/>
              </w:rPr>
              <w:t xml:space="preserve">IDA ramenée de 600 à 500 M USD (annulation de 100 M, restructuration 2026)</w:t>
            </w:r>
          </w:p>
        </w:tc>
        <w:tc>
          <w:tcPr>
            <w:tcW w:w="1237" w:type="dxa"/>
          </w:tcPr>
          <w:tcPr/>
          <w:p>
            <w:pPr>
              <w:pStyle w:val="Compact"/>
              <w:jc w:val="left"/>
            </w:pPr>
            <w:r>
              <w:t xml:space="preserve">2022-09/2029</w:t>
            </w:r>
          </w:p>
        </w:tc>
        <w:tc>
          <w:tcPr>
            <w:tcW w:w="3038" w:type="dxa"/>
          </w:tcPr>
          <w:tcPr/>
          <w:p>
            <w:pPr>
              <w:pStyle w:val="Compact"/>
              <w:jc w:val="left"/>
            </w:pPr>
            <w:r>
              <w:t xml:space="preserve">Comp. 1 gouvernance SNEL/REGIDESO (réduite de 66 à 18 M USD,</w:t>
            </w:r>
            <w:r>
              <w:t xml:space="preserve"> </w:t>
            </w:r>
            <w:r>
              <w:rPr>
                <w:bCs/>
                <w:b/>
              </w:rPr>
              <w:t xml:space="preserve">PBC supprimés en déc. 2024</w:t>
            </w:r>
            <w:r>
              <w:t xml:space="preserve">) ; comptage prépayé, ERP/MIS, restructuration dette ; réseau Kinshasa/Gbadolite ; Fonds Mwinda (mini-réseaux, SHS)</w:t>
            </w:r>
          </w:p>
        </w:tc>
        <w:tc>
          <w:tcPr>
            <w:tcW w:w="1907" w:type="dxa"/>
          </w:tcPr>
          <w:tcPr/>
          <w:p>
            <w:pPr>
              <w:pStyle w:val="Compact"/>
              <w:jc w:val="left"/>
            </w:pPr>
            <w:r>
              <w:t xml:space="preserve">Indicateurs : recouvrement SNEL 60 % → 83,33 % (2030) ; tarifs SNEL ajustés (non) ; MIS et paiement électronique (non)</w:t>
            </w:r>
          </w:p>
        </w:tc>
        <w:tc>
          <w:tcPr>
            <w:tcW w:w="2451" w:type="dxa"/>
          </w:tcPr>
          <w:tcPr/>
          <w:p>
            <w:pPr>
              <w:pStyle w:val="Compact"/>
              <w:jc w:val="left"/>
            </w:pPr>
            <w:r>
              <w:t xml:space="preserve">Décaissement</w:t>
            </w:r>
            <w:r>
              <w:t xml:space="preserve"> </w:t>
            </w:r>
            <w:r>
              <w:rPr>
                <w:bCs/>
                <w:b/>
              </w:rPr>
              <w:t xml:space="preserve">6,88 %</w:t>
            </w:r>
            <w:r>
              <w:t xml:space="preserve"> </w:t>
            </w:r>
            <w:r>
              <w:t xml:space="preserve">au 31-12-2025 ; aucun branchement réalisé ; revue à mi-parcours fév. 2026 → restructuration de niveau 2 (périmètre réduit d’environ 50 %)</w:t>
            </w:r>
          </w:p>
        </w:tc>
        <w:tc>
          <w:tcPr>
            <w:tcW w:w="693" w:type="dxa"/>
          </w:tcPr>
          <w:tcPr/>
          <w:p>
            <w:pPr>
              <w:pStyle w:val="Compact"/>
              <w:jc w:val="left"/>
            </w:pPr>
            <w:r>
              <w:t xml:space="preserve">[2][4]</w:t>
            </w:r>
          </w:p>
        </w:tc>
      </w:tr>
      <w:tr>
        <w:tc>
          <w:tcPr>
            <w:tcW w:w="2738" w:type="dxa"/>
          </w:tcPr>
          <w:tcPr/>
          <w:p>
            <w:pPr>
              <w:pStyle w:val="Compact"/>
              <w:jc w:val="left"/>
            </w:pPr>
            <w:r>
              <w:t xml:space="preserve">First DRC Governance, Transparency and Economic Resilience DPF,</w:t>
            </w:r>
            <w:r>
              <w:t xml:space="preserve"> </w:t>
            </w:r>
            <w:r>
              <w:rPr>
                <w:bCs/>
                <w:b/>
              </w:rPr>
              <w:t xml:space="preserve">P507861</w:t>
            </w:r>
          </w:p>
        </w:tc>
        <w:tc>
          <w:tcPr>
            <w:tcW w:w="922" w:type="dxa"/>
          </w:tcPr>
          <w:tcPr/>
          <w:p>
            <w:pPr>
              <w:pStyle w:val="Compact"/>
              <w:jc w:val="left"/>
            </w:pPr>
            <w:r>
              <w:t xml:space="preserve">BM</w:t>
            </w:r>
          </w:p>
        </w:tc>
        <w:tc>
          <w:tcPr>
            <w:tcW w:w="1581" w:type="dxa"/>
          </w:tcPr>
          <w:tcPr/>
          <w:p>
            <w:pPr>
              <w:pStyle w:val="Compact"/>
              <w:jc w:val="left"/>
            </w:pPr>
            <w:r>
              <w:t xml:space="preserve">400 M USD (crédit) + 200 M USD (crédit à maturité courte)</w:t>
            </w:r>
          </w:p>
        </w:tc>
        <w:tc>
          <w:tcPr>
            <w:tcW w:w="1237" w:type="dxa"/>
          </w:tcPr>
          <w:tcPr/>
          <w:p>
            <w:pPr>
              <w:pStyle w:val="Compact"/>
              <w:jc w:val="left"/>
            </w:pPr>
            <w:r>
              <w:t xml:space="preserve">approuvé 22-05-2025</w:t>
            </w:r>
          </w:p>
        </w:tc>
        <w:tc>
          <w:tcPr>
            <w:tcW w:w="3038" w:type="dxa"/>
          </w:tcPr>
          <w:tcPr/>
          <w:p>
            <w:pPr>
              <w:pStyle w:val="Compact"/>
              <w:jc w:val="left"/>
            </w:pPr>
            <w:r>
              <w:t xml:space="preserve">Action préalable 10 : contrat de performance SNEL (02-10-2024) + MoU arriérés publics (22-01-2025)</w:t>
            </w:r>
          </w:p>
        </w:tc>
        <w:tc>
          <w:tcPr>
            <w:tcW w:w="1907" w:type="dxa"/>
          </w:tcPr>
          <w:tcPr/>
          <w:p>
            <w:pPr>
              <w:pStyle w:val="Compact"/>
              <w:jc w:val="left"/>
            </w:pPr>
            <w:r>
              <w:t xml:space="preserve">Déclencheur 10 (2e DPF) : plan d’action sur le plan de redressement actualisé, par décret, et adoption de l’option de restructuration ; RI : recouvrement 55,91 → 75 %, pertes 45,9 → 40 %</w:t>
            </w:r>
          </w:p>
        </w:tc>
        <w:tc>
          <w:tcPr>
            <w:tcW w:w="2451" w:type="dxa"/>
          </w:tcPr>
          <w:tcPr/>
          <w:p>
            <w:pPr>
              <w:pStyle w:val="Compact"/>
              <w:jc w:val="left"/>
            </w:pPr>
            <w:r>
              <w:t xml:space="preserve">ISR jan. 2026 : recouvrement 70,87 %, pertes 49,06 % (déc. 2025)</w:t>
            </w:r>
          </w:p>
        </w:tc>
        <w:tc>
          <w:tcPr>
            <w:tcW w:w="693" w:type="dxa"/>
          </w:tcPr>
          <w:tcPr/>
          <w:p>
            <w:pPr>
              <w:pStyle w:val="Compact"/>
              <w:jc w:val="left"/>
            </w:pPr>
            <w:r>
              <w:t xml:space="preserve">[1][4]</w:t>
            </w:r>
          </w:p>
        </w:tc>
      </w:tr>
      <w:tr>
        <w:tc>
          <w:tcPr>
            <w:tcW w:w="2738" w:type="dxa"/>
          </w:tcPr>
          <w:tcPr/>
          <w:p>
            <w:pPr>
              <w:pStyle w:val="Compact"/>
              <w:jc w:val="left"/>
            </w:pPr>
            <w:r>
              <w:t xml:space="preserve">Inga 3 Development Program,</w:t>
            </w:r>
            <w:r>
              <w:t xml:space="preserve"> </w:t>
            </w:r>
            <w:r>
              <w:rPr>
                <w:bCs/>
                <w:b/>
              </w:rPr>
              <w:t xml:space="preserve">P506438</w:t>
            </w:r>
          </w:p>
        </w:tc>
        <w:tc>
          <w:tcPr>
            <w:tcW w:w="922" w:type="dxa"/>
          </w:tcPr>
          <w:tcPr/>
          <w:p>
            <w:pPr>
              <w:pStyle w:val="Compact"/>
              <w:jc w:val="left"/>
            </w:pPr>
            <w:r>
              <w:t xml:space="preserve">BM (IDA 7815/7816-ZR)</w:t>
            </w:r>
          </w:p>
        </w:tc>
        <w:tc>
          <w:tcPr>
            <w:tcW w:w="1581" w:type="dxa"/>
          </w:tcPr>
          <w:tcPr/>
          <w:p>
            <w:pPr>
              <w:pStyle w:val="Compact"/>
              <w:jc w:val="left"/>
            </w:pPr>
            <w:r>
              <w:t xml:space="preserve">250 M USD (100 + 150)</w:t>
            </w:r>
          </w:p>
        </w:tc>
        <w:tc>
          <w:tcPr>
            <w:tcW w:w="1237" w:type="dxa"/>
          </w:tcPr>
          <w:tcPr/>
          <w:p>
            <w:pPr>
              <w:pStyle w:val="Compact"/>
              <w:jc w:val="left"/>
            </w:pPr>
            <w:r>
              <w:t xml:space="preserve">approuvé 03-06-2025, clôture 30-12-2030</w:t>
            </w:r>
          </w:p>
        </w:tc>
        <w:tc>
          <w:tcPr>
            <w:tcW w:w="3038" w:type="dxa"/>
          </w:tcPr>
          <w:tcPr/>
          <w:p>
            <w:pPr>
              <w:pStyle w:val="Compact"/>
              <w:jc w:val="left"/>
            </w:pPr>
            <w:r>
              <w:t xml:space="preserve">Préparation d’Inga 3 (ADPI) ; SNEL acheteur</w:t>
            </w:r>
          </w:p>
        </w:tc>
        <w:tc>
          <w:tcPr>
            <w:tcW w:w="1907" w:type="dxa"/>
          </w:tcPr>
          <w:tcPr/>
          <w:p>
            <w:pPr>
              <w:pStyle w:val="Compact"/>
              <w:jc w:val="left"/>
            </w:pPr>
            <w:r>
              <w:t xml:space="preserve">—</w:t>
            </w:r>
          </w:p>
        </w:tc>
        <w:tc>
          <w:tcPr>
            <w:tcW w:w="2451" w:type="dxa"/>
          </w:tcPr>
          <w:tcPr/>
          <w:p>
            <w:pPr>
              <w:pStyle w:val="Compact"/>
              <w:jc w:val="left"/>
            </w:pPr>
            <w:r>
              <w:t xml:space="preserve">Non encore en vigueur, 0 % décaissé (sept. 2025)</w:t>
            </w:r>
          </w:p>
        </w:tc>
        <w:tc>
          <w:tcPr>
            <w:tcW w:w="693" w:type="dxa"/>
          </w:tcPr>
          <w:tcPr/>
          <w:p>
            <w:pPr>
              <w:pStyle w:val="Compact"/>
              <w:jc w:val="left"/>
            </w:pPr>
            <w:r>
              <w:t xml:space="preserve">[6]</w:t>
            </w:r>
          </w:p>
        </w:tc>
      </w:tr>
      <w:tr>
        <w:tc>
          <w:tcPr>
            <w:tcW w:w="2738" w:type="dxa"/>
          </w:tcPr>
          <w:tcPr/>
          <w:p>
            <w:pPr>
              <w:pStyle w:val="Compact"/>
              <w:jc w:val="left"/>
            </w:pPr>
            <w:r>
              <w:t xml:space="preserve">Electricity Access &amp; Services Expansion (EASE), P156208</w:t>
            </w:r>
          </w:p>
        </w:tc>
        <w:tc>
          <w:tcPr>
            <w:tcW w:w="922" w:type="dxa"/>
          </w:tcPr>
          <w:tcPr/>
          <w:p>
            <w:pPr>
              <w:pStyle w:val="Compact"/>
              <w:jc w:val="left"/>
            </w:pPr>
            <w:r>
              <w:t xml:space="preserve">BM</w:t>
            </w:r>
          </w:p>
        </w:tc>
        <w:tc>
          <w:tcPr>
            <w:tcW w:w="1581" w:type="dxa"/>
          </w:tcPr>
          <w:tcPr/>
          <w:p>
            <w:pPr>
              <w:pStyle w:val="Compact"/>
              <w:jc w:val="left"/>
            </w:pPr>
            <w:r>
              <w:t xml:space="preserve">145 M USD</w:t>
            </w:r>
          </w:p>
        </w:tc>
        <w:tc>
          <w:tcPr>
            <w:tcW w:w="1237" w:type="dxa"/>
          </w:tcPr>
          <w:tcPr/>
          <w:p>
            <w:pPr>
              <w:pStyle w:val="Compact"/>
              <w:jc w:val="left"/>
            </w:pPr>
            <w:r>
              <w:t xml:space="preserve">2017-2024 (clos)</w:t>
            </w:r>
          </w:p>
        </w:tc>
        <w:tc>
          <w:tcPr>
            <w:tcW w:w="3038" w:type="dxa"/>
          </w:tcPr>
          <w:tcPr/>
          <w:p>
            <w:pPr>
              <w:pStyle w:val="Compact"/>
              <w:jc w:val="left"/>
            </w:pPr>
            <w:r>
              <w:t xml:space="preserve">Prédécesseur d’AGREE ; étude d’options de restructuration SNEL (Tetra Tech)</w:t>
            </w:r>
          </w:p>
        </w:tc>
        <w:tc>
          <w:tcPr>
            <w:tcW w:w="1907" w:type="dxa"/>
          </w:tcPr>
          <w:tcPr/>
          <w:p>
            <w:pPr>
              <w:pStyle w:val="Compact"/>
              <w:jc w:val="left"/>
            </w:pPr>
            <w:r>
              <w:t xml:space="preserve">—</w:t>
            </w:r>
          </w:p>
        </w:tc>
        <w:tc>
          <w:tcPr>
            <w:tcW w:w="2451" w:type="dxa"/>
          </w:tcPr>
          <w:tcPr/>
          <w:p>
            <w:pPr>
              <w:pStyle w:val="Compact"/>
              <w:jc w:val="left"/>
            </w:pPr>
            <w:r>
              <w:t xml:space="preserve">Clos 30-06-2024 ; activités inachevées reprises par AGREE</w:t>
            </w:r>
          </w:p>
        </w:tc>
        <w:tc>
          <w:tcPr>
            <w:tcW w:w="693" w:type="dxa"/>
          </w:tcPr>
          <w:tcPr/>
          <w:p>
            <w:pPr>
              <w:pStyle w:val="Compact"/>
              <w:jc w:val="left"/>
            </w:pPr>
            <w:r>
              <w:t xml:space="preserve">[2][7]</w:t>
            </w:r>
          </w:p>
        </w:tc>
      </w:tr>
      <w:tr>
        <w:tc>
          <w:tcPr>
            <w:tcW w:w="2738" w:type="dxa"/>
          </w:tcPr>
          <w:tcPr/>
          <w:p>
            <w:pPr>
              <w:pStyle w:val="Compact"/>
              <w:jc w:val="left"/>
            </w:pPr>
            <w:r>
              <w:t xml:space="preserve">PAGASE (appui à la gouvernance et à l’accès)</w:t>
            </w:r>
          </w:p>
        </w:tc>
        <w:tc>
          <w:tcPr>
            <w:tcW w:w="922" w:type="dxa"/>
          </w:tcPr>
          <w:tcPr/>
          <w:p>
            <w:pPr>
              <w:pStyle w:val="Compact"/>
              <w:jc w:val="left"/>
            </w:pPr>
            <w:r>
              <w:t xml:space="preserve">BAD</w:t>
            </w:r>
          </w:p>
        </w:tc>
        <w:tc>
          <w:tcPr>
            <w:tcW w:w="1581" w:type="dxa"/>
          </w:tcPr>
          <w:tcPr/>
          <w:p>
            <w:pPr>
              <w:pStyle w:val="Compact"/>
              <w:jc w:val="left"/>
            </w:pPr>
            <w:r>
              <w:t xml:space="preserve">136 M USD (pacte)</w:t>
            </w:r>
          </w:p>
        </w:tc>
        <w:tc>
          <w:tcPr>
            <w:tcW w:w="1237" w:type="dxa"/>
          </w:tcPr>
          <w:tcPr/>
          <w:p>
            <w:pPr>
              <w:pStyle w:val="Compact"/>
              <w:jc w:val="left"/>
            </w:pPr>
            <w:r>
              <w:t xml:space="preserve">2017-2025</w:t>
            </w:r>
          </w:p>
        </w:tc>
        <w:tc>
          <w:tcPr>
            <w:tcW w:w="3038" w:type="dxa"/>
          </w:tcPr>
          <w:tcPr/>
          <w:p>
            <w:pPr>
              <w:pStyle w:val="Compact"/>
              <w:jc w:val="left"/>
            </w:pPr>
            <w:r>
              <w:t xml:space="preserve">[?]</w:t>
            </w:r>
          </w:p>
        </w:tc>
        <w:tc>
          <w:tcPr>
            <w:tcW w:w="1907" w:type="dxa"/>
          </w:tcPr>
          <w:tcPr/>
          <w:p>
            <w:pPr>
              <w:pStyle w:val="Compact"/>
              <w:jc w:val="left"/>
            </w:pPr>
            <w:r>
              <w:t xml:space="preserve">[?]</w:t>
            </w:r>
          </w:p>
        </w:tc>
        <w:tc>
          <w:tcPr>
            <w:tcW w:w="2451" w:type="dxa"/>
          </w:tcPr>
          <w:tcPr/>
          <w:p>
            <w:pPr>
              <w:pStyle w:val="Compact"/>
              <w:jc w:val="left"/>
            </w:pPr>
            <w:r>
              <w:t xml:space="preserve">[?] non vérifié en primaire</w:t>
            </w:r>
          </w:p>
        </w:tc>
        <w:tc>
          <w:tcPr>
            <w:tcW w:w="693" w:type="dxa"/>
          </w:tcPr>
          <w:tcPr/>
          <w:p>
            <w:pPr>
              <w:pStyle w:val="Compact"/>
              <w:jc w:val="left"/>
            </w:pPr>
            <w:r>
              <w:t xml:space="preserve">[P]</w:t>
            </w:r>
          </w:p>
        </w:tc>
      </w:tr>
      <w:tr>
        <w:tc>
          <w:tcPr>
            <w:tcW w:w="2738" w:type="dxa"/>
          </w:tcPr>
          <w:tcPr/>
          <w:p>
            <w:pPr>
              <w:pStyle w:val="Compact"/>
              <w:jc w:val="left"/>
            </w:pPr>
            <w:r>
              <w:t xml:space="preserve">AESTAP — appui à l’ARE (coût de fourniture, méthodologie tarifaire, raccordement)</w:t>
            </w:r>
          </w:p>
        </w:tc>
        <w:tc>
          <w:tcPr>
            <w:tcW w:w="922" w:type="dxa"/>
          </w:tcPr>
          <w:tcPr/>
          <w:p>
            <w:pPr>
              <w:pStyle w:val="Compact"/>
              <w:jc w:val="left"/>
            </w:pPr>
            <w:r>
              <w:t xml:space="preserve">BAD</w:t>
            </w:r>
          </w:p>
        </w:tc>
        <w:tc>
          <w:tcPr>
            <w:tcW w:w="1581" w:type="dxa"/>
          </w:tcPr>
          <w:tcPr/>
          <w:p>
            <w:pPr>
              <w:pStyle w:val="Compact"/>
              <w:jc w:val="left"/>
            </w:pPr>
            <w:r>
              <w:t xml:space="preserve">[?]</w:t>
            </w:r>
          </w:p>
        </w:tc>
        <w:tc>
          <w:tcPr>
            <w:tcW w:w="1237" w:type="dxa"/>
          </w:tcPr>
          <w:tcPr/>
          <w:p>
            <w:pPr>
              <w:pStyle w:val="Compact"/>
              <w:jc w:val="left"/>
            </w:pPr>
            <w:r>
              <w:t xml:space="preserve">atelier 21-25 sept. 2026</w:t>
            </w:r>
          </w:p>
        </w:tc>
        <w:tc>
          <w:tcPr>
            <w:tcW w:w="3038" w:type="dxa"/>
          </w:tcPr>
          <w:tcPr/>
          <w:p>
            <w:pPr>
              <w:pStyle w:val="Compact"/>
              <w:jc w:val="left"/>
            </w:pPr>
            <w:r>
              <w:t xml:space="preserve">Tarification couvrant les coûts SNEL</w:t>
            </w:r>
          </w:p>
        </w:tc>
        <w:tc>
          <w:tcPr>
            <w:tcW w:w="1907" w:type="dxa"/>
          </w:tcPr>
          <w:tcPr/>
          <w:p>
            <w:pPr>
              <w:pStyle w:val="Compact"/>
              <w:jc w:val="left"/>
            </w:pPr>
            <w:r>
              <w:t xml:space="preserve">—</w:t>
            </w:r>
          </w:p>
        </w:tc>
        <w:tc>
          <w:tcPr>
            <w:tcW w:w="2451" w:type="dxa"/>
          </w:tcPr>
          <w:tcPr/>
          <w:p>
            <w:pPr>
              <w:pStyle w:val="Compact"/>
              <w:jc w:val="left"/>
            </w:pPr>
            <w:r>
              <w:t xml:space="preserve">En cours</w:t>
            </w:r>
          </w:p>
        </w:tc>
        <w:tc>
          <w:tcPr>
            <w:tcW w:w="693" w:type="dxa"/>
          </w:tcPr>
          <w:tcPr/>
          <w:p>
            <w:pPr>
              <w:pStyle w:val="Compact"/>
              <w:jc w:val="left"/>
            </w:pPr>
            <w:r>
              <w:t xml:space="preserve">[9] [S]</w:t>
            </w:r>
          </w:p>
        </w:tc>
      </w:tr>
      <w:tr>
        <w:tc>
          <w:tcPr>
            <w:tcW w:w="2738" w:type="dxa"/>
          </w:tcPr>
          <w:tcPr/>
          <w:p>
            <w:pPr>
              <w:pStyle w:val="Compact"/>
              <w:jc w:val="left"/>
            </w:pPr>
            <w:r>
              <w:t xml:space="preserve">FEC + FRD (FMI)</w:t>
            </w:r>
          </w:p>
        </w:tc>
        <w:tc>
          <w:tcPr>
            <w:tcW w:w="922" w:type="dxa"/>
          </w:tcPr>
          <w:tcPr/>
          <w:p>
            <w:pPr>
              <w:pStyle w:val="Compact"/>
              <w:jc w:val="left"/>
            </w:pPr>
            <w:r>
              <w:t xml:space="preserve">FMI</w:t>
            </w:r>
          </w:p>
        </w:tc>
        <w:tc>
          <w:tcPr>
            <w:tcW w:w="1581" w:type="dxa"/>
          </w:tcPr>
          <w:tcPr/>
          <w:p>
            <w:pPr>
              <w:pStyle w:val="Compact"/>
              <w:jc w:val="left"/>
            </w:pPr>
            <w:r>
              <w:t xml:space="preserve">[?]</w:t>
            </w:r>
          </w:p>
        </w:tc>
        <w:tc>
          <w:tcPr>
            <w:tcW w:w="1237" w:type="dxa"/>
          </w:tcPr>
          <w:tcPr/>
          <w:p>
            <w:pPr>
              <w:pStyle w:val="Compact"/>
              <w:jc w:val="left"/>
            </w:pPr>
            <w:r>
              <w:t xml:space="preserve">2025-2028</w:t>
            </w:r>
          </w:p>
        </w:tc>
        <w:tc>
          <w:tcPr>
            <w:tcW w:w="3038" w:type="dxa"/>
          </w:tcPr>
          <w:tcPr/>
          <w:p>
            <w:pPr>
              <w:pStyle w:val="Compact"/>
              <w:jc w:val="left"/>
            </w:pPr>
            <w:r>
              <w:t xml:space="preserve">Suivi de la performance des EP dont SNEL ; feuille de route de gouvernance des EP (déc. 2025)</w:t>
            </w:r>
          </w:p>
        </w:tc>
        <w:tc>
          <w:tcPr>
            <w:tcW w:w="1907" w:type="dxa"/>
          </w:tcPr>
          <w:tcPr/>
          <w:p>
            <w:pPr>
              <w:pStyle w:val="Compact"/>
              <w:jc w:val="left"/>
            </w:pPr>
            <w:r>
              <w:t xml:space="preserve">Repère : publication des états financiers des EP</w:t>
            </w:r>
          </w:p>
        </w:tc>
        <w:tc>
          <w:tcPr>
            <w:tcW w:w="2451" w:type="dxa"/>
          </w:tcPr>
          <w:tcPr/>
          <w:p>
            <w:pPr>
              <w:pStyle w:val="Compact"/>
              <w:jc w:val="left"/>
            </w:pPr>
            <w:r>
              <w:t xml:space="preserve">2e revue FEC (jan. 2026)</w:t>
            </w:r>
          </w:p>
        </w:tc>
        <w:tc>
          <w:tcPr>
            <w:tcW w:w="693" w:type="dxa"/>
          </w:tcPr>
          <w:tcPr/>
          <w:p>
            <w:pPr>
              <w:pStyle w:val="Compact"/>
              <w:jc w:val="left"/>
            </w:pPr>
            <w:r>
              <w:t xml:space="preserve">[5]</w:t>
            </w:r>
          </w:p>
        </w:tc>
      </w:tr>
    </w:tbl>
    <w:bookmarkEnd w:id="117"/>
    <w:bookmarkStart w:id="118" w:name="écart-pacte-réalité-7"/>
    <w:p>
      <w:pPr>
        <w:pStyle w:val="Heading3"/>
      </w:pPr>
      <w:r>
        <w:t xml:space="preserve">5. Écart pacte ↔ réalité</w:t>
      </w:r>
    </w:p>
    <w:p>
      <w:pPr>
        <w:numPr>
          <w:ilvl w:val="0"/>
          <w:numId w:val="1057"/>
        </w:numPr>
        <w:pStyle w:val="Compact"/>
      </w:pPr>
      <w:r>
        <w:t xml:space="preserve">Pacte : « régime tarifaire permettant à la SNEL de couvrir ses coûts adopté d’ici janvier 2026 » → au 22-06-2026 l’indicateur « tarifs SNEL ajustés » est à</w:t>
      </w:r>
      <w:r>
        <w:t xml:space="preserve"> </w:t>
      </w:r>
      <w:r>
        <w:rPr>
          <w:bCs/>
          <w:b/>
        </w:rPr>
        <w:t xml:space="preserve">« Non »</w:t>
      </w:r>
      <w:r>
        <w:t xml:space="preserve">, le dossier étant bloqué à l’ARE [2] [V].</w:t>
      </w:r>
    </w:p>
    <w:p>
      <w:pPr>
        <w:numPr>
          <w:ilvl w:val="0"/>
          <w:numId w:val="1057"/>
        </w:numPr>
        <w:pStyle w:val="Compact"/>
      </w:pPr>
      <w:r>
        <w:t xml:space="preserve">Pacte : pertes 46 % → 15 % en 2030 → les pertes</w:t>
      </w:r>
      <w:r>
        <w:t xml:space="preserve"> </w:t>
      </w:r>
      <w:r>
        <w:rPr>
          <w:bCs/>
          <w:b/>
        </w:rPr>
        <w:t xml:space="preserve">augmentent</w:t>
      </w:r>
      <w:r>
        <w:t xml:space="preserve"> </w:t>
      </w:r>
      <w:r>
        <w:t xml:space="preserve">(45,9 % → 49,06 % entre 2023 et 2025) [4] [V].</w:t>
      </w:r>
    </w:p>
    <w:p>
      <w:pPr>
        <w:numPr>
          <w:ilvl w:val="0"/>
          <w:numId w:val="1057"/>
        </w:numPr>
        <w:pStyle w:val="Compact"/>
      </w:pPr>
      <w:r>
        <w:t xml:space="preserve">Pacte : plan de redressement et feuille de route adoptés fin 2025 → option de restructuration toujours non arrêtée en 2026 [2] [V].</w:t>
      </w:r>
    </w:p>
    <w:p>
      <w:pPr>
        <w:numPr>
          <w:ilvl w:val="0"/>
          <w:numId w:val="1057"/>
        </w:numPr>
        <w:pStyle w:val="Compact"/>
      </w:pPr>
      <w:r>
        <w:t xml:space="preserve">Recouvrement : pacte 61 % (2022) ; sources BM 55,91 % (2023), 70,87 % (2025, DPF) et 60 % (2026, AGREE) — chiffres non réconciliés [E].</w:t>
      </w:r>
    </w:p>
    <w:p>
      <w:pPr>
        <w:numPr>
          <w:ilvl w:val="0"/>
          <w:numId w:val="1057"/>
        </w:numPr>
        <w:pStyle w:val="Compact"/>
      </w:pPr>
      <w:r>
        <w:t xml:space="preserve">Le principal projet BM d’appui (AGREE) a abandonné ses PBC et perdu 100 M USD, ce qui contraste avec le discours du pacte sur l’accélération des réformes [2] [V].</w:t>
      </w:r>
    </w:p>
    <w:bookmarkEnd w:id="118"/>
    <w:bookmarkStart w:id="119" w:name="diagnostic-synthétique-7"/>
    <w:p>
      <w:pPr>
        <w:pStyle w:val="Heading3"/>
      </w:pPr>
      <w:r>
        <w:t xml:space="preserve">6. Diagnostic synthétique</w:t>
      </w:r>
    </w:p>
    <w:p>
      <w:pPr>
        <w:numPr>
          <w:ilvl w:val="0"/>
          <w:numId w:val="1058"/>
        </w:numPr>
        <w:pStyle w:val="Compact"/>
      </w:pPr>
      <w:r>
        <w:t xml:space="preserve">Financière :</w:t>
      </w:r>
      <w:r>
        <w:t xml:space="preserve"> </w:t>
      </w:r>
      <w:r>
        <w:rPr>
          <w:bCs/>
          <w:b/>
        </w:rPr>
        <w:t xml:space="preserve">faible</w:t>
      </w:r>
      <w:r>
        <w:t xml:space="preserve"> </w:t>
      </w:r>
      <w:r>
        <w:t xml:space="preserve">(dette ≈ 3 Md USD, ~75 % de la dette des EP ; arriérés publics ; électricité gratuite d’ayants droit). Technique :</w:t>
      </w:r>
      <w:r>
        <w:t xml:space="preserve"> </w:t>
      </w:r>
      <w:r>
        <w:rPr>
          <w:bCs/>
          <w:b/>
        </w:rPr>
        <w:t xml:space="preserve">faible</w:t>
      </w:r>
      <w:r>
        <w:t xml:space="preserve"> </w:t>
      </w:r>
      <w:r>
        <w:t xml:space="preserve">(pertes ~49 %, potentiel exploité 3 %). Gouvernance :</w:t>
      </w:r>
      <w:r>
        <w:t xml:space="preserve"> </w:t>
      </w:r>
      <w:r>
        <w:rPr>
          <w:bCs/>
          <w:b/>
        </w:rPr>
        <w:t xml:space="preserve">faible</w:t>
      </w:r>
      <w:r>
        <w:t xml:space="preserve"> </w:t>
      </w:r>
      <w:r>
        <w:t xml:space="preserve">(pas de décision sur la restructuration, régulateur bloqué, détournements cités par la BM) ; amorce positive : contrat de performance et MoU arriérés (2024-2025).</w:t>
      </w:r>
    </w:p>
    <w:p>
      <w:pPr>
        <w:numPr>
          <w:ilvl w:val="0"/>
          <w:numId w:val="1058"/>
        </w:numPr>
        <w:pStyle w:val="Compact"/>
      </w:pPr>
      <w:r>
        <w:t xml:space="preserve">Causes racines : (1) tarifs sous les coûts et absence d’ajustement ; (2) pertes et fraude massives, faible comptage ; (3) dette héritée des préfinancements miniers et arriérés de l’État.</w:t>
      </w:r>
    </w:p>
    <w:p>
      <w:pPr>
        <w:numPr>
          <w:ilvl w:val="0"/>
          <w:numId w:val="1058"/>
        </w:numPr>
        <w:pStyle w:val="Compact"/>
      </w:pPr>
      <w:r>
        <w:t xml:space="preserve">Phase 3 : grille tarifaire ARE ; rapport Ernst &amp; Young sur la dette ; KPI du contrat de performance ; coûts d’achat aux IPP et contrats miniers.</w:t>
      </w:r>
    </w:p>
    <w:bookmarkEnd w:id="119"/>
    <w:bookmarkStart w:id="120" w:name="inconnus-7"/>
    <w:p>
      <w:pPr>
        <w:pStyle w:val="Heading3"/>
      </w:pPr>
      <w:r>
        <w:t xml:space="preserve">7. Inconnus</w:t>
      </w:r>
    </w:p>
    <w:p>
      <w:pPr>
        <w:numPr>
          <w:ilvl w:val="0"/>
          <w:numId w:val="1059"/>
        </w:numPr>
        <w:pStyle w:val="Compact"/>
      </w:pPr>
      <w:r>
        <w:t xml:space="preserve">États financiers SNEL (CA, résultat, EBITDA) 2022-2025 [?] ; montant des arriérés publics restant après le MoU [?] ; montant des subventions [?] ; documents BAD primaires (PAGASE, AESTAP) [?].</w:t>
      </w:r>
    </w:p>
    <w:bookmarkEnd w:id="120"/>
    <w:bookmarkStart w:id="121" w:name="sources-8"/>
    <w:p>
      <w:pPr>
        <w:pStyle w:val="Heading3"/>
      </w:pPr>
      <w:r>
        <w:t xml:space="preserve">Sources</w:t>
      </w:r>
    </w:p>
    <w:p>
      <w:pPr>
        <w:pStyle w:val="FirstParagraph"/>
      </w:pPr>
      <w:r>
        <w:t xml:space="preserve">[1] Banque mondiale, Program Document, « First DRC Governance, Transparency and Economic Resilience Development Policy Financing » (P507861), avril 2025. https://documents.worldbank.org/curated/en/099050125163540299/pdf/BOSIB-548dcf90-5407-44cf-8e98-a38c8a5d715f.pdf</w:t>
      </w:r>
      <w:r>
        <w:t xml:space="preserve"> </w:t>
      </w:r>
      <w:r>
        <w:t xml:space="preserve">[2] Banque mondiale, Restructuring Paper AGREE (P173506), 12-08-2026. https://documents.worldbank.org/curated/en/099081226055551161/pdf/P173506-21879b55-be4c-433d-892c-749a97c7b933.pdf ; aide-mémoire de la revue à mi-parcours, fév. 2026. https://documents.worldbank.org/curated/en/099060926083016856/pdf/P173506-07d9751e-8f52-441d-8925-d20259c5c58d.pdf</w:t>
      </w:r>
      <w:r>
        <w:t xml:space="preserve"> </w:t>
      </w:r>
      <w:r>
        <w:t xml:space="preserve">[3] Banque mondiale, « Rapport sur la situation économique de la RDC, mars 2026 : Du parking à la voie rapide » (P513492). https://documents.worldbank.org/curated/en/099032326095038359/pdf/P513492-eba8929e-3752-45d6-a28e-b5490d06ec90.pdf</w:t>
      </w:r>
      <w:r>
        <w:t xml:space="preserve"> </w:t>
      </w:r>
      <w:r>
        <w:t xml:space="preserve">[4] Banque mondiale, ISR P507861, janvier 2026. https://documents.worldbank.org/curated/en/099012126062536341/pdf/P507861-f585027a-f1d4-4853-a36d-7c3f9557262f.pdf</w:t>
      </w:r>
      <w:r>
        <w:t xml:space="preserve"> </w:t>
      </w:r>
      <w:r>
        <w:t xml:space="preserve">[5] FMI, Country Report No. 26/2, « DRC — Second Review under the ECF… First Review under the RSF », janvier 2026. https://www.imf.org/-/media/files/publications/cr/2026/english/1codea2026001-source-pdf.pdf ; Country Report No. 25/195 (1re revue), juillet 2025.</w:t>
      </w:r>
      <w:r>
        <w:t xml:space="preserve"> </w:t>
      </w:r>
      <w:r>
        <w:t xml:space="preserve">[6] Banque mondiale, ISR Seq. 1, Inga 3 Development Program (P506438), sept. 2025. https://documents.worldbank.org/curated/en/099090725125537530/pdf/P506438-1ae6ca65-c6bb-4ddb-8846-d24ec0624e41.pdf</w:t>
      </w:r>
      <w:r>
        <w:t xml:space="preserve"> </w:t>
      </w:r>
      <w:r>
        <w:t xml:space="preserve">[7] Banque mondiale, API Projects (search.worldbank.org/api/v2/projects), fiches pays RDC, consulté le 2026-10-18.</w:t>
      </w:r>
      <w:r>
        <w:t xml:space="preserve"> </w:t>
      </w:r>
      <w:r>
        <w:t xml:space="preserve">[8] Bankable, « DR Congo government set to restructure $3B debt of power utility », 20-02-2025 (reprend le pacte). https://bankable.africa/en/news/2002-812-dr-congo-government-set-to-restructure-3b-debt-of-power-utility</w:t>
      </w:r>
      <w:r>
        <w:t xml:space="preserve"> </w:t>
      </w:r>
      <w:r>
        <w:t xml:space="preserve">[9] AllAfrica / BAD, « DR Congo Advances Electricity Sector Regulatory Reforms With African Development Bank Support », 30-09-2026. https://allafrica.com/stories/202609300786.html</w:t>
      </w:r>
      <w:r>
        <w:t xml:space="preserve"> </w:t>
      </w:r>
      <w:r>
        <w:t xml:space="preserve">[P] Fiche phase 1 (Compact énergétique de la RDC, janv. 2025) : ../../phase1/fiches/COD_rdcongo.md</w:t>
      </w:r>
    </w:p>
    <w:p>
      <w:r>
        <w:br w:type="page"/>
      </w:r>
    </w:p>
    <w:bookmarkEnd w:id="121"/>
    <w:bookmarkEnd w:id="122"/>
    <w:bookmarkStart w:id="132" w:name="X74cdd36dbea6843ca14731e422516eec256a332"/>
    <w:p>
      <w:pPr>
        <w:pStyle w:val="Heading2"/>
      </w:pPr>
      <w:r>
        <w:t xml:space="preserve">Diagnostic opérateur — E²C (Énergie Électrique du Congo) (République du Congo)</w:t>
      </w:r>
    </w:p>
    <w:p>
      <w:pPr>
        <w:pStyle w:val="BlockText"/>
      </w:pPr>
      <w:r>
        <w:t xml:space="preserve">Phase 2 — Mission 300. Statuts :</w:t>
      </w:r>
      <w:r>
        <w:t xml:space="preserve"> </w:t>
      </w:r>
      <w:r>
        <w:rPr>
          <w:bCs/>
          <w:b/>
        </w:rPr>
        <w:t xml:space="preserve">[V]</w:t>
      </w:r>
      <w:r>
        <w:t xml:space="preserve"> </w:t>
      </w:r>
      <w:r>
        <w:t xml:space="preserve">document primaire (états financiers, régulateur, document de projet BM/BAD, FMI)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Pacte : ../../phase1/fiches/COG_congo.md (« (pacte) », [P]). Recherche du 2026-10-18.</w:t>
      </w:r>
    </w:p>
    <w:bookmarkStart w:id="123" w:name="identité-8"/>
    <w:p>
      <w:pPr>
        <w:pStyle w:val="Heading3"/>
      </w:pPr>
      <w:r>
        <w:t xml:space="preserve">0. Identité</w:t>
      </w:r>
    </w:p>
    <w:p>
      <w:pPr>
        <w:numPr>
          <w:ilvl w:val="0"/>
          <w:numId w:val="1060"/>
        </w:numPr>
        <w:pStyle w:val="Compact"/>
      </w:pPr>
      <w:r>
        <w:t xml:space="preserve">E²C : société anonyme à capitaux publics, sous tutelle du Ministère de l’Énergie et de l’Hydraulique (MEH), monopole du transport, de la distribution et de la vente ; société de patrimoine « à titre transitoire » depuis 2018 (pacte) [P][6] [S]. Production : centrales hydro publiques ; IPP gaz CEC (484 MW, État 80 % / ENI 20 %) et AKSA (50 MW) (pacte) [P].</w:t>
      </w:r>
    </w:p>
    <w:p>
      <w:pPr>
        <w:numPr>
          <w:ilvl w:val="0"/>
          <w:numId w:val="1060"/>
        </w:numPr>
        <w:pStyle w:val="Compact"/>
      </w:pPr>
      <w:r>
        <w:rPr>
          <w:bCs/>
          <w:b/>
        </w:rPr>
        <w:t xml:space="preserve">Réforme de distribution bloquée</w:t>
      </w:r>
      <w:r>
        <w:t xml:space="preserve"> </w:t>
      </w:r>
      <w:r>
        <w:t xml:space="preserve">: le Conseil des ministres avait décidé (décret 2023-1739 du 12-10-2023) de confier la distribution-commercialisation à un fermier ; la SENELEC (Sénégal) a été présélectionnée et une convention signée en décembre 2024 [1] [V] (la presse parle d’un accord de concession de 10 ans signé en février 2024 [5] [S] — dates divergentes). Le processus est</w:t>
      </w:r>
      <w:r>
        <w:t xml:space="preserve"> </w:t>
      </w:r>
      <w:r>
        <w:rPr>
          <w:bCs/>
          <w:b/>
        </w:rPr>
        <w:t xml:space="preserve">suspendu</w:t>
      </w:r>
      <w:r>
        <w:t xml:space="preserve"> </w:t>
      </w:r>
      <w:r>
        <w:t xml:space="preserve">dans l’attente d’une revue par un comité interministériel ; le FMI indique que les autorités l’ont mis « en attente » « en réponse aux demandes des syndicats » [1][2] [V]. Au 27-07-2026, la BM note qu’« il n’y a aucune indication que le gouvernement entende faire avancer cette réforme » [3] [V].</w:t>
      </w:r>
    </w:p>
    <w:p>
      <w:pPr>
        <w:numPr>
          <w:ilvl w:val="0"/>
          <w:numId w:val="1060"/>
        </w:numPr>
        <w:pStyle w:val="Compact"/>
      </w:pPr>
      <w:r>
        <w:t xml:space="preserve">Mai 2025 : accord d’appui technique et financier avec Seureca (Veolia) pour moderniser la distribution et réduire les pertes (programme FEXTE, signé à Paris le 23-05-2025 ; montant non publié) [5] [S].</w:t>
      </w:r>
    </w:p>
    <w:p>
      <w:pPr>
        <w:numPr>
          <w:ilvl w:val="0"/>
          <w:numId w:val="1060"/>
        </w:numPr>
        <w:pStyle w:val="Compact"/>
      </w:pPr>
      <w:r>
        <w:t xml:space="preserve">Régulateur : ARSEL (loi 16-2003) (pacte) [P] ; tarifs inchangés depuis 1994 (pacte) [P]. Indépendance [?].</w:t>
      </w:r>
    </w:p>
    <w:p>
      <w:pPr>
        <w:numPr>
          <w:ilvl w:val="0"/>
          <w:numId w:val="1060"/>
        </w:numPr>
        <w:pStyle w:val="Compact"/>
      </w:pPr>
      <w:r>
        <w:t xml:space="preserve">Comptes : états financiers « non certifiés » (pacte) [P] ; la presse cite des comptes 2024 [5] [S] ; aucun document comptable primaire trouvé [?].</w:t>
      </w:r>
    </w:p>
    <w:bookmarkEnd w:id="123"/>
    <w:bookmarkStart w:id="124" w:name="situation-financière-8"/>
    <w:p>
      <w:pPr>
        <w:pStyle w:val="Heading3"/>
      </w:pPr>
      <w:r>
        <w:t xml:space="preserve">1. Situation financière</w:t>
      </w:r>
    </w:p>
    <w:tbl>
      <w:tblPr>
        <w:tblStyle w:val="Table"/>
        <w:tblW w:type="dxa" w:w="14570"/>
        <w:tblLook w:firstRow="1" w:lastRow="0" w:firstColumn="0" w:lastColumn="0" w:noHBand="0" w:noVBand="0" w:val="0020"/>
        <w:jc w:val="start"/>
      </w:tblPr>
      <w:tblGrid>
        <w:gridCol w:w="3451"/>
        <w:gridCol w:w="7860"/>
        <w:gridCol w:w="1038"/>
        <w:gridCol w:w="1196"/>
        <w:gridCol w:w="1023"/>
      </w:tblGrid>
      <w:tr>
        <w:trPr>
          <w:tblHeader w:val="true"/>
        </w:trPr>
        <w:tc>
          <w:tcPr>
            <w:tcW w:w="3451" w:type="dxa"/>
          </w:tcPr>
          <w:tcPr/>
          <w:p>
            <w:pPr>
              <w:pStyle w:val="Compact"/>
              <w:jc w:val="left"/>
            </w:pPr>
            <w:r>
              <w:t xml:space="preserve">Indicateur</w:t>
            </w:r>
          </w:p>
        </w:tc>
        <w:tc>
          <w:tcPr>
            <w:tcW w:w="7860" w:type="dxa"/>
          </w:tcPr>
          <w:tcPr/>
          <w:p>
            <w:pPr>
              <w:pStyle w:val="Compact"/>
              <w:jc w:val="left"/>
            </w:pPr>
            <w:r>
              <w:t xml:space="preserve">Valeur</w:t>
            </w:r>
          </w:p>
        </w:tc>
        <w:tc>
          <w:tcPr>
            <w:tcW w:w="1038" w:type="dxa"/>
          </w:tcPr>
          <w:tcPr/>
          <w:p>
            <w:pPr>
              <w:pStyle w:val="Compact"/>
              <w:jc w:val="left"/>
            </w:pPr>
            <w:r>
              <w:t xml:space="preserve">Année</w:t>
            </w:r>
          </w:p>
        </w:tc>
        <w:tc>
          <w:tcPr>
            <w:tcW w:w="1196" w:type="dxa"/>
          </w:tcPr>
          <w:tcPr/>
          <w:p>
            <w:pPr>
              <w:pStyle w:val="Compact"/>
              <w:jc w:val="left"/>
            </w:pPr>
            <w:r>
              <w:t xml:space="preserve">Statut</w:t>
            </w:r>
          </w:p>
        </w:tc>
        <w:tc>
          <w:tcPr>
            <w:tcW w:w="1023" w:type="dxa"/>
          </w:tcPr>
          <w:tcPr/>
          <w:p>
            <w:pPr>
              <w:pStyle w:val="Compact"/>
              <w:jc w:val="left"/>
            </w:pPr>
            <w:r>
              <w:t xml:space="preserve">Source</w:t>
            </w:r>
          </w:p>
        </w:tc>
      </w:tr>
      <w:tr>
        <w:tc>
          <w:tcPr>
            <w:tcW w:w="3451" w:type="dxa"/>
          </w:tcPr>
          <w:tcPr/>
          <w:p>
            <w:pPr>
              <w:pStyle w:val="Compact"/>
              <w:jc w:val="left"/>
            </w:pPr>
            <w:r>
              <w:t xml:space="preserve">Chiffre d’affaires</w:t>
            </w:r>
          </w:p>
        </w:tc>
        <w:tc>
          <w:tcPr>
            <w:tcW w:w="7860" w:type="dxa"/>
          </w:tcPr>
          <w:tcPr/>
          <w:p>
            <w:pPr>
              <w:pStyle w:val="Compact"/>
              <w:jc w:val="left"/>
            </w:pPr>
            <w:r>
              <w:t xml:space="preserve">[?] non trouvé</w:t>
            </w:r>
          </w:p>
        </w:tc>
        <w:tc>
          <w:tcPr>
            <w:tcW w:w="1038" w:type="dxa"/>
          </w:tcPr>
          <w:tcPr/>
          <w:p>
            <w:pPr>
              <w:pStyle w:val="Compact"/>
              <w:jc w:val="left"/>
            </w:pPr>
            <w:r>
              <w:t xml:space="preserve">—</w:t>
            </w:r>
          </w:p>
        </w:tc>
        <w:tc>
          <w:tcPr>
            <w:tcW w:w="1196" w:type="dxa"/>
          </w:tcPr>
          <w:tcPr/>
          <w:p>
            <w:pPr>
              <w:pStyle w:val="Compact"/>
              <w:jc w:val="left"/>
            </w:pPr>
            <w:r>
              <w:t xml:space="preserve">[?]</w:t>
            </w:r>
          </w:p>
        </w:tc>
        <w:tc>
          <w:tcPr>
            <w:tcW w:w="1023" w:type="dxa"/>
          </w:tcPr>
          <w:tcPr/>
          <w:p>
            <w:pPr>
              <w:pStyle w:val="Compact"/>
              <w:jc w:val="left"/>
            </w:pPr>
            <w:r>
              <w:t xml:space="preserve">—</w:t>
            </w:r>
          </w:p>
        </w:tc>
      </w:tr>
      <w:tr>
        <w:tc>
          <w:tcPr>
            <w:tcW w:w="3451" w:type="dxa"/>
          </w:tcPr>
          <w:tcPr/>
          <w:p>
            <w:pPr>
              <w:pStyle w:val="Compact"/>
              <w:jc w:val="left"/>
            </w:pPr>
            <w:r>
              <w:t xml:space="preserve">Résultat net</w:t>
            </w:r>
          </w:p>
        </w:tc>
        <w:tc>
          <w:tcPr>
            <w:tcW w:w="7860" w:type="dxa"/>
          </w:tcPr>
          <w:tcPr/>
          <w:p>
            <w:pPr>
              <w:pStyle w:val="Compact"/>
              <w:jc w:val="left"/>
            </w:pPr>
            <w:r>
              <w:rPr>
                <w:bCs/>
                <w:b/>
              </w:rPr>
              <w:t xml:space="preserve">Perte de 18,2 Md FCFA</w:t>
            </w:r>
            <w:r>
              <w:t xml:space="preserve"> </w:t>
            </w:r>
            <w:r>
              <w:t xml:space="preserve">(comptes 2024, selon la presse)</w:t>
            </w:r>
          </w:p>
        </w:tc>
        <w:tc>
          <w:tcPr>
            <w:tcW w:w="1038" w:type="dxa"/>
          </w:tcPr>
          <w:tcPr/>
          <w:p>
            <w:pPr>
              <w:pStyle w:val="Compact"/>
              <w:jc w:val="left"/>
            </w:pPr>
            <w:r>
              <w:t xml:space="preserve">2024</w:t>
            </w:r>
          </w:p>
        </w:tc>
        <w:tc>
          <w:tcPr>
            <w:tcW w:w="1196" w:type="dxa"/>
          </w:tcPr>
          <w:tcPr/>
          <w:p>
            <w:pPr>
              <w:pStyle w:val="Compact"/>
              <w:jc w:val="left"/>
            </w:pPr>
            <w:r>
              <w:t xml:space="preserve">[S]</w:t>
            </w:r>
          </w:p>
        </w:tc>
        <w:tc>
          <w:tcPr>
            <w:tcW w:w="1023" w:type="dxa"/>
          </w:tcPr>
          <w:tcPr/>
          <w:p>
            <w:pPr>
              <w:pStyle w:val="Compact"/>
              <w:jc w:val="left"/>
            </w:pPr>
            <w:r>
              <w:t xml:space="preserve">[5]</w:t>
            </w:r>
          </w:p>
        </w:tc>
      </w:tr>
      <w:tr>
        <w:tc>
          <w:tcPr>
            <w:tcW w:w="3451" w:type="dxa"/>
          </w:tcPr>
          <w:tcPr/>
          <w:p>
            <w:pPr>
              <w:pStyle w:val="Compact"/>
              <w:jc w:val="left"/>
            </w:pPr>
            <w:r>
              <w:t xml:space="preserve">EBITDA</w:t>
            </w:r>
          </w:p>
        </w:tc>
        <w:tc>
          <w:tcPr>
            <w:tcW w:w="7860" w:type="dxa"/>
          </w:tcPr>
          <w:tcPr/>
          <w:p>
            <w:pPr>
              <w:pStyle w:val="Compact"/>
              <w:jc w:val="left"/>
            </w:pPr>
            <w:r>
              <w:t xml:space="preserve">[?]</w:t>
            </w:r>
          </w:p>
        </w:tc>
        <w:tc>
          <w:tcPr>
            <w:tcW w:w="1038" w:type="dxa"/>
          </w:tcPr>
          <w:tcPr/>
          <w:p>
            <w:pPr>
              <w:pStyle w:val="Compact"/>
              <w:jc w:val="left"/>
            </w:pPr>
            <w:r>
              <w:t xml:space="preserve">—</w:t>
            </w:r>
          </w:p>
        </w:tc>
        <w:tc>
          <w:tcPr>
            <w:tcW w:w="1196" w:type="dxa"/>
          </w:tcPr>
          <w:tcPr/>
          <w:p>
            <w:pPr>
              <w:pStyle w:val="Compact"/>
              <w:jc w:val="left"/>
            </w:pPr>
            <w:r>
              <w:t xml:space="preserve">[?]</w:t>
            </w:r>
          </w:p>
        </w:tc>
        <w:tc>
          <w:tcPr>
            <w:tcW w:w="1023" w:type="dxa"/>
          </w:tcPr>
          <w:tcPr/>
          <w:p>
            <w:pPr>
              <w:pStyle w:val="Compact"/>
              <w:jc w:val="left"/>
            </w:pPr>
            <w:r>
              <w:t xml:space="preserve">—</w:t>
            </w:r>
          </w:p>
        </w:tc>
      </w:tr>
      <w:tr>
        <w:tc>
          <w:tcPr>
            <w:tcW w:w="3451" w:type="dxa"/>
          </w:tcPr>
          <w:tcPr/>
          <w:p>
            <w:pPr>
              <w:pStyle w:val="Compact"/>
              <w:jc w:val="left"/>
            </w:pPr>
            <w:r>
              <w:t xml:space="preserve">Dette ; fournisseurs</w:t>
            </w:r>
          </w:p>
        </w:tc>
        <w:tc>
          <w:tcPr>
            <w:tcW w:w="7860" w:type="dxa"/>
          </w:tcPr>
          <w:tcPr/>
          <w:p>
            <w:pPr>
              <w:pStyle w:val="Compact"/>
              <w:jc w:val="left"/>
            </w:pPr>
            <w:r>
              <w:rPr>
                <w:bCs/>
                <w:b/>
              </w:rPr>
              <w:t xml:space="preserve">Dette fournisseurs 219 Md FCFA</w:t>
            </w:r>
            <w:r>
              <w:t xml:space="preserve"> </w:t>
            </w:r>
            <w:r>
              <w:t xml:space="preserve">; E²C parmi les dix EP les plus endettées (Cour des comptes, 2023), audit 2019-2023 recommandé</w:t>
            </w:r>
          </w:p>
        </w:tc>
        <w:tc>
          <w:tcPr>
            <w:tcW w:w="1038" w:type="dxa"/>
          </w:tcPr>
          <w:tcPr/>
          <w:p>
            <w:pPr>
              <w:pStyle w:val="Compact"/>
              <w:jc w:val="left"/>
            </w:pPr>
            <w:r>
              <w:t xml:space="preserve">2023-2024</w:t>
            </w:r>
          </w:p>
        </w:tc>
        <w:tc>
          <w:tcPr>
            <w:tcW w:w="1196" w:type="dxa"/>
          </w:tcPr>
          <w:tcPr/>
          <w:p>
            <w:pPr>
              <w:pStyle w:val="Compact"/>
              <w:jc w:val="left"/>
            </w:pPr>
            <w:r>
              <w:t xml:space="preserve">[S]</w:t>
            </w:r>
          </w:p>
        </w:tc>
        <w:tc>
          <w:tcPr>
            <w:tcW w:w="1023" w:type="dxa"/>
          </w:tcPr>
          <w:tcPr/>
          <w:p>
            <w:pPr>
              <w:pStyle w:val="Compact"/>
              <w:jc w:val="left"/>
            </w:pPr>
            <w:r>
              <w:t xml:space="preserve">[5]</w:t>
            </w:r>
          </w:p>
        </w:tc>
      </w:tr>
      <w:tr>
        <w:tc>
          <w:tcPr>
            <w:tcW w:w="3451" w:type="dxa"/>
          </w:tcPr>
          <w:tcPr/>
          <w:p>
            <w:pPr>
              <w:pStyle w:val="Compact"/>
              <w:jc w:val="left"/>
            </w:pPr>
            <w:r>
              <w:t xml:space="preserve">Arriérés de l’État</w:t>
            </w:r>
          </w:p>
        </w:tc>
        <w:tc>
          <w:tcPr>
            <w:tcW w:w="7860" w:type="dxa"/>
          </w:tcPr>
          <w:tcPr/>
          <w:p>
            <w:pPr>
              <w:pStyle w:val="Compact"/>
              <w:jc w:val="left"/>
            </w:pPr>
            <w:r>
              <w:t xml:space="preserve">[?] non chiffrés ; le pacte prévoit un mécanisme de paiement des factures de l’État sans montant [P]</w:t>
            </w:r>
          </w:p>
        </w:tc>
        <w:tc>
          <w:tcPr>
            <w:tcW w:w="1038" w:type="dxa"/>
          </w:tcPr>
          <w:tcPr/>
          <w:p>
            <w:pPr>
              <w:pStyle w:val="Compact"/>
              <w:jc w:val="left"/>
            </w:pPr>
            <w:r>
              <w:t xml:space="preserve">—</w:t>
            </w:r>
          </w:p>
        </w:tc>
        <w:tc>
          <w:tcPr>
            <w:tcW w:w="1196" w:type="dxa"/>
          </w:tcPr>
          <w:tcPr/>
          <w:p>
            <w:pPr>
              <w:pStyle w:val="Compact"/>
              <w:jc w:val="left"/>
            </w:pPr>
            <w:r>
              <w:t xml:space="preserve">[?]</w:t>
            </w:r>
          </w:p>
        </w:tc>
        <w:tc>
          <w:tcPr>
            <w:tcW w:w="1023" w:type="dxa"/>
          </w:tcPr>
          <w:tcPr/>
          <w:p>
            <w:pPr>
              <w:pStyle w:val="Compact"/>
              <w:jc w:val="left"/>
            </w:pPr>
            <w:r>
              <w:t xml:space="preserve">[P]</w:t>
            </w:r>
          </w:p>
        </w:tc>
      </w:tr>
      <w:tr>
        <w:tc>
          <w:tcPr>
            <w:tcW w:w="3451" w:type="dxa"/>
          </w:tcPr>
          <w:tcPr/>
          <w:p>
            <w:pPr>
              <w:pStyle w:val="Compact"/>
              <w:jc w:val="left"/>
            </w:pPr>
            <w:r>
              <w:t xml:space="preserve">Transferts / subventions</w:t>
            </w:r>
          </w:p>
        </w:tc>
        <w:tc>
          <w:tcPr>
            <w:tcW w:w="7860" w:type="dxa"/>
          </w:tcPr>
          <w:tcPr/>
          <w:p>
            <w:pPr>
              <w:pStyle w:val="Compact"/>
              <w:jc w:val="left"/>
            </w:pPr>
            <w:r>
              <w:t xml:space="preserve">Transferts liés au pétrole/gaz : le FMI recommande une « tarification au prix du marché du gaz utilisé par la CEC », ce qui suppose une facturation pleine et régulière des clients de la CEC ; montant [?]</w:t>
            </w:r>
          </w:p>
        </w:tc>
        <w:tc>
          <w:tcPr>
            <w:tcW w:w="1038" w:type="dxa"/>
          </w:tcPr>
          <w:tcPr/>
          <w:p>
            <w:pPr>
              <w:pStyle w:val="Compact"/>
              <w:jc w:val="left"/>
            </w:pPr>
            <w:r>
              <w:t xml:space="preserve">2026</w:t>
            </w:r>
          </w:p>
        </w:tc>
        <w:tc>
          <w:tcPr>
            <w:tcW w:w="1196" w:type="dxa"/>
          </w:tcPr>
          <w:tcPr/>
          <w:p>
            <w:pPr>
              <w:pStyle w:val="Compact"/>
              <w:jc w:val="left"/>
            </w:pPr>
            <w:r>
              <w:t xml:space="preserve">[V]</w:t>
            </w:r>
          </w:p>
        </w:tc>
        <w:tc>
          <w:tcPr>
            <w:tcW w:w="1023" w:type="dxa"/>
          </w:tcPr>
          <w:tcPr/>
          <w:p>
            <w:pPr>
              <w:pStyle w:val="Compact"/>
              <w:jc w:val="left"/>
            </w:pPr>
            <w:r>
              <w:t xml:space="preserve">[2]</w:t>
            </w:r>
          </w:p>
        </w:tc>
      </w:tr>
      <w:tr>
        <w:tc>
          <w:tcPr>
            <w:tcW w:w="3451" w:type="dxa"/>
          </w:tcPr>
          <w:tcPr/>
          <w:p>
            <w:pPr>
              <w:pStyle w:val="Compact"/>
              <w:jc w:val="left"/>
            </w:pPr>
            <w:r>
              <w:t xml:space="preserve">Taux de recouvrement</w:t>
            </w:r>
          </w:p>
        </w:tc>
        <w:tc>
          <w:tcPr>
            <w:tcW w:w="7860" w:type="dxa"/>
          </w:tcPr>
          <w:tcPr/>
          <w:p>
            <w:pPr>
              <w:pStyle w:val="Compact"/>
              <w:jc w:val="left"/>
            </w:pPr>
            <w:r>
              <w:t xml:space="preserve">73 % (pacte, 2022) ; [?] non recoupé</w:t>
            </w:r>
          </w:p>
        </w:tc>
        <w:tc>
          <w:tcPr>
            <w:tcW w:w="1038" w:type="dxa"/>
          </w:tcPr>
          <w:tcPr/>
          <w:p>
            <w:pPr>
              <w:pStyle w:val="Compact"/>
              <w:jc w:val="left"/>
            </w:pPr>
            <w:r>
              <w:t xml:space="preserve">2022</w:t>
            </w:r>
          </w:p>
        </w:tc>
        <w:tc>
          <w:tcPr>
            <w:tcW w:w="1196" w:type="dxa"/>
          </w:tcPr>
          <w:tcPr/>
          <w:p>
            <w:pPr>
              <w:pStyle w:val="Compact"/>
              <w:jc w:val="left"/>
            </w:pPr>
            <w:r>
              <w:t xml:space="preserve">[P]</w:t>
            </w:r>
          </w:p>
        </w:tc>
        <w:tc>
          <w:tcPr>
            <w:tcW w:w="1023" w:type="dxa"/>
          </w:tcPr>
          <w:tcPr/>
          <w:p>
            <w:pPr>
              <w:pStyle w:val="Compact"/>
              <w:jc w:val="left"/>
            </w:pPr>
            <w:r>
              <w:t xml:space="preserve">[P]</w:t>
            </w:r>
          </w:p>
        </w:tc>
      </w:tr>
      <w:tr>
        <w:tc>
          <w:tcPr>
            <w:tcW w:w="3451" w:type="dxa"/>
          </w:tcPr>
          <w:tcPr/>
          <w:p>
            <w:pPr>
              <w:pStyle w:val="Compact"/>
              <w:jc w:val="left"/>
            </w:pPr>
            <w:r>
              <w:t xml:space="preserve">Recette vs coût par kWh</w:t>
            </w:r>
          </w:p>
        </w:tc>
        <w:tc>
          <w:tcPr>
            <w:tcW w:w="7860" w:type="dxa"/>
          </w:tcPr>
          <w:tcPr/>
          <w:p>
            <w:pPr>
              <w:pStyle w:val="Compact"/>
              <w:jc w:val="left"/>
            </w:pPr>
            <w:r>
              <w:t xml:space="preserve">0,09 USD/kWh vs coût de service 0,16 USD/kWh (56 %) (pacte) ; étude coût de service et tarifs (ESMAP/BM) remise en mai 2025</w:t>
            </w:r>
          </w:p>
        </w:tc>
        <w:tc>
          <w:tcPr>
            <w:tcW w:w="1038" w:type="dxa"/>
          </w:tcPr>
          <w:tcPr/>
          <w:p>
            <w:pPr>
              <w:pStyle w:val="Compact"/>
              <w:jc w:val="left"/>
            </w:pPr>
            <w:r>
              <w:t xml:space="preserve">2025</w:t>
            </w:r>
          </w:p>
        </w:tc>
        <w:tc>
          <w:tcPr>
            <w:tcW w:w="1196" w:type="dxa"/>
          </w:tcPr>
          <w:tcPr/>
          <w:p>
            <w:pPr>
              <w:pStyle w:val="Compact"/>
              <w:jc w:val="left"/>
            </w:pPr>
            <w:r>
              <w:t xml:space="preserve">[P]/[V]</w:t>
            </w:r>
          </w:p>
        </w:tc>
        <w:tc>
          <w:tcPr>
            <w:tcW w:w="1023" w:type="dxa"/>
          </w:tcPr>
          <w:tcPr/>
          <w:p>
            <w:pPr>
              <w:pStyle w:val="Compact"/>
              <w:jc w:val="left"/>
            </w:pPr>
            <w:r>
              <w:t xml:space="preserve">[P][1]</w:t>
            </w:r>
          </w:p>
        </w:tc>
      </w:tr>
      <w:tr>
        <w:tc>
          <w:tcPr>
            <w:tcW w:w="3451" w:type="dxa"/>
          </w:tcPr>
          <w:tcPr/>
          <w:p>
            <w:pPr>
              <w:pStyle w:val="Compact"/>
              <w:jc w:val="left"/>
            </w:pPr>
            <w:r>
              <w:t xml:space="preserve">Déficit quasi-budgétaire</w:t>
            </w:r>
          </w:p>
        </w:tc>
        <w:tc>
          <w:tcPr>
            <w:tcW w:w="7860" w:type="dxa"/>
          </w:tcPr>
          <w:tcPr/>
          <w:p>
            <w:pPr>
              <w:pStyle w:val="Compact"/>
              <w:jc w:val="left"/>
            </w:pPr>
            <w:r>
              <w:t xml:space="preserve">[?] non estimé</w:t>
            </w:r>
          </w:p>
        </w:tc>
        <w:tc>
          <w:tcPr>
            <w:tcW w:w="1038" w:type="dxa"/>
          </w:tcPr>
          <w:tcPr/>
          <w:p>
            <w:pPr>
              <w:pStyle w:val="Compact"/>
              <w:jc w:val="left"/>
            </w:pPr>
            <w:r>
              <w:t xml:space="preserve">—</w:t>
            </w:r>
          </w:p>
        </w:tc>
        <w:tc>
          <w:tcPr>
            <w:tcW w:w="1196" w:type="dxa"/>
          </w:tcPr>
          <w:tcPr/>
          <w:p>
            <w:pPr>
              <w:pStyle w:val="Compact"/>
              <w:jc w:val="left"/>
            </w:pPr>
            <w:r>
              <w:t xml:space="preserve">[?]</w:t>
            </w:r>
          </w:p>
        </w:tc>
        <w:tc>
          <w:tcPr>
            <w:tcW w:w="1023" w:type="dxa"/>
          </w:tcPr>
          <w:tcPr/>
          <w:p>
            <w:pPr>
              <w:pStyle w:val="Compact"/>
              <w:jc w:val="left"/>
            </w:pPr>
            <w:r>
              <w:t xml:space="preserve">—</w:t>
            </w:r>
          </w:p>
        </w:tc>
      </w:tr>
      <w:tr>
        <w:tc>
          <w:tcPr>
            <w:tcW w:w="3451" w:type="dxa"/>
          </w:tcPr>
          <w:tcPr/>
          <w:p>
            <w:pPr>
              <w:pStyle w:val="Compact"/>
              <w:jc w:val="left"/>
            </w:pPr>
            <w:r>
              <w:t xml:space="preserve">Notation</w:t>
            </w:r>
          </w:p>
        </w:tc>
        <w:tc>
          <w:tcPr>
            <w:tcW w:w="7860" w:type="dxa"/>
          </w:tcPr>
          <w:tcPr/>
          <w:p>
            <w:pPr>
              <w:pStyle w:val="Compact"/>
              <w:jc w:val="left"/>
            </w:pPr>
            <w:r>
              <w:t xml:space="preserve">Aucune ; introduction en bourse (BVMAC) envisagée en 2020, bloquée</w:t>
            </w:r>
          </w:p>
        </w:tc>
        <w:tc>
          <w:tcPr>
            <w:tcW w:w="1038" w:type="dxa"/>
          </w:tcPr>
          <w:tcPr/>
          <w:p>
            <w:pPr>
              <w:pStyle w:val="Compact"/>
              <w:jc w:val="left"/>
            </w:pPr>
            <w:r>
              <w:t xml:space="preserve">—</w:t>
            </w:r>
          </w:p>
        </w:tc>
        <w:tc>
          <w:tcPr>
            <w:tcW w:w="1196" w:type="dxa"/>
          </w:tcPr>
          <w:tcPr/>
          <w:p>
            <w:pPr>
              <w:pStyle w:val="Compact"/>
              <w:jc w:val="left"/>
            </w:pPr>
            <w:r>
              <w:t xml:space="preserve">[S]</w:t>
            </w:r>
          </w:p>
        </w:tc>
        <w:tc>
          <w:tcPr>
            <w:tcW w:w="1023" w:type="dxa"/>
          </w:tcPr>
          <w:tcPr/>
          <w:p>
            <w:pPr>
              <w:pStyle w:val="Compact"/>
              <w:jc w:val="left"/>
            </w:pPr>
            <w:r>
              <w:t xml:space="preserve">[5]</w:t>
            </w:r>
          </w:p>
        </w:tc>
      </w:tr>
    </w:tbl>
    <w:bookmarkEnd w:id="124"/>
    <w:bookmarkStart w:id="125" w:name="situation-technique-8"/>
    <w:p>
      <w:pPr>
        <w:pStyle w:val="Heading3"/>
      </w:pPr>
      <w:r>
        <w:t xml:space="preserve">2. Situation technique</w:t>
      </w:r>
    </w:p>
    <w:tbl>
      <w:tblPr>
        <w:tblStyle w:val="Table"/>
        <w:tblW w:type="dxa" w:w="14570"/>
        <w:tblLook w:firstRow="1" w:lastRow="0" w:firstColumn="0" w:lastColumn="0" w:noHBand="0" w:noVBand="0" w:val="0020"/>
        <w:jc w:val="start"/>
      </w:tblPr>
      <w:tblGrid>
        <w:gridCol w:w="2395"/>
        <w:gridCol w:w="8522"/>
        <w:gridCol w:w="1307"/>
        <w:gridCol w:w="1129"/>
        <w:gridCol w:w="1216"/>
      </w:tblGrid>
      <w:tr>
        <w:trPr>
          <w:tblHeader w:val="true"/>
        </w:trPr>
        <w:tc>
          <w:tcPr>
            <w:tcW w:w="2395" w:type="dxa"/>
          </w:tcPr>
          <w:tcPr/>
          <w:p>
            <w:pPr>
              <w:pStyle w:val="Compact"/>
              <w:jc w:val="left"/>
            </w:pPr>
            <w:r>
              <w:t xml:space="preserve">Indicateur</w:t>
            </w:r>
          </w:p>
        </w:tc>
        <w:tc>
          <w:tcPr>
            <w:tcW w:w="8522" w:type="dxa"/>
          </w:tcPr>
          <w:tcPr/>
          <w:p>
            <w:pPr>
              <w:pStyle w:val="Compact"/>
              <w:jc w:val="left"/>
            </w:pPr>
            <w:r>
              <w:t xml:space="preserve">Valeur</w:t>
            </w:r>
          </w:p>
        </w:tc>
        <w:tc>
          <w:tcPr>
            <w:tcW w:w="1307" w:type="dxa"/>
          </w:tcPr>
          <w:tcPr/>
          <w:p>
            <w:pPr>
              <w:pStyle w:val="Compact"/>
              <w:jc w:val="left"/>
            </w:pPr>
            <w:r>
              <w:t xml:space="preserve">Année</w:t>
            </w:r>
          </w:p>
        </w:tc>
        <w:tc>
          <w:tcPr>
            <w:tcW w:w="1129" w:type="dxa"/>
          </w:tcPr>
          <w:tcPr/>
          <w:p>
            <w:pPr>
              <w:pStyle w:val="Compact"/>
              <w:jc w:val="left"/>
            </w:pPr>
            <w:r>
              <w:t xml:space="preserve">Statut</w:t>
            </w:r>
          </w:p>
        </w:tc>
        <w:tc>
          <w:tcPr>
            <w:tcW w:w="1216" w:type="dxa"/>
          </w:tcPr>
          <w:tcPr/>
          <w:p>
            <w:pPr>
              <w:pStyle w:val="Compact"/>
              <w:jc w:val="left"/>
            </w:pPr>
            <w:r>
              <w:t xml:space="preserve">Source</w:t>
            </w:r>
          </w:p>
        </w:tc>
      </w:tr>
      <w:tr>
        <w:tc>
          <w:tcPr>
            <w:tcW w:w="2395" w:type="dxa"/>
          </w:tcPr>
          <w:tcPr/>
          <w:p>
            <w:pPr>
              <w:pStyle w:val="Compact"/>
              <w:jc w:val="left"/>
            </w:pPr>
            <w:r>
              <w:t xml:space="preserve">Capacité</w:t>
            </w:r>
          </w:p>
        </w:tc>
        <w:tc>
          <w:tcPr>
            <w:tcW w:w="8522" w:type="dxa"/>
          </w:tcPr>
          <w:tcPr/>
          <w:p>
            <w:pPr>
              <w:pStyle w:val="Compact"/>
              <w:jc w:val="left"/>
            </w:pPr>
            <w:r>
              <w:t xml:space="preserve">748 MW (pacte) ; hydro sous-performante (Imboulou, Liouesso), Djoué à l’arrêt</w:t>
            </w:r>
          </w:p>
        </w:tc>
        <w:tc>
          <w:tcPr>
            <w:tcW w:w="1307" w:type="dxa"/>
          </w:tcPr>
          <w:tcPr/>
          <w:p>
            <w:pPr>
              <w:pStyle w:val="Compact"/>
              <w:jc w:val="left"/>
            </w:pPr>
            <w:r>
              <w:t xml:space="preserve">2024-2025</w:t>
            </w:r>
          </w:p>
        </w:tc>
        <w:tc>
          <w:tcPr>
            <w:tcW w:w="1129" w:type="dxa"/>
          </w:tcPr>
          <w:tcPr/>
          <w:p>
            <w:pPr>
              <w:pStyle w:val="Compact"/>
              <w:jc w:val="left"/>
            </w:pPr>
            <w:r>
              <w:t xml:space="preserve">[P]/[S]</w:t>
            </w:r>
          </w:p>
        </w:tc>
        <w:tc>
          <w:tcPr>
            <w:tcW w:w="1216" w:type="dxa"/>
          </w:tcPr>
          <w:tcPr/>
          <w:p>
            <w:pPr>
              <w:pStyle w:val="Compact"/>
              <w:jc w:val="left"/>
            </w:pPr>
            <w:r>
              <w:t xml:space="preserve">[P][5]</w:t>
            </w:r>
          </w:p>
        </w:tc>
      </w:tr>
      <w:tr>
        <w:tc>
          <w:tcPr>
            <w:tcW w:w="2395" w:type="dxa"/>
          </w:tcPr>
          <w:tcPr/>
          <w:p>
            <w:pPr>
              <w:pStyle w:val="Compact"/>
              <w:jc w:val="left"/>
            </w:pPr>
            <w:r>
              <w:t xml:space="preserve">Pertes de distribution</w:t>
            </w:r>
          </w:p>
        </w:tc>
        <w:tc>
          <w:tcPr>
            <w:tcW w:w="8522" w:type="dxa"/>
          </w:tcPr>
          <w:tcPr/>
          <w:p>
            <w:pPr>
              <w:pStyle w:val="Compact"/>
              <w:jc w:val="left"/>
            </w:pPr>
            <w:r>
              <w:rPr>
                <w:bCs/>
                <w:b/>
              </w:rPr>
              <w:t xml:space="preserve">42 % (nov. 2023), inchangé au 10-07-2026</w:t>
            </w:r>
            <w:r>
              <w:t xml:space="preserve">, cible 30 % en 2028 ; pacte : 45 % (2022) ; presse : « près de 60 % »</w:t>
            </w:r>
          </w:p>
        </w:tc>
        <w:tc>
          <w:tcPr>
            <w:tcW w:w="1307" w:type="dxa"/>
          </w:tcPr>
          <w:tcPr/>
          <w:p>
            <w:pPr>
              <w:pStyle w:val="Compact"/>
              <w:jc w:val="left"/>
            </w:pPr>
            <w:r>
              <w:t xml:space="preserve">2023-2026</w:t>
            </w:r>
          </w:p>
        </w:tc>
        <w:tc>
          <w:tcPr>
            <w:tcW w:w="1129" w:type="dxa"/>
          </w:tcPr>
          <w:tcPr/>
          <w:p>
            <w:pPr>
              <w:pStyle w:val="Compact"/>
              <w:jc w:val="left"/>
            </w:pPr>
            <w:r>
              <w:t xml:space="preserve">[V]</w:t>
            </w:r>
          </w:p>
        </w:tc>
        <w:tc>
          <w:tcPr>
            <w:tcW w:w="1216" w:type="dxa"/>
          </w:tcPr>
          <w:tcPr/>
          <w:p>
            <w:pPr>
              <w:pStyle w:val="Compact"/>
              <w:jc w:val="left"/>
            </w:pPr>
            <w:r>
              <w:t xml:space="preserve">[3][P][5]</w:t>
            </w:r>
          </w:p>
        </w:tc>
      </w:tr>
      <w:tr>
        <w:tc>
          <w:tcPr>
            <w:tcW w:w="2395" w:type="dxa"/>
          </w:tcPr>
          <w:tcPr/>
          <w:p>
            <w:pPr>
              <w:pStyle w:val="Compact"/>
              <w:jc w:val="left"/>
            </w:pPr>
            <w:r>
              <w:t xml:space="preserve">SAIDI</w:t>
            </w:r>
          </w:p>
        </w:tc>
        <w:tc>
          <w:tcPr>
            <w:tcW w:w="8522" w:type="dxa"/>
          </w:tcPr>
          <w:tcPr/>
          <w:p>
            <w:pPr>
              <w:pStyle w:val="Compact"/>
              <w:jc w:val="left"/>
            </w:pPr>
            <w:r>
              <w:t xml:space="preserve">Indicateur PASEL : 2,00 « heures » (nov. 2023), inchangé (juil. 2026), cible 1,40 (unité et période telles que publiées, à vérifier)</w:t>
            </w:r>
          </w:p>
        </w:tc>
        <w:tc>
          <w:tcPr>
            <w:tcW w:w="1307" w:type="dxa"/>
          </w:tcPr>
          <w:tcPr/>
          <w:p>
            <w:pPr>
              <w:pStyle w:val="Compact"/>
              <w:jc w:val="left"/>
            </w:pPr>
            <w:r>
              <w:t xml:space="preserve">2026</w:t>
            </w:r>
          </w:p>
        </w:tc>
        <w:tc>
          <w:tcPr>
            <w:tcW w:w="1129" w:type="dxa"/>
          </w:tcPr>
          <w:tcPr/>
          <w:p>
            <w:pPr>
              <w:pStyle w:val="Compact"/>
              <w:jc w:val="left"/>
            </w:pPr>
            <w:r>
              <w:t xml:space="preserve">[V]</w:t>
            </w:r>
          </w:p>
        </w:tc>
        <w:tc>
          <w:tcPr>
            <w:tcW w:w="1216" w:type="dxa"/>
          </w:tcPr>
          <w:tcPr/>
          <w:p>
            <w:pPr>
              <w:pStyle w:val="Compact"/>
              <w:jc w:val="left"/>
            </w:pPr>
            <w:r>
              <w:t xml:space="preserve">[3]</w:t>
            </w:r>
          </w:p>
        </w:tc>
      </w:tr>
      <w:tr>
        <w:tc>
          <w:tcPr>
            <w:tcW w:w="2395" w:type="dxa"/>
          </w:tcPr>
          <w:tcPr/>
          <w:p>
            <w:pPr>
              <w:pStyle w:val="Compact"/>
              <w:jc w:val="left"/>
            </w:pPr>
            <w:r>
              <w:t xml:space="preserve">Interruptions dues au transport</w:t>
            </w:r>
          </w:p>
        </w:tc>
        <w:tc>
          <w:tcPr>
            <w:tcW w:w="8522" w:type="dxa"/>
          </w:tcPr>
          <w:tcPr/>
          <w:p>
            <w:pPr>
              <w:pStyle w:val="Compact"/>
              <w:jc w:val="left"/>
            </w:pPr>
            <w:r>
              <w:t xml:space="preserve">10/an (2024), cible 8</w:t>
            </w:r>
          </w:p>
        </w:tc>
        <w:tc>
          <w:tcPr>
            <w:tcW w:w="1307" w:type="dxa"/>
          </w:tcPr>
          <w:tcPr/>
          <w:p>
            <w:pPr>
              <w:pStyle w:val="Compact"/>
              <w:jc w:val="left"/>
            </w:pPr>
            <w:r>
              <w:t xml:space="preserve">2026</w:t>
            </w:r>
          </w:p>
        </w:tc>
        <w:tc>
          <w:tcPr>
            <w:tcW w:w="1129" w:type="dxa"/>
          </w:tcPr>
          <w:tcPr/>
          <w:p>
            <w:pPr>
              <w:pStyle w:val="Compact"/>
              <w:jc w:val="left"/>
            </w:pPr>
            <w:r>
              <w:t xml:space="preserve">[V]</w:t>
            </w:r>
          </w:p>
        </w:tc>
        <w:tc>
          <w:tcPr>
            <w:tcW w:w="1216" w:type="dxa"/>
          </w:tcPr>
          <w:tcPr/>
          <w:p>
            <w:pPr>
              <w:pStyle w:val="Compact"/>
              <w:jc w:val="left"/>
            </w:pPr>
            <w:r>
              <w:t xml:space="preserve">[3]</w:t>
            </w:r>
          </w:p>
        </w:tc>
      </w:tr>
      <w:tr>
        <w:tc>
          <w:tcPr>
            <w:tcW w:w="2395" w:type="dxa"/>
          </w:tcPr>
          <w:tcPr/>
          <w:p>
            <w:pPr>
              <w:pStyle w:val="Compact"/>
              <w:jc w:val="left"/>
            </w:pPr>
            <w:r>
              <w:t xml:space="preserve">Clients / comptage</w:t>
            </w:r>
          </w:p>
        </w:tc>
        <w:tc>
          <w:tcPr>
            <w:tcW w:w="8522" w:type="dxa"/>
          </w:tcPr>
          <w:tcPr/>
          <w:p>
            <w:pPr>
              <w:pStyle w:val="Compact"/>
              <w:jc w:val="left"/>
            </w:pPr>
            <w:r>
              <w:t xml:space="preserve">494 313 polices BT (2024, pacte) ; &gt; 40 % facturés au forfait ou gratuitement (pacte) ; PASEL : 154 000 compteurs intelligents prévus (128 000 clients + 26 000 protection des revenus), 0 posé</w:t>
            </w:r>
          </w:p>
        </w:tc>
        <w:tc>
          <w:tcPr>
            <w:tcW w:w="1307" w:type="dxa"/>
          </w:tcPr>
          <w:tcPr/>
          <w:p>
            <w:pPr>
              <w:pStyle w:val="Compact"/>
              <w:jc w:val="left"/>
            </w:pPr>
            <w:r>
              <w:t xml:space="preserve">2026</w:t>
            </w:r>
          </w:p>
        </w:tc>
        <w:tc>
          <w:tcPr>
            <w:tcW w:w="1129" w:type="dxa"/>
          </w:tcPr>
          <w:tcPr/>
          <w:p>
            <w:pPr>
              <w:pStyle w:val="Compact"/>
              <w:jc w:val="left"/>
            </w:pPr>
            <w:r>
              <w:t xml:space="preserve">[V]/[P]</w:t>
            </w:r>
          </w:p>
        </w:tc>
        <w:tc>
          <w:tcPr>
            <w:tcW w:w="1216" w:type="dxa"/>
          </w:tcPr>
          <w:tcPr/>
          <w:p>
            <w:pPr>
              <w:pStyle w:val="Compact"/>
              <w:jc w:val="left"/>
            </w:pPr>
            <w:r>
              <w:t xml:space="preserve">[3][P]</w:t>
            </w:r>
          </w:p>
        </w:tc>
      </w:tr>
      <w:tr>
        <w:tc>
          <w:tcPr>
            <w:tcW w:w="2395" w:type="dxa"/>
          </w:tcPr>
          <w:tcPr/>
          <w:p>
            <w:pPr>
              <w:pStyle w:val="Compact"/>
              <w:jc w:val="left"/>
            </w:pPr>
            <w:r>
              <w:t xml:space="preserve">Mix</w:t>
            </w:r>
          </w:p>
        </w:tc>
        <w:tc>
          <w:tcPr>
            <w:tcW w:w="8522" w:type="dxa"/>
          </w:tcPr>
          <w:tcPr/>
          <w:p>
            <w:pPr>
              <w:pStyle w:val="Compact"/>
              <w:jc w:val="left"/>
            </w:pPr>
            <w:r>
              <w:t xml:space="preserve">Gaz ≈ 68 % de la production (CEC) (pacte) ; dépendance à la RDC pour la puissance réactive</w:t>
            </w:r>
          </w:p>
        </w:tc>
        <w:tc>
          <w:tcPr>
            <w:tcW w:w="1307" w:type="dxa"/>
          </w:tcPr>
          <w:tcPr/>
          <w:p>
            <w:pPr>
              <w:pStyle w:val="Compact"/>
              <w:jc w:val="left"/>
            </w:pPr>
            <w:r>
              <w:t xml:space="preserve">2024</w:t>
            </w:r>
          </w:p>
        </w:tc>
        <w:tc>
          <w:tcPr>
            <w:tcW w:w="1129" w:type="dxa"/>
          </w:tcPr>
          <w:tcPr/>
          <w:p>
            <w:pPr>
              <w:pStyle w:val="Compact"/>
              <w:jc w:val="left"/>
            </w:pPr>
            <w:r>
              <w:t xml:space="preserve">[P]</w:t>
            </w:r>
          </w:p>
        </w:tc>
        <w:tc>
          <w:tcPr>
            <w:tcW w:w="1216" w:type="dxa"/>
          </w:tcPr>
          <w:tcPr/>
          <w:p>
            <w:pPr>
              <w:pStyle w:val="Compact"/>
              <w:jc w:val="left"/>
            </w:pPr>
            <w:r>
              <w:t xml:space="preserve">[P]</w:t>
            </w:r>
          </w:p>
        </w:tc>
      </w:tr>
      <w:tr>
        <w:tc>
          <w:tcPr>
            <w:tcW w:w="2395" w:type="dxa"/>
          </w:tcPr>
          <w:tcPr/>
          <w:p>
            <w:pPr>
              <w:pStyle w:val="Compact"/>
              <w:jc w:val="left"/>
            </w:pPr>
            <w:r>
              <w:t xml:space="preserve">Délestages</w:t>
            </w:r>
          </w:p>
        </w:tc>
        <w:tc>
          <w:tcPr>
            <w:tcW w:w="8522" w:type="dxa"/>
          </w:tcPr>
          <w:tcPr/>
          <w:p>
            <w:pPr>
              <w:pStyle w:val="Compact"/>
              <w:jc w:val="left"/>
            </w:pPr>
            <w:r>
              <w:t xml:space="preserve">« Problèmes persistants d’approvisionnement en électricité » cités comme risque pour la croissance (FMI 2026)</w:t>
            </w:r>
          </w:p>
        </w:tc>
        <w:tc>
          <w:tcPr>
            <w:tcW w:w="1307" w:type="dxa"/>
          </w:tcPr>
          <w:tcPr/>
          <w:p>
            <w:pPr>
              <w:pStyle w:val="Compact"/>
              <w:jc w:val="left"/>
            </w:pPr>
            <w:r>
              <w:t xml:space="preserve">2026</w:t>
            </w:r>
          </w:p>
        </w:tc>
        <w:tc>
          <w:tcPr>
            <w:tcW w:w="1129" w:type="dxa"/>
          </w:tcPr>
          <w:tcPr/>
          <w:p>
            <w:pPr>
              <w:pStyle w:val="Compact"/>
              <w:jc w:val="left"/>
            </w:pPr>
            <w:r>
              <w:t xml:space="preserve">[V]</w:t>
            </w:r>
          </w:p>
        </w:tc>
        <w:tc>
          <w:tcPr>
            <w:tcW w:w="1216" w:type="dxa"/>
          </w:tcPr>
          <w:tcPr/>
          <w:p>
            <w:pPr>
              <w:pStyle w:val="Compact"/>
              <w:jc w:val="left"/>
            </w:pPr>
            <w:r>
              <w:t xml:space="preserve">[2]</w:t>
            </w:r>
          </w:p>
        </w:tc>
      </w:tr>
    </w:tbl>
    <w:bookmarkEnd w:id="125"/>
    <w:bookmarkStart w:id="126" w:name="situation-économique-et-gouvernance-8"/>
    <w:p>
      <w:pPr>
        <w:pStyle w:val="Heading3"/>
      </w:pPr>
      <w:r>
        <w:t xml:space="preserve">3. Situation économique et gouvernance</w:t>
      </w:r>
    </w:p>
    <w:p>
      <w:pPr>
        <w:numPr>
          <w:ilvl w:val="0"/>
          <w:numId w:val="1061"/>
        </w:numPr>
        <w:pStyle w:val="Compact"/>
      </w:pPr>
      <w:r>
        <w:t xml:space="preserve">PPA : achat à la CEC (gaz) et à AKSA ; prix et clauses [?]. Le gaz de la CEC n’est pas facturé au prix du marché (FMI) [2] [V].</w:t>
      </w:r>
    </w:p>
    <w:p>
      <w:pPr>
        <w:numPr>
          <w:ilvl w:val="0"/>
          <w:numId w:val="1061"/>
        </w:numPr>
        <w:pStyle w:val="Compact"/>
      </w:pPr>
      <w:r>
        <w:t xml:space="preserve">Change / combustible : combustible gazier domestique ; exposition au change limitée [E] ; détail [?].</w:t>
      </w:r>
    </w:p>
    <w:p>
      <w:pPr>
        <w:numPr>
          <w:ilvl w:val="0"/>
          <w:numId w:val="1061"/>
        </w:numPr>
        <w:pStyle w:val="Compact"/>
      </w:pPr>
      <w:r>
        <w:t xml:space="preserve">Contrat de performance / redressement : aucun trouvé [?]. La réhabilitation de la ligne 220 kV Pointe-Noire–Brazzaville (480 km) et de 8 postes est désormais confiée à ENI Congo (~19 M USD) à la demande du Président, et retirée du PASEL [1] [V].</w:t>
      </w:r>
    </w:p>
    <w:p>
      <w:pPr>
        <w:numPr>
          <w:ilvl w:val="0"/>
          <w:numId w:val="1061"/>
        </w:numPr>
        <w:pStyle w:val="Compact"/>
      </w:pPr>
      <w:r>
        <w:t xml:space="preserve">Gouvernance : opposition syndicale à l’affermage ; retards d’E²C à répondre aux demandes techniques du projet (études réseau, DAO compteurs) [1] [V] ; suspensions du portefeuille BM liées à des arriérés du pays envers la Banque [3] [V].</w:t>
      </w:r>
    </w:p>
    <w:bookmarkEnd w:id="126"/>
    <w:bookmarkStart w:id="127" w:name="X1d1517ddfaf370f35dac336f5575cf1bfaabdf9"/>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2787"/>
        <w:gridCol w:w="867"/>
        <w:gridCol w:w="945"/>
        <w:gridCol w:w="1397"/>
        <w:gridCol w:w="4169"/>
        <w:gridCol w:w="1537"/>
        <w:gridCol w:w="2167"/>
        <w:gridCol w:w="695"/>
      </w:tblGrid>
      <w:tr>
        <w:trPr>
          <w:tblHeader w:val="true"/>
        </w:trPr>
        <w:tc>
          <w:tcPr>
            <w:tcW w:w="2787" w:type="dxa"/>
          </w:tcPr>
          <w:tcPr/>
          <w:p>
            <w:pPr>
              <w:pStyle w:val="Compact"/>
              <w:jc w:val="left"/>
            </w:pPr>
            <w:r>
              <w:t xml:space="preserve">Programme / projet</w:t>
            </w:r>
          </w:p>
        </w:tc>
        <w:tc>
          <w:tcPr>
            <w:tcW w:w="867" w:type="dxa"/>
          </w:tcPr>
          <w:tcPr/>
          <w:p>
            <w:pPr>
              <w:pStyle w:val="Compact"/>
              <w:jc w:val="left"/>
            </w:pPr>
            <w:r>
              <w:t xml:space="preserve">Bailleur</w:t>
            </w:r>
          </w:p>
        </w:tc>
        <w:tc>
          <w:tcPr>
            <w:tcW w:w="945" w:type="dxa"/>
          </w:tcPr>
          <w:tcPr/>
          <w:p>
            <w:pPr>
              <w:pStyle w:val="Compact"/>
              <w:jc w:val="left"/>
            </w:pPr>
            <w:r>
              <w:t xml:space="preserve">Montant</w:t>
            </w:r>
          </w:p>
        </w:tc>
        <w:tc>
          <w:tcPr>
            <w:tcW w:w="1397" w:type="dxa"/>
          </w:tcPr>
          <w:tcPr/>
          <w:p>
            <w:pPr>
              <w:pStyle w:val="Compact"/>
              <w:jc w:val="left"/>
            </w:pPr>
            <w:r>
              <w:t xml:space="preserve">Années</w:t>
            </w:r>
          </w:p>
        </w:tc>
        <w:tc>
          <w:tcPr>
            <w:tcW w:w="4169" w:type="dxa"/>
          </w:tcPr>
          <w:tcPr/>
          <w:p>
            <w:pPr>
              <w:pStyle w:val="Compact"/>
              <w:jc w:val="left"/>
            </w:pPr>
            <w:r>
              <w:t xml:space="preserve">Objectifs liés à l’opérateur</w:t>
            </w:r>
          </w:p>
        </w:tc>
        <w:tc>
          <w:tcPr>
            <w:tcW w:w="1537" w:type="dxa"/>
          </w:tcPr>
          <w:tcPr/>
          <w:p>
            <w:pPr>
              <w:pStyle w:val="Compact"/>
              <w:jc w:val="left"/>
            </w:pPr>
            <w:r>
              <w:t xml:space="preserve">Conditions/indicateurs</w:t>
            </w:r>
          </w:p>
        </w:tc>
        <w:tc>
          <w:tcPr>
            <w:tcW w:w="2167" w:type="dxa"/>
          </w:tcPr>
          <w:tcPr/>
          <w:p>
            <w:pPr>
              <w:pStyle w:val="Compact"/>
              <w:jc w:val="left"/>
            </w:pPr>
            <w:r>
              <w:t xml:space="preserve">Statut d’exécution</w:t>
            </w:r>
          </w:p>
        </w:tc>
        <w:tc>
          <w:tcPr>
            <w:tcW w:w="695" w:type="dxa"/>
          </w:tcPr>
          <w:tcPr/>
          <w:p>
            <w:pPr>
              <w:pStyle w:val="Compact"/>
              <w:jc w:val="left"/>
            </w:pPr>
            <w:r>
              <w:t xml:space="preserve">Source</w:t>
            </w:r>
          </w:p>
        </w:tc>
      </w:tr>
      <w:tr>
        <w:tc>
          <w:tcPr>
            <w:tcW w:w="2787" w:type="dxa"/>
          </w:tcPr>
          <w:tcPr/>
          <w:p>
            <w:pPr>
              <w:pStyle w:val="Compact"/>
              <w:jc w:val="left"/>
            </w:pPr>
            <w:r>
              <w:t xml:space="preserve">Strengthening Electricity Services Project (PASEL),</w:t>
            </w:r>
            <w:r>
              <w:t xml:space="preserve"> </w:t>
            </w:r>
            <w:r>
              <w:rPr>
                <w:bCs/>
                <w:b/>
              </w:rPr>
              <w:t xml:space="preserve">P501343</w:t>
            </w:r>
          </w:p>
        </w:tc>
        <w:tc>
          <w:tcPr>
            <w:tcW w:w="867" w:type="dxa"/>
          </w:tcPr>
          <w:tcPr/>
          <w:p>
            <w:pPr>
              <w:pStyle w:val="Compact"/>
              <w:jc w:val="left"/>
            </w:pPr>
            <w:r>
              <w:t xml:space="preserve">BM (prêt 9686-CG)</w:t>
            </w:r>
          </w:p>
        </w:tc>
        <w:tc>
          <w:tcPr>
            <w:tcW w:w="945" w:type="dxa"/>
          </w:tcPr>
          <w:tcPr/>
          <w:p>
            <w:pPr>
              <w:pStyle w:val="Compact"/>
              <w:jc w:val="left"/>
            </w:pPr>
            <w:r>
              <w:t xml:space="preserve">92,8 M EUR (≈ 100 M USD)</w:t>
            </w:r>
          </w:p>
        </w:tc>
        <w:tc>
          <w:tcPr>
            <w:tcW w:w="1397" w:type="dxa"/>
          </w:tcPr>
          <w:tcPr/>
          <w:p>
            <w:pPr>
              <w:pStyle w:val="Compact"/>
              <w:jc w:val="left"/>
            </w:pPr>
            <w:r>
              <w:t xml:space="preserve">approuvé 26-06-2024, clôture 06/2028</w:t>
            </w:r>
          </w:p>
        </w:tc>
        <w:tc>
          <w:tcPr>
            <w:tcW w:w="4169" w:type="dxa"/>
          </w:tcPr>
          <w:tcPr/>
          <w:p>
            <w:pPr>
              <w:pStyle w:val="Compact"/>
              <w:jc w:val="left"/>
            </w:pPr>
            <w:r>
              <w:t xml:space="preserve">Transport (postes, dispatching), distribution/commercial E²C (compteurs, protection des revenus, pertes), AT affermage et tarifs</w:t>
            </w:r>
          </w:p>
        </w:tc>
        <w:tc>
          <w:tcPr>
            <w:tcW w:w="1537" w:type="dxa"/>
          </w:tcPr>
          <w:tcPr/>
          <w:p>
            <w:pPr>
              <w:pStyle w:val="Compact"/>
              <w:jc w:val="left"/>
            </w:pPr>
            <w:r>
              <w:rPr>
                <w:bCs/>
                <w:b/>
              </w:rPr>
              <w:t xml:space="preserve">PBC 1.1</w:t>
            </w:r>
            <w:r>
              <w:t xml:space="preserve"> </w:t>
            </w:r>
            <w:r>
              <w:t xml:space="preserve">signature du contrat d’affermage (15,5 M USD) ;</w:t>
            </w:r>
            <w:r>
              <w:t xml:space="preserve"> </w:t>
            </w:r>
            <w:r>
              <w:rPr>
                <w:bCs/>
                <w:b/>
              </w:rPr>
              <w:t xml:space="preserve">PBC 1.2</w:t>
            </w:r>
            <w:r>
              <w:t xml:space="preserve"> </w:t>
            </w:r>
            <w:r>
              <w:t xml:space="preserve">transfert des actifs/personnel d’E²C au fermier (10 M) ; PBC 2 stratégie nationale d’électrification (12 M) ; PBC 3 tarif social &lt; 50 kWh/mois (7,75 M)</w:t>
            </w:r>
          </w:p>
        </w:tc>
        <w:tc>
          <w:tcPr>
            <w:tcW w:w="2167" w:type="dxa"/>
          </w:tcPr>
          <w:tcPr/>
          <w:p>
            <w:pPr>
              <w:pStyle w:val="Compact"/>
              <w:jc w:val="left"/>
            </w:pPr>
            <w:r>
              <w:t xml:space="preserve">PBC 1.1/1.2 « off-track » ; PBC 3 bloqué (« réticence à toute réforme tarifaire » avant les élections) ; décaissé 9,15 M USD (~9 %) ; IP « modérément insatisfaisant » (juil. 2026) ; restructuré (déc. 2025)</w:t>
            </w:r>
          </w:p>
        </w:tc>
        <w:tc>
          <w:tcPr>
            <w:tcW w:w="695" w:type="dxa"/>
          </w:tcPr>
          <w:tcPr/>
          <w:p>
            <w:pPr>
              <w:pStyle w:val="Compact"/>
              <w:jc w:val="left"/>
            </w:pPr>
            <w:r>
              <w:t xml:space="preserve">[1][3]</w:t>
            </w:r>
          </w:p>
        </w:tc>
      </w:tr>
      <w:tr>
        <w:tc>
          <w:tcPr>
            <w:tcW w:w="2787" w:type="dxa"/>
          </w:tcPr>
          <w:tcPr/>
          <w:p>
            <w:pPr>
              <w:pStyle w:val="Compact"/>
              <w:jc w:val="left"/>
            </w:pPr>
            <w:r>
              <w:t xml:space="preserve">Third DPF Congo, P180398</w:t>
            </w:r>
          </w:p>
        </w:tc>
        <w:tc>
          <w:tcPr>
            <w:tcW w:w="867" w:type="dxa"/>
          </w:tcPr>
          <w:tcPr/>
          <w:p>
            <w:pPr>
              <w:pStyle w:val="Compact"/>
              <w:jc w:val="left"/>
            </w:pPr>
            <w:r>
              <w:t xml:space="preserve">BM</w:t>
            </w:r>
          </w:p>
        </w:tc>
        <w:tc>
          <w:tcPr>
            <w:tcW w:w="945" w:type="dxa"/>
          </w:tcPr>
          <w:tcPr/>
          <w:p>
            <w:pPr>
              <w:pStyle w:val="Compact"/>
              <w:jc w:val="left"/>
            </w:pPr>
            <w:r>
              <w:t xml:space="preserve">[?]</w:t>
            </w:r>
          </w:p>
        </w:tc>
        <w:tc>
          <w:tcPr>
            <w:tcW w:w="1397" w:type="dxa"/>
          </w:tcPr>
          <w:tcPr/>
          <w:p>
            <w:pPr>
              <w:pStyle w:val="Compact"/>
              <w:jc w:val="left"/>
            </w:pPr>
            <w:r>
              <w:t xml:space="preserve">achevé juin 2025</w:t>
            </w:r>
          </w:p>
        </w:tc>
        <w:tc>
          <w:tcPr>
            <w:tcW w:w="4169" w:type="dxa"/>
          </w:tcPr>
          <w:tcPr/>
          <w:p>
            <w:pPr>
              <w:pStyle w:val="Compact"/>
              <w:jc w:val="left"/>
            </w:pPr>
            <w:r>
              <w:t xml:space="preserve">L’approbation de la convention d’affermage était une condition ; le gouvernement a demandé de la retirer</w:t>
            </w:r>
          </w:p>
        </w:tc>
        <w:tc>
          <w:tcPr>
            <w:tcW w:w="1537" w:type="dxa"/>
          </w:tcPr>
          <w:tcPr/>
          <w:p>
            <w:pPr>
              <w:pStyle w:val="Compact"/>
              <w:jc w:val="left"/>
            </w:pPr>
            <w:r>
              <w:t xml:space="preserve">—</w:t>
            </w:r>
          </w:p>
        </w:tc>
        <w:tc>
          <w:tcPr>
            <w:tcW w:w="2167" w:type="dxa"/>
          </w:tcPr>
          <w:tcPr/>
          <w:p>
            <w:pPr>
              <w:pStyle w:val="Compact"/>
              <w:jc w:val="left"/>
            </w:pPr>
            <w:r>
              <w:t xml:space="preserve">Approuvé sans la mesure électricité</w:t>
            </w:r>
          </w:p>
        </w:tc>
        <w:tc>
          <w:tcPr>
            <w:tcW w:w="695" w:type="dxa"/>
          </w:tcPr>
          <w:tcPr/>
          <w:p>
            <w:pPr>
              <w:pStyle w:val="Compact"/>
              <w:jc w:val="left"/>
            </w:pPr>
            <w:r>
              <w:t xml:space="preserve">[1]</w:t>
            </w:r>
          </w:p>
        </w:tc>
      </w:tr>
      <w:tr>
        <w:tc>
          <w:tcPr>
            <w:tcW w:w="2787" w:type="dxa"/>
          </w:tcPr>
          <w:tcPr/>
          <w:p>
            <w:pPr>
              <w:pStyle w:val="Compact"/>
              <w:jc w:val="left"/>
            </w:pPr>
            <w:r>
              <w:t xml:space="preserve">Accelerating Governance Institutional Reforms (AGIR), P177468</w:t>
            </w:r>
          </w:p>
        </w:tc>
        <w:tc>
          <w:tcPr>
            <w:tcW w:w="867" w:type="dxa"/>
          </w:tcPr>
          <w:tcPr/>
          <w:p>
            <w:pPr>
              <w:pStyle w:val="Compact"/>
              <w:jc w:val="left"/>
            </w:pPr>
            <w:r>
              <w:t xml:space="preserve">BM</w:t>
            </w:r>
          </w:p>
        </w:tc>
        <w:tc>
          <w:tcPr>
            <w:tcW w:w="945" w:type="dxa"/>
          </w:tcPr>
          <w:tcPr/>
          <w:p>
            <w:pPr>
              <w:pStyle w:val="Compact"/>
              <w:jc w:val="left"/>
            </w:pPr>
            <w:r>
              <w:t xml:space="preserve">70 M USD</w:t>
            </w:r>
          </w:p>
        </w:tc>
        <w:tc>
          <w:tcPr>
            <w:tcW w:w="1397" w:type="dxa"/>
          </w:tcPr>
          <w:tcPr/>
          <w:p>
            <w:pPr>
              <w:pStyle w:val="Compact"/>
              <w:jc w:val="left"/>
            </w:pPr>
            <w:r>
              <w:t xml:space="preserve">2023-2027</w:t>
            </w:r>
          </w:p>
        </w:tc>
        <w:tc>
          <w:tcPr>
            <w:tcW w:w="4169" w:type="dxa"/>
          </w:tcPr>
          <w:tcPr/>
          <w:p>
            <w:pPr>
              <w:pStyle w:val="Compact"/>
              <w:jc w:val="left"/>
            </w:pPr>
            <w:r>
              <w:t xml:space="preserve">Gouvernance générale ; lien direct avec E²C [?]</w:t>
            </w:r>
          </w:p>
        </w:tc>
        <w:tc>
          <w:tcPr>
            <w:tcW w:w="1537" w:type="dxa"/>
          </w:tcPr>
          <w:tcPr/>
          <w:p>
            <w:pPr>
              <w:pStyle w:val="Compact"/>
              <w:jc w:val="left"/>
            </w:pPr>
            <w:r>
              <w:t xml:space="preserve">[?]</w:t>
            </w:r>
          </w:p>
        </w:tc>
        <w:tc>
          <w:tcPr>
            <w:tcW w:w="2167" w:type="dxa"/>
          </w:tcPr>
          <w:tcPr/>
          <w:p>
            <w:pPr>
              <w:pStyle w:val="Compact"/>
              <w:jc w:val="left"/>
            </w:pPr>
            <w:r>
              <w:t xml:space="preserve">Actif</w:t>
            </w:r>
          </w:p>
        </w:tc>
        <w:tc>
          <w:tcPr>
            <w:tcW w:w="695" w:type="dxa"/>
          </w:tcPr>
          <w:tcPr/>
          <w:p>
            <w:pPr>
              <w:pStyle w:val="Compact"/>
              <w:jc w:val="left"/>
            </w:pPr>
            <w:r>
              <w:t xml:space="preserve">[4]</w:t>
            </w:r>
          </w:p>
        </w:tc>
      </w:tr>
      <w:tr>
        <w:tc>
          <w:tcPr>
            <w:tcW w:w="2787" w:type="dxa"/>
          </w:tcPr>
          <w:tcPr/>
          <w:p>
            <w:pPr>
              <w:pStyle w:val="Compact"/>
              <w:jc w:val="left"/>
            </w:pPr>
            <w:r>
              <w:t xml:space="preserve">Post-Financing Assessment</w:t>
            </w:r>
          </w:p>
        </w:tc>
        <w:tc>
          <w:tcPr>
            <w:tcW w:w="867" w:type="dxa"/>
          </w:tcPr>
          <w:tcPr/>
          <w:p>
            <w:pPr>
              <w:pStyle w:val="Compact"/>
              <w:jc w:val="left"/>
            </w:pPr>
            <w:r>
              <w:t xml:space="preserve">FMI</w:t>
            </w:r>
          </w:p>
        </w:tc>
        <w:tc>
          <w:tcPr>
            <w:tcW w:w="945" w:type="dxa"/>
          </w:tcPr>
          <w:tcPr/>
          <w:p>
            <w:pPr>
              <w:pStyle w:val="Compact"/>
              <w:jc w:val="left"/>
            </w:pPr>
            <w:r>
              <w:t xml:space="preserve">—</w:t>
            </w:r>
          </w:p>
        </w:tc>
        <w:tc>
          <w:tcPr>
            <w:tcW w:w="1397" w:type="dxa"/>
          </w:tcPr>
          <w:tcPr/>
          <w:p>
            <w:pPr>
              <w:pStyle w:val="Compact"/>
              <w:jc w:val="left"/>
            </w:pPr>
            <w:r>
              <w:t xml:space="preserve">avril 2026</w:t>
            </w:r>
          </w:p>
        </w:tc>
        <w:tc>
          <w:tcPr>
            <w:tcW w:w="4169" w:type="dxa"/>
          </w:tcPr>
          <w:tcPr/>
          <w:p>
            <w:pPr>
              <w:pStyle w:val="Compact"/>
              <w:jc w:val="left"/>
            </w:pPr>
            <w:r>
              <w:t xml:space="preserve">Recommande la tarification au prix du marché du gaz de la CEC ; note la suspension de la concession de distribution</w:t>
            </w:r>
          </w:p>
        </w:tc>
        <w:tc>
          <w:tcPr>
            <w:tcW w:w="1537" w:type="dxa"/>
          </w:tcPr>
          <w:tcPr/>
          <w:p>
            <w:pPr>
              <w:pStyle w:val="Compact"/>
              <w:jc w:val="left"/>
            </w:pPr>
            <w:r>
              <w:t xml:space="preserve">—</w:t>
            </w:r>
          </w:p>
        </w:tc>
        <w:tc>
          <w:tcPr>
            <w:tcW w:w="2167" w:type="dxa"/>
          </w:tcPr>
          <w:tcPr/>
          <w:p>
            <w:pPr>
              <w:pStyle w:val="Compact"/>
              <w:jc w:val="left"/>
            </w:pPr>
            <w:r>
              <w:t xml:space="preserve">—</w:t>
            </w:r>
          </w:p>
        </w:tc>
        <w:tc>
          <w:tcPr>
            <w:tcW w:w="695" w:type="dxa"/>
          </w:tcPr>
          <w:tcPr/>
          <w:p>
            <w:pPr>
              <w:pStyle w:val="Compact"/>
              <w:jc w:val="left"/>
            </w:pPr>
            <w:r>
              <w:t xml:space="preserve">[2]</w:t>
            </w:r>
          </w:p>
        </w:tc>
      </w:tr>
      <w:tr>
        <w:tc>
          <w:tcPr>
            <w:tcW w:w="2787" w:type="dxa"/>
          </w:tcPr>
          <w:tcPr/>
          <w:p>
            <w:pPr>
              <w:pStyle w:val="Compact"/>
              <w:jc w:val="left"/>
            </w:pPr>
            <w:r>
              <w:t xml:space="preserve">PAPASE (gouvernance et accès)</w:t>
            </w:r>
          </w:p>
        </w:tc>
        <w:tc>
          <w:tcPr>
            <w:tcW w:w="867" w:type="dxa"/>
          </w:tcPr>
          <w:tcPr/>
          <w:p>
            <w:pPr>
              <w:pStyle w:val="Compact"/>
              <w:jc w:val="left"/>
            </w:pPr>
            <w:r>
              <w:t xml:space="preserve">BAD</w:t>
            </w:r>
          </w:p>
        </w:tc>
        <w:tc>
          <w:tcPr>
            <w:tcW w:w="945" w:type="dxa"/>
          </w:tcPr>
          <w:tcPr/>
          <w:p>
            <w:pPr>
              <w:pStyle w:val="Compact"/>
              <w:jc w:val="left"/>
            </w:pPr>
            <w:r>
              <w:t xml:space="preserve">[?] (pacte)</w:t>
            </w:r>
          </w:p>
        </w:tc>
        <w:tc>
          <w:tcPr>
            <w:tcW w:w="1397" w:type="dxa"/>
          </w:tcPr>
          <w:tcPr/>
          <w:p>
            <w:pPr>
              <w:pStyle w:val="Compact"/>
              <w:jc w:val="left"/>
            </w:pPr>
            <w:r>
              <w:t xml:space="preserve">[?]</w:t>
            </w:r>
          </w:p>
        </w:tc>
        <w:tc>
          <w:tcPr>
            <w:tcW w:w="4169" w:type="dxa"/>
          </w:tcPr>
          <w:tcPr/>
          <w:p>
            <w:pPr>
              <w:pStyle w:val="Compact"/>
              <w:jc w:val="left"/>
            </w:pPr>
            <w:r>
              <w:t xml:space="preserve">[?]</w:t>
            </w:r>
          </w:p>
        </w:tc>
        <w:tc>
          <w:tcPr>
            <w:tcW w:w="1537" w:type="dxa"/>
          </w:tcPr>
          <w:tcPr/>
          <w:p>
            <w:pPr>
              <w:pStyle w:val="Compact"/>
              <w:jc w:val="left"/>
            </w:pPr>
            <w:r>
              <w:t xml:space="preserve">[?]</w:t>
            </w:r>
          </w:p>
        </w:tc>
        <w:tc>
          <w:tcPr>
            <w:tcW w:w="2167" w:type="dxa"/>
          </w:tcPr>
          <w:tcPr/>
          <w:p>
            <w:pPr>
              <w:pStyle w:val="Compact"/>
              <w:jc w:val="left"/>
            </w:pPr>
            <w:r>
              <w:t xml:space="preserve">[?] non vérifié en primaire</w:t>
            </w:r>
          </w:p>
        </w:tc>
        <w:tc>
          <w:tcPr>
            <w:tcW w:w="695" w:type="dxa"/>
          </w:tcPr>
          <w:tcPr/>
          <w:p>
            <w:pPr>
              <w:pStyle w:val="Compact"/>
              <w:jc w:val="left"/>
            </w:pPr>
            <w:r>
              <w:t xml:space="preserve">[P]</w:t>
            </w:r>
          </w:p>
        </w:tc>
      </w:tr>
      <w:tr>
        <w:tc>
          <w:tcPr>
            <w:tcW w:w="2787" w:type="dxa"/>
          </w:tcPr>
          <w:tcPr/>
          <w:p>
            <w:pPr>
              <w:pStyle w:val="Compact"/>
              <w:jc w:val="left"/>
            </w:pPr>
            <w:r>
              <w:t xml:space="preserve">FEXTE Énergie — Seureca/Veolia</w:t>
            </w:r>
          </w:p>
        </w:tc>
        <w:tc>
          <w:tcPr>
            <w:tcW w:w="867" w:type="dxa"/>
          </w:tcPr>
          <w:tcPr/>
          <w:p>
            <w:pPr>
              <w:pStyle w:val="Compact"/>
              <w:jc w:val="left"/>
            </w:pPr>
            <w:r>
              <w:t xml:space="preserve">France (Trésor)</w:t>
            </w:r>
          </w:p>
        </w:tc>
        <w:tc>
          <w:tcPr>
            <w:tcW w:w="945" w:type="dxa"/>
          </w:tcPr>
          <w:tcPr/>
          <w:p>
            <w:pPr>
              <w:pStyle w:val="Compact"/>
              <w:jc w:val="left"/>
            </w:pPr>
            <w:r>
              <w:t xml:space="preserve">[?]</w:t>
            </w:r>
          </w:p>
        </w:tc>
        <w:tc>
          <w:tcPr>
            <w:tcW w:w="1397" w:type="dxa"/>
          </w:tcPr>
          <w:tcPr/>
          <w:p>
            <w:pPr>
              <w:pStyle w:val="Compact"/>
              <w:jc w:val="left"/>
            </w:pPr>
            <w:r>
              <w:t xml:space="preserve">signé 23-05-2025</w:t>
            </w:r>
          </w:p>
        </w:tc>
        <w:tc>
          <w:tcPr>
            <w:tcW w:w="4169" w:type="dxa"/>
          </w:tcPr>
          <w:tcPr/>
          <w:p>
            <w:pPr>
              <w:pStyle w:val="Compact"/>
              <w:jc w:val="left"/>
            </w:pPr>
            <w:r>
              <w:t xml:space="preserve">Réduction des pertes, fiabilité, gestion d’E²C</w:t>
            </w:r>
          </w:p>
        </w:tc>
        <w:tc>
          <w:tcPr>
            <w:tcW w:w="1537" w:type="dxa"/>
          </w:tcPr>
          <w:tcPr/>
          <w:p>
            <w:pPr>
              <w:pStyle w:val="Compact"/>
              <w:jc w:val="left"/>
            </w:pPr>
            <w:r>
              <w:t xml:space="preserve">[?]</w:t>
            </w:r>
          </w:p>
        </w:tc>
        <w:tc>
          <w:tcPr>
            <w:tcW w:w="2167" w:type="dxa"/>
          </w:tcPr>
          <w:tcPr/>
          <w:p>
            <w:pPr>
              <w:pStyle w:val="Compact"/>
              <w:jc w:val="left"/>
            </w:pPr>
            <w:r>
              <w:t xml:space="preserve">[?]</w:t>
            </w:r>
          </w:p>
        </w:tc>
        <w:tc>
          <w:tcPr>
            <w:tcW w:w="695" w:type="dxa"/>
          </w:tcPr>
          <w:tcPr/>
          <w:p>
            <w:pPr>
              <w:pStyle w:val="Compact"/>
              <w:jc w:val="left"/>
            </w:pPr>
            <w:r>
              <w:t xml:space="preserve">[5]</w:t>
            </w:r>
          </w:p>
        </w:tc>
      </w:tr>
    </w:tbl>
    <w:bookmarkEnd w:id="127"/>
    <w:bookmarkStart w:id="128" w:name="écart-pacte-réalité-8"/>
    <w:p>
      <w:pPr>
        <w:pStyle w:val="Heading3"/>
      </w:pPr>
      <w:r>
        <w:t xml:space="preserve">5. Écart pacte ↔ réalité</w:t>
      </w:r>
    </w:p>
    <w:p>
      <w:pPr>
        <w:numPr>
          <w:ilvl w:val="0"/>
          <w:numId w:val="1062"/>
        </w:numPr>
        <w:pStyle w:val="Compact"/>
      </w:pPr>
      <w:r>
        <w:t xml:space="preserve">Le pacte (sept. 2025) présente la réforme de distribution comme acquise (« poursuite de la réforme », création de la société de transport) et ne mentionne pas l’affermage SENELEC ; or c’est la réforme structurante soutenue par la BM, et elle est</w:t>
      </w:r>
      <w:r>
        <w:t xml:space="preserve"> </w:t>
      </w:r>
      <w:r>
        <w:rPr>
          <w:bCs/>
          <w:b/>
        </w:rPr>
        <w:t xml:space="preserve">gelée</w:t>
      </w:r>
      <w:r>
        <w:t xml:space="preserve"> </w:t>
      </w:r>
      <w:r>
        <w:t xml:space="preserve">[1][2][3] [V].</w:t>
      </w:r>
    </w:p>
    <w:p>
      <w:pPr>
        <w:numPr>
          <w:ilvl w:val="0"/>
          <w:numId w:val="1062"/>
        </w:numPr>
        <w:pStyle w:val="Compact"/>
      </w:pPr>
      <w:r>
        <w:t xml:space="preserve">Pacte : tarif social en décembre 2025 → non adopté (PBC 3), le gouvernement refusant toute réforme tarifaire avant les élections [3] [V].</w:t>
      </w:r>
    </w:p>
    <w:p>
      <w:pPr>
        <w:numPr>
          <w:ilvl w:val="0"/>
          <w:numId w:val="1062"/>
        </w:numPr>
        <w:pStyle w:val="Compact"/>
      </w:pPr>
      <w:r>
        <w:t xml:space="preserve">Pacte : facturation au comptage de tous les clients en déc. 2026 → 0 compteur PASEL posé à mi-2026 [3] [V].</w:t>
      </w:r>
    </w:p>
    <w:p>
      <w:pPr>
        <w:numPr>
          <w:ilvl w:val="0"/>
          <w:numId w:val="1062"/>
        </w:numPr>
        <w:pStyle w:val="Compact"/>
      </w:pPr>
      <w:r>
        <w:t xml:space="preserve">Pertes : 45 % (pacte) vs 42 % (BM, distribution seule) vs ~60 % (presse) — définitions différentes [E].</w:t>
      </w:r>
    </w:p>
    <w:bookmarkEnd w:id="128"/>
    <w:bookmarkStart w:id="129" w:name="diagnostic-synthétique-8"/>
    <w:p>
      <w:pPr>
        <w:pStyle w:val="Heading3"/>
      </w:pPr>
      <w:r>
        <w:t xml:space="preserve">6. Diagnostic synthétique</w:t>
      </w:r>
    </w:p>
    <w:p>
      <w:pPr>
        <w:numPr>
          <w:ilvl w:val="0"/>
          <w:numId w:val="1063"/>
        </w:numPr>
        <w:pStyle w:val="Compact"/>
      </w:pPr>
      <w:r>
        <w:t xml:space="preserve">Financière :</w:t>
      </w:r>
      <w:r>
        <w:t xml:space="preserve"> </w:t>
      </w:r>
      <w:r>
        <w:rPr>
          <w:bCs/>
          <w:b/>
        </w:rPr>
        <w:t xml:space="preserve">faible</w:t>
      </w:r>
      <w:r>
        <w:t xml:space="preserve"> </w:t>
      </w:r>
      <w:r>
        <w:t xml:space="preserve">(perte 2024, 219 Md FCFA de dettes fournisseurs, tarif de 1994 à 56 % du coût). Technique :</w:t>
      </w:r>
      <w:r>
        <w:t xml:space="preserve"> </w:t>
      </w:r>
      <w:r>
        <w:rPr>
          <w:bCs/>
          <w:b/>
        </w:rPr>
        <w:t xml:space="preserve">faible</w:t>
      </w:r>
      <w:r>
        <w:t xml:space="preserve"> </w:t>
      </w:r>
      <w:r>
        <w:t xml:space="preserve">(pertes &gt; 40 %, hydro dégradée, réseau radial dépendant de la RDC). Gouvernance :</w:t>
      </w:r>
      <w:r>
        <w:t xml:space="preserve"> </w:t>
      </w:r>
      <w:r>
        <w:rPr>
          <w:bCs/>
          <w:b/>
        </w:rPr>
        <w:t xml:space="preserve">faible</w:t>
      </w:r>
      <w:r>
        <w:t xml:space="preserve"> </w:t>
      </w:r>
      <w:r>
        <w:t xml:space="preserve">(réforme d’affermage abandonnée de fait, comptes non certifiés, interventions présidentielles directes).</w:t>
      </w:r>
    </w:p>
    <w:p>
      <w:pPr>
        <w:numPr>
          <w:ilvl w:val="0"/>
          <w:numId w:val="1063"/>
        </w:numPr>
        <w:pStyle w:val="Compact"/>
      </w:pPr>
      <w:r>
        <w:t xml:space="preserve">Causes racines : (1) tarif figé depuis 1994 et structure régressive ; (2) gestion commerciale déficiente (forfaits, gratuité, &gt; 40 % non comptés) ; (3) blocage politique et syndical des réformes structurelles.</w:t>
      </w:r>
    </w:p>
    <w:p>
      <w:pPr>
        <w:numPr>
          <w:ilvl w:val="0"/>
          <w:numId w:val="1063"/>
        </w:numPr>
        <w:pStyle w:val="Compact"/>
      </w:pPr>
      <w:r>
        <w:t xml:space="preserve">Phase 3 : étude coût de service ESMAP (2025) ; prix d’achat CEC/AKSA et prix du gaz ; arriérés publics.</w:t>
      </w:r>
    </w:p>
    <w:bookmarkEnd w:id="129"/>
    <w:bookmarkStart w:id="130" w:name="inconnus-8"/>
    <w:p>
      <w:pPr>
        <w:pStyle w:val="Heading3"/>
      </w:pPr>
      <w:r>
        <w:t xml:space="preserve">7. Inconnus</w:t>
      </w:r>
    </w:p>
    <w:p>
      <w:pPr>
        <w:numPr>
          <w:ilvl w:val="0"/>
          <w:numId w:val="1064"/>
        </w:numPr>
        <w:pStyle w:val="Compact"/>
      </w:pPr>
      <w:r>
        <w:t xml:space="preserve">Comptes d’E²C (CA, résultat) en primaire [?] ; arriérés de l’État [?] ; montant des transferts gaz [?] ; documents BAD [?] ; montant et contenu du programme Seureca [?].</w:t>
      </w:r>
    </w:p>
    <w:bookmarkEnd w:id="130"/>
    <w:bookmarkStart w:id="131" w:name="sources-9"/>
    <w:p>
      <w:pPr>
        <w:pStyle w:val="Heading3"/>
      </w:pPr>
      <w:r>
        <w:t xml:space="preserve">Sources</w:t>
      </w:r>
    </w:p>
    <w:p>
      <w:pPr>
        <w:pStyle w:val="FirstParagraph"/>
      </w:pPr>
      <w:r>
        <w:t xml:space="preserve">[1] Banque mondiale, Restructuring Paper, Strengthening Electricity Services Project (P501343), 01-12-2025. https://documents.worldbank.org/curated/en/099120125035015035/pdf/P501343-fd095e05-d62d-4f98-86a9-7888879b0594.pdf</w:t>
      </w:r>
      <w:r>
        <w:t xml:space="preserve"> </w:t>
      </w:r>
      <w:r>
        <w:t xml:space="preserve">[2] FMI, « Republic of Congo: Post-Financing Assessment — Staff Report », IMF Country Report No. 26/78, avril 2026. https://www.imf.org/-/media/files/publications/cr/2026/english/1cogea2026001-source-pdf.pdf</w:t>
      </w:r>
      <w:r>
        <w:t xml:space="preserve"> </w:t>
      </w:r>
      <w:r>
        <w:t xml:space="preserve">[3] Banque mondiale, ISR Seq. 5, P501343, 27-07-2026. https://documents.worldbank.org/curated/en/099072726063054960/pdf/P501343-302f76b6-414f-4301-98a8-b50a2ae3cc86.pdf</w:t>
      </w:r>
      <w:r>
        <w:t xml:space="preserve"> </w:t>
      </w:r>
      <w:r>
        <w:t xml:space="preserve">[4] Banque mondiale, API Projects (search.worldbank.org/api/v2/projects), fiches Congo, consulté le 2026-10-18 ; PAD P501343 (mai 2024). https://documents.worldbank.org/curated/en/099060624192033880/pdf/BOSIB-6a343220-37ca-4624-912f-ebde92db41c6.pdf</w:t>
      </w:r>
      <w:r>
        <w:t xml:space="preserve"> </w:t>
      </w:r>
      <w:r>
        <w:t xml:space="preserve">[5] EcoMatin, « Énergie : le Congo s’allie au groupe français Veolia pour moderniser son réseau électrique », 26-05-2025. https://ecomatin.net/energie-le-congo-sallie-au-groupe-francais-veolia-pour-moderniser-son-reseau-electrique ; EcoMatin, « La sénégalaise Senelec devient le distributeur officiel de l’électricité au Congo ». https://ecomatin.net/energie-la-senegalaise-senelec-devient-le-distributeur-officiel-de-lelectricite-au-congo</w:t>
      </w:r>
      <w:r>
        <w:t xml:space="preserve"> </w:t>
      </w:r>
      <w:r>
        <w:t xml:space="preserve">[6] E²C, statuts. https://e2c.cg/wp-content/uploads/2022/10/statut-e2c.pdf</w:t>
      </w:r>
      <w:r>
        <w:t xml:space="preserve"> </w:t>
      </w:r>
      <w:r>
        <w:t xml:space="preserve">[P] Fiche phase 1 (Pacte national énergétique du Congo, sept. 2025) : ../../phase1/fiches/COG_congo.md</w:t>
      </w:r>
    </w:p>
    <w:p>
      <w:r>
        <w:br w:type="page"/>
      </w:r>
    </w:p>
    <w:bookmarkEnd w:id="131"/>
    <w:bookmarkEnd w:id="132"/>
    <w:bookmarkStart w:id="142" w:name="diagnostic-opérateur-sonelec-comores"/>
    <w:p>
      <w:pPr>
        <w:pStyle w:val="Heading2"/>
      </w:pPr>
      <w:r>
        <w:t xml:space="preserve">Diagnostic opérateur — SONELEC (Comores)</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rapport FMI)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../../phase1/fiches/COM_comores.md (cité « (pacte) »). Taux de change de référence BM : 1 USD = 455 KMF [V][3].</w:t>
      </w:r>
    </w:p>
    <w:bookmarkStart w:id="133" w:name="identité-9"/>
    <w:p>
      <w:pPr>
        <w:pStyle w:val="Heading3"/>
      </w:pPr>
      <w:r>
        <w:t xml:space="preserve">0. Identité</w:t>
      </w:r>
    </w:p>
    <w:p>
      <w:pPr>
        <w:numPr>
          <w:ilvl w:val="0"/>
          <w:numId w:val="1065"/>
        </w:numPr>
        <w:pStyle w:val="Compact"/>
      </w:pPr>
      <w:r>
        <w:t xml:space="preserve">Opérateur : SONELEC (Société nationale d’électricité des Comores), entreprise publique verticalement intégrée sur les trois îles. Elle est issue de la scission de Ma-Mwe et de l’EDA (exercice 2018), avec la SONEDE pour l’eau [V][3].</w:t>
      </w:r>
    </w:p>
    <w:p>
      <w:pPr>
        <w:numPr>
          <w:ilvl w:val="0"/>
          <w:numId w:val="1065"/>
        </w:numPr>
        <w:pStyle w:val="Compact"/>
      </w:pPr>
      <w:r>
        <w:t xml:space="preserve">Statut, tutelle : entreprise publique, sous tutelle du MEEH ; suivi financier par la direction des participations de l’État au MoF [V][1].</w:t>
      </w:r>
    </w:p>
    <w:p>
      <w:pPr>
        <w:numPr>
          <w:ilvl w:val="1"/>
          <w:numId w:val="1066"/>
        </w:numPr>
        <w:pStyle w:val="Compact"/>
      </w:pPr>
      <w:r>
        <w:t xml:space="preserve">Une loi sur les entreprises publiques (loi 24-014/AU, promulguée par décret 24/155/PR du 21/09/2024, publiée en juin 2025) impose des contrats de performance et d’objectifs [V][1].</w:t>
      </w:r>
    </w:p>
    <w:p>
      <w:pPr>
        <w:numPr>
          <w:ilvl w:val="1"/>
          <w:numId w:val="1066"/>
        </w:numPr>
        <w:pStyle w:val="Compact"/>
      </w:pPr>
      <w:r>
        <w:t xml:space="preserve">Restructurer la SONELEC est un</w:t>
      </w:r>
      <w:r>
        <w:t xml:space="preserve"> </w:t>
      </w:r>
      <w:r>
        <w:rPr>
          <w:bCs/>
          <w:b/>
        </w:rPr>
        <w:t xml:space="preserve">déclencheur indicatif de la DPF3</w:t>
      </w:r>
      <w:r>
        <w:t xml:space="preserve"> </w:t>
      </w:r>
      <w:r>
        <w:t xml:space="preserve">BM [V][1].</w:t>
      </w:r>
    </w:p>
    <w:p>
      <w:pPr>
        <w:numPr>
          <w:ilvl w:val="0"/>
          <w:numId w:val="1065"/>
        </w:numPr>
        <w:pStyle w:val="Compact"/>
      </w:pPr>
      <w:r>
        <w:t xml:space="preserve">Régulateur : l’Agence de régulation de l’énergie, créée par le Code de l’énergie électrique (2023). Son opérationnalisation est soutenue par le programme PAGFSE de la BAD [S][7]. Son état effectif en 2026 : [?].</w:t>
      </w:r>
    </w:p>
    <w:p>
      <w:pPr>
        <w:numPr>
          <w:ilvl w:val="0"/>
          <w:numId w:val="1065"/>
        </w:numPr>
        <w:pStyle w:val="Compact"/>
      </w:pPr>
      <w:r>
        <w:t xml:space="preserve">Dernier exercice dont les comptes sont publiés :</w:t>
      </w:r>
      <w:r>
        <w:t xml:space="preserve"> </w:t>
      </w:r>
      <w:r>
        <w:rPr>
          <w:bCs/>
          <w:b/>
        </w:rPr>
        <w:t xml:space="preserve">aucun compte audité publié trouvé</w:t>
      </w:r>
      <w:r>
        <w:t xml:space="preserve"> </w:t>
      </w:r>
      <w:r>
        <w:t xml:space="preserve">[?].</w:t>
      </w:r>
    </w:p>
    <w:p>
      <w:pPr>
        <w:numPr>
          <w:ilvl w:val="1"/>
          <w:numId w:val="1067"/>
        </w:numPr>
        <w:pStyle w:val="Compact"/>
      </w:pPr>
      <w:r>
        <w:t xml:space="preserve">Le bilan d’ouverture et les états 2019-2023 ont été finalisés en déc. 2024 ; leur audit était attendu pour la mi-avril 2025 [V][3].</w:t>
      </w:r>
    </w:p>
    <w:p>
      <w:pPr>
        <w:numPr>
          <w:ilvl w:val="1"/>
          <w:numId w:val="1067"/>
        </w:numPr>
        <w:pStyle w:val="Compact"/>
      </w:pPr>
      <w:r>
        <w:t xml:space="preserve">En oct. 2025, les « états financiers 2019-2023 mis à jour sont en cours de finalisation », avec un rapport attendu le 31/10/2025 [V][4].</w:t>
      </w:r>
    </w:p>
    <w:p>
      <w:pPr>
        <w:numPr>
          <w:ilvl w:val="1"/>
          <w:numId w:val="1067"/>
        </w:numPr>
        <w:pStyle w:val="Compact"/>
      </w:pPr>
      <w:r>
        <w:t xml:space="preserve">Un audit financier des grandes entreprises publiques, financé par la BM, a été réalisé ; il révèle « chronic underinvestment, operational inefficiencies, and mounting liabilities » [V][1].</w:t>
      </w:r>
    </w:p>
    <w:bookmarkEnd w:id="133"/>
    <w:bookmarkStart w:id="134" w:name="situation-financière-9"/>
    <w:p>
      <w:pPr>
        <w:pStyle w:val="Heading3"/>
      </w:pPr>
      <w:r>
        <w:t xml:space="preserve">1. Situation financière</w:t>
      </w:r>
    </w:p>
    <w:tbl>
      <w:tblPr>
        <w:tblStyle w:val="Table"/>
        <w:tblW w:type="dxa" w:w="14570"/>
        <w:tblLook w:firstRow="1" w:lastRow="0" w:firstColumn="0" w:lastColumn="0" w:noHBand="0" w:noVBand="0" w:val="0020"/>
        <w:jc w:val="start"/>
      </w:tblPr>
      <w:tblGrid>
        <w:gridCol w:w="3243"/>
        <w:gridCol w:w="7505"/>
        <w:gridCol w:w="1406"/>
        <w:gridCol w:w="1342"/>
        <w:gridCol w:w="1073"/>
      </w:tblGrid>
      <w:tr>
        <w:trPr>
          <w:tblHeader w:val="true"/>
        </w:trPr>
        <w:tc>
          <w:tcPr>
            <w:tcW w:w="3243" w:type="dxa"/>
          </w:tcPr>
          <w:tcPr/>
          <w:p>
            <w:pPr>
              <w:pStyle w:val="Compact"/>
              <w:jc w:val="left"/>
            </w:pPr>
            <w:r>
              <w:t xml:space="preserve">Indicateur</w:t>
            </w:r>
          </w:p>
        </w:tc>
        <w:tc>
          <w:tcPr>
            <w:tcW w:w="7505" w:type="dxa"/>
          </w:tcPr>
          <w:tcPr/>
          <w:p>
            <w:pPr>
              <w:pStyle w:val="Compact"/>
              <w:jc w:val="left"/>
            </w:pPr>
            <w:r>
              <w:t xml:space="preserve">Valeur</w:t>
            </w:r>
          </w:p>
        </w:tc>
        <w:tc>
          <w:tcPr>
            <w:tcW w:w="1406" w:type="dxa"/>
          </w:tcPr>
          <w:tcPr/>
          <w:p>
            <w:pPr>
              <w:pStyle w:val="Compact"/>
              <w:jc w:val="left"/>
            </w:pPr>
            <w:r>
              <w:t xml:space="preserve">Année</w:t>
            </w:r>
          </w:p>
        </w:tc>
        <w:tc>
          <w:tcPr>
            <w:tcW w:w="1342" w:type="dxa"/>
          </w:tcPr>
          <w:tcPr/>
          <w:p>
            <w:pPr>
              <w:pStyle w:val="Compact"/>
              <w:jc w:val="left"/>
            </w:pPr>
            <w:r>
              <w:t xml:space="preserve">Statut</w:t>
            </w:r>
          </w:p>
        </w:tc>
        <w:tc>
          <w:tcPr>
            <w:tcW w:w="1073" w:type="dxa"/>
          </w:tcPr>
          <w:tcPr/>
          <w:p>
            <w:pPr>
              <w:pStyle w:val="Compact"/>
              <w:jc w:val="left"/>
            </w:pPr>
            <w:r>
              <w:t xml:space="preserve">Source</w:t>
            </w:r>
          </w:p>
        </w:tc>
      </w:tr>
      <w:tr>
        <w:tc>
          <w:tcPr>
            <w:tcW w:w="3243" w:type="dxa"/>
          </w:tcPr>
          <w:tcPr/>
          <w:p>
            <w:pPr>
              <w:pStyle w:val="Compact"/>
              <w:jc w:val="left"/>
            </w:pPr>
            <w:r>
              <w:t xml:space="preserve">Chiffre d’affaires</w:t>
            </w:r>
          </w:p>
        </w:tc>
        <w:tc>
          <w:tcPr>
            <w:tcW w:w="7505" w:type="dxa"/>
          </w:tcPr>
          <w:tcPr/>
          <w:p>
            <w:pPr>
              <w:pStyle w:val="Compact"/>
              <w:jc w:val="left"/>
            </w:pPr>
            <w:r>
              <w:t xml:space="preserve">[?] non trouvé</w:t>
            </w:r>
          </w:p>
        </w:tc>
        <w:tc>
          <w:tcPr>
            <w:tcW w:w="1406" w:type="dxa"/>
          </w:tcPr>
          <w:tcPr/>
          <w:p>
            <w:pPr>
              <w:pStyle w:val="Compact"/>
              <w:jc w:val="left"/>
            </w:pPr>
            <w:r>
              <w:t xml:space="preserve">—</w:t>
            </w:r>
          </w:p>
        </w:tc>
        <w:tc>
          <w:tcPr>
            <w:tcW w:w="1342" w:type="dxa"/>
          </w:tcPr>
          <w:tcPr/>
          <w:p>
            <w:pPr>
              <w:pStyle w:val="Compact"/>
              <w:jc w:val="left"/>
            </w:pPr>
            <w:r>
              <w:t xml:space="preserve">[?]</w:t>
            </w:r>
          </w:p>
        </w:tc>
        <w:tc>
          <w:tcPr>
            <w:tcW w:w="1073" w:type="dxa"/>
          </w:tcPr>
          <w:tcPr/>
          <w:p>
            <w:pPr>
              <w:pStyle w:val="Compact"/>
              <w:jc w:val="left"/>
            </w:pPr>
            <w:r>
              <w:t xml:space="preserve">—</w:t>
            </w:r>
          </w:p>
        </w:tc>
      </w:tr>
      <w:tr>
        <w:tc>
          <w:tcPr>
            <w:tcW w:w="3243" w:type="dxa"/>
          </w:tcPr>
          <w:tcPr/>
          <w:p>
            <w:pPr>
              <w:pStyle w:val="Compact"/>
              <w:jc w:val="left"/>
            </w:pPr>
            <w:r>
              <w:t xml:space="preserve">Résultat net / marge nette</w:t>
            </w:r>
          </w:p>
        </w:tc>
        <w:tc>
          <w:tcPr>
            <w:tcW w:w="7505" w:type="dxa"/>
          </w:tcPr>
          <w:tcPr/>
          <w:p>
            <w:pPr>
              <w:pStyle w:val="Compact"/>
              <w:jc w:val="left"/>
            </w:pPr>
            <w:r>
              <w:t xml:space="preserve">« Loss-making », « acute financial distress » (pas de chiffre publié)</w:t>
            </w:r>
          </w:p>
        </w:tc>
        <w:tc>
          <w:tcPr>
            <w:tcW w:w="1406" w:type="dxa"/>
          </w:tcPr>
          <w:tcPr/>
          <w:p>
            <w:pPr>
              <w:pStyle w:val="Compact"/>
              <w:jc w:val="left"/>
            </w:pPr>
            <w:r>
              <w:t xml:space="preserve">2025</w:t>
            </w:r>
          </w:p>
        </w:tc>
        <w:tc>
          <w:tcPr>
            <w:tcW w:w="1342" w:type="dxa"/>
          </w:tcPr>
          <w:tcPr/>
          <w:p>
            <w:pPr>
              <w:pStyle w:val="Compact"/>
              <w:jc w:val="left"/>
            </w:pPr>
            <w:r>
              <w:t xml:space="preserve">[V] qualitatif</w:t>
            </w:r>
          </w:p>
        </w:tc>
        <w:tc>
          <w:tcPr>
            <w:tcW w:w="1073" w:type="dxa"/>
          </w:tcPr>
          <w:tcPr/>
          <w:p>
            <w:pPr>
              <w:pStyle w:val="Compact"/>
              <w:jc w:val="left"/>
            </w:pPr>
            <w:r>
              <w:t xml:space="preserve">[1]</w:t>
            </w:r>
          </w:p>
        </w:tc>
      </w:tr>
      <w:tr>
        <w:tc>
          <w:tcPr>
            <w:tcW w:w="3243" w:type="dxa"/>
          </w:tcPr>
          <w:tcPr/>
          <w:p>
            <w:pPr>
              <w:pStyle w:val="Compact"/>
              <w:jc w:val="left"/>
            </w:pPr>
            <w:r>
              <w:t xml:space="preserve">EBITDA</w:t>
            </w:r>
          </w:p>
        </w:tc>
        <w:tc>
          <w:tcPr>
            <w:tcW w:w="7505" w:type="dxa"/>
          </w:tcPr>
          <w:tcPr/>
          <w:p>
            <w:pPr>
              <w:pStyle w:val="Compact"/>
              <w:jc w:val="left"/>
            </w:pPr>
            <w:r>
              <w:t xml:space="preserve">[?]</w:t>
            </w:r>
          </w:p>
        </w:tc>
        <w:tc>
          <w:tcPr>
            <w:tcW w:w="1406" w:type="dxa"/>
          </w:tcPr>
          <w:tcPr/>
          <w:p>
            <w:pPr>
              <w:pStyle w:val="Compact"/>
              <w:jc w:val="left"/>
            </w:pPr>
            <w:r>
              <w:t xml:space="preserve">—</w:t>
            </w:r>
          </w:p>
        </w:tc>
        <w:tc>
          <w:tcPr>
            <w:tcW w:w="1342" w:type="dxa"/>
          </w:tcPr>
          <w:tcPr/>
          <w:p>
            <w:pPr>
              <w:pStyle w:val="Compact"/>
              <w:jc w:val="left"/>
            </w:pPr>
            <w:r>
              <w:t xml:space="preserve">[?]</w:t>
            </w:r>
          </w:p>
        </w:tc>
        <w:tc>
          <w:tcPr>
            <w:tcW w:w="1073" w:type="dxa"/>
          </w:tcPr>
          <w:tcPr/>
          <w:p>
            <w:pPr>
              <w:pStyle w:val="Compact"/>
              <w:jc w:val="left"/>
            </w:pPr>
            <w:r>
              <w:t xml:space="preserve">—</w:t>
            </w:r>
          </w:p>
        </w:tc>
      </w:tr>
      <w:tr>
        <w:tc>
          <w:tcPr>
            <w:tcW w:w="3243" w:type="dxa"/>
          </w:tcPr>
          <w:tcPr/>
          <w:p>
            <w:pPr>
              <w:pStyle w:val="Compact"/>
              <w:jc w:val="left"/>
            </w:pPr>
            <w:r>
              <w:t xml:space="preserve">Dette totale ; dette envers IPP/fournisseurs</w:t>
            </w:r>
          </w:p>
        </w:tc>
        <w:tc>
          <w:tcPr>
            <w:tcW w:w="7505" w:type="dxa"/>
          </w:tcPr>
          <w:tcPr/>
          <w:p>
            <w:pPr>
              <w:pStyle w:val="Compact"/>
              <w:jc w:val="left"/>
            </w:pPr>
            <w:r>
              <w:t xml:space="preserve">[?] non publiée</w:t>
            </w:r>
          </w:p>
        </w:tc>
        <w:tc>
          <w:tcPr>
            <w:tcW w:w="1406" w:type="dxa"/>
          </w:tcPr>
          <w:tcPr/>
          <w:p>
            <w:pPr>
              <w:pStyle w:val="Compact"/>
              <w:jc w:val="left"/>
            </w:pPr>
            <w:r>
              <w:t xml:space="preserve">—</w:t>
            </w:r>
          </w:p>
        </w:tc>
        <w:tc>
          <w:tcPr>
            <w:tcW w:w="1342" w:type="dxa"/>
          </w:tcPr>
          <w:tcPr/>
          <w:p>
            <w:pPr>
              <w:pStyle w:val="Compact"/>
              <w:jc w:val="left"/>
            </w:pPr>
            <w:r>
              <w:t xml:space="preserve">[?]</w:t>
            </w:r>
          </w:p>
        </w:tc>
        <w:tc>
          <w:tcPr>
            <w:tcW w:w="1073" w:type="dxa"/>
          </w:tcPr>
          <w:tcPr/>
          <w:p>
            <w:pPr>
              <w:pStyle w:val="Compact"/>
              <w:jc w:val="left"/>
            </w:pPr>
            <w:r>
              <w:t xml:space="preserve">—</w:t>
            </w:r>
          </w:p>
        </w:tc>
      </w:tr>
      <w:tr>
        <w:tc>
          <w:tcPr>
            <w:tcW w:w="3243" w:type="dxa"/>
          </w:tcPr>
          <w:tcPr/>
          <w:p>
            <w:pPr>
              <w:pStyle w:val="Compact"/>
            </w:pPr>
          </w:p>
        </w:tc>
        <w:tc>
          <w:tcPr>
            <w:tcW w:w="7505" w:type="dxa"/>
          </w:tcPr>
          <w:tcPr/>
          <w:p>
            <w:pPr>
              <w:pStyle w:val="Compact"/>
              <w:jc w:val="left"/>
            </w:pPr>
            <w:r>
              <w:t xml:space="preserve">16 M USD envers d’autres entreprises publiques, dont 13,3 M USD envers la SCH (pacte, citant une revue BAD de 2023)</w:t>
            </w:r>
          </w:p>
        </w:tc>
        <w:tc>
          <w:tcPr>
            <w:tcW w:w="1406" w:type="dxa"/>
          </w:tcPr>
          <w:tcPr/>
          <w:p>
            <w:pPr>
              <w:pStyle w:val="Compact"/>
              <w:jc w:val="left"/>
            </w:pPr>
            <w:r>
              <w:t xml:space="preserve">2023</w:t>
            </w:r>
          </w:p>
        </w:tc>
        <w:tc>
          <w:tcPr>
            <w:tcW w:w="1342" w:type="dxa"/>
          </w:tcPr>
          <w:tcPr/>
          <w:p>
            <w:pPr>
              <w:pStyle w:val="Compact"/>
              <w:jc w:val="left"/>
            </w:pPr>
            <w:r>
              <w:t xml:space="preserve">(pacte)</w:t>
            </w:r>
          </w:p>
        </w:tc>
        <w:tc>
          <w:tcPr>
            <w:tcW w:w="1073" w:type="dxa"/>
          </w:tcPr>
          <w:tcPr/>
          <w:p>
            <w:pPr>
              <w:pStyle w:val="Compact"/>
              <w:jc w:val="left"/>
            </w:pPr>
            <w:r>
              <w:t xml:space="preserve">phase 1</w:t>
            </w:r>
          </w:p>
        </w:tc>
      </w:tr>
      <w:tr>
        <w:tc>
          <w:tcPr>
            <w:tcW w:w="3243" w:type="dxa"/>
          </w:tcPr>
          <w:tcPr/>
          <w:p>
            <w:pPr>
              <w:pStyle w:val="Compact"/>
              <w:jc w:val="left"/>
            </w:pPr>
            <w:r>
              <w:t xml:space="preserve">Arriérés croisés</w:t>
            </w:r>
          </w:p>
        </w:tc>
        <w:tc>
          <w:tcPr>
            <w:tcW w:w="7505" w:type="dxa"/>
          </w:tcPr>
          <w:tcPr/>
          <w:p>
            <w:pPr>
              <w:pStyle w:val="Compact"/>
              <w:jc w:val="left"/>
            </w:pPr>
            <w:r>
              <w:t xml:space="preserve">Audit des arriérés intérieurs, y compris les arriérés croisés entre entreprises publiques, achevé (repère structurel FMI « Met », déc. 2024). Montants non publiés dans le rapport</w:t>
            </w:r>
          </w:p>
        </w:tc>
        <w:tc>
          <w:tcPr>
            <w:tcW w:w="1406" w:type="dxa"/>
          </w:tcPr>
          <w:tcPr/>
          <w:p>
            <w:pPr>
              <w:pStyle w:val="Compact"/>
              <w:jc w:val="left"/>
            </w:pPr>
            <w:r>
              <w:t xml:space="preserve">2024</w:t>
            </w:r>
          </w:p>
        </w:tc>
        <w:tc>
          <w:tcPr>
            <w:tcW w:w="1342" w:type="dxa"/>
          </w:tcPr>
          <w:tcPr/>
          <w:p>
            <w:pPr>
              <w:pStyle w:val="Compact"/>
              <w:jc w:val="left"/>
            </w:pPr>
            <w:r>
              <w:t xml:space="preserve">[V]</w:t>
            </w:r>
          </w:p>
        </w:tc>
        <w:tc>
          <w:tcPr>
            <w:tcW w:w="1073" w:type="dxa"/>
          </w:tcPr>
          <w:tcPr/>
          <w:p>
            <w:pPr>
              <w:pStyle w:val="Compact"/>
              <w:jc w:val="left"/>
            </w:pPr>
            <w:r>
              <w:t xml:space="preserve">[5]</w:t>
            </w:r>
          </w:p>
        </w:tc>
      </w:tr>
      <w:tr>
        <w:tc>
          <w:tcPr>
            <w:tcW w:w="3243" w:type="dxa"/>
          </w:tcPr>
          <w:tcPr/>
          <w:p>
            <w:pPr>
              <w:pStyle w:val="Compact"/>
            </w:pPr>
          </w:p>
        </w:tc>
        <w:tc>
          <w:tcPr>
            <w:tcW w:w="7505" w:type="dxa"/>
          </w:tcPr>
          <w:tcPr/>
          <w:p>
            <w:pPr>
              <w:pStyle w:val="Compact"/>
              <w:jc w:val="left"/>
            </w:pPr>
            <w:r>
              <w:t xml:space="preserve">Les entreprises publiques représentent 42,9 % des arriérés intérieurs totaux</w:t>
            </w:r>
          </w:p>
        </w:tc>
        <w:tc>
          <w:tcPr>
            <w:tcW w:w="1406" w:type="dxa"/>
          </w:tcPr>
          <w:tcPr/>
          <w:p>
            <w:pPr>
              <w:pStyle w:val="Compact"/>
              <w:jc w:val="left"/>
            </w:pPr>
            <w:r>
              <w:t xml:space="preserve">2024</w:t>
            </w:r>
          </w:p>
        </w:tc>
        <w:tc>
          <w:tcPr>
            <w:tcW w:w="1342" w:type="dxa"/>
          </w:tcPr>
          <w:tcPr/>
          <w:p>
            <w:pPr>
              <w:pStyle w:val="Compact"/>
              <w:jc w:val="left"/>
            </w:pPr>
            <w:r>
              <w:t xml:space="preserve">[V]</w:t>
            </w:r>
          </w:p>
        </w:tc>
        <w:tc>
          <w:tcPr>
            <w:tcW w:w="1073" w:type="dxa"/>
          </w:tcPr>
          <w:tcPr/>
          <w:p>
            <w:pPr>
              <w:pStyle w:val="Compact"/>
              <w:jc w:val="left"/>
            </w:pPr>
            <w:r>
              <w:t xml:space="preserve">[1]</w:t>
            </w:r>
          </w:p>
        </w:tc>
      </w:tr>
      <w:tr>
        <w:tc>
          <w:tcPr>
            <w:tcW w:w="3243" w:type="dxa"/>
          </w:tcPr>
          <w:tcPr/>
          <w:p>
            <w:pPr>
              <w:pStyle w:val="Compact"/>
              <w:jc w:val="left"/>
            </w:pPr>
            <w:r>
              <w:t xml:space="preserve">Transferts / subventions de l’État</w:t>
            </w:r>
          </w:p>
        </w:tc>
        <w:tc>
          <w:tcPr>
            <w:tcW w:w="7505" w:type="dxa"/>
          </w:tcPr>
          <w:tcPr/>
          <w:p>
            <w:pPr>
              <w:pStyle w:val="Compact"/>
              <w:jc w:val="left"/>
            </w:pPr>
            <w:r>
              <w:t xml:space="preserve">Environ 22 M USD par an, soit environ 2 % du PIB</w:t>
            </w:r>
          </w:p>
        </w:tc>
        <w:tc>
          <w:tcPr>
            <w:tcW w:w="1406" w:type="dxa"/>
          </w:tcPr>
          <w:tcPr/>
          <w:p>
            <w:pPr>
              <w:pStyle w:val="Compact"/>
              <w:jc w:val="left"/>
            </w:pPr>
            <w:r>
              <w:t xml:space="preserve">~2024</w:t>
            </w:r>
          </w:p>
        </w:tc>
        <w:tc>
          <w:tcPr>
            <w:tcW w:w="1342" w:type="dxa"/>
          </w:tcPr>
          <w:tcPr/>
          <w:p>
            <w:pPr>
              <w:pStyle w:val="Compact"/>
              <w:jc w:val="left"/>
            </w:pPr>
            <w:r>
              <w:t xml:space="preserve">[V]</w:t>
            </w:r>
          </w:p>
        </w:tc>
        <w:tc>
          <w:tcPr>
            <w:tcW w:w="1073" w:type="dxa"/>
          </w:tcPr>
          <w:tcPr/>
          <w:p>
            <w:pPr>
              <w:pStyle w:val="Compact"/>
              <w:jc w:val="left"/>
            </w:pPr>
            <w:r>
              <w:t xml:space="preserve">[3]</w:t>
            </w:r>
          </w:p>
        </w:tc>
      </w:tr>
      <w:tr>
        <w:tc>
          <w:tcPr>
            <w:tcW w:w="3243" w:type="dxa"/>
          </w:tcPr>
          <w:tcPr/>
          <w:p>
            <w:pPr>
              <w:pStyle w:val="Compact"/>
              <w:jc w:val="left"/>
            </w:pPr>
            <w:r>
              <w:t xml:space="preserve">Taux de recouvrement</w:t>
            </w:r>
          </w:p>
        </w:tc>
        <w:tc>
          <w:tcPr>
            <w:tcW w:w="7505" w:type="dxa"/>
          </w:tcPr>
          <w:tcPr/>
          <w:p>
            <w:pPr>
              <w:pStyle w:val="Compact"/>
              <w:jc w:val="left"/>
            </w:pPr>
            <w:r>
              <w:t xml:space="preserve">70 % (indicateur ODP du CSEAP ; base de 80 % en mars 2022, cible 90 % en mai 2027)</w:t>
            </w:r>
          </w:p>
        </w:tc>
        <w:tc>
          <w:tcPr>
            <w:tcW w:w="1406" w:type="dxa"/>
          </w:tcPr>
          <w:tcPr/>
          <w:p>
            <w:pPr>
              <w:pStyle w:val="Compact"/>
              <w:jc w:val="left"/>
            </w:pPr>
            <w:r>
              <w:t xml:space="preserve">avr. 2025 → déc. 2025 → juin 2026</w:t>
            </w:r>
          </w:p>
        </w:tc>
        <w:tc>
          <w:tcPr>
            <w:tcW w:w="1342" w:type="dxa"/>
          </w:tcPr>
          <w:tcPr/>
          <w:p>
            <w:pPr>
              <w:pStyle w:val="Compact"/>
              <w:jc w:val="left"/>
            </w:pPr>
            <w:r>
              <w:t xml:space="preserve">[V]</w:t>
            </w:r>
          </w:p>
        </w:tc>
        <w:tc>
          <w:tcPr>
            <w:tcW w:w="1073" w:type="dxa"/>
          </w:tcPr>
          <w:tcPr/>
          <w:p>
            <w:pPr>
              <w:pStyle w:val="Compact"/>
              <w:jc w:val="left"/>
            </w:pPr>
            <w:r>
              <w:t xml:space="preserve">[4][6]</w:t>
            </w:r>
          </w:p>
        </w:tc>
      </w:tr>
      <w:tr>
        <w:tc>
          <w:tcPr>
            <w:tcW w:w="3243" w:type="dxa"/>
          </w:tcPr>
          <w:tcPr/>
          <w:p>
            <w:pPr>
              <w:pStyle w:val="Compact"/>
            </w:pPr>
          </w:p>
        </w:tc>
        <w:tc>
          <w:tcPr>
            <w:tcW w:w="7505" w:type="dxa"/>
          </w:tcPr>
          <w:tcPr/>
          <w:p>
            <w:pPr>
              <w:pStyle w:val="Compact"/>
              <w:jc w:val="left"/>
            </w:pPr>
            <w:r>
              <w:t xml:space="preserve">La SONELEC invoque un « dysfonctionnement de certaines agences régionales »</w:t>
            </w:r>
          </w:p>
        </w:tc>
        <w:tc>
          <w:tcPr>
            <w:tcW w:w="1406" w:type="dxa"/>
          </w:tcPr>
          <w:tcPr/>
          <w:p>
            <w:pPr>
              <w:pStyle w:val="Compact"/>
              <w:jc w:val="left"/>
            </w:pPr>
            <w:r>
              <w:t xml:space="preserve">2026</w:t>
            </w:r>
          </w:p>
        </w:tc>
        <w:tc>
          <w:tcPr>
            <w:tcW w:w="1342" w:type="dxa"/>
          </w:tcPr>
          <w:tcPr/>
          <w:p>
            <w:pPr>
              <w:pStyle w:val="Compact"/>
              <w:jc w:val="left"/>
            </w:pPr>
            <w:r>
              <w:t xml:space="preserve">[V]</w:t>
            </w:r>
          </w:p>
        </w:tc>
        <w:tc>
          <w:tcPr>
            <w:tcW w:w="1073" w:type="dxa"/>
          </w:tcPr>
          <w:tcPr/>
          <w:p>
            <w:pPr>
              <w:pStyle w:val="Compact"/>
              <w:jc w:val="left"/>
            </w:pPr>
            <w:r>
              <w:t xml:space="preserve">[6]</w:t>
            </w:r>
          </w:p>
        </w:tc>
      </w:tr>
      <w:tr>
        <w:tc>
          <w:tcPr>
            <w:tcW w:w="3243" w:type="dxa"/>
          </w:tcPr>
          <w:tcPr/>
          <w:p>
            <w:pPr>
              <w:pStyle w:val="Compact"/>
              <w:jc w:val="left"/>
            </w:pPr>
            <w:r>
              <w:t xml:space="preserve">Recette moyenne vs coût par kWh</w:t>
            </w:r>
          </w:p>
        </w:tc>
        <w:tc>
          <w:tcPr>
            <w:tcW w:w="7505" w:type="dxa"/>
          </w:tcPr>
          <w:tcPr/>
          <w:p>
            <w:pPr>
              <w:pStyle w:val="Compact"/>
              <w:jc w:val="left"/>
            </w:pPr>
            <w:r>
              <w:t xml:space="preserve">Tarif moyen 0,43 USD/kWh contre un coût de service de 0,76 USD/kWh, soit une couverture de 56,6 %</w:t>
            </w:r>
          </w:p>
        </w:tc>
        <w:tc>
          <w:tcPr>
            <w:tcW w:w="1406" w:type="dxa"/>
          </w:tcPr>
          <w:tcPr/>
          <w:p>
            <w:pPr>
              <w:pStyle w:val="Compact"/>
              <w:jc w:val="left"/>
            </w:pPr>
            <w:r>
              <w:t xml:space="preserve">~2024</w:t>
            </w:r>
          </w:p>
        </w:tc>
        <w:tc>
          <w:tcPr>
            <w:tcW w:w="1342" w:type="dxa"/>
          </w:tcPr>
          <w:tcPr/>
          <w:p>
            <w:pPr>
              <w:pStyle w:val="Compact"/>
              <w:jc w:val="left"/>
            </w:pPr>
            <w:r>
              <w:t xml:space="preserve">[V]</w:t>
            </w:r>
          </w:p>
        </w:tc>
        <w:tc>
          <w:tcPr>
            <w:tcW w:w="1073" w:type="dxa"/>
          </w:tcPr>
          <w:tcPr/>
          <w:p>
            <w:pPr>
              <w:pStyle w:val="Compact"/>
              <w:jc w:val="left"/>
            </w:pPr>
            <w:r>
              <w:t xml:space="preserve">[1][3]</w:t>
            </w:r>
          </w:p>
        </w:tc>
      </w:tr>
      <w:tr>
        <w:tc>
          <w:tcPr>
            <w:tcW w:w="3243" w:type="dxa"/>
          </w:tcPr>
          <w:tcPr/>
          <w:p>
            <w:pPr>
              <w:pStyle w:val="Compact"/>
              <w:jc w:val="left"/>
            </w:pPr>
            <w:r>
              <w:t xml:space="preserve">Déficit quasi-budgétaire</w:t>
            </w:r>
          </w:p>
        </w:tc>
        <w:tc>
          <w:tcPr>
            <w:tcW w:w="7505" w:type="dxa"/>
          </w:tcPr>
          <w:tcPr/>
          <w:p>
            <w:pPr>
              <w:pStyle w:val="Compact"/>
              <w:jc w:val="left"/>
            </w:pPr>
            <w:r>
              <w:t xml:space="preserve">≈ subvention de 22 M USD par an (2 % du PIB) ; non chiffré au-delà</w:t>
            </w:r>
          </w:p>
        </w:tc>
        <w:tc>
          <w:tcPr>
            <w:tcW w:w="1406" w:type="dxa"/>
          </w:tcPr>
          <w:tcPr/>
          <w:p>
            <w:pPr>
              <w:pStyle w:val="Compact"/>
              <w:jc w:val="left"/>
            </w:pPr>
            <w:r>
              <w:t xml:space="preserve">~2024</w:t>
            </w:r>
          </w:p>
        </w:tc>
        <w:tc>
          <w:tcPr>
            <w:tcW w:w="1342" w:type="dxa"/>
          </w:tcPr>
          <w:tcPr/>
          <w:p>
            <w:pPr>
              <w:pStyle w:val="Compact"/>
              <w:jc w:val="left"/>
            </w:pPr>
            <w:r>
              <w:t xml:space="preserve">[V]/[E]</w:t>
            </w:r>
          </w:p>
        </w:tc>
        <w:tc>
          <w:tcPr>
            <w:tcW w:w="1073" w:type="dxa"/>
          </w:tcPr>
          <w:tcPr/>
          <w:p>
            <w:pPr>
              <w:pStyle w:val="Compact"/>
              <w:jc w:val="left"/>
            </w:pPr>
            <w:r>
              <w:t xml:space="preserve">[3]</w:t>
            </w:r>
          </w:p>
        </w:tc>
      </w:tr>
      <w:tr>
        <w:tc>
          <w:tcPr>
            <w:tcW w:w="3243" w:type="dxa"/>
          </w:tcPr>
          <w:tcPr/>
          <w:p>
            <w:pPr>
              <w:pStyle w:val="Compact"/>
              <w:jc w:val="left"/>
            </w:pPr>
            <w:r>
              <w:t xml:space="preserve">Notation de crédit</w:t>
            </w:r>
          </w:p>
        </w:tc>
        <w:tc>
          <w:tcPr>
            <w:tcW w:w="7505" w:type="dxa"/>
          </w:tcPr>
          <w:tcPr/>
          <w:p>
            <w:pPr>
              <w:pStyle w:val="Compact"/>
              <w:jc w:val="left"/>
            </w:pPr>
            <w:r>
              <w:t xml:space="preserve">Aucune</w:t>
            </w:r>
          </w:p>
        </w:tc>
        <w:tc>
          <w:tcPr>
            <w:tcW w:w="1406" w:type="dxa"/>
          </w:tcPr>
          <w:tcPr/>
          <w:p>
            <w:pPr>
              <w:pStyle w:val="Compact"/>
              <w:jc w:val="left"/>
            </w:pPr>
            <w:r>
              <w:t xml:space="preserve">—</w:t>
            </w:r>
          </w:p>
        </w:tc>
        <w:tc>
          <w:tcPr>
            <w:tcW w:w="1342" w:type="dxa"/>
          </w:tcPr>
          <w:tcPr/>
          <w:p>
            <w:pPr>
              <w:pStyle w:val="Compact"/>
              <w:jc w:val="left"/>
            </w:pPr>
            <w:r>
              <w:t xml:space="preserve">[?]</w:t>
            </w:r>
          </w:p>
        </w:tc>
        <w:tc>
          <w:tcPr>
            <w:tcW w:w="1073" w:type="dxa"/>
          </w:tcPr>
          <w:tcPr/>
          <w:p>
            <w:pPr>
              <w:pStyle w:val="Compact"/>
              <w:jc w:val="left"/>
            </w:pPr>
            <w:r>
              <w:t xml:space="preserve">—</w:t>
            </w:r>
          </w:p>
        </w:tc>
      </w:tr>
    </w:tbl>
    <w:bookmarkEnd w:id="134"/>
    <w:bookmarkStart w:id="135" w:name="situation-technique-9"/>
    <w:p>
      <w:pPr>
        <w:pStyle w:val="Heading3"/>
      </w:pPr>
      <w:r>
        <w:t xml:space="preserve">2. Situation technique</w:t>
      </w:r>
    </w:p>
    <w:tbl>
      <w:tblPr>
        <w:tblStyle w:val="Table"/>
        <w:tblW w:type="dxa" w:w="14570"/>
        <w:tblLook w:firstRow="1" w:lastRow="0" w:firstColumn="0" w:lastColumn="0" w:noHBand="0" w:noVBand="0" w:val="0020"/>
        <w:jc w:val="start"/>
      </w:tblPr>
      <w:tblGrid>
        <w:gridCol w:w="2364"/>
        <w:gridCol w:w="8292"/>
        <w:gridCol w:w="1387"/>
        <w:gridCol w:w="1268"/>
        <w:gridCol w:w="1258"/>
      </w:tblGrid>
      <w:tr>
        <w:trPr>
          <w:tblHeader w:val="true"/>
        </w:trPr>
        <w:tc>
          <w:tcPr>
            <w:tcW w:w="2364" w:type="dxa"/>
          </w:tcPr>
          <w:tcPr/>
          <w:p>
            <w:pPr>
              <w:pStyle w:val="Compact"/>
              <w:jc w:val="left"/>
            </w:pPr>
            <w:r>
              <w:t xml:space="preserve">Indicateur</w:t>
            </w:r>
          </w:p>
        </w:tc>
        <w:tc>
          <w:tcPr>
            <w:tcW w:w="8292" w:type="dxa"/>
          </w:tcPr>
          <w:tcPr/>
          <w:p>
            <w:pPr>
              <w:pStyle w:val="Compact"/>
              <w:jc w:val="left"/>
            </w:pPr>
            <w:r>
              <w:t xml:space="preserve">Valeur</w:t>
            </w:r>
          </w:p>
        </w:tc>
        <w:tc>
          <w:tcPr>
            <w:tcW w:w="1387" w:type="dxa"/>
          </w:tcPr>
          <w:tcPr/>
          <w:p>
            <w:pPr>
              <w:pStyle w:val="Compact"/>
              <w:jc w:val="left"/>
            </w:pPr>
            <w:r>
              <w:t xml:space="preserve">Année</w:t>
            </w:r>
          </w:p>
        </w:tc>
        <w:tc>
          <w:tcPr>
            <w:tcW w:w="1268" w:type="dxa"/>
          </w:tcPr>
          <w:tcPr/>
          <w:p>
            <w:pPr>
              <w:pStyle w:val="Compact"/>
              <w:jc w:val="left"/>
            </w:pPr>
            <w:r>
              <w:t xml:space="preserve">Statut</w:t>
            </w:r>
          </w:p>
        </w:tc>
        <w:tc>
          <w:tcPr>
            <w:tcW w:w="1258" w:type="dxa"/>
          </w:tcPr>
          <w:tcPr/>
          <w:p>
            <w:pPr>
              <w:pStyle w:val="Compact"/>
              <w:jc w:val="left"/>
            </w:pPr>
            <w:r>
              <w:t xml:space="preserve">Source</w:t>
            </w:r>
          </w:p>
        </w:tc>
      </w:tr>
      <w:tr>
        <w:tc>
          <w:tcPr>
            <w:tcW w:w="2364" w:type="dxa"/>
          </w:tcPr>
          <w:tcPr/>
          <w:p>
            <w:pPr>
              <w:pStyle w:val="Compact"/>
              <w:jc w:val="left"/>
            </w:pPr>
            <w:r>
              <w:t xml:space="preserve">Capacité installée / disponible</w:t>
            </w:r>
          </w:p>
        </w:tc>
        <w:tc>
          <w:tcPr>
            <w:tcW w:w="8292" w:type="dxa"/>
          </w:tcPr>
          <w:tcPr/>
          <w:p>
            <w:pPr>
              <w:pStyle w:val="Compact"/>
              <w:jc w:val="left"/>
            </w:pPr>
            <w:r>
              <w:t xml:space="preserve">Environ 53 MW installés, dont 22 MW disponibles (41,5 %), y compris 11,3 MW solaires IPP ; pointe de 26,2 MW</w:t>
            </w:r>
          </w:p>
        </w:tc>
        <w:tc>
          <w:tcPr>
            <w:tcW w:w="1387" w:type="dxa"/>
          </w:tcPr>
          <w:tcPr/>
          <w:p>
            <w:pPr>
              <w:pStyle w:val="Compact"/>
              <w:jc w:val="left"/>
            </w:pPr>
            <w:r>
              <w:t xml:space="preserve">2024</w:t>
            </w:r>
          </w:p>
        </w:tc>
        <w:tc>
          <w:tcPr>
            <w:tcW w:w="1268" w:type="dxa"/>
          </w:tcPr>
          <w:tcPr/>
          <w:p>
            <w:pPr>
              <w:pStyle w:val="Compact"/>
              <w:jc w:val="left"/>
            </w:pPr>
            <w:r>
              <w:t xml:space="preserve">[V]</w:t>
            </w:r>
          </w:p>
        </w:tc>
        <w:tc>
          <w:tcPr>
            <w:tcW w:w="1258" w:type="dxa"/>
          </w:tcPr>
          <w:tcPr/>
          <w:p>
            <w:pPr>
              <w:pStyle w:val="Compact"/>
              <w:jc w:val="left"/>
            </w:pPr>
            <w:r>
              <w:t xml:space="preserve">[3]</w:t>
            </w:r>
          </w:p>
        </w:tc>
      </w:tr>
      <w:tr>
        <w:tc>
          <w:tcPr>
            <w:tcW w:w="2364" w:type="dxa"/>
          </w:tcPr>
          <w:tcPr/>
          <w:p>
            <w:pPr>
              <w:pStyle w:val="Compact"/>
              <w:jc w:val="left"/>
            </w:pPr>
            <w:r>
              <w:t xml:space="preserve">Pertes totales</w:t>
            </w:r>
          </w:p>
        </w:tc>
        <w:tc>
          <w:tcPr>
            <w:tcW w:w="8292" w:type="dxa"/>
          </w:tcPr>
          <w:tcPr/>
          <w:p>
            <w:pPr>
              <w:pStyle w:val="Compact"/>
              <w:jc w:val="left"/>
            </w:pPr>
            <w:r>
              <w:t xml:space="preserve">Pertes techniques et commerciales cumulées d’environ 31 %</w:t>
            </w:r>
          </w:p>
        </w:tc>
        <w:tc>
          <w:tcPr>
            <w:tcW w:w="1387" w:type="dxa"/>
          </w:tcPr>
          <w:tcPr/>
          <w:p>
            <w:pPr>
              <w:pStyle w:val="Compact"/>
              <w:jc w:val="left"/>
            </w:pPr>
            <w:r>
              <w:t xml:space="preserve">~2024</w:t>
            </w:r>
          </w:p>
        </w:tc>
        <w:tc>
          <w:tcPr>
            <w:tcW w:w="1268" w:type="dxa"/>
          </w:tcPr>
          <w:tcPr/>
          <w:p>
            <w:pPr>
              <w:pStyle w:val="Compact"/>
              <w:jc w:val="left"/>
            </w:pPr>
            <w:r>
              <w:t xml:space="preserve">[V]</w:t>
            </w:r>
          </w:p>
        </w:tc>
        <w:tc>
          <w:tcPr>
            <w:tcW w:w="1258" w:type="dxa"/>
          </w:tcPr>
          <w:tcPr/>
          <w:p>
            <w:pPr>
              <w:pStyle w:val="Compact"/>
              <w:jc w:val="left"/>
            </w:pPr>
            <w:r>
              <w:t xml:space="preserve">[3]</w:t>
            </w:r>
          </w:p>
        </w:tc>
      </w:tr>
      <w:tr>
        <w:tc>
          <w:tcPr>
            <w:tcW w:w="2364" w:type="dxa"/>
          </w:tcPr>
          <w:tcPr/>
          <w:p>
            <w:pPr>
              <w:pStyle w:val="Compact"/>
            </w:pPr>
          </w:p>
        </w:tc>
        <w:tc>
          <w:tcPr>
            <w:tcW w:w="8292" w:type="dxa"/>
          </w:tcPr>
          <w:tcPr/>
          <w:p>
            <w:pPr>
              <w:pStyle w:val="Compact"/>
              <w:jc w:val="left"/>
            </w:pPr>
            <w:r>
              <w:t xml:space="preserve">Taux de facturation (énergie facturée / produite) : 77 % (déc. 2025 et juin 2026), contre 65 % en 2022 ; cible 75 % dépassée. Cela implique des pertes d’environ 23 % [E]</w:t>
            </w:r>
          </w:p>
        </w:tc>
        <w:tc>
          <w:tcPr>
            <w:tcW w:w="1387" w:type="dxa"/>
          </w:tcPr>
          <w:tcPr/>
          <w:p>
            <w:pPr>
              <w:pStyle w:val="Compact"/>
              <w:jc w:val="left"/>
            </w:pPr>
            <w:r>
              <w:t xml:space="preserve">2025-26</w:t>
            </w:r>
          </w:p>
        </w:tc>
        <w:tc>
          <w:tcPr>
            <w:tcW w:w="1268" w:type="dxa"/>
          </w:tcPr>
          <w:tcPr/>
          <w:p>
            <w:pPr>
              <w:pStyle w:val="Compact"/>
              <w:jc w:val="left"/>
            </w:pPr>
            <w:r>
              <w:t xml:space="preserve">[V]/[E]</w:t>
            </w:r>
          </w:p>
        </w:tc>
        <w:tc>
          <w:tcPr>
            <w:tcW w:w="1258" w:type="dxa"/>
          </w:tcPr>
          <w:tcPr/>
          <w:p>
            <w:pPr>
              <w:pStyle w:val="Compact"/>
              <w:jc w:val="left"/>
            </w:pPr>
            <w:r>
              <w:t xml:space="preserve">[4][6]</w:t>
            </w:r>
          </w:p>
        </w:tc>
      </w:tr>
      <w:tr>
        <w:tc>
          <w:tcPr>
            <w:tcW w:w="2364" w:type="dxa"/>
          </w:tcPr>
          <w:tcPr/>
          <w:p>
            <w:pPr>
              <w:pStyle w:val="Compact"/>
            </w:pPr>
          </w:p>
        </w:tc>
        <w:tc>
          <w:tcPr>
            <w:tcW w:w="8292" w:type="dxa"/>
          </w:tcPr>
          <w:tcPr/>
          <w:p>
            <w:pPr>
              <w:pStyle w:val="Compact"/>
              <w:jc w:val="left"/>
            </w:pPr>
            <w:r>
              <w:t xml:space="preserve">37 % (pacte)</w:t>
            </w:r>
          </w:p>
        </w:tc>
        <w:tc>
          <w:tcPr>
            <w:tcW w:w="1387" w:type="dxa"/>
          </w:tcPr>
          <w:tcPr/>
          <w:p>
            <w:pPr>
              <w:pStyle w:val="Compact"/>
              <w:jc w:val="left"/>
            </w:pPr>
            <w:r>
              <w:t xml:space="preserve">~2024</w:t>
            </w:r>
          </w:p>
        </w:tc>
        <w:tc>
          <w:tcPr>
            <w:tcW w:w="1268" w:type="dxa"/>
          </w:tcPr>
          <w:tcPr/>
          <w:p>
            <w:pPr>
              <w:pStyle w:val="Compact"/>
              <w:jc w:val="left"/>
            </w:pPr>
            <w:r>
              <w:t xml:space="preserve">(pacte)</w:t>
            </w:r>
          </w:p>
        </w:tc>
        <w:tc>
          <w:tcPr>
            <w:tcW w:w="1258" w:type="dxa"/>
          </w:tcPr>
          <w:tcPr/>
          <w:p>
            <w:pPr>
              <w:pStyle w:val="Compact"/>
              <w:jc w:val="left"/>
            </w:pPr>
            <w:r>
              <w:t xml:space="preserve">phase 1</w:t>
            </w:r>
          </w:p>
        </w:tc>
      </w:tr>
      <w:tr>
        <w:tc>
          <w:tcPr>
            <w:tcW w:w="2364" w:type="dxa"/>
          </w:tcPr>
          <w:tcPr/>
          <w:p>
            <w:pPr>
              <w:pStyle w:val="Compact"/>
              <w:jc w:val="left"/>
            </w:pPr>
            <w:r>
              <w:t xml:space="preserve">SAIDI/SAIFI</w:t>
            </w:r>
          </w:p>
        </w:tc>
        <w:tc>
          <w:tcPr>
            <w:tcW w:w="8292" w:type="dxa"/>
          </w:tcPr>
          <w:tcPr/>
          <w:p>
            <w:pPr>
              <w:pStyle w:val="Compact"/>
              <w:jc w:val="left"/>
            </w:pPr>
            <w:r>
              <w:t xml:space="preserve">[?] non trouvés</w:t>
            </w:r>
          </w:p>
        </w:tc>
        <w:tc>
          <w:tcPr>
            <w:tcW w:w="1387" w:type="dxa"/>
          </w:tcPr>
          <w:tcPr/>
          <w:p>
            <w:pPr>
              <w:pStyle w:val="Compact"/>
              <w:jc w:val="left"/>
            </w:pPr>
            <w:r>
              <w:t xml:space="preserve">—</w:t>
            </w:r>
          </w:p>
        </w:tc>
        <w:tc>
          <w:tcPr>
            <w:tcW w:w="1268" w:type="dxa"/>
          </w:tcPr>
          <w:tcPr/>
          <w:p>
            <w:pPr>
              <w:pStyle w:val="Compact"/>
              <w:jc w:val="left"/>
            </w:pPr>
            <w:r>
              <w:t xml:space="preserve">[?]</w:t>
            </w:r>
          </w:p>
        </w:tc>
        <w:tc>
          <w:tcPr>
            <w:tcW w:w="1258" w:type="dxa"/>
          </w:tcPr>
          <w:tcPr/>
          <w:p>
            <w:pPr>
              <w:pStyle w:val="Compact"/>
              <w:jc w:val="left"/>
            </w:pPr>
            <w:r>
              <w:t xml:space="preserve">—</w:t>
            </w:r>
          </w:p>
        </w:tc>
      </w:tr>
      <w:tr>
        <w:tc>
          <w:tcPr>
            <w:tcW w:w="2364" w:type="dxa"/>
          </w:tcPr>
          <w:tcPr/>
          <w:p>
            <w:pPr>
              <w:pStyle w:val="Compact"/>
              <w:jc w:val="left"/>
            </w:pPr>
            <w:r>
              <w:t xml:space="preserve">Clients ; prépaiement</w:t>
            </w:r>
          </w:p>
        </w:tc>
        <w:tc>
          <w:tcPr>
            <w:tcW w:w="8292" w:type="dxa"/>
          </w:tcPr>
          <w:tcPr/>
          <w:p>
            <w:pPr>
              <w:pStyle w:val="Compact"/>
              <w:jc w:val="left"/>
            </w:pPr>
            <w:r>
              <w:t xml:space="preserve">Compteurs prépayés/AMI installés : 37 140 (30/09/2025) ; 45 150 (déc. 2025) ;</w:t>
            </w:r>
            <w:r>
              <w:t xml:space="preserve"> </w:t>
            </w:r>
            <w:r>
              <w:rPr>
                <w:bCs/>
                <w:b/>
              </w:rPr>
              <w:t xml:space="preserve">65 000 (juin 2026)</w:t>
            </w:r>
            <w:r>
              <w:t xml:space="preserve">. Cible finale ramenée de 130 000 à 100 000</w:t>
            </w:r>
          </w:p>
        </w:tc>
        <w:tc>
          <w:tcPr>
            <w:tcW w:w="1387" w:type="dxa"/>
          </w:tcPr>
          <w:tcPr/>
          <w:p>
            <w:pPr>
              <w:pStyle w:val="Compact"/>
              <w:jc w:val="left"/>
            </w:pPr>
            <w:r>
              <w:t xml:space="preserve">2025-26</w:t>
            </w:r>
          </w:p>
        </w:tc>
        <w:tc>
          <w:tcPr>
            <w:tcW w:w="1268" w:type="dxa"/>
          </w:tcPr>
          <w:tcPr/>
          <w:p>
            <w:pPr>
              <w:pStyle w:val="Compact"/>
              <w:jc w:val="left"/>
            </w:pPr>
            <w:r>
              <w:t xml:space="preserve">[V]</w:t>
            </w:r>
          </w:p>
        </w:tc>
        <w:tc>
          <w:tcPr>
            <w:tcW w:w="1258" w:type="dxa"/>
          </w:tcPr>
          <w:tcPr/>
          <w:p>
            <w:pPr>
              <w:pStyle w:val="Compact"/>
              <w:jc w:val="left"/>
            </w:pPr>
            <w:r>
              <w:t xml:space="preserve">[4][6]</w:t>
            </w:r>
          </w:p>
        </w:tc>
      </w:tr>
      <w:tr>
        <w:tc>
          <w:tcPr>
            <w:tcW w:w="2364" w:type="dxa"/>
          </w:tcPr>
          <w:tcPr/>
          <w:p>
            <w:pPr>
              <w:pStyle w:val="Compact"/>
            </w:pPr>
          </w:p>
        </w:tc>
        <w:tc>
          <w:tcPr>
            <w:tcW w:w="8292" w:type="dxa"/>
          </w:tcPr>
          <w:tcPr/>
          <w:p>
            <w:pPr>
              <w:pStyle w:val="Compact"/>
              <w:jc w:val="left"/>
            </w:pPr>
            <w:r>
              <w:t xml:space="preserve">Logiciel de gestion clientèle opérationnel sur les 3 îles (juin 2026)</w:t>
            </w:r>
          </w:p>
        </w:tc>
        <w:tc>
          <w:tcPr>
            <w:tcW w:w="1387" w:type="dxa"/>
          </w:tcPr>
          <w:tcPr/>
          <w:p>
            <w:pPr>
              <w:pStyle w:val="Compact"/>
              <w:jc w:val="left"/>
            </w:pPr>
            <w:r>
              <w:t xml:space="preserve">2026</w:t>
            </w:r>
          </w:p>
        </w:tc>
        <w:tc>
          <w:tcPr>
            <w:tcW w:w="1268" w:type="dxa"/>
          </w:tcPr>
          <w:tcPr/>
          <w:p>
            <w:pPr>
              <w:pStyle w:val="Compact"/>
              <w:jc w:val="left"/>
            </w:pPr>
            <w:r>
              <w:t xml:space="preserve">[V]</w:t>
            </w:r>
          </w:p>
        </w:tc>
        <w:tc>
          <w:tcPr>
            <w:tcW w:w="1258" w:type="dxa"/>
          </w:tcPr>
          <w:tcPr/>
          <w:p>
            <w:pPr>
              <w:pStyle w:val="Compact"/>
              <w:jc w:val="left"/>
            </w:pPr>
            <w:r>
              <w:t xml:space="preserve">[6]</w:t>
            </w:r>
          </w:p>
        </w:tc>
      </w:tr>
      <w:tr>
        <w:tc>
          <w:tcPr>
            <w:tcW w:w="2364" w:type="dxa"/>
          </w:tcPr>
          <w:tcPr/>
          <w:p>
            <w:pPr>
              <w:pStyle w:val="Compact"/>
              <w:jc w:val="left"/>
            </w:pPr>
            <w:r>
              <w:t xml:space="preserve">Mix et coût de production</w:t>
            </w:r>
          </w:p>
        </w:tc>
        <w:tc>
          <w:tcPr>
            <w:tcW w:w="8292" w:type="dxa"/>
          </w:tcPr>
          <w:tcPr/>
          <w:p>
            <w:pPr>
              <w:pStyle w:val="Compact"/>
              <w:jc w:val="left"/>
            </w:pPr>
            <w:r>
              <w:t xml:space="preserve">Plus de 90 % de diesel</w:t>
            </w:r>
          </w:p>
        </w:tc>
        <w:tc>
          <w:tcPr>
            <w:tcW w:w="1387" w:type="dxa"/>
          </w:tcPr>
          <w:tcPr/>
          <w:p>
            <w:pPr>
              <w:pStyle w:val="Compact"/>
              <w:jc w:val="left"/>
            </w:pPr>
            <w:r>
              <w:t xml:space="preserve">2025</w:t>
            </w:r>
          </w:p>
        </w:tc>
        <w:tc>
          <w:tcPr>
            <w:tcW w:w="1268" w:type="dxa"/>
          </w:tcPr>
          <w:tcPr/>
          <w:p>
            <w:pPr>
              <w:pStyle w:val="Compact"/>
              <w:jc w:val="left"/>
            </w:pPr>
            <w:r>
              <w:t xml:space="preserve">[V]</w:t>
            </w:r>
          </w:p>
        </w:tc>
        <w:tc>
          <w:tcPr>
            <w:tcW w:w="1258" w:type="dxa"/>
          </w:tcPr>
          <w:tcPr/>
          <w:p>
            <w:pPr>
              <w:pStyle w:val="Compact"/>
              <w:jc w:val="left"/>
            </w:pPr>
            <w:r>
              <w:t xml:space="preserve">[1]</w:t>
            </w:r>
          </w:p>
        </w:tc>
      </w:tr>
      <w:tr>
        <w:tc>
          <w:tcPr>
            <w:tcW w:w="2364" w:type="dxa"/>
          </w:tcPr>
          <w:tcPr/>
          <w:p>
            <w:pPr>
              <w:pStyle w:val="Compact"/>
            </w:pPr>
          </w:p>
        </w:tc>
        <w:tc>
          <w:tcPr>
            <w:tcW w:w="8292" w:type="dxa"/>
          </w:tcPr>
          <w:tcPr/>
          <w:p>
            <w:pPr>
              <w:pStyle w:val="Compact"/>
              <w:jc w:val="left"/>
            </w:pPr>
            <w:r>
              <w:t xml:space="preserve">Capacité renouvelable « enabled » de 13,8 MW (juin 2025), contre 6,8 MW en 2022 ; cible 45,8 MW en 2027</w:t>
            </w:r>
          </w:p>
        </w:tc>
        <w:tc>
          <w:tcPr>
            <w:tcW w:w="1387" w:type="dxa"/>
          </w:tcPr>
          <w:tcPr/>
          <w:p>
            <w:pPr>
              <w:pStyle w:val="Compact"/>
              <w:jc w:val="left"/>
            </w:pPr>
            <w:r>
              <w:t xml:space="preserve">2025</w:t>
            </w:r>
          </w:p>
        </w:tc>
        <w:tc>
          <w:tcPr>
            <w:tcW w:w="1268" w:type="dxa"/>
          </w:tcPr>
          <w:tcPr/>
          <w:p>
            <w:pPr>
              <w:pStyle w:val="Compact"/>
              <w:jc w:val="left"/>
            </w:pPr>
            <w:r>
              <w:t xml:space="preserve">[V]</w:t>
            </w:r>
          </w:p>
        </w:tc>
        <w:tc>
          <w:tcPr>
            <w:tcW w:w="1258" w:type="dxa"/>
          </w:tcPr>
          <w:tcPr/>
          <w:p>
            <w:pPr>
              <w:pStyle w:val="Compact"/>
              <w:jc w:val="left"/>
            </w:pPr>
            <w:r>
              <w:t xml:space="preserve">[1]</w:t>
            </w:r>
          </w:p>
        </w:tc>
      </w:tr>
      <w:tr>
        <w:tc>
          <w:tcPr>
            <w:tcW w:w="2364" w:type="dxa"/>
          </w:tcPr>
          <w:tcPr/>
          <w:p>
            <w:pPr>
              <w:pStyle w:val="Compact"/>
              <w:jc w:val="left"/>
            </w:pPr>
            <w:r>
              <w:t xml:space="preserve">Délestages récents</w:t>
            </w:r>
          </w:p>
        </w:tc>
        <w:tc>
          <w:tcPr>
            <w:tcW w:w="8292" w:type="dxa"/>
          </w:tcPr>
          <w:tcPr/>
          <w:p>
            <w:pPr>
              <w:pStyle w:val="Compact"/>
              <w:jc w:val="left"/>
            </w:pPr>
            <w:r>
              <w:t xml:space="preserve">Qualité de service « poor » malgré un taux d’accès élevé</w:t>
            </w:r>
          </w:p>
        </w:tc>
        <w:tc>
          <w:tcPr>
            <w:tcW w:w="1387" w:type="dxa"/>
          </w:tcPr>
          <w:tcPr/>
          <w:p>
            <w:pPr>
              <w:pStyle w:val="Compact"/>
              <w:jc w:val="left"/>
            </w:pPr>
            <w:r>
              <w:t xml:space="preserve">2025</w:t>
            </w:r>
          </w:p>
        </w:tc>
        <w:tc>
          <w:tcPr>
            <w:tcW w:w="1268" w:type="dxa"/>
          </w:tcPr>
          <w:tcPr/>
          <w:p>
            <w:pPr>
              <w:pStyle w:val="Compact"/>
              <w:jc w:val="left"/>
            </w:pPr>
            <w:r>
              <w:t xml:space="preserve">[V]</w:t>
            </w:r>
          </w:p>
        </w:tc>
        <w:tc>
          <w:tcPr>
            <w:tcW w:w="1258" w:type="dxa"/>
          </w:tcPr>
          <w:tcPr/>
          <w:p>
            <w:pPr>
              <w:pStyle w:val="Compact"/>
              <w:jc w:val="left"/>
            </w:pPr>
            <w:r>
              <w:t xml:space="preserve">[3]</w:t>
            </w:r>
          </w:p>
        </w:tc>
      </w:tr>
    </w:tbl>
    <w:bookmarkEnd w:id="135"/>
    <w:bookmarkStart w:id="136" w:name="situation-économique-et-gouvernance-9"/>
    <w:p>
      <w:pPr>
        <w:pStyle w:val="Heading3"/>
      </w:pPr>
      <w:r>
        <w:t xml:space="preserve">3. Situation économique et gouvernance</w:t>
      </w:r>
    </w:p>
    <w:p>
      <w:pPr>
        <w:numPr>
          <w:ilvl w:val="0"/>
          <w:numId w:val="1068"/>
        </w:numPr>
        <w:pStyle w:val="Compact"/>
      </w:pPr>
      <w:r>
        <w:rPr>
          <w:bCs/>
          <w:b/>
        </w:rPr>
        <w:t xml:space="preserve">PPA</w:t>
      </w:r>
      <w:r>
        <w:t xml:space="preserve"> </w:t>
      </w:r>
      <w:r>
        <w:t xml:space="preserve">: deux IPP solaires (11,3 MW) [V][3].</w:t>
      </w:r>
    </w:p>
    <w:p>
      <w:pPr>
        <w:numPr>
          <w:ilvl w:val="1"/>
          <w:numId w:val="1069"/>
        </w:numPr>
        <w:pStyle w:val="Compact"/>
      </w:pPr>
      <w:r>
        <w:t xml:space="preserve">Jusqu’ici, les projets privés ont été négociés de gré à gré (pacte).</w:t>
      </w:r>
    </w:p>
    <w:p>
      <w:pPr>
        <w:numPr>
          <w:ilvl w:val="1"/>
          <w:numId w:val="1069"/>
        </w:numPr>
        <w:pStyle w:val="Compact"/>
      </w:pPr>
      <w:r>
        <w:t xml:space="preserve">La DPF3 doit imposer des</w:t>
      </w:r>
      <w:r>
        <w:t xml:space="preserve"> </w:t>
      </w:r>
      <w:r>
        <w:rPr>
          <w:bCs/>
          <w:b/>
        </w:rPr>
        <w:t xml:space="preserve">contrats d’achat standardisés pour tous les IPP</w:t>
      </w:r>
      <w:r>
        <w:t xml:space="preserve"> </w:t>
      </w:r>
      <w:r>
        <w:t xml:space="preserve">(IT#8) [V][1].</w:t>
      </w:r>
    </w:p>
    <w:p>
      <w:pPr>
        <w:numPr>
          <w:ilvl w:val="0"/>
          <w:numId w:val="1068"/>
        </w:numPr>
        <w:pStyle w:val="Compact"/>
      </w:pPr>
      <w:r>
        <w:rPr>
          <w:bCs/>
          <w:b/>
        </w:rPr>
        <w:t xml:space="preserve">Combustible et change</w:t>
      </w:r>
      <w:r>
        <w:t xml:space="preserve"> </w:t>
      </w:r>
      <w:r>
        <w:t xml:space="preserve">: le diesel est importé par la SCH, entreprise publique en arriérés fiscaux (TIPP). Le FMI a fixé un repère structurel de recouvrement d’au moins 1 Md KMF d’ici le 30/09/2025 [V][5]. Le coût de production est dominé par le gazole subventionné [V][1][3].</w:t>
      </w:r>
    </w:p>
    <w:p>
      <w:pPr>
        <w:numPr>
          <w:ilvl w:val="0"/>
          <w:numId w:val="1068"/>
        </w:numPr>
        <w:pStyle w:val="Compact"/>
      </w:pPr>
      <w:r>
        <w:rPr>
          <w:bCs/>
          <w:b/>
        </w:rPr>
        <w:t xml:space="preserve">Plan de redressement / contrat de performance</w:t>
      </w:r>
      <w:r>
        <w:t xml:space="preserve"> </w:t>
      </w:r>
      <w:r>
        <w:t xml:space="preserve">:</w:t>
      </w:r>
    </w:p>
    <w:p>
      <w:pPr>
        <w:numPr>
          <w:ilvl w:val="1"/>
          <w:numId w:val="1070"/>
        </w:numPr>
        <w:pStyle w:val="Compact"/>
      </w:pPr>
      <w:r>
        <w:t xml:space="preserve">Le CSEAP finance un audit technique, l’actualisation du Performance Improvement Plan et l’étude des options de restructuration [V][3].</w:t>
      </w:r>
    </w:p>
    <w:p>
      <w:pPr>
        <w:numPr>
          <w:ilvl w:val="1"/>
          <w:numId w:val="1070"/>
        </w:numPr>
        <w:pStyle w:val="Compact"/>
      </w:pPr>
      <w:r>
        <w:t xml:space="preserve">Le PDMC (plan de moindre coût) a été adopté ; la SONELEC est mandatée pour le suivre (décret 24-184/PR, action préalable PA#8 de la DPF2) [V][1].</w:t>
      </w:r>
    </w:p>
    <w:p>
      <w:pPr>
        <w:numPr>
          <w:ilvl w:val="1"/>
          <w:numId w:val="1070"/>
        </w:numPr>
        <w:pStyle w:val="Compact"/>
      </w:pPr>
      <w:r>
        <w:t xml:space="preserve">Les contrats de performance « signés en 2025 » cités par le pacte n’ont</w:t>
      </w:r>
      <w:r>
        <w:t xml:space="preserve"> </w:t>
      </w:r>
      <w:r>
        <w:rPr>
          <w:bCs/>
          <w:b/>
        </w:rPr>
        <w:t xml:space="preserve">pas été confirmés</w:t>
      </w:r>
      <w:r>
        <w:t xml:space="preserve"> </w:t>
      </w:r>
      <w:r>
        <w:t xml:space="preserve">par une source primaire [?].</w:t>
      </w:r>
    </w:p>
    <w:p>
      <w:pPr>
        <w:numPr>
          <w:ilvl w:val="0"/>
          <w:numId w:val="1068"/>
        </w:numPr>
        <w:pStyle w:val="Compact"/>
      </w:pPr>
      <w:r>
        <w:rPr>
          <w:bCs/>
          <w:b/>
        </w:rPr>
        <w:t xml:space="preserve">Gouvernance</w:t>
      </w:r>
      <w:r>
        <w:t xml:space="preserve"> </w:t>
      </w:r>
      <w:r>
        <w:t xml:space="preserve">: décret présidentiel 23-068/PR (juillet 2023) obligeant toutes les entreprises publiques à rapporter au MoF et à faire auditer leurs comptes (PA#5 de la DPF1) [V][1]. La part des entreprises publiques transmettant leurs données au MoF est de 71 % (mai 2025), pour une cible de 80 % en 2027 [V][1].</w:t>
      </w:r>
    </w:p>
    <w:bookmarkEnd w:id="136"/>
    <w:bookmarkStart w:id="137" w:name="X172fbff214e3e0ce3f0420cf194e8f54db0080b"/>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2835"/>
        <w:gridCol w:w="717"/>
        <w:gridCol w:w="1948"/>
        <w:gridCol w:w="1516"/>
        <w:gridCol w:w="2738"/>
        <w:gridCol w:w="2450"/>
        <w:gridCol w:w="1666"/>
        <w:gridCol w:w="695"/>
      </w:tblGrid>
      <w:tr>
        <w:trPr>
          <w:tblHeader w:val="true"/>
        </w:trPr>
        <w:tc>
          <w:tcPr>
            <w:tcW w:w="2835" w:type="dxa"/>
          </w:tcPr>
          <w:tcPr/>
          <w:p>
            <w:pPr>
              <w:pStyle w:val="Compact"/>
              <w:jc w:val="left"/>
            </w:pPr>
            <w:r>
              <w:t xml:space="preserve">Programme / projet (nom exact, ID)</w:t>
            </w:r>
          </w:p>
        </w:tc>
        <w:tc>
          <w:tcPr>
            <w:tcW w:w="717" w:type="dxa"/>
          </w:tcPr>
          <w:tcPr/>
          <w:p>
            <w:pPr>
              <w:pStyle w:val="Compact"/>
              <w:jc w:val="left"/>
            </w:pPr>
            <w:r>
              <w:t xml:space="preserve">Bailleur</w:t>
            </w:r>
          </w:p>
        </w:tc>
        <w:tc>
          <w:tcPr>
            <w:tcW w:w="1948" w:type="dxa"/>
          </w:tcPr>
          <w:tcPr/>
          <w:p>
            <w:pPr>
              <w:pStyle w:val="Compact"/>
              <w:jc w:val="left"/>
            </w:pPr>
            <w:r>
              <w:t xml:space="preserve">Montant</w:t>
            </w:r>
          </w:p>
        </w:tc>
        <w:tc>
          <w:tcPr>
            <w:tcW w:w="1516" w:type="dxa"/>
          </w:tcPr>
          <w:tcPr/>
          <w:p>
            <w:pPr>
              <w:pStyle w:val="Compact"/>
              <w:jc w:val="left"/>
            </w:pPr>
            <w:r>
              <w:t xml:space="preserve">Années</w:t>
            </w:r>
          </w:p>
        </w:tc>
        <w:tc>
          <w:tcPr>
            <w:tcW w:w="2738" w:type="dxa"/>
          </w:tcPr>
          <w:tcPr/>
          <w:p>
            <w:pPr>
              <w:pStyle w:val="Compact"/>
              <w:jc w:val="left"/>
            </w:pPr>
            <w:r>
              <w:t xml:space="preserve">Objectifs liés à l’opérateur</w:t>
            </w:r>
          </w:p>
        </w:tc>
        <w:tc>
          <w:tcPr>
            <w:tcW w:w="2450" w:type="dxa"/>
          </w:tcPr>
          <w:tcPr/>
          <w:p>
            <w:pPr>
              <w:pStyle w:val="Compact"/>
              <w:jc w:val="left"/>
            </w:pPr>
            <w:r>
              <w:t xml:space="preserve">Conditions/indicateurs</w:t>
            </w:r>
          </w:p>
        </w:tc>
        <w:tc>
          <w:tcPr>
            <w:tcW w:w="1666" w:type="dxa"/>
          </w:tcPr>
          <w:tcPr/>
          <w:p>
            <w:pPr>
              <w:pStyle w:val="Compact"/>
              <w:jc w:val="left"/>
            </w:pPr>
            <w:r>
              <w:t xml:space="preserve">Statut d’exécution</w:t>
            </w:r>
          </w:p>
        </w:tc>
        <w:tc>
          <w:tcPr>
            <w:tcW w:w="695" w:type="dxa"/>
          </w:tcPr>
          <w:tcPr/>
          <w:p>
            <w:pPr>
              <w:pStyle w:val="Compact"/>
              <w:jc w:val="left"/>
            </w:pPr>
            <w:r>
              <w:t xml:space="preserve">Source</w:t>
            </w:r>
          </w:p>
        </w:tc>
      </w:tr>
      <w:tr>
        <w:tc>
          <w:tcPr>
            <w:tcW w:w="2835" w:type="dxa"/>
          </w:tcPr>
          <w:tcPr/>
          <w:p>
            <w:pPr>
              <w:pStyle w:val="Compact"/>
              <w:jc w:val="left"/>
            </w:pPr>
            <w:r>
              <w:t xml:space="preserve">Comoros Solar Energy Access Project (CSEAP/PAESC),</w:t>
            </w:r>
            <w:r>
              <w:t xml:space="preserve"> </w:t>
            </w:r>
            <w:r>
              <w:rPr>
                <w:bCs/>
                <w:b/>
              </w:rPr>
              <w:t xml:space="preserve">P177646</w:t>
            </w:r>
          </w:p>
        </w:tc>
        <w:tc>
          <w:tcPr>
            <w:tcW w:w="717" w:type="dxa"/>
          </w:tcPr>
          <w:tcPr/>
          <w:p>
            <w:pPr>
              <w:pStyle w:val="Compact"/>
              <w:jc w:val="left"/>
            </w:pPr>
            <w:r>
              <w:t xml:space="preserve">BM (IDA + SIDS DOCK + SRMI)</w:t>
            </w:r>
          </w:p>
        </w:tc>
        <w:tc>
          <w:tcPr>
            <w:tcW w:w="1948" w:type="dxa"/>
          </w:tcPr>
          <w:tcPr/>
          <w:p>
            <w:pPr>
              <w:pStyle w:val="Compact"/>
              <w:jc w:val="left"/>
            </w:pPr>
            <w:r>
              <w:t xml:space="preserve">43 M USD (IDA 40, SIDS DOCK 1, SRMI 2), plus 5 M USD de FA (approuvé le 11/04/2025)</w:t>
            </w:r>
          </w:p>
        </w:tc>
        <w:tc>
          <w:tcPr>
            <w:tcW w:w="1516" w:type="dxa"/>
          </w:tcPr>
          <w:tcPr/>
          <w:p>
            <w:pPr>
              <w:pStyle w:val="Compact"/>
              <w:jc w:val="left"/>
            </w:pPr>
            <w:r>
              <w:t xml:space="preserve">Approbation 27/05/2022, clôture 31/05/2027</w:t>
            </w:r>
          </w:p>
        </w:tc>
        <w:tc>
          <w:tcPr>
            <w:tcW w:w="2738" w:type="dxa"/>
          </w:tcPr>
          <w:tcPr/>
          <w:p>
            <w:pPr>
              <w:pStyle w:val="Compact"/>
              <w:jc w:val="left"/>
            </w:pPr>
            <w:r>
              <w:t xml:space="preserve">Composante 2 « Redressement commercial et opérationnel de la SONELEC » : compteurs prépayés, logiciel clientèle, appui à la production des états financiers, audit technique, PIP</w:t>
            </w:r>
          </w:p>
        </w:tc>
        <w:tc>
          <w:tcPr>
            <w:tcW w:w="2450" w:type="dxa"/>
          </w:tcPr>
          <w:tcPr/>
          <w:p>
            <w:pPr>
              <w:pStyle w:val="Compact"/>
              <w:jc w:val="left"/>
            </w:pPr>
            <w:r>
              <w:t xml:space="preserve">Recouvrement 80 % → 90 % ; taux de facturation 65 % → 75 % ; compteurs</w:t>
            </w:r>
          </w:p>
        </w:tc>
        <w:tc>
          <w:tcPr>
            <w:tcW w:w="1666" w:type="dxa"/>
          </w:tcPr>
          <w:tcPr/>
          <w:p>
            <w:pPr>
              <w:pStyle w:val="Compact"/>
              <w:jc w:val="left"/>
            </w:pPr>
            <w:r>
              <w:t xml:space="preserve">Décaissement de 46 % (20,76 M USD, oct. 2025) ; mise en œuvre « moyennement satisfaisante » ; retards (crise au Moyen-Orient 2026)</w:t>
            </w:r>
          </w:p>
        </w:tc>
        <w:tc>
          <w:tcPr>
            <w:tcW w:w="695" w:type="dxa"/>
          </w:tcPr>
          <w:tcPr/>
          <w:p>
            <w:pPr>
              <w:pStyle w:val="Compact"/>
              <w:jc w:val="left"/>
            </w:pPr>
            <w:r>
              <w:t xml:space="preserve">[3][4][6]</w:t>
            </w:r>
          </w:p>
        </w:tc>
      </w:tr>
      <w:tr>
        <w:tc>
          <w:tcPr>
            <w:tcW w:w="2835" w:type="dxa"/>
          </w:tcPr>
          <w:tcPr/>
          <w:p>
            <w:pPr>
              <w:pStyle w:val="Compact"/>
              <w:jc w:val="left"/>
            </w:pPr>
            <w:r>
              <w:t xml:space="preserve">Comoros Second Fiscal Management and Resilient Growth DPF,</w:t>
            </w:r>
            <w:r>
              <w:t xml:space="preserve"> </w:t>
            </w:r>
            <w:r>
              <w:rPr>
                <w:bCs/>
                <w:b/>
              </w:rPr>
              <w:t xml:space="preserve">P181269</w:t>
            </w:r>
          </w:p>
        </w:tc>
        <w:tc>
          <w:tcPr>
            <w:tcW w:w="717" w:type="dxa"/>
          </w:tcPr>
          <w:tcPr/>
          <w:p>
            <w:pPr>
              <w:pStyle w:val="Compact"/>
              <w:jc w:val="left"/>
            </w:pPr>
            <w:r>
              <w:t xml:space="preserve">BM (IDA, don)</w:t>
            </w:r>
          </w:p>
        </w:tc>
        <w:tc>
          <w:tcPr>
            <w:tcW w:w="1948" w:type="dxa"/>
          </w:tcPr>
          <w:tcPr/>
          <w:p>
            <w:pPr>
              <w:pStyle w:val="Compact"/>
              <w:jc w:val="left"/>
            </w:pPr>
            <w:r>
              <w:t xml:space="preserve">20 M USD (DTS 14,6 M)</w:t>
            </w:r>
          </w:p>
        </w:tc>
        <w:tc>
          <w:tcPr>
            <w:tcW w:w="1516" w:type="dxa"/>
          </w:tcPr>
          <w:tcPr/>
          <w:p>
            <w:pPr>
              <w:pStyle w:val="Compact"/>
              <w:jc w:val="left"/>
            </w:pPr>
            <w:r>
              <w:t xml:space="preserve">Accord de financement de sept. 2025</w:t>
            </w:r>
          </w:p>
        </w:tc>
        <w:tc>
          <w:tcPr>
            <w:tcW w:w="2738" w:type="dxa"/>
          </w:tcPr>
          <w:tcPr/>
          <w:p>
            <w:pPr>
              <w:pStyle w:val="Compact"/>
              <w:jc w:val="left"/>
            </w:pPr>
            <w:r>
              <w:t xml:space="preserve">Gouvernance des entreprises publiques ; PDMC</w:t>
            </w:r>
          </w:p>
        </w:tc>
        <w:tc>
          <w:tcPr>
            <w:tcW w:w="2450" w:type="dxa"/>
          </w:tcPr>
          <w:tcPr/>
          <w:p>
            <w:pPr>
              <w:pStyle w:val="Compact"/>
              <w:jc w:val="left"/>
            </w:pPr>
            <w:r>
              <w:t xml:space="preserve">PA#6 : loi sur les entreprises publiques et contrats de performance. PA#8 : PDMC + mandat SONELEC. IT#6 (DPF3) : restructurer la SONELEC. IT#8 : PPA standardisés + structure tarifaire avec tarif social</w:t>
            </w:r>
          </w:p>
        </w:tc>
        <w:tc>
          <w:tcPr>
            <w:tcW w:w="1666" w:type="dxa"/>
          </w:tcPr>
          <w:tcPr/>
          <w:p>
            <w:pPr>
              <w:pStyle w:val="Compact"/>
              <w:jc w:val="left"/>
            </w:pPr>
            <w:r>
              <w:t xml:space="preserve">Approuvée ; ISR de mars 2026</w:t>
            </w:r>
          </w:p>
        </w:tc>
        <w:tc>
          <w:tcPr>
            <w:tcW w:w="695" w:type="dxa"/>
          </w:tcPr>
          <w:tcPr/>
          <w:p>
            <w:pPr>
              <w:pStyle w:val="Compact"/>
              <w:jc w:val="left"/>
            </w:pPr>
            <w:r>
              <w:t xml:space="preserve">[1][8]</w:t>
            </w:r>
          </w:p>
        </w:tc>
      </w:tr>
      <w:tr>
        <w:tc>
          <w:tcPr>
            <w:tcW w:w="2835" w:type="dxa"/>
          </w:tcPr>
          <w:tcPr/>
          <w:p>
            <w:pPr>
              <w:pStyle w:val="Compact"/>
              <w:jc w:val="left"/>
            </w:pPr>
            <w:r>
              <w:t xml:space="preserve">Comoros First Fiscal Management and Resilient Growth DPF,</w:t>
            </w:r>
            <w:r>
              <w:t xml:space="preserve"> </w:t>
            </w:r>
            <w:r>
              <w:rPr>
                <w:bCs/>
                <w:b/>
              </w:rPr>
              <w:t xml:space="preserve">P179763</w:t>
            </w:r>
          </w:p>
        </w:tc>
        <w:tc>
          <w:tcPr>
            <w:tcW w:w="717" w:type="dxa"/>
          </w:tcPr>
          <w:tcPr/>
          <w:p>
            <w:pPr>
              <w:pStyle w:val="Compact"/>
              <w:jc w:val="left"/>
            </w:pPr>
            <w:r>
              <w:t xml:space="preserve">BM</w:t>
            </w:r>
          </w:p>
        </w:tc>
        <w:tc>
          <w:tcPr>
            <w:tcW w:w="1948" w:type="dxa"/>
          </w:tcPr>
          <w:tcPr/>
          <w:p>
            <w:pPr>
              <w:pStyle w:val="Compact"/>
              <w:jc w:val="left"/>
            </w:pPr>
            <w:r>
              <w:t xml:space="preserve">20 M USD</w:t>
            </w:r>
          </w:p>
        </w:tc>
        <w:tc>
          <w:tcPr>
            <w:tcW w:w="1516" w:type="dxa"/>
          </w:tcPr>
          <w:tcPr/>
          <w:p>
            <w:pPr>
              <w:pStyle w:val="Compact"/>
              <w:jc w:val="left"/>
            </w:pPr>
            <w:r>
              <w:t xml:space="preserve">2023 (clôturée)</w:t>
            </w:r>
          </w:p>
        </w:tc>
        <w:tc>
          <w:tcPr>
            <w:tcW w:w="2738" w:type="dxa"/>
          </w:tcPr>
          <w:tcPr/>
          <w:p>
            <w:pPr>
              <w:pStyle w:val="Compact"/>
              <w:jc w:val="left"/>
            </w:pPr>
            <w:r>
              <w:t xml:space="preserve">Reporting des entreprises publiques ; loi EnR</w:t>
            </w:r>
          </w:p>
        </w:tc>
        <w:tc>
          <w:tcPr>
            <w:tcW w:w="2450" w:type="dxa"/>
          </w:tcPr>
          <w:tcPr/>
          <w:p>
            <w:pPr>
              <w:pStyle w:val="Compact"/>
              <w:jc w:val="left"/>
            </w:pPr>
            <w:r>
              <w:t xml:space="preserve">PA#5 : décret 23-068/PR. PA#7 : loi 23-017/AU (ouverture de la production EnR au privé)</w:t>
            </w:r>
          </w:p>
        </w:tc>
        <w:tc>
          <w:tcPr>
            <w:tcW w:w="1666" w:type="dxa"/>
          </w:tcPr>
          <w:tcPr/>
          <w:p>
            <w:pPr>
              <w:pStyle w:val="Compact"/>
              <w:jc w:val="left"/>
            </w:pPr>
            <w:r>
              <w:t xml:space="preserve">Clôturée</w:t>
            </w:r>
          </w:p>
        </w:tc>
        <w:tc>
          <w:tcPr>
            <w:tcW w:w="695" w:type="dxa"/>
          </w:tcPr>
          <w:tcPr/>
          <w:p>
            <w:pPr>
              <w:pStyle w:val="Compact"/>
              <w:jc w:val="left"/>
            </w:pPr>
            <w:r>
              <w:t xml:space="preserve">[1][8]</w:t>
            </w:r>
          </w:p>
        </w:tc>
      </w:tr>
      <w:tr>
        <w:tc>
          <w:tcPr>
            <w:tcW w:w="2835" w:type="dxa"/>
          </w:tcPr>
          <w:tcPr/>
          <w:p>
            <w:pPr>
              <w:pStyle w:val="Compact"/>
              <w:jc w:val="left"/>
            </w:pPr>
            <w:r>
              <w:t xml:space="preserve">KM-Electricity Sector Recovery Project,</w:t>
            </w:r>
            <w:r>
              <w:t xml:space="preserve"> </w:t>
            </w:r>
            <w:r>
              <w:rPr>
                <w:bCs/>
                <w:b/>
              </w:rPr>
              <w:t xml:space="preserve">P131659</w:t>
            </w:r>
          </w:p>
        </w:tc>
        <w:tc>
          <w:tcPr>
            <w:tcW w:w="717" w:type="dxa"/>
          </w:tcPr>
          <w:tcPr/>
          <w:p>
            <w:pPr>
              <w:pStyle w:val="Compact"/>
              <w:jc w:val="left"/>
            </w:pPr>
            <w:r>
              <w:t xml:space="preserve">BM</w:t>
            </w:r>
          </w:p>
        </w:tc>
        <w:tc>
          <w:tcPr>
            <w:tcW w:w="1948" w:type="dxa"/>
          </w:tcPr>
          <w:tcPr/>
          <w:p>
            <w:pPr>
              <w:pStyle w:val="Compact"/>
              <w:jc w:val="left"/>
            </w:pPr>
            <w:r>
              <w:t xml:space="preserve">5 M USD</w:t>
            </w:r>
          </w:p>
        </w:tc>
        <w:tc>
          <w:tcPr>
            <w:tcW w:w="1516" w:type="dxa"/>
          </w:tcPr>
          <w:tcPr/>
          <w:p>
            <w:pPr>
              <w:pStyle w:val="Compact"/>
              <w:jc w:val="left"/>
            </w:pPr>
            <w:r>
              <w:t xml:space="preserve">2013-2018</w:t>
            </w:r>
          </w:p>
        </w:tc>
        <w:tc>
          <w:tcPr>
            <w:tcW w:w="2738" w:type="dxa"/>
          </w:tcPr>
          <w:tcPr/>
          <w:p>
            <w:pPr>
              <w:pStyle w:val="Compact"/>
              <w:jc w:val="left"/>
            </w:pPr>
            <w:r>
              <w:t xml:space="preserve">Redressement du secteur</w:t>
            </w:r>
          </w:p>
        </w:tc>
        <w:tc>
          <w:tcPr>
            <w:tcW w:w="2450" w:type="dxa"/>
          </w:tcPr>
          <w:tcPr/>
          <w:p>
            <w:pPr>
              <w:pStyle w:val="Compact"/>
              <w:jc w:val="left"/>
            </w:pPr>
            <w:r>
              <w:t xml:space="preserve">—</w:t>
            </w:r>
          </w:p>
        </w:tc>
        <w:tc>
          <w:tcPr>
            <w:tcW w:w="1666" w:type="dxa"/>
          </w:tcPr>
          <w:tcPr/>
          <w:p>
            <w:pPr>
              <w:pStyle w:val="Compact"/>
              <w:jc w:val="left"/>
            </w:pPr>
            <w:r>
              <w:t xml:space="preserve">Clôturé</w:t>
            </w:r>
          </w:p>
        </w:tc>
        <w:tc>
          <w:tcPr>
            <w:tcW w:w="695" w:type="dxa"/>
          </w:tcPr>
          <w:tcPr/>
          <w:p>
            <w:pPr>
              <w:pStyle w:val="Compact"/>
              <w:jc w:val="left"/>
            </w:pPr>
            <w:r>
              <w:t xml:space="preserve">[8]</w:t>
            </w:r>
          </w:p>
        </w:tc>
      </w:tr>
      <w:tr>
        <w:tc>
          <w:tcPr>
            <w:tcW w:w="2835" w:type="dxa"/>
          </w:tcPr>
          <w:tcPr/>
          <w:p>
            <w:pPr>
              <w:pStyle w:val="Compact"/>
              <w:jc w:val="left"/>
            </w:pPr>
            <w:r>
              <w:t xml:space="preserve">Comoros Solar Energy Integration Platform,</w:t>
            </w:r>
            <w:r>
              <w:t xml:space="preserve"> </w:t>
            </w:r>
            <w:r>
              <w:rPr>
                <w:bCs/>
                <w:b/>
              </w:rPr>
              <w:t xml:space="preserve">P162783</w:t>
            </w:r>
          </w:p>
        </w:tc>
        <w:tc>
          <w:tcPr>
            <w:tcW w:w="717" w:type="dxa"/>
          </w:tcPr>
          <w:tcPr/>
          <w:p>
            <w:pPr>
              <w:pStyle w:val="Compact"/>
              <w:jc w:val="left"/>
            </w:pPr>
            <w:r>
              <w:t xml:space="preserve">BM</w:t>
            </w:r>
          </w:p>
        </w:tc>
        <w:tc>
          <w:tcPr>
            <w:tcW w:w="1948" w:type="dxa"/>
          </w:tcPr>
          <w:tcPr/>
          <w:p>
            <w:pPr>
              <w:pStyle w:val="Compact"/>
              <w:jc w:val="left"/>
            </w:pPr>
            <w:r>
              <w:t xml:space="preserve">40 M USD</w:t>
            </w:r>
          </w:p>
        </w:tc>
        <w:tc>
          <w:tcPr>
            <w:tcW w:w="1516" w:type="dxa"/>
          </w:tcPr>
          <w:tcPr/>
          <w:p>
            <w:pPr>
              <w:pStyle w:val="Compact"/>
              <w:jc w:val="left"/>
            </w:pPr>
            <w:r>
              <w:t xml:space="preserve">2020</w:t>
            </w:r>
          </w:p>
        </w:tc>
        <w:tc>
          <w:tcPr>
            <w:tcW w:w="2738" w:type="dxa"/>
          </w:tcPr>
          <w:tcPr/>
          <w:p>
            <w:pPr>
              <w:pStyle w:val="Compact"/>
              <w:jc w:val="left"/>
            </w:pPr>
            <w:r>
              <w:t xml:space="preserve">Intégration solaire</w:t>
            </w:r>
          </w:p>
        </w:tc>
        <w:tc>
          <w:tcPr>
            <w:tcW w:w="2450" w:type="dxa"/>
          </w:tcPr>
          <w:tcPr/>
          <w:p>
            <w:pPr>
              <w:pStyle w:val="Compact"/>
              <w:jc w:val="left"/>
            </w:pPr>
            <w:r>
              <w:t xml:space="preserve">—</w:t>
            </w:r>
          </w:p>
        </w:tc>
        <w:tc>
          <w:tcPr>
            <w:tcW w:w="1666" w:type="dxa"/>
          </w:tcPr>
          <w:tcPr/>
          <w:p>
            <w:pPr>
              <w:pStyle w:val="Compact"/>
              <w:jc w:val="left"/>
            </w:pPr>
            <w:r>
              <w:t xml:space="preserve">« Note on Cancelled Operation » (nov. 2021) ; fiche API « Closed »</w:t>
            </w:r>
          </w:p>
        </w:tc>
        <w:tc>
          <w:tcPr>
            <w:tcW w:w="695" w:type="dxa"/>
          </w:tcPr>
          <w:tcPr/>
          <w:p>
            <w:pPr>
              <w:pStyle w:val="Compact"/>
              <w:jc w:val="left"/>
            </w:pPr>
            <w:r>
              <w:t xml:space="preserve">[8]</w:t>
            </w:r>
          </w:p>
        </w:tc>
      </w:tr>
      <w:tr>
        <w:tc>
          <w:tcPr>
            <w:tcW w:w="2835" w:type="dxa"/>
          </w:tcPr>
          <w:tcPr/>
          <w:p>
            <w:pPr>
              <w:pStyle w:val="Compact"/>
              <w:jc w:val="left"/>
            </w:pPr>
            <w:r>
              <w:t xml:space="preserve">FEC (ECF)</w:t>
            </w:r>
          </w:p>
        </w:tc>
        <w:tc>
          <w:tcPr>
            <w:tcW w:w="717" w:type="dxa"/>
          </w:tcPr>
          <w:tcPr/>
          <w:p>
            <w:pPr>
              <w:pStyle w:val="Compact"/>
              <w:jc w:val="left"/>
            </w:pPr>
            <w:r>
              <w:t xml:space="preserve">FMI</w:t>
            </w:r>
          </w:p>
        </w:tc>
        <w:tc>
          <w:tcPr>
            <w:tcW w:w="1948" w:type="dxa"/>
          </w:tcPr>
          <w:tcPr/>
          <w:p>
            <w:pPr>
              <w:pStyle w:val="Compact"/>
              <w:jc w:val="left"/>
            </w:pPr>
            <w:r>
              <w:t xml:space="preserve">DTS 32,04 M (environ 43 M USD)</w:t>
            </w:r>
          </w:p>
        </w:tc>
        <w:tc>
          <w:tcPr>
            <w:tcW w:w="1516" w:type="dxa"/>
          </w:tcPr>
          <w:tcPr/>
          <w:p>
            <w:pPr>
              <w:pStyle w:val="Compact"/>
              <w:jc w:val="left"/>
            </w:pPr>
            <w:r>
              <w:t xml:space="preserve">01/06/2023 – 4 ans</w:t>
            </w:r>
          </w:p>
        </w:tc>
        <w:tc>
          <w:tcPr>
            <w:tcW w:w="2738" w:type="dxa"/>
          </w:tcPr>
          <w:tcPr/>
          <w:p>
            <w:pPr>
              <w:pStyle w:val="Compact"/>
              <w:jc w:val="left"/>
            </w:pPr>
            <w:r>
              <w:t xml:space="preserve">Arriérés croisés, entreprises publiques, SCH</w:t>
            </w:r>
          </w:p>
        </w:tc>
        <w:tc>
          <w:tcPr>
            <w:tcW w:w="2450" w:type="dxa"/>
          </w:tcPr>
          <w:tcPr/>
          <w:p>
            <w:pPr>
              <w:pStyle w:val="Compact"/>
              <w:jc w:val="left"/>
            </w:pPr>
            <w:r>
              <w:t xml:space="preserve">Repère structurel : audit des arriérés intérieurs (« Met »). Repère : recouvrement TIPP auprès de la SCH. 5e revue achevée le 11/02/2026 (environ 4,9 M USD)</w:t>
            </w:r>
          </w:p>
        </w:tc>
        <w:tc>
          <w:tcPr>
            <w:tcW w:w="1666" w:type="dxa"/>
          </w:tcPr>
          <w:tcPr/>
          <w:p>
            <w:pPr>
              <w:pStyle w:val="Compact"/>
              <w:jc w:val="left"/>
            </w:pPr>
            <w:r>
              <w:t xml:space="preserve">En cours</w:t>
            </w:r>
          </w:p>
        </w:tc>
        <w:tc>
          <w:tcPr>
            <w:tcW w:w="695" w:type="dxa"/>
          </w:tcPr>
          <w:tcPr/>
          <w:p>
            <w:pPr>
              <w:pStyle w:val="Compact"/>
              <w:jc w:val="left"/>
            </w:pPr>
            <w:r>
              <w:t xml:space="preserve">[5][9]</w:t>
            </w:r>
          </w:p>
        </w:tc>
      </w:tr>
      <w:tr>
        <w:tc>
          <w:tcPr>
            <w:tcW w:w="2835" w:type="dxa"/>
          </w:tcPr>
          <w:tcPr/>
          <w:p>
            <w:pPr>
              <w:pStyle w:val="Compact"/>
              <w:jc w:val="left"/>
            </w:pPr>
            <w:r>
              <w:t xml:space="preserve">Programme d’appui à la gouvernance financière et au secteur de l’énergie (PAGFSE), P-KM-K00-013</w:t>
            </w:r>
          </w:p>
        </w:tc>
        <w:tc>
          <w:tcPr>
            <w:tcW w:w="717" w:type="dxa"/>
          </w:tcPr>
          <w:tcPr/>
          <w:p>
            <w:pPr>
              <w:pStyle w:val="Compact"/>
              <w:jc w:val="left"/>
            </w:pPr>
            <w:r>
              <w:t xml:space="preserve">BAD</w:t>
            </w:r>
          </w:p>
        </w:tc>
        <w:tc>
          <w:tcPr>
            <w:tcW w:w="1948" w:type="dxa"/>
          </w:tcPr>
          <w:tcPr/>
          <w:p>
            <w:pPr>
              <w:pStyle w:val="Compact"/>
              <w:jc w:val="left"/>
            </w:pPr>
            <w:r>
              <w:t xml:space="preserve">Environ 5,97 M USD (prêt d’appui budgétaire)</w:t>
            </w:r>
          </w:p>
        </w:tc>
        <w:tc>
          <w:tcPr>
            <w:tcW w:w="1516" w:type="dxa"/>
          </w:tcPr>
          <w:tcPr/>
          <w:p>
            <w:pPr>
              <w:pStyle w:val="Compact"/>
              <w:jc w:val="left"/>
            </w:pPr>
            <w:r>
              <w:t xml:space="preserve">Vote 19/07/2024 ; exercices 2024-2025</w:t>
            </w:r>
          </w:p>
        </w:tc>
        <w:tc>
          <w:tcPr>
            <w:tcW w:w="2738" w:type="dxa"/>
          </w:tcPr>
          <w:tcPr/>
          <w:p>
            <w:pPr>
              <w:pStyle w:val="Compact"/>
              <w:jc w:val="left"/>
            </w:pPr>
            <w:r>
              <w:t xml:space="preserve">Gouvernance des entreprises publiques, « en particulier la SONELEC » ; opérationnalisation de l’ARE et de la direction des participations</w:t>
            </w:r>
          </w:p>
        </w:tc>
        <w:tc>
          <w:tcPr>
            <w:tcW w:w="2450" w:type="dxa"/>
          </w:tcPr>
          <w:tcPr/>
          <w:p>
            <w:pPr>
              <w:pStyle w:val="Compact"/>
              <w:jc w:val="left"/>
            </w:pPr>
            <w:r>
              <w:t xml:space="preserve">[?] mesures détaillées non consultées</w:t>
            </w:r>
          </w:p>
        </w:tc>
        <w:tc>
          <w:tcPr>
            <w:tcW w:w="1666" w:type="dxa"/>
          </w:tcPr>
          <w:tcPr/>
          <w:p>
            <w:pPr>
              <w:pStyle w:val="Compact"/>
              <w:jc w:val="left"/>
            </w:pPr>
            <w:r>
              <w:t xml:space="preserve">Approuvé</w:t>
            </w:r>
          </w:p>
        </w:tc>
        <w:tc>
          <w:tcPr>
            <w:tcW w:w="695" w:type="dxa"/>
          </w:tcPr>
          <w:tcPr/>
          <w:p>
            <w:pPr>
              <w:pStyle w:val="Compact"/>
              <w:jc w:val="left"/>
            </w:pPr>
            <w:r>
              <w:t xml:space="preserve">[7][S]</w:t>
            </w:r>
          </w:p>
        </w:tc>
      </w:tr>
      <w:tr>
        <w:tc>
          <w:tcPr>
            <w:tcW w:w="2835" w:type="dxa"/>
          </w:tcPr>
          <w:tcPr/>
          <w:p>
            <w:pPr>
              <w:pStyle w:val="Compact"/>
              <w:jc w:val="left"/>
            </w:pPr>
            <w:r>
              <w:t xml:space="preserve">Projet d’appui au secteur de l’énergie (PASEC), P-KM-F00-002</w:t>
            </w:r>
          </w:p>
        </w:tc>
        <w:tc>
          <w:tcPr>
            <w:tcW w:w="717" w:type="dxa"/>
          </w:tcPr>
          <w:tcPr/>
          <w:p>
            <w:pPr>
              <w:pStyle w:val="Compact"/>
              <w:jc w:val="left"/>
            </w:pPr>
            <w:r>
              <w:t xml:space="preserve">BAD (FAD + FEF)</w:t>
            </w:r>
          </w:p>
        </w:tc>
        <w:tc>
          <w:tcPr>
            <w:tcW w:w="1948" w:type="dxa"/>
          </w:tcPr>
          <w:tcPr/>
          <w:p>
            <w:pPr>
              <w:pStyle w:val="Compact"/>
              <w:jc w:val="left"/>
            </w:pPr>
            <w:r>
              <w:t xml:space="preserve">Environ 20,1 M USD (2013) + don supplémentaire de UA 6,96 M (2019). Le pacte cite « PASEC II 5 786 000 EUR »</w:t>
            </w:r>
          </w:p>
        </w:tc>
        <w:tc>
          <w:tcPr>
            <w:tcW w:w="1516" w:type="dxa"/>
          </w:tcPr>
          <w:tcPr/>
          <w:p>
            <w:pPr>
              <w:pStyle w:val="Compact"/>
              <w:jc w:val="left"/>
            </w:pPr>
            <w:r>
              <w:t xml:space="preserve">2013- (clôture déc. 2026 selon le pacte)</w:t>
            </w:r>
          </w:p>
        </w:tc>
        <w:tc>
          <w:tcPr>
            <w:tcW w:w="2738" w:type="dxa"/>
          </w:tcPr>
          <w:tcPr/>
          <w:p>
            <w:pPr>
              <w:pStyle w:val="Compact"/>
              <w:jc w:val="left"/>
            </w:pPr>
            <w:r>
              <w:t xml:space="preserve">Réhabilitation, groupes, réseaux</w:t>
            </w:r>
          </w:p>
        </w:tc>
        <w:tc>
          <w:tcPr>
            <w:tcW w:w="2450" w:type="dxa"/>
          </w:tcPr>
          <w:tcPr/>
          <w:p>
            <w:pPr>
              <w:pStyle w:val="Compact"/>
              <w:jc w:val="left"/>
            </w:pPr>
            <w:r>
              <w:t xml:space="preserve">—</w:t>
            </w:r>
          </w:p>
        </w:tc>
        <w:tc>
          <w:tcPr>
            <w:tcW w:w="1666" w:type="dxa"/>
          </w:tcPr>
          <w:tcPr/>
          <w:p>
            <w:pPr>
              <w:pStyle w:val="Compact"/>
              <w:jc w:val="left"/>
            </w:pPr>
            <w:r>
              <w:t xml:space="preserve">[?]</w:t>
            </w:r>
          </w:p>
        </w:tc>
        <w:tc>
          <w:tcPr>
            <w:tcW w:w="695" w:type="dxa"/>
          </w:tcPr>
          <w:tcPr/>
          <w:p>
            <w:pPr>
              <w:pStyle w:val="Compact"/>
              <w:jc w:val="left"/>
            </w:pPr>
            <w:r>
              <w:t xml:space="preserve">[10][S]</w:t>
            </w:r>
          </w:p>
        </w:tc>
      </w:tr>
    </w:tbl>
    <w:bookmarkEnd w:id="137"/>
    <w:bookmarkStart w:id="138" w:name="écart-pacte-réalité-9"/>
    <w:p>
      <w:pPr>
        <w:pStyle w:val="Heading3"/>
      </w:pPr>
      <w:r>
        <w:t xml:space="preserve">5. Écart pacte ↔ réalité</w:t>
      </w:r>
    </w:p>
    <w:p>
      <w:pPr>
        <w:numPr>
          <w:ilvl w:val="0"/>
          <w:numId w:val="1071"/>
        </w:numPr>
        <w:pStyle w:val="Compact"/>
      </w:pPr>
      <w:r>
        <w:rPr>
          <w:bCs/>
          <w:b/>
        </w:rPr>
        <w:t xml:space="preserve">Pertes</w:t>
      </w:r>
      <w:r>
        <w:t xml:space="preserve"> </w:t>
      </w:r>
      <w:r>
        <w:t xml:space="preserve">: le pacte avance 37 %. La BM indique environ 31 % (2025) [V][3] et un taux de facturation de 77 %, soit des pertes implicites d’environ 23 % (2025-2026) [V][6][E]. Le chiffre du pacte paraît</w:t>
      </w:r>
      <w:r>
        <w:t xml:space="preserve"> </w:t>
      </w:r>
      <w:r>
        <w:rPr>
          <w:bCs/>
          <w:b/>
        </w:rPr>
        <w:t xml:space="preserve">ancien ou surévalué</w:t>
      </w:r>
      <w:r>
        <w:t xml:space="preserve"> </w:t>
      </w:r>
      <w:r>
        <w:t xml:space="preserve">; sa cible (20 % ou moins de 14 % en 2030) est plus proche qu’il n’y paraît.</w:t>
      </w:r>
    </w:p>
    <w:p>
      <w:pPr>
        <w:numPr>
          <w:ilvl w:val="0"/>
          <w:numId w:val="1071"/>
        </w:numPr>
        <w:pStyle w:val="Compact"/>
      </w:pPr>
      <w:r>
        <w:rPr>
          <w:bCs/>
          <w:b/>
        </w:rPr>
        <w:t xml:space="preserve">Recouvrement</w:t>
      </w:r>
      <w:r>
        <w:t xml:space="preserve"> </w:t>
      </w:r>
      <w:r>
        <w:t xml:space="preserve">: le pacte avance environ 80 % (2024). L’indicateur ODP de la BM est tombé à</w:t>
      </w:r>
      <w:r>
        <w:t xml:space="preserve"> </w:t>
      </w:r>
      <w:r>
        <w:rPr>
          <w:bCs/>
          <w:b/>
        </w:rPr>
        <w:t xml:space="preserve">70 %</w:t>
      </w:r>
      <w:r>
        <w:t xml:space="preserve"> </w:t>
      </w:r>
      <w:r>
        <w:t xml:space="preserve">(avril 2025 à juin 2026) [V][4][6]. Le pacte présente comme base un chiffre qui est en réalité celui de 2022.</w:t>
      </w:r>
    </w:p>
    <w:p>
      <w:pPr>
        <w:numPr>
          <w:ilvl w:val="0"/>
          <w:numId w:val="1071"/>
        </w:numPr>
        <w:pStyle w:val="Compact"/>
      </w:pPr>
      <w:r>
        <w:rPr>
          <w:bCs/>
          <w:b/>
        </w:rPr>
        <w:t xml:space="preserve">Compteurs</w:t>
      </w:r>
      <w:r>
        <w:t xml:space="preserve"> </w:t>
      </w:r>
      <w:r>
        <w:t xml:space="preserve">: le pacte parle de « un peu plus de 103 000 compteurs prépayés acquis (environ 80 % des clients) ». En fait, 100 000 ont été achetés, mais seuls 37 140 étaient posés en sept. 2025 et 65 000 en juin 2026 [V][4][6]. Le pacte parlait d’acquisition, pas de pose.</w:t>
      </w:r>
    </w:p>
    <w:p>
      <w:pPr>
        <w:numPr>
          <w:ilvl w:val="0"/>
          <w:numId w:val="1071"/>
        </w:numPr>
        <w:pStyle w:val="Compact"/>
      </w:pPr>
      <w:r>
        <w:rPr>
          <w:bCs/>
          <w:b/>
        </w:rPr>
        <w:t xml:space="preserve">États financiers</w:t>
      </w:r>
      <w:r>
        <w:t xml:space="preserve"> </w:t>
      </w:r>
      <w:r>
        <w:t xml:space="preserve">: le pacte dit les comptes 2019-2023 « préparés et audités ». En oct. 2025, la BM les dit encore « en cours de finalisation » [V][4]. Aucun audit publié n’a été trouvé [?].</w:t>
      </w:r>
    </w:p>
    <w:p>
      <w:pPr>
        <w:numPr>
          <w:ilvl w:val="0"/>
          <w:numId w:val="1071"/>
        </w:numPr>
        <w:pStyle w:val="Compact"/>
      </w:pPr>
      <w:r>
        <w:rPr>
          <w:bCs/>
          <w:b/>
        </w:rPr>
        <w:t xml:space="preserve">Économie du service</w:t>
      </w:r>
      <w:r>
        <w:t xml:space="preserve"> </w:t>
      </w:r>
      <w:r>
        <w:t xml:space="preserve">(0,43 contre 0,76 USD/kWh ; subvention de 22 M USD) : chiffres identiques dans les sources primaires BM [V][1][3]. Ils proviennent de la même base, non actualisée depuis environ 2024 [E].</w:t>
      </w:r>
    </w:p>
    <w:bookmarkEnd w:id="138"/>
    <w:bookmarkStart w:id="139" w:name="diagnostic-synthétique-9"/>
    <w:p>
      <w:pPr>
        <w:pStyle w:val="Heading3"/>
      </w:pPr>
      <w:r>
        <w:t xml:space="preserve">6. Diagnostic synthétique</w:t>
      </w:r>
    </w:p>
    <w:p>
      <w:pPr>
        <w:numPr>
          <w:ilvl w:val="0"/>
          <w:numId w:val="1072"/>
        </w:numPr>
        <w:pStyle w:val="Compact"/>
      </w:pPr>
      <w:r>
        <w:rPr>
          <w:bCs/>
          <w:b/>
        </w:rPr>
        <w:t xml:space="preserve">Financière : faible.</w:t>
      </w:r>
      <w:r>
        <w:t xml:space="preserve"> </w:t>
      </w:r>
      <w:r>
        <w:t xml:space="preserve">Coût de 0,76 USD/kWh pour un tarif de 0,43 ; subvention d’environ 2 % du PIB ; comptes non audités ; arriérés croisés avec la SCH [V][1][3].</w:t>
      </w:r>
    </w:p>
    <w:p>
      <w:pPr>
        <w:numPr>
          <w:ilvl w:val="0"/>
          <w:numId w:val="1072"/>
        </w:numPr>
        <w:pStyle w:val="Compact"/>
      </w:pPr>
      <w:r>
        <w:rPr>
          <w:bCs/>
          <w:b/>
        </w:rPr>
        <w:t xml:space="preserve">Technique : faible à moyenne.</w:t>
      </w:r>
      <w:r>
        <w:t xml:space="preserve"> </w:t>
      </w:r>
      <w:r>
        <w:t xml:space="preserve">Disponibilité de 41,5 % du parc ; mais le taux de facturation progresse (65 % → 77 %) [V][3][6].</w:t>
      </w:r>
    </w:p>
    <w:p>
      <w:pPr>
        <w:numPr>
          <w:ilvl w:val="0"/>
          <w:numId w:val="1072"/>
        </w:numPr>
        <w:pStyle w:val="Compact"/>
      </w:pPr>
      <w:r>
        <w:rPr>
          <w:bCs/>
          <w:b/>
        </w:rPr>
        <w:t xml:space="preserve">Gouvernance : faible.</w:t>
      </w:r>
      <w:r>
        <w:t xml:space="preserve"> </w:t>
      </w:r>
      <w:r>
        <w:t xml:space="preserve">Régulateur à peine opérationnel ; restructuration encore au stade de déclencheur de DPF ; recouvrement en baisse [V][1][6].</w:t>
      </w:r>
    </w:p>
    <w:p>
      <w:pPr>
        <w:numPr>
          <w:ilvl w:val="0"/>
          <w:numId w:val="1072"/>
        </w:numPr>
        <w:pStyle w:val="Compact"/>
      </w:pPr>
      <w:r>
        <w:rPr>
          <w:bCs/>
          <w:b/>
        </w:rPr>
        <w:t xml:space="preserve">Trois causes racines</w:t>
      </w:r>
      <w:r>
        <w:t xml:space="preserve"> </w:t>
      </w:r>
      <w:r>
        <w:t xml:space="preserve">:</w:t>
      </w:r>
    </w:p>
    <w:p>
      <w:pPr>
        <w:numPr>
          <w:ilvl w:val="1"/>
          <w:numId w:val="1073"/>
        </w:numPr>
        <w:pStyle w:val="Compact"/>
      </w:pPr>
      <w:r>
        <w:t xml:space="preserve">Dépendance au diesel importé : plus de 90 % de la production [V][1].</w:t>
      </w:r>
    </w:p>
    <w:p>
      <w:pPr>
        <w:numPr>
          <w:ilvl w:val="1"/>
          <w:numId w:val="1073"/>
        </w:numPr>
        <w:pStyle w:val="Compact"/>
      </w:pPr>
      <w:r>
        <w:t xml:space="preserve">Parc thermique indisponible et réseau vétuste [V][3].</w:t>
      </w:r>
    </w:p>
    <w:p>
      <w:pPr>
        <w:numPr>
          <w:ilvl w:val="1"/>
          <w:numId w:val="1073"/>
        </w:numPr>
        <w:pStyle w:val="Compact"/>
      </w:pPr>
      <w:r>
        <w:t xml:space="preserve">Gouvernance et information financière défaillantes : pas de comptes audités depuis la création, arriérés croisés entre entreprises publiques [V][3][5].</w:t>
      </w:r>
    </w:p>
    <w:p>
      <w:pPr>
        <w:numPr>
          <w:ilvl w:val="0"/>
          <w:numId w:val="1072"/>
        </w:numPr>
        <w:pStyle w:val="Compact"/>
      </w:pPr>
      <w:r>
        <w:rPr>
          <w:bCs/>
          <w:b/>
        </w:rPr>
        <w:t xml:space="preserve">À approfondir en phase 3</w:t>
      </w:r>
      <w:r>
        <w:t xml:space="preserve"> </w:t>
      </w:r>
      <w:r>
        <w:t xml:space="preserve">: grille tarifaire en KMF/kWh ; prix de cession du gazole à la SONELEC (subvention implicite) ; coût du kWh solaire IPP contre diesel ; résultats de l’audit technique.</w:t>
      </w:r>
    </w:p>
    <w:bookmarkEnd w:id="139"/>
    <w:bookmarkStart w:id="140" w:name="inconnus-9"/>
    <w:p>
      <w:pPr>
        <w:pStyle w:val="Heading3"/>
      </w:pPr>
      <w:r>
        <w:t xml:space="preserve">7. Inconnus</w:t>
      </w:r>
    </w:p>
    <w:p>
      <w:pPr>
        <w:numPr>
          <w:ilvl w:val="0"/>
          <w:numId w:val="1074"/>
        </w:numPr>
        <w:pStyle w:val="Compact"/>
      </w:pPr>
      <w:r>
        <w:t xml:space="preserve">Chiffre d’affaires, résultat, dette totale de la SONELEC : [?]. Aucun état financier publié.</w:t>
      </w:r>
    </w:p>
    <w:p>
      <w:pPr>
        <w:numPr>
          <w:ilvl w:val="0"/>
          <w:numId w:val="1074"/>
        </w:numPr>
        <w:pStyle w:val="Compact"/>
      </w:pPr>
      <w:r>
        <w:t xml:space="preserve">Rapport de la 5e revue FMI (CR 26/47) non consulté (accès refusé, HTTP 429) ; le rapport de la 4e revue (CR 25/154) ne détaille pas la SONELEC.</w:t>
      </w:r>
    </w:p>
    <w:p>
      <w:pPr>
        <w:numPr>
          <w:ilvl w:val="0"/>
          <w:numId w:val="1074"/>
        </w:numPr>
        <w:pStyle w:val="Compact"/>
      </w:pPr>
      <w:r>
        <w:t xml:space="preserve">Contrats de performance État–DG et État–CA : [?] non vérifiés.</w:t>
      </w:r>
    </w:p>
    <w:p>
      <w:pPr>
        <w:numPr>
          <w:ilvl w:val="0"/>
          <w:numId w:val="1074"/>
        </w:numPr>
        <w:pStyle w:val="Compact"/>
      </w:pPr>
      <w:r>
        <w:t xml:space="preserve">Projet de géothermie (BAD/PNUD/UA, 45 M USD selon le pacte) : [?] non vérifié.</w:t>
      </w:r>
    </w:p>
    <w:p>
      <w:pPr>
        <w:numPr>
          <w:ilvl w:val="0"/>
          <w:numId w:val="1074"/>
        </w:numPr>
        <w:pStyle w:val="Compact"/>
      </w:pPr>
      <w:r>
        <w:t xml:space="preserve">Détail des mesures SONELEC du PAGFSE (BAD) : [?].</w:t>
      </w:r>
    </w:p>
    <w:bookmarkEnd w:id="140"/>
    <w:bookmarkStart w:id="141" w:name="sources-10"/>
    <w:p>
      <w:pPr>
        <w:pStyle w:val="Heading3"/>
      </w:pPr>
      <w:r>
        <w:t xml:space="preserve">Sources</w:t>
      </w:r>
    </w:p>
    <w:p>
      <w:pPr>
        <w:pStyle w:val="FirstParagraph"/>
      </w:pPr>
      <w:r>
        <w:t xml:space="preserve">[1] Banque mondiale, Program Document, « Comoros Second Fiscal Management and Resilient Growth DPF » (P181269), août 2025. https://documents.worldbank.org/curated/en/099080825143041700/pdf/BOSIB-a4d58dc4-1bf9-4899-b941-cbb1a36e0876.pdf</w:t>
      </w:r>
      <w:r>
        <w:t xml:space="preserve"> </w:t>
      </w:r>
      <w:r>
        <w:t xml:space="preserve">[2] Pacte national (fiche phase 1 COM). ../../phase1/fiches/COM_comores.md</w:t>
      </w:r>
      <w:r>
        <w:t xml:space="preserve"> </w:t>
      </w:r>
      <w:r>
        <w:t xml:space="preserve">[3] Banque mondiale, Project Paper, « Comoros – Solar Energy Access Project: Additional Financing » (P177646), 17/04/2025. https://documents.worldbank.org/curated/en/099041725100039994/pdf/BOSIB-79c0986f-590f-4722-a482-31069ba9ccd2.pdf</w:t>
      </w:r>
      <w:r>
        <w:t xml:space="preserve"> </w:t>
      </w:r>
      <w:r>
        <w:t xml:space="preserve">[4] Banque mondiale, Aide-mémoire, « Projet d’Accès à l’Energie Solaire aux Comores : Mission de revue à mi-parcours », 10/10/2025. https://documents.worldbank.org/curated/en/099121225050037909/pdf/P177646-3f4cb555-a85e-4e02-8d32-6308328ee7fb.pdf</w:t>
      </w:r>
      <w:r>
        <w:t xml:space="preserve"> </w:t>
      </w:r>
      <w:r>
        <w:t xml:space="preserve">[5] FMI, Country Report No. 25/154, « Union of the Comoros – Fourth Review under the ECF », juin 2025 (PDF obtenu via imf.org).</w:t>
      </w:r>
      <w:r>
        <w:t xml:space="preserve"> </w:t>
      </w:r>
      <w:r>
        <w:t xml:space="preserve">[6] Banque mondiale, ISR CSEAP (P177646), 15/06/2026. https://documents.worldbank.org/curated/en/099061526134528602/pdf/P177646-13111ee5-f205-4214-a53e-231d028fb97b.pdf</w:t>
      </w:r>
      <w:r>
        <w:t xml:space="preserve"> </w:t>
      </w:r>
      <w:r>
        <w:t xml:space="preserve">[7] Early Warning System, « COMOROS – Financial Governance and Energy Sector Support Programme (PAGFSE) (AFDB-P-KM-K00-013) ». https://ewsdata.rightsindevelopment.org/projects/p-km-k00-013-comoros-financial-governance-and-energy-sector-s [S]</w:t>
      </w:r>
      <w:r>
        <w:t xml:space="preserve"> </w:t>
      </w:r>
      <w:r>
        <w:t xml:space="preserve">[8] Banque mondiale, API Projects et Documents (P179763, P181269, P131659, P162783), consultée le 18/10/2026.</w:t>
      </w:r>
      <w:r>
        <w:t xml:space="preserve"> </w:t>
      </w:r>
      <w:r>
        <w:t xml:space="preserve">[9] FMI, communiqué de presse 26/045, 11/02/2026. https://www.imf.org/en/news/articles/2026/02/11/pr-26045-comoros-imf-completes-5th-rev-under-ecf-arrang-and-concl-2025-art-iv-consult</w:t>
      </w:r>
      <w:r>
        <w:t xml:space="preserve"> </w:t>
      </w:r>
      <w:r>
        <w:t xml:space="preserve">[10] AllAfrica, « AfDB Provides US$20.1 Million to Support Clean Energy in the Comoros », 13/09/2013 ; EWS AFDB-P-KM-F00-002. https://allafrica.com/stories/201309131183.html [S]</w:t>
      </w:r>
    </w:p>
    <w:p>
      <w:r>
        <w:br w:type="page"/>
      </w:r>
    </w:p>
    <w:bookmarkEnd w:id="141"/>
    <w:bookmarkEnd w:id="142"/>
    <w:bookmarkStart w:id="152" w:name="Xd124f99e04c9306b6db758f2f008d3387d3331c"/>
    <w:p>
      <w:pPr>
        <w:pStyle w:val="Heading2"/>
      </w:pPr>
      <w:r>
        <w:t xml:space="preserve">Diagnostic opérateur — EDD, Électricité de Djibouti (Djibouti)</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Point de départ : fiche phase 1</w:t>
      </w:r>
      <w:r>
        <w:t xml:space="preserve"> </w:t>
      </w:r>
      <w:r>
        <w:rPr>
          <w:rStyle w:val="VerbatimChar"/>
        </w:rPr>
        <w:t xml:space="preserve">../../phase1/fiches/DJI_djibouti.md</w:t>
      </w:r>
      <w:r>
        <w:t xml:space="preserve">. Recherche documentaire au 18/10/2026.</w:t>
      </w:r>
    </w:p>
    <w:bookmarkStart w:id="143" w:name="identité-10"/>
    <w:p>
      <w:pPr>
        <w:pStyle w:val="Heading3"/>
      </w:pPr>
      <w:r>
        <w:t xml:space="preserve">0. Identité</w:t>
      </w:r>
    </w:p>
    <w:p>
      <w:pPr>
        <w:numPr>
          <w:ilvl w:val="0"/>
          <w:numId w:val="1075"/>
        </w:numPr>
        <w:pStyle w:val="Compact"/>
      </w:pPr>
      <w:r>
        <w:rPr>
          <w:bCs/>
          <w:b/>
        </w:rPr>
        <w:t xml:space="preserve">Opérateur</w:t>
      </w:r>
      <w:r>
        <w:t xml:space="preserve"> </w:t>
      </w:r>
      <w:r>
        <w:t xml:space="preserve">: Électricité de Djibouti (EDD), établissement public intégré (production thermique, importations d’Éthiopie, transport, distribution, commercialisation) [1][2] [V]. IPP : Red Sea Power (éolien du Ghoubet, ≈ 60 MW) [5] (pacte).</w:t>
      </w:r>
    </w:p>
    <w:p>
      <w:pPr>
        <w:numPr>
          <w:ilvl w:val="0"/>
          <w:numId w:val="1075"/>
        </w:numPr>
        <w:pStyle w:val="Compact"/>
      </w:pPr>
      <w:r>
        <w:rPr>
          <w:bCs/>
          <w:b/>
        </w:rPr>
        <w:t xml:space="preserve">Tutelle</w:t>
      </w:r>
      <w:r>
        <w:t xml:space="preserve"> </w:t>
      </w:r>
      <w:r>
        <w:t xml:space="preserve">: ministère de l’Énergie et des Ressources naturelles (MERN) [5] (pacte).</w:t>
      </w:r>
    </w:p>
    <w:p>
      <w:pPr>
        <w:numPr>
          <w:ilvl w:val="0"/>
          <w:numId w:val="1075"/>
        </w:numPr>
        <w:pStyle w:val="Compact"/>
      </w:pPr>
      <w:r>
        <w:rPr>
          <w:bCs/>
          <w:b/>
        </w:rPr>
        <w:t xml:space="preserve">Régulateur</w:t>
      </w:r>
      <w:r>
        <w:t xml:space="preserve"> </w:t>
      </w:r>
      <w:r>
        <w:t xml:space="preserve">: ARMD (créée en 2020), pas encore pleinement opérationnelle [5] (pacte). Les comptes d’EDD sont approuvés en Conseil des ministres [3] [S].</w:t>
      </w:r>
    </w:p>
    <w:p>
      <w:pPr>
        <w:numPr>
          <w:ilvl w:val="0"/>
          <w:numId w:val="1075"/>
        </w:numPr>
        <w:pStyle w:val="Compact"/>
      </w:pPr>
      <w:r>
        <w:rPr>
          <w:bCs/>
          <w:b/>
        </w:rPr>
        <w:t xml:space="preserve">Derniers comptes</w:t>
      </w:r>
      <w:r>
        <w:t xml:space="preserve"> </w:t>
      </w:r>
      <w:r>
        <w:t xml:space="preserve">: exercice</w:t>
      </w:r>
      <w:r>
        <w:t xml:space="preserve"> </w:t>
      </w:r>
      <w:r>
        <w:rPr>
          <w:bCs/>
          <w:b/>
        </w:rPr>
        <w:t xml:space="preserve">2024</w:t>
      </w:r>
      <w:r>
        <w:t xml:space="preserve"> </w:t>
      </w:r>
      <w:r>
        <w:t xml:space="preserve">(CA et résultat communiqués par le Conseil des ministres) [3] [S] ; états financiers audités publiés : [?] non trouvés. Le FMI recommande la publication des comptes de toutes les entreprises publiques [1] [V].</w:t>
      </w:r>
    </w:p>
    <w:bookmarkEnd w:id="143"/>
    <w:bookmarkStart w:id="144" w:name="situation-financière-10"/>
    <w:p>
      <w:pPr>
        <w:pStyle w:val="Heading3"/>
      </w:pPr>
      <w:r>
        <w:t xml:space="preserve">1. Situation financière</w:t>
      </w:r>
    </w:p>
    <w:tbl>
      <w:tblPr>
        <w:tblStyle w:val="Table"/>
        <w:tblW w:type="dxa" w:w="14570"/>
        <w:tblLook w:firstRow="1" w:lastRow="0" w:firstColumn="0" w:lastColumn="0" w:noHBand="0" w:noVBand="0" w:val="0020"/>
        <w:jc w:val="start"/>
      </w:tblPr>
      <w:tblGrid>
        <w:gridCol w:w="3622"/>
        <w:gridCol w:w="7239"/>
        <w:gridCol w:w="936"/>
        <w:gridCol w:w="1666"/>
        <w:gridCol w:w="1105"/>
      </w:tblGrid>
      <w:tr>
        <w:trPr>
          <w:tblHeader w:val="true"/>
        </w:trPr>
        <w:tc>
          <w:tcPr>
            <w:tcW w:w="3622" w:type="dxa"/>
          </w:tcPr>
          <w:tcPr/>
          <w:p>
            <w:pPr>
              <w:pStyle w:val="Compact"/>
              <w:jc w:val="left"/>
            </w:pPr>
            <w:r>
              <w:t xml:space="preserve">Indicateur</w:t>
            </w:r>
          </w:p>
        </w:tc>
        <w:tc>
          <w:tcPr>
            <w:tcW w:w="7239" w:type="dxa"/>
          </w:tcPr>
          <w:tcPr/>
          <w:p>
            <w:pPr>
              <w:pStyle w:val="Compact"/>
              <w:jc w:val="left"/>
            </w:pPr>
            <w:r>
              <w:t xml:space="preserve">Valeur</w:t>
            </w:r>
          </w:p>
        </w:tc>
        <w:tc>
          <w:tcPr>
            <w:tcW w:w="936" w:type="dxa"/>
          </w:tcPr>
          <w:tcPr/>
          <w:p>
            <w:pPr>
              <w:pStyle w:val="Compact"/>
              <w:jc w:val="left"/>
            </w:pPr>
            <w:r>
              <w:t xml:space="preserve">Année</w:t>
            </w:r>
          </w:p>
        </w:tc>
        <w:tc>
          <w:tcPr>
            <w:tcW w:w="1666" w:type="dxa"/>
          </w:tcPr>
          <w:tcPr/>
          <w:p>
            <w:pPr>
              <w:pStyle w:val="Compact"/>
              <w:jc w:val="left"/>
            </w:pPr>
            <w:r>
              <w:t xml:space="preserve">Statut</w:t>
            </w:r>
          </w:p>
        </w:tc>
        <w:tc>
          <w:tcPr>
            <w:tcW w:w="1105" w:type="dxa"/>
          </w:tcPr>
          <w:tcPr/>
          <w:p>
            <w:pPr>
              <w:pStyle w:val="Compact"/>
              <w:jc w:val="left"/>
            </w:pPr>
            <w:r>
              <w:t xml:space="preserve">Source</w:t>
            </w:r>
          </w:p>
        </w:tc>
      </w:tr>
      <w:tr>
        <w:tc>
          <w:tcPr>
            <w:tcW w:w="3622" w:type="dxa"/>
          </w:tcPr>
          <w:tcPr/>
          <w:p>
            <w:pPr>
              <w:pStyle w:val="Compact"/>
              <w:jc w:val="left"/>
            </w:pPr>
            <w:r>
              <w:t xml:space="preserve">Chiffre d’affaires</w:t>
            </w:r>
          </w:p>
        </w:tc>
        <w:tc>
          <w:tcPr>
            <w:tcW w:w="7239" w:type="dxa"/>
          </w:tcPr>
          <w:tcPr/>
          <w:p>
            <w:pPr>
              <w:pStyle w:val="Compact"/>
              <w:jc w:val="left"/>
            </w:pPr>
            <w:r>
              <w:rPr>
                <w:bCs/>
                <w:b/>
              </w:rPr>
              <w:t xml:space="preserve">41,96 Md FDJ</w:t>
            </w:r>
            <w:r>
              <w:t xml:space="preserve"> </w:t>
            </w:r>
            <w:r>
              <w:t xml:space="preserve">(≈ 236 M USD) ; 35,8 Md FDJ en 2023</w:t>
            </w:r>
          </w:p>
        </w:tc>
        <w:tc>
          <w:tcPr>
            <w:tcW w:w="936" w:type="dxa"/>
          </w:tcPr>
          <w:tcPr/>
          <w:p>
            <w:pPr>
              <w:pStyle w:val="Compact"/>
              <w:jc w:val="left"/>
            </w:pPr>
            <w:r>
              <w:t xml:space="preserve">2024</w:t>
            </w:r>
          </w:p>
        </w:tc>
        <w:tc>
          <w:tcPr>
            <w:tcW w:w="1666" w:type="dxa"/>
          </w:tcPr>
          <w:tcPr/>
          <w:p>
            <w:pPr>
              <w:pStyle w:val="Compact"/>
              <w:jc w:val="left"/>
            </w:pPr>
            <w:r>
              <w:t xml:space="preserve">[S] / [E] (conversion à 177,7 FDJ/USD)</w:t>
            </w:r>
          </w:p>
        </w:tc>
        <w:tc>
          <w:tcPr>
            <w:tcW w:w="1105" w:type="dxa"/>
          </w:tcPr>
          <w:tcPr/>
          <w:p>
            <w:pPr>
              <w:pStyle w:val="Compact"/>
              <w:jc w:val="left"/>
            </w:pPr>
            <w:r>
              <w:t xml:space="preserve">[3]</w:t>
            </w:r>
          </w:p>
        </w:tc>
      </w:tr>
      <w:tr>
        <w:tc>
          <w:tcPr>
            <w:tcW w:w="3622" w:type="dxa"/>
          </w:tcPr>
          <w:tcPr/>
          <w:p>
            <w:pPr>
              <w:pStyle w:val="Compact"/>
              <w:jc w:val="left"/>
            </w:pPr>
            <w:r>
              <w:t xml:space="preserve">Résultat net</w:t>
            </w:r>
          </w:p>
        </w:tc>
        <w:tc>
          <w:tcPr>
            <w:tcW w:w="7239" w:type="dxa"/>
          </w:tcPr>
          <w:tcPr/>
          <w:p>
            <w:pPr>
              <w:pStyle w:val="Compact"/>
              <w:jc w:val="left"/>
            </w:pPr>
            <w:r>
              <w:rPr>
                <w:bCs/>
                <w:b/>
              </w:rPr>
              <w:t xml:space="preserve">excédent de 1,46 Md FDJ (≈ 8,2 M USD)</w:t>
            </w:r>
            <w:r>
              <w:t xml:space="preserve"> </w:t>
            </w:r>
            <w:r>
              <w:t xml:space="preserve">; 2,9 Md FDJ en 2023 ; charges d’exploitation +26 % (31,2 → 39,4 Md FDJ)</w:t>
            </w:r>
          </w:p>
        </w:tc>
        <w:tc>
          <w:tcPr>
            <w:tcW w:w="936" w:type="dxa"/>
          </w:tcPr>
          <w:tcPr/>
          <w:p>
            <w:pPr>
              <w:pStyle w:val="Compact"/>
              <w:jc w:val="left"/>
            </w:pPr>
            <w:r>
              <w:t xml:space="preserve">2024</w:t>
            </w:r>
          </w:p>
        </w:tc>
        <w:tc>
          <w:tcPr>
            <w:tcW w:w="1666" w:type="dxa"/>
          </w:tcPr>
          <w:tcPr/>
          <w:p>
            <w:pPr>
              <w:pStyle w:val="Compact"/>
              <w:jc w:val="left"/>
            </w:pPr>
            <w:r>
              <w:t xml:space="preserve">[S]</w:t>
            </w:r>
          </w:p>
        </w:tc>
        <w:tc>
          <w:tcPr>
            <w:tcW w:w="1105" w:type="dxa"/>
          </w:tcPr>
          <w:tcPr/>
          <w:p>
            <w:pPr>
              <w:pStyle w:val="Compact"/>
              <w:jc w:val="left"/>
            </w:pPr>
            <w:r>
              <w:t xml:space="preserve">[3]</w:t>
            </w:r>
          </w:p>
        </w:tc>
      </w:tr>
      <w:tr>
        <w:tc>
          <w:tcPr>
            <w:tcW w:w="3622" w:type="dxa"/>
          </w:tcPr>
          <w:tcPr/>
          <w:p>
            <w:pPr>
              <w:pStyle w:val="Compact"/>
              <w:jc w:val="left"/>
            </w:pPr>
            <w:r>
              <w:t xml:space="preserve">EBITDA / dette</w:t>
            </w:r>
          </w:p>
        </w:tc>
        <w:tc>
          <w:tcPr>
            <w:tcW w:w="7239" w:type="dxa"/>
          </w:tcPr>
          <w:tcPr/>
          <w:p>
            <w:pPr>
              <w:pStyle w:val="Compact"/>
              <w:jc w:val="left"/>
            </w:pPr>
            <w:r>
              <w:t xml:space="preserve">[?]</w:t>
            </w:r>
          </w:p>
        </w:tc>
        <w:tc>
          <w:tcPr>
            <w:tcW w:w="936" w:type="dxa"/>
          </w:tcPr>
          <w:tcPr/>
          <w:p>
            <w:pPr>
              <w:pStyle w:val="Compact"/>
            </w:pPr>
          </w:p>
        </w:tc>
        <w:tc>
          <w:tcPr>
            <w:tcW w:w="1666" w:type="dxa"/>
          </w:tcPr>
          <w:tcPr/>
          <w:p>
            <w:pPr>
              <w:pStyle w:val="Compact"/>
            </w:pPr>
          </w:p>
        </w:tc>
        <w:tc>
          <w:tcPr>
            <w:tcW w:w="1105" w:type="dxa"/>
          </w:tcPr>
          <w:tcPr/>
          <w:p>
            <w:pPr>
              <w:pStyle w:val="Compact"/>
            </w:pPr>
          </w:p>
        </w:tc>
      </w:tr>
      <w:tr>
        <w:tc>
          <w:tcPr>
            <w:tcW w:w="3622" w:type="dxa"/>
          </w:tcPr>
          <w:tcPr/>
          <w:p>
            <w:pPr>
              <w:pStyle w:val="Compact"/>
              <w:jc w:val="left"/>
            </w:pPr>
            <w:r>
              <w:t xml:space="preserve">Arriérés de l’État envers EDD</w:t>
            </w:r>
          </w:p>
        </w:tc>
        <w:tc>
          <w:tcPr>
            <w:tcW w:w="7239" w:type="dxa"/>
          </w:tcPr>
          <w:tcPr/>
          <w:p>
            <w:pPr>
              <w:pStyle w:val="Compact"/>
              <w:jc w:val="left"/>
            </w:pPr>
            <w:r>
              <w:rPr>
                <w:bCs/>
                <w:b/>
              </w:rPr>
              <w:t xml:space="preserve">330 M USD</w:t>
            </w:r>
            <w:r>
              <w:t xml:space="preserve"> </w:t>
            </w:r>
            <w:r>
              <w:t xml:space="preserve">(pacte) ; le FMI confirme des « paiements insuffisants des clients publics » qui obligent EDD à surtarifer les autres clients</w:t>
            </w:r>
          </w:p>
        </w:tc>
        <w:tc>
          <w:tcPr>
            <w:tcW w:w="936" w:type="dxa"/>
          </w:tcPr>
          <w:tcPr/>
          <w:p>
            <w:pPr>
              <w:pStyle w:val="Compact"/>
              <w:jc w:val="left"/>
            </w:pPr>
            <w:r>
              <w:t xml:space="preserve">2024–2025</w:t>
            </w:r>
          </w:p>
        </w:tc>
        <w:tc>
          <w:tcPr>
            <w:tcW w:w="1666" w:type="dxa"/>
          </w:tcPr>
          <w:tcPr/>
          <w:p>
            <w:pPr>
              <w:pStyle w:val="Compact"/>
              <w:jc w:val="left"/>
            </w:pPr>
            <w:r>
              <w:t xml:space="preserve">(pacte) / [V]</w:t>
            </w:r>
          </w:p>
        </w:tc>
        <w:tc>
          <w:tcPr>
            <w:tcW w:w="1105" w:type="dxa"/>
          </w:tcPr>
          <w:tcPr/>
          <w:p>
            <w:pPr>
              <w:pStyle w:val="Compact"/>
              <w:jc w:val="left"/>
            </w:pPr>
            <w:r>
              <w:t xml:space="preserve">[5][1]</w:t>
            </w:r>
          </w:p>
        </w:tc>
      </w:tr>
      <w:tr>
        <w:tc>
          <w:tcPr>
            <w:tcW w:w="3622" w:type="dxa"/>
          </w:tcPr>
          <w:tcPr/>
          <w:p>
            <w:pPr>
              <w:pStyle w:val="Compact"/>
              <w:jc w:val="left"/>
            </w:pPr>
            <w:r>
              <w:t xml:space="preserve">Ordre de grandeur des arriérés</w:t>
            </w:r>
          </w:p>
        </w:tc>
        <w:tc>
          <w:tcPr>
            <w:tcW w:w="7239" w:type="dxa"/>
          </w:tcPr>
          <w:tcPr/>
          <w:p>
            <w:pPr>
              <w:pStyle w:val="Compact"/>
              <w:jc w:val="left"/>
            </w:pPr>
            <w:r>
              <w:t xml:space="preserve">330 M USD ≈</w:t>
            </w:r>
            <w:r>
              <w:t xml:space="preserve"> </w:t>
            </w:r>
            <w:r>
              <w:rPr>
                <w:bCs/>
                <w:b/>
              </w:rPr>
              <w:t xml:space="preserve">1,4 année de chiffre d’affaires</w:t>
            </w:r>
          </w:p>
        </w:tc>
        <w:tc>
          <w:tcPr>
            <w:tcW w:w="936" w:type="dxa"/>
          </w:tcPr>
          <w:tcPr/>
          <w:p>
            <w:pPr>
              <w:pStyle w:val="Compact"/>
              <w:jc w:val="left"/>
            </w:pPr>
            <w:r>
              <w:t xml:space="preserve">2024</w:t>
            </w:r>
          </w:p>
        </w:tc>
        <w:tc>
          <w:tcPr>
            <w:tcW w:w="1666" w:type="dxa"/>
          </w:tcPr>
          <w:tcPr/>
          <w:p>
            <w:pPr>
              <w:pStyle w:val="Compact"/>
              <w:jc w:val="left"/>
            </w:pPr>
            <w:r>
              <w:t xml:space="preserve">[E]</w:t>
            </w:r>
          </w:p>
        </w:tc>
        <w:tc>
          <w:tcPr>
            <w:tcW w:w="1105" w:type="dxa"/>
          </w:tcPr>
          <w:tcPr/>
          <w:p>
            <w:pPr>
              <w:pStyle w:val="Compact"/>
              <w:jc w:val="left"/>
            </w:pPr>
            <w:r>
              <w:t xml:space="preserve">[3][5]</w:t>
            </w:r>
          </w:p>
        </w:tc>
      </w:tr>
      <w:tr>
        <w:tc>
          <w:tcPr>
            <w:tcW w:w="3622" w:type="dxa"/>
          </w:tcPr>
          <w:tcPr/>
          <w:p>
            <w:pPr>
              <w:pStyle w:val="Compact"/>
              <w:jc w:val="left"/>
            </w:pPr>
            <w:r>
              <w:t xml:space="preserve">Transferts / subventions</w:t>
            </w:r>
          </w:p>
        </w:tc>
        <w:tc>
          <w:tcPr>
            <w:tcW w:w="7239" w:type="dxa"/>
          </w:tcPr>
          <w:tcPr/>
          <w:p>
            <w:pPr>
              <w:pStyle w:val="Compact"/>
              <w:jc w:val="left"/>
            </w:pPr>
            <w:r>
              <w:t xml:space="preserve">[?] ; le pacte évoque des « subventions continues » sans montant</w:t>
            </w:r>
          </w:p>
        </w:tc>
        <w:tc>
          <w:tcPr>
            <w:tcW w:w="936" w:type="dxa"/>
          </w:tcPr>
          <w:tcPr/>
          <w:p>
            <w:pPr>
              <w:pStyle w:val="Compact"/>
            </w:pPr>
          </w:p>
        </w:tc>
        <w:tc>
          <w:tcPr>
            <w:tcW w:w="1666" w:type="dxa"/>
          </w:tcPr>
          <w:tcPr/>
          <w:p>
            <w:pPr>
              <w:pStyle w:val="Compact"/>
              <w:jc w:val="left"/>
            </w:pPr>
            <w:r>
              <w:t xml:space="preserve">(pacte)</w:t>
            </w:r>
          </w:p>
        </w:tc>
        <w:tc>
          <w:tcPr>
            <w:tcW w:w="1105" w:type="dxa"/>
          </w:tcPr>
          <w:tcPr/>
          <w:p>
            <w:pPr>
              <w:pStyle w:val="Compact"/>
              <w:jc w:val="left"/>
            </w:pPr>
            <w:r>
              <w:t xml:space="preserve">[5]</w:t>
            </w:r>
          </w:p>
        </w:tc>
      </w:tr>
      <w:tr>
        <w:tc>
          <w:tcPr>
            <w:tcW w:w="3622" w:type="dxa"/>
          </w:tcPr>
          <w:tcPr/>
          <w:p>
            <w:pPr>
              <w:pStyle w:val="Compact"/>
              <w:jc w:val="left"/>
            </w:pPr>
            <w:r>
              <w:t xml:space="preserve">Taux de recouvrement</w:t>
            </w:r>
          </w:p>
        </w:tc>
        <w:tc>
          <w:tcPr>
            <w:tcW w:w="7239" w:type="dxa"/>
          </w:tcPr>
          <w:tcPr/>
          <w:p>
            <w:pPr>
              <w:pStyle w:val="Compact"/>
              <w:jc w:val="left"/>
            </w:pPr>
            <w:r>
              <w:t xml:space="preserve">[?] ; problème concentré sur le secteur public</w:t>
            </w:r>
          </w:p>
        </w:tc>
        <w:tc>
          <w:tcPr>
            <w:tcW w:w="936" w:type="dxa"/>
          </w:tcPr>
          <w:tcPr/>
          <w:p>
            <w:pPr>
              <w:pStyle w:val="Compact"/>
            </w:pPr>
          </w:p>
        </w:tc>
        <w:tc>
          <w:tcPr>
            <w:tcW w:w="1666" w:type="dxa"/>
          </w:tcPr>
          <w:tcPr/>
          <w:p>
            <w:pPr>
              <w:pStyle w:val="Compact"/>
              <w:jc w:val="left"/>
            </w:pPr>
            <w:r>
              <w:t xml:space="preserve">[V]</w:t>
            </w:r>
          </w:p>
        </w:tc>
        <w:tc>
          <w:tcPr>
            <w:tcW w:w="1105" w:type="dxa"/>
          </w:tcPr>
          <w:tcPr/>
          <w:p>
            <w:pPr>
              <w:pStyle w:val="Compact"/>
              <w:jc w:val="left"/>
            </w:pPr>
            <w:r>
              <w:t xml:space="preserve">[1]</w:t>
            </w:r>
          </w:p>
        </w:tc>
      </w:tr>
      <w:tr>
        <w:tc>
          <w:tcPr>
            <w:tcW w:w="3622" w:type="dxa"/>
          </w:tcPr>
          <w:tcPr/>
          <w:p>
            <w:pPr>
              <w:pStyle w:val="Compact"/>
              <w:jc w:val="left"/>
            </w:pPr>
            <w:r>
              <w:t xml:space="preserve">Recette moyenne vs coût</w:t>
            </w:r>
          </w:p>
        </w:tc>
        <w:tc>
          <w:tcPr>
            <w:tcW w:w="7239" w:type="dxa"/>
          </w:tcPr>
          <w:tcPr/>
          <w:p>
            <w:pPr>
              <w:pStyle w:val="Compact"/>
              <w:jc w:val="left"/>
            </w:pPr>
            <w:r>
              <w:rPr>
                <w:bCs/>
                <w:b/>
              </w:rPr>
              <w:t xml:space="preserve">prix de vente moyen 29 c USD/kWh vs coût d’approvisionnement estimé 9–11 c USD/kWh</w:t>
            </w:r>
            <w:r>
              <w:t xml:space="preserve"> </w:t>
            </w:r>
            <w:r>
              <w:t xml:space="preserve">(≈ ×3)</w:t>
            </w:r>
          </w:p>
        </w:tc>
        <w:tc>
          <w:tcPr>
            <w:tcW w:w="936" w:type="dxa"/>
          </w:tcPr>
          <w:tcPr/>
          <w:p>
            <w:pPr>
              <w:pStyle w:val="Compact"/>
              <w:jc w:val="left"/>
            </w:pPr>
            <w:r>
              <w:t xml:space="preserve">2025</w:t>
            </w:r>
          </w:p>
        </w:tc>
        <w:tc>
          <w:tcPr>
            <w:tcW w:w="1666" w:type="dxa"/>
          </w:tcPr>
          <w:tcPr/>
          <w:p>
            <w:pPr>
              <w:pStyle w:val="Compact"/>
              <w:jc w:val="left"/>
            </w:pPr>
            <w:r>
              <w:t xml:space="preserve">[V]</w:t>
            </w:r>
          </w:p>
        </w:tc>
        <w:tc>
          <w:tcPr>
            <w:tcW w:w="1105" w:type="dxa"/>
          </w:tcPr>
          <w:tcPr/>
          <w:p>
            <w:pPr>
              <w:pStyle w:val="Compact"/>
              <w:jc w:val="left"/>
            </w:pPr>
            <w:r>
              <w:t xml:space="preserve">[1] Box 1</w:t>
            </w:r>
          </w:p>
        </w:tc>
      </w:tr>
      <w:tr>
        <w:tc>
          <w:tcPr>
            <w:tcW w:w="3622" w:type="dxa"/>
          </w:tcPr>
          <w:tcPr/>
          <w:p>
            <w:pPr>
              <w:pStyle w:val="Compact"/>
              <w:jc w:val="left"/>
            </w:pPr>
            <w:r>
              <w:t xml:space="preserve">Recette / kWh produit</w:t>
            </w:r>
          </w:p>
        </w:tc>
        <w:tc>
          <w:tcPr>
            <w:tcW w:w="7239" w:type="dxa"/>
          </w:tcPr>
          <w:tcPr/>
          <w:p>
            <w:pPr>
              <w:pStyle w:val="Compact"/>
              <w:jc w:val="left"/>
            </w:pPr>
            <w:r>
              <w:t xml:space="preserve">≈ 55 FDJ/kWh (41,96 Md FDJ / 763 851 MWh), cohérent avec 0,28–0,31 USD/kWh</w:t>
            </w:r>
          </w:p>
        </w:tc>
        <w:tc>
          <w:tcPr>
            <w:tcW w:w="936" w:type="dxa"/>
          </w:tcPr>
          <w:tcPr/>
          <w:p>
            <w:pPr>
              <w:pStyle w:val="Compact"/>
              <w:jc w:val="left"/>
            </w:pPr>
            <w:r>
              <w:t xml:space="preserve">2024</w:t>
            </w:r>
          </w:p>
        </w:tc>
        <w:tc>
          <w:tcPr>
            <w:tcW w:w="1666" w:type="dxa"/>
          </w:tcPr>
          <w:tcPr/>
          <w:p>
            <w:pPr>
              <w:pStyle w:val="Compact"/>
              <w:jc w:val="left"/>
            </w:pPr>
            <w:r>
              <w:t xml:space="preserve">[E]</w:t>
            </w:r>
          </w:p>
        </w:tc>
        <w:tc>
          <w:tcPr>
            <w:tcW w:w="1105" w:type="dxa"/>
          </w:tcPr>
          <w:tcPr/>
          <w:p>
            <w:pPr>
              <w:pStyle w:val="Compact"/>
              <w:jc w:val="left"/>
            </w:pPr>
            <w:r>
              <w:t xml:space="preserve">[3]</w:t>
            </w:r>
          </w:p>
        </w:tc>
      </w:tr>
      <w:tr>
        <w:tc>
          <w:tcPr>
            <w:tcW w:w="3622" w:type="dxa"/>
          </w:tcPr>
          <w:tcPr/>
          <w:p>
            <w:pPr>
              <w:pStyle w:val="Compact"/>
              <w:jc w:val="left"/>
            </w:pPr>
            <w:r>
              <w:t xml:space="preserve">Notation</w:t>
            </w:r>
          </w:p>
        </w:tc>
        <w:tc>
          <w:tcPr>
            <w:tcW w:w="7239" w:type="dxa"/>
          </w:tcPr>
          <w:tcPr/>
          <w:p>
            <w:pPr>
              <w:pStyle w:val="Compact"/>
              <w:jc w:val="left"/>
            </w:pPr>
            <w:r>
              <w:t xml:space="preserve">aucune</w:t>
            </w:r>
          </w:p>
        </w:tc>
        <w:tc>
          <w:tcPr>
            <w:tcW w:w="936" w:type="dxa"/>
          </w:tcPr>
          <w:tcPr/>
          <w:p>
            <w:pPr>
              <w:pStyle w:val="Compact"/>
            </w:pPr>
          </w:p>
        </w:tc>
        <w:tc>
          <w:tcPr>
            <w:tcW w:w="1666" w:type="dxa"/>
          </w:tcPr>
          <w:tcPr/>
          <w:p>
            <w:pPr>
              <w:pStyle w:val="Compact"/>
              <w:jc w:val="left"/>
            </w:pPr>
            <w:r>
              <w:t xml:space="preserve">[?]</w:t>
            </w:r>
          </w:p>
        </w:tc>
        <w:tc>
          <w:tcPr>
            <w:tcW w:w="1105" w:type="dxa"/>
          </w:tcPr>
          <w:tcPr/>
          <w:p>
            <w:pPr>
              <w:pStyle w:val="Compact"/>
            </w:pPr>
          </w:p>
        </w:tc>
      </w:tr>
    </w:tbl>
    <w:bookmarkEnd w:id="144"/>
    <w:bookmarkStart w:id="145" w:name="situation-technique-10"/>
    <w:p>
      <w:pPr>
        <w:pStyle w:val="Heading3"/>
      </w:pPr>
      <w:r>
        <w:t xml:space="preserve">2. Situation technique</w:t>
      </w:r>
    </w:p>
    <w:tbl>
      <w:tblPr>
        <w:tblStyle w:val="Table"/>
        <w:tblW w:type="dxa" w:w="14570"/>
        <w:tblLook w:firstRow="1" w:lastRow="0" w:firstColumn="0" w:lastColumn="0" w:noHBand="0" w:noVBand="0" w:val="0020"/>
        <w:jc w:val="start"/>
      </w:tblPr>
      <w:tblGrid>
        <w:gridCol w:w="3014"/>
        <w:gridCol w:w="7502"/>
        <w:gridCol w:w="1383"/>
        <w:gridCol w:w="1518"/>
        <w:gridCol w:w="1151"/>
      </w:tblGrid>
      <w:tr>
        <w:trPr>
          <w:tblHeader w:val="true"/>
        </w:trPr>
        <w:tc>
          <w:tcPr>
            <w:tcW w:w="3014" w:type="dxa"/>
          </w:tcPr>
          <w:tcPr/>
          <w:p>
            <w:pPr>
              <w:pStyle w:val="Compact"/>
              <w:jc w:val="left"/>
            </w:pPr>
            <w:r>
              <w:t xml:space="preserve">Indicateur</w:t>
            </w:r>
          </w:p>
        </w:tc>
        <w:tc>
          <w:tcPr>
            <w:tcW w:w="7502" w:type="dxa"/>
          </w:tcPr>
          <w:tcPr/>
          <w:p>
            <w:pPr>
              <w:pStyle w:val="Compact"/>
              <w:jc w:val="left"/>
            </w:pPr>
            <w:r>
              <w:t xml:space="preserve">Valeur</w:t>
            </w:r>
          </w:p>
        </w:tc>
        <w:tc>
          <w:tcPr>
            <w:tcW w:w="1383" w:type="dxa"/>
          </w:tcPr>
          <w:tcPr/>
          <w:p>
            <w:pPr>
              <w:pStyle w:val="Compact"/>
              <w:jc w:val="left"/>
            </w:pPr>
            <w:r>
              <w:t xml:space="preserve">Année</w:t>
            </w:r>
          </w:p>
        </w:tc>
        <w:tc>
          <w:tcPr>
            <w:tcW w:w="1518" w:type="dxa"/>
          </w:tcPr>
          <w:tcPr/>
          <w:p>
            <w:pPr>
              <w:pStyle w:val="Compact"/>
              <w:jc w:val="left"/>
            </w:pPr>
            <w:r>
              <w:t xml:space="preserve">Statut</w:t>
            </w:r>
          </w:p>
        </w:tc>
        <w:tc>
          <w:tcPr>
            <w:tcW w:w="1151" w:type="dxa"/>
          </w:tcPr>
          <w:tcPr/>
          <w:p>
            <w:pPr>
              <w:pStyle w:val="Compact"/>
              <w:jc w:val="left"/>
            </w:pPr>
            <w:r>
              <w:t xml:space="preserve">Source</w:t>
            </w:r>
          </w:p>
        </w:tc>
      </w:tr>
      <w:tr>
        <w:tc>
          <w:tcPr>
            <w:tcW w:w="3014" w:type="dxa"/>
          </w:tcPr>
          <w:tcPr/>
          <w:p>
            <w:pPr>
              <w:pStyle w:val="Compact"/>
              <w:jc w:val="left"/>
            </w:pPr>
            <w:r>
              <w:t xml:space="preserve">Production / approvisionnement</w:t>
            </w:r>
          </w:p>
        </w:tc>
        <w:tc>
          <w:tcPr>
            <w:tcW w:w="7502" w:type="dxa"/>
          </w:tcPr>
          <w:tcPr/>
          <w:p>
            <w:pPr>
              <w:pStyle w:val="Compact"/>
              <w:jc w:val="left"/>
            </w:pPr>
            <w:r>
              <w:t xml:space="preserve">763 851 MWh produits (+7,2 %)</w:t>
            </w:r>
          </w:p>
        </w:tc>
        <w:tc>
          <w:tcPr>
            <w:tcW w:w="1383" w:type="dxa"/>
          </w:tcPr>
          <w:tcPr/>
          <w:p>
            <w:pPr>
              <w:pStyle w:val="Compact"/>
              <w:jc w:val="left"/>
            </w:pPr>
            <w:r>
              <w:t xml:space="preserve">2024</w:t>
            </w:r>
          </w:p>
        </w:tc>
        <w:tc>
          <w:tcPr>
            <w:tcW w:w="1518" w:type="dxa"/>
          </w:tcPr>
          <w:tcPr/>
          <w:p>
            <w:pPr>
              <w:pStyle w:val="Compact"/>
              <w:jc w:val="left"/>
            </w:pPr>
            <w:r>
              <w:t xml:space="preserve">[S]</w:t>
            </w:r>
          </w:p>
        </w:tc>
        <w:tc>
          <w:tcPr>
            <w:tcW w:w="1151" w:type="dxa"/>
          </w:tcPr>
          <w:tcPr/>
          <w:p>
            <w:pPr>
              <w:pStyle w:val="Compact"/>
              <w:jc w:val="left"/>
            </w:pPr>
            <w:r>
              <w:t xml:space="preserve">[3]</w:t>
            </w:r>
          </w:p>
        </w:tc>
      </w:tr>
      <w:tr>
        <w:tc>
          <w:tcPr>
            <w:tcW w:w="3014" w:type="dxa"/>
          </w:tcPr>
          <w:tcPr/>
          <w:p>
            <w:pPr>
              <w:pStyle w:val="Compact"/>
              <w:jc w:val="left"/>
            </w:pPr>
            <w:r>
              <w:t xml:space="preserve">Mix d’approvisionnement</w:t>
            </w:r>
          </w:p>
        </w:tc>
        <w:tc>
          <w:tcPr>
            <w:tcW w:w="7502" w:type="dxa"/>
          </w:tcPr>
          <w:tcPr/>
          <w:p>
            <w:pPr>
              <w:pStyle w:val="Compact"/>
              <w:jc w:val="left"/>
            </w:pPr>
            <w:r>
              <w:t xml:space="preserve">hydro importée d’Éthiopie 63 %, éolien 27 %, thermique 10 % (pacte) ; le FMI confirme le faible coût des imports éthiopiens et du Ghoubet</w:t>
            </w:r>
          </w:p>
        </w:tc>
        <w:tc>
          <w:tcPr>
            <w:tcW w:w="1383" w:type="dxa"/>
          </w:tcPr>
          <w:tcPr/>
          <w:p>
            <w:pPr>
              <w:pStyle w:val="Compact"/>
              <w:jc w:val="left"/>
            </w:pPr>
            <w:r>
              <w:t xml:space="preserve">2024</w:t>
            </w:r>
          </w:p>
        </w:tc>
        <w:tc>
          <w:tcPr>
            <w:tcW w:w="1518" w:type="dxa"/>
          </w:tcPr>
          <w:tcPr/>
          <w:p>
            <w:pPr>
              <w:pStyle w:val="Compact"/>
              <w:jc w:val="left"/>
            </w:pPr>
            <w:r>
              <w:t xml:space="preserve">(pacte) / [V]</w:t>
            </w:r>
          </w:p>
        </w:tc>
        <w:tc>
          <w:tcPr>
            <w:tcW w:w="1151" w:type="dxa"/>
          </w:tcPr>
          <w:tcPr/>
          <w:p>
            <w:pPr>
              <w:pStyle w:val="Compact"/>
              <w:jc w:val="left"/>
            </w:pPr>
            <w:r>
              <w:t xml:space="preserve">[5][1]</w:t>
            </w:r>
          </w:p>
        </w:tc>
      </w:tr>
      <w:tr>
        <w:tc>
          <w:tcPr>
            <w:tcW w:w="3014" w:type="dxa"/>
          </w:tcPr>
          <w:tcPr/>
          <w:p>
            <w:pPr>
              <w:pStyle w:val="Compact"/>
              <w:jc w:val="left"/>
            </w:pPr>
            <w:r>
              <w:t xml:space="preserve">Interconnexion</w:t>
            </w:r>
          </w:p>
        </w:tc>
        <w:tc>
          <w:tcPr>
            <w:tcW w:w="7502" w:type="dxa"/>
          </w:tcPr>
          <w:tcPr/>
          <w:p>
            <w:pPr>
              <w:pStyle w:val="Compact"/>
              <w:jc w:val="left"/>
            </w:pPr>
            <w:r>
              <w:t xml:space="preserve">capacité d’échange 80 MW (1re ligne) ; 2e ligne Galafi–Nagad :</w:t>
            </w:r>
            <w:r>
              <w:t xml:space="preserve"> </w:t>
            </w:r>
            <w:r>
              <w:rPr>
                <w:bCs/>
                <w:b/>
              </w:rPr>
              <w:t xml:space="preserve">0 km construit à juillet 2026</w:t>
            </w:r>
            <w:r>
              <w:t xml:space="preserve">, cible 192 km, capacité totale visée 200 MW</w:t>
            </w:r>
          </w:p>
        </w:tc>
        <w:tc>
          <w:tcPr>
            <w:tcW w:w="1383" w:type="dxa"/>
          </w:tcPr>
          <w:tcPr/>
          <w:p>
            <w:pPr>
              <w:pStyle w:val="Compact"/>
              <w:jc w:val="left"/>
            </w:pPr>
            <w:r>
              <w:t xml:space="preserve">2026</w:t>
            </w:r>
          </w:p>
        </w:tc>
        <w:tc>
          <w:tcPr>
            <w:tcW w:w="1518" w:type="dxa"/>
          </w:tcPr>
          <w:tcPr/>
          <w:p>
            <w:pPr>
              <w:pStyle w:val="Compact"/>
              <w:jc w:val="left"/>
            </w:pPr>
            <w:r>
              <w:t xml:space="preserve">[V]</w:t>
            </w:r>
          </w:p>
        </w:tc>
        <w:tc>
          <w:tcPr>
            <w:tcW w:w="1151" w:type="dxa"/>
          </w:tcPr>
          <w:tcPr/>
          <w:p>
            <w:pPr>
              <w:pStyle w:val="Compact"/>
              <w:jc w:val="left"/>
            </w:pPr>
            <w:r>
              <w:t xml:space="preserve">[2]</w:t>
            </w:r>
          </w:p>
        </w:tc>
      </w:tr>
      <w:tr>
        <w:tc>
          <w:tcPr>
            <w:tcW w:w="3014" w:type="dxa"/>
          </w:tcPr>
          <w:tcPr/>
          <w:p>
            <w:pPr>
              <w:pStyle w:val="Compact"/>
              <w:jc w:val="left"/>
            </w:pPr>
            <w:r>
              <w:t xml:space="preserve">Pertes</w:t>
            </w:r>
          </w:p>
        </w:tc>
        <w:tc>
          <w:tcPr>
            <w:tcW w:w="7502" w:type="dxa"/>
          </w:tcPr>
          <w:tcPr/>
          <w:p>
            <w:pPr>
              <w:pStyle w:val="Compact"/>
              <w:jc w:val="left"/>
            </w:pPr>
            <w:r>
              <w:t xml:space="preserve">17 % (2024)</w:t>
            </w:r>
          </w:p>
        </w:tc>
        <w:tc>
          <w:tcPr>
            <w:tcW w:w="1383" w:type="dxa"/>
          </w:tcPr>
          <w:tcPr/>
          <w:p>
            <w:pPr>
              <w:pStyle w:val="Compact"/>
              <w:jc w:val="left"/>
            </w:pPr>
            <w:r>
              <w:t xml:space="preserve">2024</w:t>
            </w:r>
          </w:p>
        </w:tc>
        <w:tc>
          <w:tcPr>
            <w:tcW w:w="1518" w:type="dxa"/>
          </w:tcPr>
          <w:tcPr/>
          <w:p>
            <w:pPr>
              <w:pStyle w:val="Compact"/>
              <w:jc w:val="left"/>
            </w:pPr>
            <w:r>
              <w:t xml:space="preserve">(pacte)</w:t>
            </w:r>
          </w:p>
        </w:tc>
        <w:tc>
          <w:tcPr>
            <w:tcW w:w="1151" w:type="dxa"/>
          </w:tcPr>
          <w:tcPr/>
          <w:p>
            <w:pPr>
              <w:pStyle w:val="Compact"/>
              <w:jc w:val="left"/>
            </w:pPr>
            <w:r>
              <w:t xml:space="preserve">[5]</w:t>
            </w:r>
          </w:p>
        </w:tc>
      </w:tr>
      <w:tr>
        <w:tc>
          <w:tcPr>
            <w:tcW w:w="3014" w:type="dxa"/>
          </w:tcPr>
          <w:tcPr/>
          <w:p>
            <w:pPr>
              <w:pStyle w:val="Compact"/>
              <w:jc w:val="left"/>
            </w:pPr>
            <w:r>
              <w:t xml:space="preserve">Fiabilité (transport)</w:t>
            </w:r>
          </w:p>
        </w:tc>
        <w:tc>
          <w:tcPr>
            <w:tcW w:w="7502" w:type="dxa"/>
          </w:tcPr>
          <w:tcPr/>
          <w:p>
            <w:pPr>
              <w:pStyle w:val="Compact"/>
              <w:jc w:val="left"/>
            </w:pPr>
            <w:r>
              <w:t xml:space="preserve">120 h/an de coupures sur le réseau de transport (base et valeur actuelle), cible 50 h</w:t>
            </w:r>
          </w:p>
        </w:tc>
        <w:tc>
          <w:tcPr>
            <w:tcW w:w="1383" w:type="dxa"/>
          </w:tcPr>
          <w:tcPr/>
          <w:p>
            <w:pPr>
              <w:pStyle w:val="Compact"/>
              <w:jc w:val="left"/>
            </w:pPr>
            <w:r>
              <w:t xml:space="preserve">2021–2026</w:t>
            </w:r>
          </w:p>
        </w:tc>
        <w:tc>
          <w:tcPr>
            <w:tcW w:w="1518" w:type="dxa"/>
          </w:tcPr>
          <w:tcPr/>
          <w:p>
            <w:pPr>
              <w:pStyle w:val="Compact"/>
              <w:jc w:val="left"/>
            </w:pPr>
            <w:r>
              <w:t xml:space="preserve">[V]</w:t>
            </w:r>
          </w:p>
        </w:tc>
        <w:tc>
          <w:tcPr>
            <w:tcW w:w="1151" w:type="dxa"/>
          </w:tcPr>
          <w:tcPr/>
          <w:p>
            <w:pPr>
              <w:pStyle w:val="Compact"/>
              <w:jc w:val="left"/>
            </w:pPr>
            <w:r>
              <w:t xml:space="preserve">[2]</w:t>
            </w:r>
          </w:p>
        </w:tc>
      </w:tr>
      <w:tr>
        <w:tc>
          <w:tcPr>
            <w:tcW w:w="3014" w:type="dxa"/>
          </w:tcPr>
          <w:tcPr/>
          <w:p>
            <w:pPr>
              <w:pStyle w:val="Compact"/>
              <w:jc w:val="left"/>
            </w:pPr>
            <w:r>
              <w:t xml:space="preserve">Clients / accès</w:t>
            </w:r>
          </w:p>
        </w:tc>
        <w:tc>
          <w:tcPr>
            <w:tcW w:w="7502" w:type="dxa"/>
          </w:tcPr>
          <w:tcPr/>
          <w:p>
            <w:pPr>
              <w:pStyle w:val="Compact"/>
              <w:jc w:val="left"/>
            </w:pPr>
            <w:r>
              <w:t xml:space="preserve">85 017 abonnés (2024, pacte) ; plus d’un tiers de la population non raccordée (2022)</w:t>
            </w:r>
          </w:p>
        </w:tc>
        <w:tc>
          <w:tcPr>
            <w:tcW w:w="1383" w:type="dxa"/>
          </w:tcPr>
          <w:tcPr/>
          <w:p>
            <w:pPr>
              <w:pStyle w:val="Compact"/>
              <w:jc w:val="left"/>
            </w:pPr>
            <w:r>
              <w:t xml:space="preserve">2022–2024</w:t>
            </w:r>
          </w:p>
        </w:tc>
        <w:tc>
          <w:tcPr>
            <w:tcW w:w="1518" w:type="dxa"/>
          </w:tcPr>
          <w:tcPr/>
          <w:p>
            <w:pPr>
              <w:pStyle w:val="Compact"/>
              <w:jc w:val="left"/>
            </w:pPr>
            <w:r>
              <w:t xml:space="preserve">(pacte) / [V]</w:t>
            </w:r>
          </w:p>
        </w:tc>
        <w:tc>
          <w:tcPr>
            <w:tcW w:w="1151" w:type="dxa"/>
          </w:tcPr>
          <w:tcPr/>
          <w:p>
            <w:pPr>
              <w:pStyle w:val="Compact"/>
              <w:jc w:val="left"/>
            </w:pPr>
            <w:r>
              <w:t xml:space="preserve">[5][1]</w:t>
            </w:r>
          </w:p>
        </w:tc>
      </w:tr>
      <w:tr>
        <w:tc>
          <w:tcPr>
            <w:tcW w:w="3014" w:type="dxa"/>
          </w:tcPr>
          <w:tcPr/>
          <w:p>
            <w:pPr>
              <w:pStyle w:val="Compact"/>
              <w:jc w:val="left"/>
            </w:pPr>
            <w:r>
              <w:t xml:space="preserve">Fragmentation</w:t>
            </w:r>
          </w:p>
        </w:tc>
        <w:tc>
          <w:tcPr>
            <w:tcW w:w="7502" w:type="dxa"/>
          </w:tcPr>
          <w:tcPr/>
          <w:p>
            <w:pPr>
              <w:pStyle w:val="Compact"/>
              <w:jc w:val="left"/>
            </w:pPr>
            <w:r>
              <w:t xml:space="preserve">ports et bases militaires passent à l’autoproduction solaire</w:t>
            </w:r>
          </w:p>
        </w:tc>
        <w:tc>
          <w:tcPr>
            <w:tcW w:w="1383" w:type="dxa"/>
          </w:tcPr>
          <w:tcPr/>
          <w:p>
            <w:pPr>
              <w:pStyle w:val="Compact"/>
              <w:jc w:val="left"/>
            </w:pPr>
            <w:r>
              <w:t xml:space="preserve">2025</w:t>
            </w:r>
          </w:p>
        </w:tc>
        <w:tc>
          <w:tcPr>
            <w:tcW w:w="1518" w:type="dxa"/>
          </w:tcPr>
          <w:tcPr/>
          <w:p>
            <w:pPr>
              <w:pStyle w:val="Compact"/>
              <w:jc w:val="left"/>
            </w:pPr>
            <w:r>
              <w:t xml:space="preserve">[V]</w:t>
            </w:r>
          </w:p>
        </w:tc>
        <w:tc>
          <w:tcPr>
            <w:tcW w:w="1151" w:type="dxa"/>
          </w:tcPr>
          <w:tcPr/>
          <w:p>
            <w:pPr>
              <w:pStyle w:val="Compact"/>
              <w:jc w:val="left"/>
            </w:pPr>
            <w:r>
              <w:t xml:space="preserve">[1]</w:t>
            </w:r>
          </w:p>
        </w:tc>
      </w:tr>
    </w:tbl>
    <w:bookmarkEnd w:id="145"/>
    <w:bookmarkStart w:id="146" w:name="situation-économique-et-gouvernance-10"/>
    <w:p>
      <w:pPr>
        <w:pStyle w:val="Heading3"/>
      </w:pPr>
      <w:r>
        <w:t xml:space="preserve">3. Situation économique et gouvernance</w:t>
      </w:r>
    </w:p>
    <w:p>
      <w:pPr>
        <w:numPr>
          <w:ilvl w:val="0"/>
          <w:numId w:val="1076"/>
        </w:numPr>
        <w:pStyle w:val="Compact"/>
      </w:pPr>
      <w:r>
        <w:rPr>
          <w:bCs/>
          <w:b/>
        </w:rPr>
        <w:t xml:space="preserve">PPA</w:t>
      </w:r>
      <w:r>
        <w:t xml:space="preserve"> </w:t>
      </w:r>
      <w:r>
        <w:t xml:space="preserve">: contrat d’importation avec EEP (Éthiopie) ; PPA éolien Ghoubet [5] (pacte) ; conditions financières [?].</w:t>
      </w:r>
    </w:p>
    <w:p>
      <w:pPr>
        <w:numPr>
          <w:ilvl w:val="0"/>
          <w:numId w:val="1076"/>
        </w:numPr>
        <w:pStyle w:val="Compact"/>
      </w:pPr>
      <w:r>
        <w:rPr>
          <w:bCs/>
          <w:b/>
        </w:rPr>
        <w:t xml:space="preserve">Change</w:t>
      </w:r>
      <w:r>
        <w:t xml:space="preserve"> </w:t>
      </w:r>
      <w:r>
        <w:t xml:space="preserve">: franc arrimé au dollar (caisse d’émission) [E] ; risque principal = dépendance à une seule ligne d’importation et à la stabilité régionale [1][2] [V].</w:t>
      </w:r>
    </w:p>
    <w:p>
      <w:pPr>
        <w:numPr>
          <w:ilvl w:val="0"/>
          <w:numId w:val="1076"/>
        </w:numPr>
        <w:pStyle w:val="Compact"/>
      </w:pPr>
      <w:r>
        <w:rPr>
          <w:bCs/>
          <w:b/>
        </w:rPr>
        <w:t xml:space="preserve">Plan de redressement</w:t>
      </w:r>
      <w:r>
        <w:t xml:space="preserve"> </w:t>
      </w:r>
      <w:r>
        <w:t xml:space="preserve">: audit stratégique et financier d’EDD (pacte : T1 2027) ; FMI : clarifier les relations financières État–SOE pour « prévenir l’accumulation future d’arriérés de dépenses envers les SOE », contrats de performance fondés sur des KPI (à étendre au-delà de l’ONEAD), revue des portefeuilles de SOE en 2026 [1] [V].</w:t>
      </w:r>
    </w:p>
    <w:p>
      <w:pPr>
        <w:numPr>
          <w:ilvl w:val="0"/>
          <w:numId w:val="1076"/>
        </w:numPr>
        <w:pStyle w:val="Compact"/>
      </w:pPr>
      <w:r>
        <w:rPr>
          <w:bCs/>
          <w:b/>
        </w:rPr>
        <w:t xml:space="preserve">Gouvernance</w:t>
      </w:r>
      <w:r>
        <w:t xml:space="preserve"> </w:t>
      </w:r>
      <w:r>
        <w:t xml:space="preserve">: conseil d’administration à réformer (critères de qualification) ; comptes non publiés [1] [V].</w:t>
      </w:r>
    </w:p>
    <w:bookmarkEnd w:id="146"/>
    <w:bookmarkStart w:id="147" w:name="X290581a7ecc5af6180089dc3431f1c9b742014e"/>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360"/>
        <w:gridCol w:w="1028"/>
        <w:gridCol w:w="1596"/>
        <w:gridCol w:w="1289"/>
        <w:gridCol w:w="3408"/>
        <w:gridCol w:w="2113"/>
        <w:gridCol w:w="829"/>
        <w:gridCol w:w="944"/>
      </w:tblGrid>
      <w:tr>
        <w:trPr>
          <w:tblHeader w:val="true"/>
        </w:trPr>
        <w:tc>
          <w:tcPr>
            <w:tcW w:w="3360" w:type="dxa"/>
          </w:tcPr>
          <w:tcPr/>
          <w:p>
            <w:pPr>
              <w:pStyle w:val="Compact"/>
              <w:jc w:val="left"/>
            </w:pPr>
            <w:r>
              <w:t xml:space="preserve">Programme / projet</w:t>
            </w:r>
          </w:p>
        </w:tc>
        <w:tc>
          <w:tcPr>
            <w:tcW w:w="1028" w:type="dxa"/>
          </w:tcPr>
          <w:tcPr/>
          <w:p>
            <w:pPr>
              <w:pStyle w:val="Compact"/>
              <w:jc w:val="left"/>
            </w:pPr>
            <w:r>
              <w:t xml:space="preserve">Bailleur</w:t>
            </w:r>
          </w:p>
        </w:tc>
        <w:tc>
          <w:tcPr>
            <w:tcW w:w="1596" w:type="dxa"/>
          </w:tcPr>
          <w:tcPr/>
          <w:p>
            <w:pPr>
              <w:pStyle w:val="Compact"/>
              <w:jc w:val="left"/>
            </w:pPr>
            <w:r>
              <w:t xml:space="preserve">Montant</w:t>
            </w:r>
          </w:p>
        </w:tc>
        <w:tc>
          <w:tcPr>
            <w:tcW w:w="1289" w:type="dxa"/>
          </w:tcPr>
          <w:tcPr/>
          <w:p>
            <w:pPr>
              <w:pStyle w:val="Compact"/>
              <w:jc w:val="left"/>
            </w:pPr>
            <w:r>
              <w:t xml:space="preserve">Années</w:t>
            </w:r>
          </w:p>
        </w:tc>
        <w:tc>
          <w:tcPr>
            <w:tcW w:w="3408" w:type="dxa"/>
          </w:tcPr>
          <w:tcPr/>
          <w:p>
            <w:pPr>
              <w:pStyle w:val="Compact"/>
              <w:jc w:val="left"/>
            </w:pPr>
            <w:r>
              <w:t xml:space="preserve">Objectifs liés à l’opérateur</w:t>
            </w:r>
          </w:p>
        </w:tc>
        <w:tc>
          <w:tcPr>
            <w:tcW w:w="2113" w:type="dxa"/>
          </w:tcPr>
          <w:tcPr/>
          <w:p>
            <w:pPr>
              <w:pStyle w:val="Compact"/>
              <w:jc w:val="left"/>
            </w:pPr>
            <w:r>
              <w:t xml:space="preserve">Conditions / indicateurs</w:t>
            </w:r>
          </w:p>
        </w:tc>
        <w:tc>
          <w:tcPr>
            <w:tcW w:w="829" w:type="dxa"/>
          </w:tcPr>
          <w:tcPr/>
          <w:p>
            <w:pPr>
              <w:pStyle w:val="Compact"/>
              <w:jc w:val="left"/>
            </w:pPr>
            <w:r>
              <w:t xml:space="preserve">Statut</w:t>
            </w:r>
          </w:p>
        </w:tc>
        <w:tc>
          <w:tcPr>
            <w:tcW w:w="944" w:type="dxa"/>
          </w:tcPr>
          <w:tcPr/>
          <w:p>
            <w:pPr>
              <w:pStyle w:val="Compact"/>
              <w:jc w:val="left"/>
            </w:pPr>
            <w:r>
              <w:t xml:space="preserve">Source</w:t>
            </w:r>
          </w:p>
        </w:tc>
      </w:tr>
      <w:tr>
        <w:tc>
          <w:tcPr>
            <w:tcW w:w="3360" w:type="dxa"/>
          </w:tcPr>
          <w:tcPr/>
          <w:p>
            <w:pPr>
              <w:pStyle w:val="Compact"/>
              <w:jc w:val="left"/>
            </w:pPr>
            <w:r>
              <w:rPr>
                <w:bCs/>
                <w:b/>
              </w:rPr>
              <w:t xml:space="preserve">Second Djibouti-Ethiopia Power System Interconnection Project (P173763)</w:t>
            </w:r>
          </w:p>
        </w:tc>
        <w:tc>
          <w:tcPr>
            <w:tcW w:w="1028" w:type="dxa"/>
          </w:tcPr>
          <w:tcPr/>
          <w:p>
            <w:pPr>
              <w:pStyle w:val="Compact"/>
              <w:jc w:val="left"/>
            </w:pPr>
            <w:r>
              <w:t xml:space="preserve">BM (IDA)</w:t>
            </w:r>
          </w:p>
        </w:tc>
        <w:tc>
          <w:tcPr>
            <w:tcW w:w="1596" w:type="dxa"/>
          </w:tcPr>
          <w:tcPr/>
          <w:p>
            <w:pPr>
              <w:pStyle w:val="Compact"/>
              <w:jc w:val="left"/>
            </w:pPr>
            <w:r>
              <w:t xml:space="preserve">55 M USD + 11,94 M don (coût 67 M)</w:t>
            </w:r>
          </w:p>
        </w:tc>
        <w:tc>
          <w:tcPr>
            <w:tcW w:w="1289" w:type="dxa"/>
          </w:tcPr>
          <w:tcPr/>
          <w:p>
            <w:pPr>
              <w:pStyle w:val="Compact"/>
              <w:jc w:val="left"/>
            </w:pPr>
            <w:r>
              <w:t xml:space="preserve">2022–</w:t>
            </w:r>
            <w:r>
              <w:rPr>
                <w:bCs/>
                <w:b/>
              </w:rPr>
              <w:t xml:space="preserve">2028</w:t>
            </w:r>
            <w:r>
              <w:t xml:space="preserve"> </w:t>
            </w:r>
            <w:r>
              <w:t xml:space="preserve">(clôture repoussée du 31/12/2026 au 30/11/2028)</w:t>
            </w:r>
          </w:p>
        </w:tc>
        <w:tc>
          <w:tcPr>
            <w:tcW w:w="3408" w:type="dxa"/>
          </w:tcPr>
          <w:tcPr/>
          <w:p>
            <w:pPr>
              <w:pStyle w:val="Compact"/>
              <w:jc w:val="left"/>
            </w:pPr>
            <w:r>
              <w:t xml:space="preserve">EDD agence d’exécution : ligne 230 kV Galafi–Nagad, extension du poste de Nagad</w:t>
            </w:r>
          </w:p>
        </w:tc>
        <w:tc>
          <w:tcPr>
            <w:tcW w:w="2113" w:type="dxa"/>
          </w:tcPr>
          <w:tcPr/>
          <w:p>
            <w:pPr>
              <w:pStyle w:val="Compact"/>
              <w:jc w:val="left"/>
            </w:pPr>
            <w:r>
              <w:t xml:space="preserve">indicateurs : capacité d’échange 80 → 200 MW, 100 GWh d’échanges supplémentaires ;</w:t>
            </w:r>
            <w:r>
              <w:t xml:space="preserve"> </w:t>
            </w:r>
            <w:r>
              <w:rPr>
                <w:bCs/>
                <w:b/>
              </w:rPr>
              <w:t xml:space="preserve">décaissé 20,35 % ; 0 km construit (juil. 2026)</w:t>
            </w:r>
          </w:p>
        </w:tc>
        <w:tc>
          <w:tcPr>
            <w:tcW w:w="829" w:type="dxa"/>
          </w:tcPr>
          <w:tcPr/>
          <w:p>
            <w:pPr>
              <w:pStyle w:val="Compact"/>
              <w:jc w:val="left"/>
            </w:pPr>
            <w:r>
              <w:t xml:space="preserve">Actif, MS</w:t>
            </w:r>
          </w:p>
        </w:tc>
        <w:tc>
          <w:tcPr>
            <w:tcW w:w="944" w:type="dxa"/>
          </w:tcPr>
          <w:tcPr/>
          <w:p>
            <w:pPr>
              <w:pStyle w:val="Compact"/>
              <w:jc w:val="left"/>
            </w:pPr>
            <w:r>
              <w:t xml:space="preserve">[2][4]</w:t>
            </w:r>
          </w:p>
        </w:tc>
      </w:tr>
      <w:tr>
        <w:tc>
          <w:tcPr>
            <w:tcW w:w="3360" w:type="dxa"/>
          </w:tcPr>
          <w:tcPr/>
          <w:p>
            <w:pPr>
              <w:pStyle w:val="Compact"/>
              <w:jc w:val="left"/>
            </w:pPr>
            <w:r>
              <w:t xml:space="preserve">Poste de Nagad (volet du même programme)</w:t>
            </w:r>
          </w:p>
        </w:tc>
        <w:tc>
          <w:tcPr>
            <w:tcW w:w="1028" w:type="dxa"/>
          </w:tcPr>
          <w:tcPr/>
          <w:p>
            <w:pPr>
              <w:pStyle w:val="Compact"/>
              <w:jc w:val="left"/>
            </w:pPr>
            <w:r>
              <w:t xml:space="preserve">BAD</w:t>
            </w:r>
          </w:p>
        </w:tc>
        <w:tc>
          <w:tcPr>
            <w:tcW w:w="1596" w:type="dxa"/>
          </w:tcPr>
          <w:tcPr/>
          <w:p>
            <w:pPr>
              <w:pStyle w:val="Compact"/>
              <w:jc w:val="left"/>
            </w:pPr>
            <w:r>
              <w:t xml:space="preserve">[?] (pacte côté Éthiopie : 58,18 M USD pour Semera–Nagad)</w:t>
            </w:r>
          </w:p>
        </w:tc>
        <w:tc>
          <w:tcPr>
            <w:tcW w:w="1289" w:type="dxa"/>
          </w:tcPr>
          <w:tcPr/>
          <w:p>
            <w:pPr>
              <w:pStyle w:val="Compact"/>
              <w:jc w:val="left"/>
            </w:pPr>
            <w:r>
              <w:t xml:space="preserve">2026–</w:t>
            </w:r>
          </w:p>
        </w:tc>
        <w:tc>
          <w:tcPr>
            <w:tcW w:w="3408" w:type="dxa"/>
          </w:tcPr>
          <w:tcPr/>
          <w:p>
            <w:pPr>
              <w:pStyle w:val="Compact"/>
              <w:jc w:val="left"/>
            </w:pPr>
            <w:r>
              <w:t xml:space="preserve">dossier d’appel d’offres lancé le 18/06/2026</w:t>
            </w:r>
          </w:p>
        </w:tc>
        <w:tc>
          <w:tcPr>
            <w:tcW w:w="2113" w:type="dxa"/>
          </w:tcPr>
          <w:tcPr/>
          <w:p>
            <w:pPr>
              <w:pStyle w:val="Compact"/>
              <w:jc w:val="left"/>
            </w:pPr>
            <w:r>
              <w:t xml:space="preserve">—</w:t>
            </w:r>
          </w:p>
        </w:tc>
        <w:tc>
          <w:tcPr>
            <w:tcW w:w="829" w:type="dxa"/>
          </w:tcPr>
          <w:tcPr/>
          <w:p>
            <w:pPr>
              <w:pStyle w:val="Compact"/>
              <w:jc w:val="left"/>
            </w:pPr>
            <w:r>
              <w:t xml:space="preserve">en passation</w:t>
            </w:r>
          </w:p>
        </w:tc>
        <w:tc>
          <w:tcPr>
            <w:tcW w:w="944" w:type="dxa"/>
          </w:tcPr>
          <w:tcPr/>
          <w:p>
            <w:pPr>
              <w:pStyle w:val="Compact"/>
              <w:jc w:val="left"/>
            </w:pPr>
            <w:r>
              <w:t xml:space="preserve">[2] ; fiche ETH ph. 1</w:t>
            </w:r>
          </w:p>
        </w:tc>
      </w:tr>
      <w:tr>
        <w:tc>
          <w:tcPr>
            <w:tcW w:w="3360" w:type="dxa"/>
          </w:tcPr>
          <w:tcPr/>
          <w:p>
            <w:pPr>
              <w:pStyle w:val="Compact"/>
              <w:jc w:val="left"/>
            </w:pPr>
            <w:r>
              <w:t xml:space="preserve">Djibouti: Sustainable Electrification Program (P158505)</w:t>
            </w:r>
          </w:p>
        </w:tc>
        <w:tc>
          <w:tcPr>
            <w:tcW w:w="1028" w:type="dxa"/>
          </w:tcPr>
          <w:tcPr/>
          <w:p>
            <w:pPr>
              <w:pStyle w:val="Compact"/>
              <w:jc w:val="left"/>
            </w:pPr>
            <w:r>
              <w:t xml:space="preserve">BM</w:t>
            </w:r>
          </w:p>
        </w:tc>
        <w:tc>
          <w:tcPr>
            <w:tcW w:w="1596" w:type="dxa"/>
          </w:tcPr>
          <w:tcPr/>
          <w:p>
            <w:pPr>
              <w:pStyle w:val="Compact"/>
              <w:jc w:val="left"/>
            </w:pPr>
            <w:r>
              <w:t xml:space="preserve">23,3 M USD</w:t>
            </w:r>
          </w:p>
        </w:tc>
        <w:tc>
          <w:tcPr>
            <w:tcW w:w="1289" w:type="dxa"/>
          </w:tcPr>
          <w:tcPr/>
          <w:p>
            <w:pPr>
              <w:pStyle w:val="Compact"/>
              <w:jc w:val="left"/>
            </w:pPr>
            <w:r>
              <w:t xml:space="preserve">2017–clos</w:t>
            </w:r>
          </w:p>
        </w:tc>
        <w:tc>
          <w:tcPr>
            <w:tcW w:w="3408" w:type="dxa"/>
          </w:tcPr>
          <w:tcPr/>
          <w:p>
            <w:pPr>
              <w:pStyle w:val="Compact"/>
              <w:jc w:val="left"/>
            </w:pPr>
            <w:r>
              <w:t xml:space="preserve">électrification (EDD)</w:t>
            </w:r>
          </w:p>
        </w:tc>
        <w:tc>
          <w:tcPr>
            <w:tcW w:w="2113" w:type="dxa"/>
          </w:tcPr>
          <w:tcPr/>
          <w:p>
            <w:pPr>
              <w:pStyle w:val="Compact"/>
              <w:jc w:val="left"/>
            </w:pPr>
            <w:r>
              <w:t xml:space="preserve">—</w:t>
            </w:r>
          </w:p>
        </w:tc>
        <w:tc>
          <w:tcPr>
            <w:tcW w:w="829" w:type="dxa"/>
          </w:tcPr>
          <w:tcPr/>
          <w:p>
            <w:pPr>
              <w:pStyle w:val="Compact"/>
              <w:jc w:val="left"/>
            </w:pPr>
            <w:r>
              <w:t xml:space="preserve">Clos</w:t>
            </w:r>
          </w:p>
        </w:tc>
        <w:tc>
          <w:tcPr>
            <w:tcW w:w="944" w:type="dxa"/>
          </w:tcPr>
          <w:tcPr/>
          <w:p>
            <w:pPr>
              <w:pStyle w:val="Compact"/>
              <w:jc w:val="left"/>
            </w:pPr>
            <w:r>
              <w:t xml:space="preserve">[4]</w:t>
            </w:r>
          </w:p>
        </w:tc>
      </w:tr>
      <w:tr>
        <w:tc>
          <w:tcPr>
            <w:tcW w:w="3360" w:type="dxa"/>
          </w:tcPr>
          <w:tcPr/>
          <w:p>
            <w:pPr>
              <w:pStyle w:val="Compact"/>
              <w:jc w:val="left"/>
            </w:pPr>
            <w:r>
              <w:t xml:space="preserve">Geothermal Power Generation Program (P127144, GEF)</w:t>
            </w:r>
          </w:p>
        </w:tc>
        <w:tc>
          <w:tcPr>
            <w:tcW w:w="1028" w:type="dxa"/>
          </w:tcPr>
          <w:tcPr/>
          <w:p>
            <w:pPr>
              <w:pStyle w:val="Compact"/>
              <w:jc w:val="left"/>
            </w:pPr>
            <w:r>
              <w:t xml:space="preserve">BM</w:t>
            </w:r>
          </w:p>
        </w:tc>
        <w:tc>
          <w:tcPr>
            <w:tcW w:w="1596" w:type="dxa"/>
          </w:tcPr>
          <w:tcPr/>
          <w:p>
            <w:pPr>
              <w:pStyle w:val="Compact"/>
              <w:jc w:val="left"/>
            </w:pPr>
            <w:r>
              <w:t xml:space="preserve">—</w:t>
            </w:r>
          </w:p>
        </w:tc>
        <w:tc>
          <w:tcPr>
            <w:tcW w:w="1289" w:type="dxa"/>
          </w:tcPr>
          <w:tcPr/>
          <w:p>
            <w:pPr>
              <w:pStyle w:val="Compact"/>
              <w:jc w:val="left"/>
            </w:pPr>
            <w:r>
              <w:t xml:space="preserve">—</w:t>
            </w:r>
          </w:p>
        </w:tc>
        <w:tc>
          <w:tcPr>
            <w:tcW w:w="3408" w:type="dxa"/>
          </w:tcPr>
          <w:tcPr/>
          <w:p>
            <w:pPr>
              <w:pStyle w:val="Compact"/>
              <w:jc w:val="left"/>
            </w:pPr>
            <w:r>
              <w:t xml:space="preserve">ODDEG</w:t>
            </w:r>
          </w:p>
        </w:tc>
        <w:tc>
          <w:tcPr>
            <w:tcW w:w="2113" w:type="dxa"/>
          </w:tcPr>
          <w:tcPr/>
          <w:p>
            <w:pPr>
              <w:pStyle w:val="Compact"/>
              <w:jc w:val="left"/>
            </w:pPr>
            <w:r>
              <w:t xml:space="preserve">—</w:t>
            </w:r>
          </w:p>
        </w:tc>
        <w:tc>
          <w:tcPr>
            <w:tcW w:w="829" w:type="dxa"/>
          </w:tcPr>
          <w:tcPr/>
          <w:p>
            <w:pPr>
              <w:pStyle w:val="Compact"/>
              <w:jc w:val="left"/>
            </w:pPr>
            <w:r>
              <w:t xml:space="preserve">Clos</w:t>
            </w:r>
          </w:p>
        </w:tc>
        <w:tc>
          <w:tcPr>
            <w:tcW w:w="944" w:type="dxa"/>
          </w:tcPr>
          <w:tcPr/>
          <w:p>
            <w:pPr>
              <w:pStyle w:val="Compact"/>
              <w:jc w:val="left"/>
            </w:pPr>
            <w:r>
              <w:t xml:space="preserve">[4]</w:t>
            </w:r>
          </w:p>
        </w:tc>
      </w:tr>
      <w:tr>
        <w:tc>
          <w:tcPr>
            <w:tcW w:w="3360" w:type="dxa"/>
          </w:tcPr>
          <w:tcPr/>
          <w:p>
            <w:pPr>
              <w:pStyle w:val="Compact"/>
              <w:jc w:val="left"/>
            </w:pPr>
            <w:r>
              <w:t xml:space="preserve">Article IV 2025</w:t>
            </w:r>
          </w:p>
        </w:tc>
        <w:tc>
          <w:tcPr>
            <w:tcW w:w="1028" w:type="dxa"/>
          </w:tcPr>
          <w:tcPr/>
          <w:p>
            <w:pPr>
              <w:pStyle w:val="Compact"/>
              <w:jc w:val="left"/>
            </w:pPr>
            <w:r>
              <w:t xml:space="preserve">FMI</w:t>
            </w:r>
          </w:p>
        </w:tc>
        <w:tc>
          <w:tcPr>
            <w:tcW w:w="1596" w:type="dxa"/>
          </w:tcPr>
          <w:tcPr/>
          <w:p>
            <w:pPr>
              <w:pStyle w:val="Compact"/>
              <w:jc w:val="left"/>
            </w:pPr>
            <w:r>
              <w:t xml:space="preserve">—</w:t>
            </w:r>
          </w:p>
        </w:tc>
        <w:tc>
          <w:tcPr>
            <w:tcW w:w="1289" w:type="dxa"/>
          </w:tcPr>
          <w:tcPr/>
          <w:p>
            <w:pPr>
              <w:pStyle w:val="Compact"/>
              <w:jc w:val="left"/>
            </w:pPr>
            <w:r>
              <w:t xml:space="preserve">2025</w:t>
            </w:r>
          </w:p>
        </w:tc>
        <w:tc>
          <w:tcPr>
            <w:tcW w:w="3408" w:type="dxa"/>
          </w:tcPr>
          <w:tcPr/>
          <w:p>
            <w:pPr>
              <w:pStyle w:val="Compact"/>
              <w:jc w:val="left"/>
            </w:pPr>
            <w:r>
              <w:t xml:space="preserve">recommandations : améliorer le recouvrement (y compris public), simplifier la grille,</w:t>
            </w:r>
            <w:r>
              <w:t xml:space="preserve"> </w:t>
            </w:r>
            <w:r>
              <w:rPr>
                <w:bCs/>
                <w:b/>
              </w:rPr>
              <w:t xml:space="preserve">baisser les tarifs au secteur privé</w:t>
            </w:r>
          </w:p>
        </w:tc>
        <w:tc>
          <w:tcPr>
            <w:tcW w:w="2113" w:type="dxa"/>
          </w:tcPr>
          <w:tcPr/>
          <w:p>
            <w:pPr>
              <w:pStyle w:val="Compact"/>
              <w:jc w:val="left"/>
            </w:pPr>
            <w:r>
              <w:t xml:space="preserve">non contraignant (pas de programme)</w:t>
            </w:r>
          </w:p>
        </w:tc>
        <w:tc>
          <w:tcPr>
            <w:tcW w:w="829" w:type="dxa"/>
          </w:tcPr>
          <w:tcPr/>
          <w:p>
            <w:pPr>
              <w:pStyle w:val="Compact"/>
              <w:jc w:val="left"/>
            </w:pPr>
            <w:r>
              <w:t xml:space="preserve">—</w:t>
            </w:r>
          </w:p>
        </w:tc>
        <w:tc>
          <w:tcPr>
            <w:tcW w:w="944" w:type="dxa"/>
          </w:tcPr>
          <w:tcPr/>
          <w:p>
            <w:pPr>
              <w:pStyle w:val="Compact"/>
              <w:jc w:val="left"/>
            </w:pPr>
            <w:r>
              <w:t xml:space="preserve">[1]</w:t>
            </w:r>
          </w:p>
        </w:tc>
      </w:tr>
      <w:tr>
        <w:tc>
          <w:tcPr>
            <w:tcW w:w="3360" w:type="dxa"/>
          </w:tcPr>
          <w:tcPr/>
          <w:p>
            <w:pPr>
              <w:pStyle w:val="Compact"/>
              <w:jc w:val="left"/>
            </w:pPr>
            <w:r>
              <w:t xml:space="preserve">Autres (pacte)</w:t>
            </w:r>
          </w:p>
        </w:tc>
        <w:tc>
          <w:tcPr>
            <w:tcW w:w="1028" w:type="dxa"/>
          </w:tcPr>
          <w:tcPr/>
          <w:p>
            <w:pPr>
              <w:pStyle w:val="Compact"/>
              <w:jc w:val="left"/>
            </w:pPr>
            <w:r>
              <w:t xml:space="preserve">BEI, AFD, GIZ, UE, PNUD/FEM</w:t>
            </w:r>
          </w:p>
        </w:tc>
        <w:tc>
          <w:tcPr>
            <w:tcW w:w="1596" w:type="dxa"/>
          </w:tcPr>
          <w:tcPr/>
          <w:p>
            <w:pPr>
              <w:pStyle w:val="Compact"/>
              <w:jc w:val="left"/>
            </w:pPr>
            <w:r>
              <w:t xml:space="preserve">—</w:t>
            </w:r>
          </w:p>
        </w:tc>
        <w:tc>
          <w:tcPr>
            <w:tcW w:w="1289" w:type="dxa"/>
          </w:tcPr>
          <w:tcPr/>
          <w:p>
            <w:pPr>
              <w:pStyle w:val="Compact"/>
              <w:jc w:val="left"/>
            </w:pPr>
            <w:r>
              <w:t xml:space="preserve">—</w:t>
            </w:r>
          </w:p>
        </w:tc>
        <w:tc>
          <w:tcPr>
            <w:tcW w:w="3408" w:type="dxa"/>
          </w:tcPr>
          <w:tcPr/>
          <w:p>
            <w:pPr>
              <w:pStyle w:val="Compact"/>
              <w:jc w:val="left"/>
            </w:pPr>
            <w:r>
              <w:t xml:space="preserve">—</w:t>
            </w:r>
          </w:p>
        </w:tc>
        <w:tc>
          <w:tcPr>
            <w:tcW w:w="2113" w:type="dxa"/>
          </w:tcPr>
          <w:tcPr/>
          <w:p>
            <w:pPr>
              <w:pStyle w:val="Compact"/>
              <w:jc w:val="left"/>
            </w:pPr>
            <w:r>
              <w:t xml:space="preserve">—</w:t>
            </w:r>
          </w:p>
        </w:tc>
        <w:tc>
          <w:tcPr>
            <w:tcW w:w="829" w:type="dxa"/>
          </w:tcPr>
          <w:tcPr/>
          <w:p>
            <w:pPr>
              <w:pStyle w:val="Compact"/>
              <w:jc w:val="left"/>
            </w:pPr>
            <w:r>
              <w:t xml:space="preserve">—</w:t>
            </w:r>
          </w:p>
        </w:tc>
        <w:tc>
          <w:tcPr>
            <w:tcW w:w="944" w:type="dxa"/>
          </w:tcPr>
          <w:tcPr/>
          <w:p>
            <w:pPr>
              <w:pStyle w:val="Compact"/>
              <w:jc w:val="left"/>
            </w:pPr>
            <w:r>
              <w:t xml:space="preserve">[5]</w:t>
            </w:r>
          </w:p>
        </w:tc>
      </w:tr>
    </w:tbl>
    <w:p>
      <w:pPr>
        <w:pStyle w:val="BlockText"/>
      </w:pPr>
      <w:r>
        <w:t xml:space="preserve">Aucun projet énergétique BM nouveau n’apparaît dans la base de projets pour Djibouti en 2025-2026 (seuls des projets de corridor, d’eau, de protection sociale) [4] [V].</w:t>
      </w:r>
    </w:p>
    <w:bookmarkEnd w:id="147"/>
    <w:bookmarkStart w:id="148" w:name="écart-pacte-réalité-10"/>
    <w:p>
      <w:pPr>
        <w:pStyle w:val="Heading3"/>
      </w:pPr>
      <w:r>
        <w:t xml:space="preserve">5. Écart pacte ↔ réalité</w:t>
      </w:r>
    </w:p>
    <w:p>
      <w:pPr>
        <w:numPr>
          <w:ilvl w:val="0"/>
          <w:numId w:val="1077"/>
        </w:numPr>
        <w:pStyle w:val="Compact"/>
      </w:pPr>
      <w:r>
        <w:rPr>
          <w:bCs/>
          <w:b/>
        </w:rPr>
        <w:t xml:space="preserve">Nature du problème tarifaire</w:t>
      </w:r>
      <w:r>
        <w:t xml:space="preserve"> </w:t>
      </w:r>
      <w:r>
        <w:t xml:space="preserve">: le pacte parle de « convergence des tarifs vers les coûts réels » et de subventions continues ; le FMI montre au contraire que le</w:t>
      </w:r>
      <w:r>
        <w:t xml:space="preserve"> </w:t>
      </w:r>
      <w:r>
        <w:rPr>
          <w:bCs/>
          <w:b/>
        </w:rPr>
        <w:t xml:space="preserve">prix moyen (29 c) est près de trois fois le coût d’approvisionnement (9–11 c)</w:t>
      </w:r>
      <w:r>
        <w:t xml:space="preserve"> </w:t>
      </w:r>
      <w:r>
        <w:t xml:space="preserve">[1] : le tarif finance en réalité les impayés publics et l’inefficacité, pas un déficit de recouvrement des coûts. L’objectif de baisse tarifaire du pacte est donc cohérent ; la formule « convergence vers les coûts » est trompeuse.</w:t>
      </w:r>
    </w:p>
    <w:p>
      <w:pPr>
        <w:numPr>
          <w:ilvl w:val="0"/>
          <w:numId w:val="1077"/>
        </w:numPr>
        <w:pStyle w:val="Compact"/>
      </w:pPr>
      <w:r>
        <w:rPr>
          <w:bCs/>
          <w:b/>
        </w:rPr>
        <w:t xml:space="preserve">Arriérés</w:t>
      </w:r>
      <w:r>
        <w:t xml:space="preserve"> </w:t>
      </w:r>
      <w:r>
        <w:t xml:space="preserve">: les 330 M USD du pacte représentent ≈ 1,4 an de chiffre d’affaires d’EDD [E] — un niveau incompatible avec l’excédent publié de 8,2 M USD si les créances étaient provisionnées ; la qualité des comptes doit être vérifiée.</w:t>
      </w:r>
    </w:p>
    <w:p>
      <w:pPr>
        <w:numPr>
          <w:ilvl w:val="0"/>
          <w:numId w:val="1077"/>
        </w:numPr>
        <w:pStyle w:val="Compact"/>
      </w:pPr>
      <w:r>
        <w:rPr>
          <w:bCs/>
          <w:b/>
        </w:rPr>
        <w:t xml:space="preserve">Interconnexion</w:t>
      </w:r>
      <w:r>
        <w:t xml:space="preserve"> </w:t>
      </w:r>
      <w:r>
        <w:t xml:space="preserve">: le pacte prévoit la mise en service de la 2e ligne au T2 2027 ; l’ISR BM de septembre 2026 indique 0 km construit, 20 % décaissé et une clôture repoussée à novembre 2028 [2] —</w:t>
      </w:r>
      <w:r>
        <w:t xml:space="preserve"> </w:t>
      </w:r>
      <w:r>
        <w:rPr>
          <w:bCs/>
          <w:b/>
        </w:rPr>
        <w:t xml:space="preserve">retard probable d’au moins un an</w:t>
      </w:r>
      <w:r>
        <w:t xml:space="preserve">.</w:t>
      </w:r>
    </w:p>
    <w:p>
      <w:pPr>
        <w:numPr>
          <w:ilvl w:val="0"/>
          <w:numId w:val="1077"/>
        </w:numPr>
        <w:pStyle w:val="Compact"/>
      </w:pPr>
      <w:r>
        <w:rPr>
          <w:bCs/>
          <w:b/>
        </w:rPr>
        <w:t xml:space="preserve">Comptes</w:t>
      </w:r>
      <w:r>
        <w:t xml:space="preserve"> </w:t>
      </w:r>
      <w:r>
        <w:t xml:space="preserve">: le pacte promet la publication annuelle des comptes audités ; seuls des agrégats du Conseil des ministres sont disponibles [3].</w:t>
      </w:r>
    </w:p>
    <w:bookmarkEnd w:id="148"/>
    <w:bookmarkStart w:id="149" w:name="diagnostic-synthétique-10"/>
    <w:p>
      <w:pPr>
        <w:pStyle w:val="Heading3"/>
      </w:pPr>
      <w:r>
        <w:t xml:space="preserve">6. Diagnostic synthétique</w:t>
      </w:r>
    </w:p>
    <w:p>
      <w:pPr>
        <w:numPr>
          <w:ilvl w:val="0"/>
          <w:numId w:val="1078"/>
        </w:numPr>
        <w:pStyle w:val="Compact"/>
      </w:pPr>
      <w:r>
        <w:rPr>
          <w:bCs/>
          <w:b/>
        </w:rPr>
        <w:t xml:space="preserve">Financier : faible à moyen</w:t>
      </w:r>
      <w:r>
        <w:t xml:space="preserve"> </w:t>
      </w:r>
      <w:r>
        <w:t xml:space="preserve">(résultat positif mais faible, arriérés publics massifs, tarifs très élevés qui font fuir les gros clients).</w:t>
      </w:r>
      <w:r>
        <w:t xml:space="preserve"> </w:t>
      </w:r>
      <w:r>
        <w:rPr>
          <w:bCs/>
          <w:b/>
        </w:rPr>
        <w:t xml:space="preserve">Technique : moyen</w:t>
      </w:r>
      <w:r>
        <w:t xml:space="preserve"> </w:t>
      </w:r>
      <w:r>
        <w:t xml:space="preserve">(approvisionnement bon marché et propre via l’Éthiopie, mais dépendance à une ligne unique, pertes 17 %).</w:t>
      </w:r>
      <w:r>
        <w:t xml:space="preserve"> </w:t>
      </w:r>
      <w:r>
        <w:rPr>
          <w:bCs/>
          <w:b/>
        </w:rPr>
        <w:t xml:space="preserve">Gouvernance : faible</w:t>
      </w:r>
      <w:r>
        <w:t xml:space="preserve"> </w:t>
      </w:r>
      <w:r>
        <w:t xml:space="preserve">(régulateur non opérationnel, comptes non publiés, État mauvais payeur).</w:t>
      </w:r>
    </w:p>
    <w:p>
      <w:pPr>
        <w:numPr>
          <w:ilvl w:val="0"/>
          <w:numId w:val="1078"/>
        </w:numPr>
        <w:pStyle w:val="Compact"/>
      </w:pPr>
      <w:r>
        <w:rPr>
          <w:bCs/>
          <w:b/>
        </w:rPr>
        <w:t xml:space="preserve">Causes racines</w:t>
      </w:r>
      <w:r>
        <w:t xml:space="preserve"> </w:t>
      </w:r>
      <w:r>
        <w:t xml:space="preserve">: (1) non-paiement des factures publiques ; (2) grille tarifaire complexe et non fondée sur les coûts (péréquation au détriment du privé) ; (3) retards d’investissement dans l’interconnexion et le réseau.</w:t>
      </w:r>
    </w:p>
    <w:p>
      <w:pPr>
        <w:numPr>
          <w:ilvl w:val="0"/>
          <w:numId w:val="1078"/>
        </w:numPr>
        <w:pStyle w:val="Compact"/>
      </w:pPr>
      <w:r>
        <w:rPr>
          <w:bCs/>
          <w:b/>
        </w:rPr>
        <w:t xml:space="preserve">Phase 3</w:t>
      </w:r>
      <w:r>
        <w:t xml:space="preserve"> </w:t>
      </w:r>
      <w:r>
        <w:t xml:space="preserve">: étude de coût de service (pacte : T4 2026), grille 2019 d’EDD, simulation d’une baisse tarifaire financée par l’apurement des arriérés.</w:t>
      </w:r>
    </w:p>
    <w:bookmarkEnd w:id="149"/>
    <w:bookmarkStart w:id="150" w:name="inconnus-10"/>
    <w:p>
      <w:pPr>
        <w:pStyle w:val="Heading3"/>
      </w:pPr>
      <w:r>
        <w:t xml:space="preserve">7. Inconnus</w:t>
      </w:r>
    </w:p>
    <w:p>
      <w:pPr>
        <w:numPr>
          <w:ilvl w:val="0"/>
          <w:numId w:val="1079"/>
        </w:numPr>
        <w:pStyle w:val="Compact"/>
      </w:pPr>
      <w:r>
        <w:t xml:space="preserve">États financiers audités d’EDD (bilan, créances, dettes envers EEP) [?].</w:t>
      </w:r>
    </w:p>
    <w:p>
      <w:pPr>
        <w:numPr>
          <w:ilvl w:val="0"/>
          <w:numId w:val="1079"/>
        </w:numPr>
        <w:pStyle w:val="Compact"/>
      </w:pPr>
      <w:r>
        <w:t xml:space="preserve">Ventilation et ancienneté des arriérés publics [?].</w:t>
      </w:r>
    </w:p>
    <w:p>
      <w:pPr>
        <w:numPr>
          <w:ilvl w:val="0"/>
          <w:numId w:val="1079"/>
        </w:numPr>
        <w:pStyle w:val="Compact"/>
      </w:pPr>
      <w:r>
        <w:t xml:space="preserve">Conditions du contrat d’importation avec EEP [?].</w:t>
      </w:r>
    </w:p>
    <w:p>
      <w:pPr>
        <w:numPr>
          <w:ilvl w:val="0"/>
          <w:numId w:val="1079"/>
        </w:numPr>
        <w:pStyle w:val="Compact"/>
      </w:pPr>
      <w:r>
        <w:t xml:space="preserve">Montant du financement BAD pour le poste de Nagad [?].</w:t>
      </w:r>
    </w:p>
    <w:bookmarkEnd w:id="150"/>
    <w:bookmarkStart w:id="151" w:name="sources-11"/>
    <w:p>
      <w:pPr>
        <w:pStyle w:val="Heading3"/>
      </w:pPr>
      <w:r>
        <w:t xml:space="preserve">Sources</w:t>
      </w:r>
    </w:p>
    <w:p>
      <w:pPr>
        <w:pStyle w:val="FirstParagraph"/>
      </w:pPr>
      <w:r>
        <w:t xml:space="preserve">[1] FMI,</w:t>
      </w:r>
      <w:r>
        <w:t xml:space="preserve"> </w:t>
      </w:r>
      <w:r>
        <w:rPr>
          <w:iCs/>
          <w:i/>
        </w:rPr>
        <w:t xml:space="preserve">Djibouti — 2025 Article IV Consultation</w:t>
      </w:r>
      <w:r>
        <w:t xml:space="preserve">, Country Report No. 25/276, septembre 2025 (Box 1 « Affordable and Reliable Electricity », recommandations SOE). https://meetings.imf.org/-/media/Files/Publications/CR/2025/English/1djiea2025001-source-pdf.ashx</w:t>
      </w:r>
      <w:r>
        <w:t xml:space="preserve"> </w:t>
      </w:r>
      <w:r>
        <w:t xml:space="preserve">[2] Banque mondiale, ISR n° 8 du</w:t>
      </w:r>
      <w:r>
        <w:t xml:space="preserve"> </w:t>
      </w:r>
      <w:r>
        <w:rPr>
          <w:iCs/>
          <w:i/>
        </w:rPr>
        <w:t xml:space="preserve">Second Djibouti-Ethiopia Power System Interconnection Project</w:t>
      </w:r>
      <w:r>
        <w:t xml:space="preserve"> </w:t>
      </w:r>
      <w:r>
        <w:t xml:space="preserve">(P173763), 11/09/2026.</w:t>
      </w:r>
      <w:r>
        <w:t xml:space="preserve"> </w:t>
      </w:r>
      <w:r>
        <w:t xml:space="preserve">[3] Dawan Africa, « Djibouti Electricity posts $8.2 million profit for 2024 » (d’après le Conseil des ministres), 2025. https://www.dawan.africa/news/djibouti-electricity-posts-dollar82-million-profit-for-2024</w:t>
      </w:r>
      <w:r>
        <w:t xml:space="preserve"> </w:t>
      </w:r>
      <w:r>
        <w:t xml:space="preserve">[4] Banque mondiale, base de données des projets (API v2/v3, 18/10/2026) — P173763, P158505, P127144 ; liste des projets Djibouti.</w:t>
      </w:r>
      <w:r>
        <w:t xml:space="preserve"> </w:t>
      </w:r>
      <w:r>
        <w:t xml:space="preserve">[5] République de Djibouti,</w:t>
      </w:r>
      <w:r>
        <w:t xml:space="preserve"> </w:t>
      </w:r>
      <w:r>
        <w:rPr>
          <w:iCs/>
          <w:i/>
        </w:rPr>
        <w:t xml:space="preserve">Pacte national de l’énergie</w:t>
      </w:r>
      <w:r>
        <w:t xml:space="preserve">, juin 2026 (pacte ; voir fiche phase 1).</w:t>
      </w:r>
    </w:p>
    <w:p>
      <w:r>
        <w:br w:type="page"/>
      </w:r>
    </w:p>
    <w:bookmarkEnd w:id="151"/>
    <w:bookmarkEnd w:id="152"/>
    <w:bookmarkStart w:id="162" w:name="diagnostic-opérateur-eep-et-eeu-éthiopie"/>
    <w:p>
      <w:pPr>
        <w:pStyle w:val="Heading2"/>
      </w:pPr>
      <w:r>
        <w:t xml:space="preserve">Diagnostic opérateur — EEP et EEU (Éthiopie)</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Point de départ : fiche phase 1</w:t>
      </w:r>
      <w:r>
        <w:t xml:space="preserve"> </w:t>
      </w:r>
      <w:r>
        <w:rPr>
          <w:rStyle w:val="VerbatimChar"/>
        </w:rPr>
        <w:t xml:space="preserve">../../phase1/fiches/ETH_ethiopie.md</w:t>
      </w:r>
      <w:r>
        <w:t xml:space="preserve">. Recherche documentaire au 18/10/2026.</w:t>
      </w:r>
    </w:p>
    <w:bookmarkStart w:id="153" w:name="identité-11"/>
    <w:p>
      <w:pPr>
        <w:pStyle w:val="Heading3"/>
      </w:pPr>
      <w:r>
        <w:t xml:space="preserve">0. Identité</w:t>
      </w:r>
    </w:p>
    <w:p>
      <w:pPr>
        <w:numPr>
          <w:ilvl w:val="0"/>
          <w:numId w:val="1080"/>
        </w:numPr>
        <w:pStyle w:val="Compact"/>
      </w:pPr>
      <w:r>
        <w:rPr>
          <w:bCs/>
          <w:b/>
        </w:rPr>
        <w:t xml:space="preserve">Opérateurs</w:t>
      </w:r>
      <w:r>
        <w:t xml:space="preserve"> </w:t>
      </w:r>
      <w:r>
        <w:t xml:space="preserve">:</w:t>
      </w:r>
      <w:r>
        <w:t xml:space="preserve"> </w:t>
      </w:r>
      <w:r>
        <w:rPr>
          <w:bCs/>
          <w:b/>
        </w:rPr>
        <w:t xml:space="preserve">Ethiopian Electric Power (EEP)</w:t>
      </w:r>
      <w:r>
        <w:t xml:space="preserve"> </w:t>
      </w:r>
      <w:r>
        <w:t xml:space="preserve">— production, transport, conduite du système, exportations, grands clients HT ;</w:t>
      </w:r>
      <w:r>
        <w:t xml:space="preserve"> </w:t>
      </w:r>
      <w:r>
        <w:rPr>
          <w:bCs/>
          <w:b/>
        </w:rPr>
        <w:t xml:space="preserve">Ethiopian Electric Utility (EEU)</w:t>
      </w:r>
      <w:r>
        <w:t xml:space="preserve"> </w:t>
      </w:r>
      <w:r>
        <w:t xml:space="preserve">— distribution, ventes, service client [1] [V]. Entreprises publiques détenues par la holding</w:t>
      </w:r>
      <w:r>
        <w:t xml:space="preserve"> </w:t>
      </w:r>
      <w:r>
        <w:rPr>
          <w:bCs/>
          <w:b/>
        </w:rPr>
        <w:t xml:space="preserve">Ethiopian Investment Holdings (EIH)</w:t>
      </w:r>
      <w:r>
        <w:t xml:space="preserve"> </w:t>
      </w:r>
      <w:r>
        <w:t xml:space="preserve">[1][2] [V].</w:t>
      </w:r>
    </w:p>
    <w:p>
      <w:pPr>
        <w:numPr>
          <w:ilvl w:val="0"/>
          <w:numId w:val="1080"/>
        </w:numPr>
        <w:pStyle w:val="Compact"/>
      </w:pPr>
      <w:r>
        <w:rPr>
          <w:bCs/>
          <w:b/>
        </w:rPr>
        <w:t xml:space="preserve">Tutelle</w:t>
      </w:r>
      <w:r>
        <w:t xml:space="preserve"> </w:t>
      </w:r>
      <w:r>
        <w:t xml:space="preserve">: Ministry of Water and Energy (MoWE) ; Ministry of Finance [1] [V].</w:t>
      </w:r>
    </w:p>
    <w:p>
      <w:pPr>
        <w:numPr>
          <w:ilvl w:val="0"/>
          <w:numId w:val="1080"/>
        </w:numPr>
        <w:pStyle w:val="Compact"/>
      </w:pPr>
      <w:r>
        <w:rPr>
          <w:bCs/>
          <w:b/>
        </w:rPr>
        <w:t xml:space="preserve">Régulateur</w:t>
      </w:r>
      <w:r>
        <w:t xml:space="preserve"> </w:t>
      </w:r>
      <w:r>
        <w:t xml:space="preserve">: Petroleum and Energy Authority (PEA) — a publié en 2025 une évaluation des revenus requis et des ajustements tarifaires nécessaires pour atteindre le recouvrement des coûts d’exploitation et du service de la dette d’ici 2028 [3] [V]. Le tarif est en pratique fixé par décision du Conseil des ministres (plan quadriennal) [3] [V].</w:t>
      </w:r>
    </w:p>
    <w:p>
      <w:pPr>
        <w:numPr>
          <w:ilvl w:val="0"/>
          <w:numId w:val="1080"/>
        </w:numPr>
        <w:pStyle w:val="Compact"/>
      </w:pPr>
      <w:r>
        <w:rPr>
          <w:bCs/>
          <w:b/>
        </w:rPr>
        <w:t xml:space="preserve">Derniers comptes</w:t>
      </w:r>
      <w:r>
        <w:t xml:space="preserve"> </w:t>
      </w:r>
      <w:r>
        <w:t xml:space="preserve">: [?] non trouvés en ligne. EEP a enregistré des pertes nettes « through FY24 » [4] [V] ; le DPO 2024 a imposé la publication annuelle de comptes audités des SOE sous EIH [3] [V] ; l’ASCENT (DLR 3.1) rémunère la remise à temps de comptes IFRS audités d’EEU avec opinion sans réserve [4] [V].</w:t>
      </w:r>
    </w:p>
    <w:bookmarkEnd w:id="153"/>
    <w:bookmarkStart w:id="154" w:name="situation-financière-11"/>
    <w:p>
      <w:pPr>
        <w:pStyle w:val="Heading3"/>
      </w:pPr>
      <w:r>
        <w:t xml:space="preserve">1. Situation financière</w:t>
      </w:r>
    </w:p>
    <w:tbl>
      <w:tblPr>
        <w:tblStyle w:val="Table"/>
        <w:tblW w:type="dxa" w:w="14570"/>
        <w:tblLook w:firstRow="1" w:lastRow="0" w:firstColumn="0" w:lastColumn="0" w:noHBand="0" w:noVBand="0" w:val="0020"/>
        <w:jc w:val="start"/>
      </w:tblPr>
      <w:tblGrid>
        <w:gridCol w:w="3224"/>
        <w:gridCol w:w="8122"/>
        <w:gridCol w:w="1058"/>
        <w:gridCol w:w="1076"/>
        <w:gridCol w:w="1088"/>
      </w:tblGrid>
      <w:tr>
        <w:trPr>
          <w:tblHeader w:val="true"/>
        </w:trPr>
        <w:tc>
          <w:tcPr>
            <w:tcW w:w="3224" w:type="dxa"/>
          </w:tcPr>
          <w:tcPr/>
          <w:p>
            <w:pPr>
              <w:pStyle w:val="Compact"/>
              <w:jc w:val="left"/>
            </w:pPr>
            <w:r>
              <w:t xml:space="preserve">Indicateur</w:t>
            </w:r>
          </w:p>
        </w:tc>
        <w:tc>
          <w:tcPr>
            <w:tcW w:w="8122" w:type="dxa"/>
          </w:tcPr>
          <w:tcPr/>
          <w:p>
            <w:pPr>
              <w:pStyle w:val="Compact"/>
              <w:jc w:val="left"/>
            </w:pPr>
            <w:r>
              <w:t xml:space="preserve">Valeur</w:t>
            </w:r>
          </w:p>
        </w:tc>
        <w:tc>
          <w:tcPr>
            <w:tcW w:w="1058" w:type="dxa"/>
          </w:tcPr>
          <w:tcPr/>
          <w:p>
            <w:pPr>
              <w:pStyle w:val="Compact"/>
              <w:jc w:val="left"/>
            </w:pPr>
            <w:r>
              <w:t xml:space="preserve">Année</w:t>
            </w:r>
          </w:p>
        </w:tc>
        <w:tc>
          <w:tcPr>
            <w:tcW w:w="1076" w:type="dxa"/>
          </w:tcPr>
          <w:tcPr/>
          <w:p>
            <w:pPr>
              <w:pStyle w:val="Compact"/>
              <w:jc w:val="left"/>
            </w:pPr>
            <w:r>
              <w:t xml:space="preserve">Statut</w:t>
            </w:r>
          </w:p>
        </w:tc>
        <w:tc>
          <w:tcPr>
            <w:tcW w:w="1088" w:type="dxa"/>
          </w:tcPr>
          <w:tcPr/>
          <w:p>
            <w:pPr>
              <w:pStyle w:val="Compact"/>
              <w:jc w:val="left"/>
            </w:pPr>
            <w:r>
              <w:t xml:space="preserve">Source</w:t>
            </w:r>
          </w:p>
        </w:tc>
      </w:tr>
      <w:tr>
        <w:tc>
          <w:tcPr>
            <w:tcW w:w="3224" w:type="dxa"/>
          </w:tcPr>
          <w:tcPr/>
          <w:p>
            <w:pPr>
              <w:pStyle w:val="Compact"/>
              <w:jc w:val="left"/>
            </w:pPr>
            <w:r>
              <w:t xml:space="preserve">Chiffre d’affaires EEU</w:t>
            </w:r>
          </w:p>
        </w:tc>
        <w:tc>
          <w:tcPr>
            <w:tcW w:w="8122" w:type="dxa"/>
          </w:tcPr>
          <w:tcPr/>
          <w:p>
            <w:pPr>
              <w:pStyle w:val="Compact"/>
              <w:jc w:val="left"/>
            </w:pPr>
            <w:r>
              <w:t xml:space="preserve">52,26 Md ETB au 1er semestre (−3,6 % vs objectif), dont 16,6 Md (31,8 %) de frais de raccordement ; opex ≈ 32 Md ; capex 20,8 Md ETB</w:t>
            </w:r>
          </w:p>
        </w:tc>
        <w:tc>
          <w:tcPr>
            <w:tcW w:w="1058" w:type="dxa"/>
          </w:tcPr>
          <w:tcPr/>
          <w:p>
            <w:pPr>
              <w:pStyle w:val="Compact"/>
              <w:jc w:val="left"/>
            </w:pPr>
            <w:r>
              <w:t xml:space="preserve">S1 FY2025/26</w:t>
            </w:r>
          </w:p>
        </w:tc>
        <w:tc>
          <w:tcPr>
            <w:tcW w:w="1076" w:type="dxa"/>
          </w:tcPr>
          <w:tcPr/>
          <w:p>
            <w:pPr>
              <w:pStyle w:val="Compact"/>
              <w:jc w:val="left"/>
            </w:pPr>
            <w:r>
              <w:t xml:space="preserve">[S]</w:t>
            </w:r>
          </w:p>
        </w:tc>
        <w:tc>
          <w:tcPr>
            <w:tcW w:w="1088" w:type="dxa"/>
          </w:tcPr>
          <w:tcPr/>
          <w:p>
            <w:pPr>
              <w:pStyle w:val="Compact"/>
              <w:jc w:val="left"/>
            </w:pPr>
            <w:r>
              <w:t xml:space="preserve">[7]</w:t>
            </w:r>
          </w:p>
        </w:tc>
      </w:tr>
      <w:tr>
        <w:tc>
          <w:tcPr>
            <w:tcW w:w="3224" w:type="dxa"/>
          </w:tcPr>
          <w:tcPr/>
          <w:p>
            <w:pPr>
              <w:pStyle w:val="Compact"/>
              <w:jc w:val="left"/>
            </w:pPr>
            <w:r>
              <w:t xml:space="preserve">Résultat net</w:t>
            </w:r>
          </w:p>
        </w:tc>
        <w:tc>
          <w:tcPr>
            <w:tcW w:w="8122" w:type="dxa"/>
          </w:tcPr>
          <w:tcPr/>
          <w:p>
            <w:pPr>
              <w:pStyle w:val="Compact"/>
              <w:jc w:val="left"/>
            </w:pPr>
            <w:r>
              <w:t xml:space="preserve">EEU : « some level of positive net profit » de façon assez constante ; EEP : pertes nettes jusqu’en FY24 ; EEP : premier résultat d’exploitation positif en 2024 selon EfG</w:t>
            </w:r>
          </w:p>
        </w:tc>
        <w:tc>
          <w:tcPr>
            <w:tcW w:w="1058" w:type="dxa"/>
          </w:tcPr>
          <w:tcPr/>
          <w:p>
            <w:pPr>
              <w:pStyle w:val="Compact"/>
              <w:jc w:val="left"/>
            </w:pPr>
            <w:r>
              <w:t xml:space="preserve">FY24</w:t>
            </w:r>
          </w:p>
        </w:tc>
        <w:tc>
          <w:tcPr>
            <w:tcW w:w="1076" w:type="dxa"/>
          </w:tcPr>
          <w:tcPr/>
          <w:p>
            <w:pPr>
              <w:pStyle w:val="Compact"/>
              <w:jc w:val="left"/>
            </w:pPr>
            <w:r>
              <w:t xml:space="preserve">[V] / [S]</w:t>
            </w:r>
          </w:p>
        </w:tc>
        <w:tc>
          <w:tcPr>
            <w:tcW w:w="1088" w:type="dxa"/>
          </w:tcPr>
          <w:tcPr/>
          <w:p>
            <w:pPr>
              <w:pStyle w:val="Compact"/>
              <w:jc w:val="left"/>
            </w:pPr>
            <w:r>
              <w:t xml:space="preserve">[4][8]</w:t>
            </w:r>
          </w:p>
        </w:tc>
      </w:tr>
      <w:tr>
        <w:tc>
          <w:tcPr>
            <w:tcW w:w="3224" w:type="dxa"/>
          </w:tcPr>
          <w:tcPr/>
          <w:p>
            <w:pPr>
              <w:pStyle w:val="Compact"/>
              <w:jc w:val="left"/>
            </w:pPr>
            <w:r>
              <w:t xml:space="preserve">EBITDA</w:t>
            </w:r>
          </w:p>
        </w:tc>
        <w:tc>
          <w:tcPr>
            <w:tcW w:w="8122" w:type="dxa"/>
          </w:tcPr>
          <w:tcPr/>
          <w:p>
            <w:pPr>
              <w:pStyle w:val="Compact"/>
              <w:jc w:val="left"/>
            </w:pPr>
            <w:r>
              <w:t xml:space="preserve">[?]</w:t>
            </w:r>
          </w:p>
        </w:tc>
        <w:tc>
          <w:tcPr>
            <w:tcW w:w="1058" w:type="dxa"/>
          </w:tcPr>
          <w:tcPr/>
          <w:p>
            <w:pPr>
              <w:pStyle w:val="Compact"/>
            </w:pPr>
          </w:p>
        </w:tc>
        <w:tc>
          <w:tcPr>
            <w:tcW w:w="1076" w:type="dxa"/>
          </w:tcPr>
          <w:tcPr/>
          <w:p>
            <w:pPr>
              <w:pStyle w:val="Compact"/>
            </w:pPr>
          </w:p>
        </w:tc>
        <w:tc>
          <w:tcPr>
            <w:tcW w:w="1088" w:type="dxa"/>
          </w:tcPr>
          <w:tcPr/>
          <w:p>
            <w:pPr>
              <w:pStyle w:val="Compact"/>
            </w:pPr>
          </w:p>
        </w:tc>
      </w:tr>
      <w:tr>
        <w:tc>
          <w:tcPr>
            <w:tcW w:w="3224" w:type="dxa"/>
          </w:tcPr>
          <w:tcPr/>
          <w:p>
            <w:pPr>
              <w:pStyle w:val="Compact"/>
              <w:jc w:val="left"/>
            </w:pPr>
            <w:r>
              <w:t xml:space="preserve">Dette</w:t>
            </w:r>
          </w:p>
        </w:tc>
        <w:tc>
          <w:tcPr>
            <w:tcW w:w="8122" w:type="dxa"/>
          </w:tcPr>
          <w:tcPr/>
          <w:p>
            <w:pPr>
              <w:pStyle w:val="Compact"/>
              <w:jc w:val="left"/>
            </w:pPr>
            <w:r>
              <w:rPr>
                <w:bCs/>
                <w:b/>
              </w:rPr>
              <w:t xml:space="preserve">100 % de la dette d’EEP envers la Commercial Bank of Ethiopia (encours de mai 2024) remplacée</w:t>
            </w:r>
            <w:r>
              <w:t xml:space="preserve"> </w:t>
            </w:r>
            <w:r>
              <w:t xml:space="preserve">par des titres d’État (directive MoF, action préalable DPO 1) ; dette extérieure en restructuration (Cadre commun)</w:t>
            </w:r>
          </w:p>
        </w:tc>
        <w:tc>
          <w:tcPr>
            <w:tcW w:w="1058" w:type="dxa"/>
          </w:tcPr>
          <w:tcPr/>
          <w:p>
            <w:pPr>
              <w:pStyle w:val="Compact"/>
              <w:jc w:val="left"/>
            </w:pPr>
            <w:r>
              <w:t xml:space="preserve">2024</w:t>
            </w:r>
          </w:p>
        </w:tc>
        <w:tc>
          <w:tcPr>
            <w:tcW w:w="1076" w:type="dxa"/>
          </w:tcPr>
          <w:tcPr/>
          <w:p>
            <w:pPr>
              <w:pStyle w:val="Compact"/>
              <w:jc w:val="left"/>
            </w:pPr>
            <w:r>
              <w:t xml:space="preserve">[V]</w:t>
            </w:r>
          </w:p>
        </w:tc>
        <w:tc>
          <w:tcPr>
            <w:tcW w:w="1088" w:type="dxa"/>
          </w:tcPr>
          <w:tcPr/>
          <w:p>
            <w:pPr>
              <w:pStyle w:val="Compact"/>
              <w:jc w:val="left"/>
            </w:pPr>
            <w:r>
              <w:t xml:space="preserve">[3][5]</w:t>
            </w:r>
          </w:p>
        </w:tc>
      </w:tr>
      <w:tr>
        <w:tc>
          <w:tcPr>
            <w:tcW w:w="3224" w:type="dxa"/>
          </w:tcPr>
          <w:tcPr/>
          <w:p>
            <w:pPr>
              <w:pStyle w:val="Compact"/>
              <w:jc w:val="left"/>
            </w:pPr>
            <w:r>
              <w:t xml:space="preserve">Dette envers IPP</w:t>
            </w:r>
          </w:p>
        </w:tc>
        <w:tc>
          <w:tcPr>
            <w:tcW w:w="8122" w:type="dxa"/>
          </w:tcPr>
          <w:tcPr/>
          <w:p>
            <w:pPr>
              <w:pStyle w:val="Compact"/>
              <w:jc w:val="left"/>
            </w:pPr>
            <w:r>
              <w:t xml:space="preserve">faible (secteur quasi entièrement public) [E] ; montant [?]</w:t>
            </w:r>
          </w:p>
        </w:tc>
        <w:tc>
          <w:tcPr>
            <w:tcW w:w="1058" w:type="dxa"/>
          </w:tcPr>
          <w:tcPr/>
          <w:p>
            <w:pPr>
              <w:pStyle w:val="Compact"/>
            </w:pPr>
          </w:p>
        </w:tc>
        <w:tc>
          <w:tcPr>
            <w:tcW w:w="1076" w:type="dxa"/>
          </w:tcPr>
          <w:tcPr/>
          <w:p>
            <w:pPr>
              <w:pStyle w:val="Compact"/>
              <w:jc w:val="left"/>
            </w:pPr>
            <w:r>
              <w:t xml:space="preserve">[?]</w:t>
            </w:r>
          </w:p>
        </w:tc>
        <w:tc>
          <w:tcPr>
            <w:tcW w:w="1088" w:type="dxa"/>
          </w:tcPr>
          <w:tcPr/>
          <w:p>
            <w:pPr>
              <w:pStyle w:val="Compact"/>
            </w:pPr>
          </w:p>
        </w:tc>
      </w:tr>
      <w:tr>
        <w:tc>
          <w:tcPr>
            <w:tcW w:w="3224" w:type="dxa"/>
          </w:tcPr>
          <w:tcPr/>
          <w:p>
            <w:pPr>
              <w:pStyle w:val="Compact"/>
              <w:jc w:val="left"/>
            </w:pPr>
            <w:r>
              <w:t xml:space="preserve">Arriérés publics envers EEP/EEU</w:t>
            </w:r>
          </w:p>
        </w:tc>
        <w:tc>
          <w:tcPr>
            <w:tcW w:w="8122" w:type="dxa"/>
          </w:tcPr>
          <w:tcPr/>
          <w:p>
            <w:pPr>
              <w:pStyle w:val="Compact"/>
              <w:jc w:val="left"/>
            </w:pPr>
            <w:r>
              <w:t xml:space="preserve">« élevés » selon le pacte, non chiffrés</w:t>
            </w:r>
          </w:p>
        </w:tc>
        <w:tc>
          <w:tcPr>
            <w:tcW w:w="1058" w:type="dxa"/>
          </w:tcPr>
          <w:tcPr/>
          <w:p>
            <w:pPr>
              <w:pStyle w:val="Compact"/>
            </w:pPr>
          </w:p>
        </w:tc>
        <w:tc>
          <w:tcPr>
            <w:tcW w:w="1076" w:type="dxa"/>
          </w:tcPr>
          <w:tcPr/>
          <w:p>
            <w:pPr>
              <w:pStyle w:val="Compact"/>
              <w:jc w:val="left"/>
            </w:pPr>
            <w:r>
              <w:t xml:space="preserve">(pacte)</w:t>
            </w:r>
          </w:p>
        </w:tc>
        <w:tc>
          <w:tcPr>
            <w:tcW w:w="1088" w:type="dxa"/>
          </w:tcPr>
          <w:tcPr/>
          <w:p>
            <w:pPr>
              <w:pStyle w:val="Compact"/>
              <w:jc w:val="left"/>
            </w:pPr>
            <w:r>
              <w:t xml:space="preserve">fiche ph. 1</w:t>
            </w:r>
          </w:p>
        </w:tc>
      </w:tr>
      <w:tr>
        <w:tc>
          <w:tcPr>
            <w:tcW w:w="3224" w:type="dxa"/>
          </w:tcPr>
          <w:tcPr/>
          <w:p>
            <w:pPr>
              <w:pStyle w:val="Compact"/>
              <w:jc w:val="left"/>
            </w:pPr>
            <w:r>
              <w:t xml:space="preserve">Transferts / subventions</w:t>
            </w:r>
          </w:p>
        </w:tc>
        <w:tc>
          <w:tcPr>
            <w:tcW w:w="8122" w:type="dxa"/>
          </w:tcPr>
          <w:tcPr/>
          <w:p>
            <w:pPr>
              <w:pStyle w:val="Compact"/>
              <w:jc w:val="left"/>
            </w:pPr>
            <w:r>
              <w:t xml:space="preserve">hausses tarifaires équivalentes à ≈</w:t>
            </w:r>
            <w:r>
              <w:t xml:space="preserve"> </w:t>
            </w:r>
            <w:r>
              <w:rPr>
                <w:bCs/>
                <w:b/>
              </w:rPr>
              <w:t xml:space="preserve">0,4 % du PIB</w:t>
            </w:r>
            <w:r>
              <w:t xml:space="preserve"> </w:t>
            </w:r>
            <w:r>
              <w:t xml:space="preserve">de redressement financier des SOE (programme FMI) ; maintenance différée ≈</w:t>
            </w:r>
            <w:r>
              <w:t xml:space="preserve"> </w:t>
            </w:r>
            <w:r>
              <w:rPr>
                <w:bCs/>
                <w:b/>
              </w:rPr>
              <w:t xml:space="preserve">250 M USD</w:t>
            </w:r>
            <w:r>
              <w:t xml:space="preserve"> </w:t>
            </w:r>
            <w:r>
              <w:t xml:space="preserve">non financée</w:t>
            </w:r>
          </w:p>
        </w:tc>
        <w:tc>
          <w:tcPr>
            <w:tcW w:w="1058" w:type="dxa"/>
          </w:tcPr>
          <w:tcPr/>
          <w:p>
            <w:pPr>
              <w:pStyle w:val="Compact"/>
              <w:jc w:val="left"/>
            </w:pPr>
            <w:r>
              <w:t xml:space="preserve">2025–2026</w:t>
            </w:r>
          </w:p>
        </w:tc>
        <w:tc>
          <w:tcPr>
            <w:tcW w:w="1076" w:type="dxa"/>
          </w:tcPr>
          <w:tcPr/>
          <w:p>
            <w:pPr>
              <w:pStyle w:val="Compact"/>
              <w:jc w:val="left"/>
            </w:pPr>
            <w:r>
              <w:t xml:space="preserve">[V]</w:t>
            </w:r>
          </w:p>
        </w:tc>
        <w:tc>
          <w:tcPr>
            <w:tcW w:w="1088" w:type="dxa"/>
          </w:tcPr>
          <w:tcPr/>
          <w:p>
            <w:pPr>
              <w:pStyle w:val="Compact"/>
              <w:jc w:val="left"/>
            </w:pPr>
            <w:r>
              <w:t xml:space="preserve">[3][5]</w:t>
            </w:r>
          </w:p>
        </w:tc>
      </w:tr>
      <w:tr>
        <w:tc>
          <w:tcPr>
            <w:tcW w:w="3224" w:type="dxa"/>
          </w:tcPr>
          <w:tcPr/>
          <w:p>
            <w:pPr>
              <w:pStyle w:val="Compact"/>
              <w:jc w:val="left"/>
            </w:pPr>
            <w:r>
              <w:t xml:space="preserve">Recouvrement des coûts (indicateur DPO)</w:t>
            </w:r>
          </w:p>
        </w:tc>
        <w:tc>
          <w:tcPr>
            <w:tcW w:w="8122" w:type="dxa"/>
          </w:tcPr>
          <w:tcPr/>
          <w:p>
            <w:pPr>
              <w:pStyle w:val="Compact"/>
              <w:jc w:val="left"/>
            </w:pPr>
            <w:r>
              <w:rPr>
                <w:bCs/>
                <w:b/>
              </w:rPr>
              <w:t xml:space="preserve">18 % (2023) → 76 % (FY25) → cible 90 % (2027)</w:t>
            </w:r>
            <w:r>
              <w:t xml:space="preserve"> </w:t>
            </w:r>
            <w:r>
              <w:t xml:space="preserve">du coût d’exploitation + service de la dette du secteur</w:t>
            </w:r>
          </w:p>
        </w:tc>
        <w:tc>
          <w:tcPr>
            <w:tcW w:w="1058" w:type="dxa"/>
          </w:tcPr>
          <w:tcPr/>
          <w:p>
            <w:pPr>
              <w:pStyle w:val="Compact"/>
              <w:jc w:val="left"/>
            </w:pPr>
            <w:r>
              <w:t xml:space="preserve">2023–2027</w:t>
            </w:r>
          </w:p>
        </w:tc>
        <w:tc>
          <w:tcPr>
            <w:tcW w:w="1076" w:type="dxa"/>
          </w:tcPr>
          <w:tcPr/>
          <w:p>
            <w:pPr>
              <w:pStyle w:val="Compact"/>
              <w:jc w:val="left"/>
            </w:pPr>
            <w:r>
              <w:t xml:space="preserve">[V]</w:t>
            </w:r>
          </w:p>
        </w:tc>
        <w:tc>
          <w:tcPr>
            <w:tcW w:w="1088" w:type="dxa"/>
          </w:tcPr>
          <w:tcPr/>
          <w:p>
            <w:pPr>
              <w:pStyle w:val="Compact"/>
              <w:jc w:val="left"/>
            </w:pPr>
            <w:r>
              <w:t xml:space="preserve">[3] RI8</w:t>
            </w:r>
          </w:p>
        </w:tc>
      </w:tr>
      <w:tr>
        <w:tc>
          <w:tcPr>
            <w:tcW w:w="3224" w:type="dxa"/>
          </w:tcPr>
          <w:tcPr/>
          <w:p>
            <w:pPr>
              <w:pStyle w:val="Compact"/>
              <w:jc w:val="left"/>
            </w:pPr>
            <w:r>
              <w:t xml:space="preserve">Taux de recouvrement (collection)</w:t>
            </w:r>
          </w:p>
        </w:tc>
        <w:tc>
          <w:tcPr>
            <w:tcW w:w="8122" w:type="dxa"/>
          </w:tcPr>
          <w:tcPr/>
          <w:p>
            <w:pPr>
              <w:pStyle w:val="Compact"/>
              <w:jc w:val="left"/>
            </w:pPr>
            <w:r>
              <w:t xml:space="preserve">[?] (pacte : cible &gt; 90 %, base « faible »)</w:t>
            </w:r>
          </w:p>
        </w:tc>
        <w:tc>
          <w:tcPr>
            <w:tcW w:w="1058" w:type="dxa"/>
          </w:tcPr>
          <w:tcPr/>
          <w:p>
            <w:pPr>
              <w:pStyle w:val="Compact"/>
            </w:pPr>
          </w:p>
        </w:tc>
        <w:tc>
          <w:tcPr>
            <w:tcW w:w="1076" w:type="dxa"/>
          </w:tcPr>
          <w:tcPr/>
          <w:p>
            <w:pPr>
              <w:pStyle w:val="Compact"/>
              <w:jc w:val="left"/>
            </w:pPr>
            <w:r>
              <w:t xml:space="preserve">(pacte)</w:t>
            </w:r>
          </w:p>
        </w:tc>
        <w:tc>
          <w:tcPr>
            <w:tcW w:w="1088" w:type="dxa"/>
          </w:tcPr>
          <w:tcPr/>
          <w:p>
            <w:pPr>
              <w:pStyle w:val="Compact"/>
            </w:pPr>
          </w:p>
        </w:tc>
      </w:tr>
      <w:tr>
        <w:tc>
          <w:tcPr>
            <w:tcW w:w="3224" w:type="dxa"/>
          </w:tcPr>
          <w:tcPr/>
          <w:p>
            <w:pPr>
              <w:pStyle w:val="Compact"/>
              <w:jc w:val="left"/>
            </w:pPr>
            <w:r>
              <w:t xml:space="preserve">Recette moyenne vs coût</w:t>
            </w:r>
          </w:p>
        </w:tc>
        <w:tc>
          <w:tcPr>
            <w:tcW w:w="8122" w:type="dxa"/>
          </w:tcPr>
          <w:tcPr/>
          <w:p>
            <w:pPr>
              <w:pStyle w:val="Compact"/>
              <w:jc w:val="left"/>
            </w:pPr>
            <w:r>
              <w:t xml:space="preserve">ménages 1,3–3,4 c USD/kWh avant réforme vs coût estimé</w:t>
            </w:r>
            <w:r>
              <w:t xml:space="preserve"> </w:t>
            </w:r>
            <w:r>
              <w:rPr>
                <w:bCs/>
                <w:b/>
              </w:rPr>
              <w:t xml:space="preserve">9,2 c USD/kWh</w:t>
            </w:r>
            <w:r>
              <w:t xml:space="preserve"> </w:t>
            </w:r>
            <w:r>
              <w:t xml:space="preserve">; tarif ménage ≈ 0,005 USD/kWh selon le DG d’EEU (févr. 2026)</w:t>
            </w:r>
          </w:p>
        </w:tc>
        <w:tc>
          <w:tcPr>
            <w:tcW w:w="1058" w:type="dxa"/>
          </w:tcPr>
          <w:tcPr/>
          <w:p>
            <w:pPr>
              <w:pStyle w:val="Compact"/>
              <w:jc w:val="left"/>
            </w:pPr>
            <w:r>
              <w:t xml:space="preserve">2024–2026</w:t>
            </w:r>
          </w:p>
        </w:tc>
        <w:tc>
          <w:tcPr>
            <w:tcW w:w="1076" w:type="dxa"/>
          </w:tcPr>
          <w:tcPr/>
          <w:p>
            <w:pPr>
              <w:pStyle w:val="Compact"/>
              <w:jc w:val="left"/>
            </w:pPr>
            <w:r>
              <w:t xml:space="preserve">[S]</w:t>
            </w:r>
          </w:p>
        </w:tc>
        <w:tc>
          <w:tcPr>
            <w:tcW w:w="1088" w:type="dxa"/>
          </w:tcPr>
          <w:tcPr/>
          <w:p>
            <w:pPr>
              <w:pStyle w:val="Compact"/>
              <w:jc w:val="left"/>
            </w:pPr>
            <w:r>
              <w:t xml:space="preserve">[7][8]</w:t>
            </w:r>
          </w:p>
        </w:tc>
      </w:tr>
      <w:tr>
        <w:tc>
          <w:tcPr>
            <w:tcW w:w="3224" w:type="dxa"/>
          </w:tcPr>
          <w:tcPr/>
          <w:p>
            <w:pPr>
              <w:pStyle w:val="Compact"/>
              <w:jc w:val="left"/>
            </w:pPr>
            <w:r>
              <w:t xml:space="preserve">Trajectoire tarifaire</w:t>
            </w:r>
          </w:p>
        </w:tc>
        <w:tc>
          <w:tcPr>
            <w:tcW w:w="8122" w:type="dxa"/>
          </w:tcPr>
          <w:tcPr/>
          <w:p>
            <w:pPr>
              <w:pStyle w:val="Compact"/>
              <w:jc w:val="left"/>
            </w:pPr>
            <w:r>
              <w:t xml:space="preserve">hausse ≥ 10 %/trimestre depuis le 11/09/2024 (16 hausses sur 4 ans) ; ≈ +47 % la 1re année ; hausse d’octobre 2025 conforme (repère structurel FMI)</w:t>
            </w:r>
          </w:p>
        </w:tc>
        <w:tc>
          <w:tcPr>
            <w:tcW w:w="1058" w:type="dxa"/>
          </w:tcPr>
          <w:tcPr/>
          <w:p>
            <w:pPr>
              <w:pStyle w:val="Compact"/>
              <w:jc w:val="left"/>
            </w:pPr>
            <w:r>
              <w:t xml:space="preserve">2024–2028</w:t>
            </w:r>
          </w:p>
        </w:tc>
        <w:tc>
          <w:tcPr>
            <w:tcW w:w="1076" w:type="dxa"/>
          </w:tcPr>
          <w:tcPr/>
          <w:p>
            <w:pPr>
              <w:pStyle w:val="Compact"/>
              <w:jc w:val="left"/>
            </w:pPr>
            <w:r>
              <w:t xml:space="preserve">[V]</w:t>
            </w:r>
          </w:p>
        </w:tc>
        <w:tc>
          <w:tcPr>
            <w:tcW w:w="1088" w:type="dxa"/>
          </w:tcPr>
          <w:tcPr/>
          <w:p>
            <w:pPr>
              <w:pStyle w:val="Compact"/>
              <w:jc w:val="left"/>
            </w:pPr>
            <w:r>
              <w:t xml:space="preserve">[3][4][5]</w:t>
            </w:r>
          </w:p>
        </w:tc>
      </w:tr>
      <w:tr>
        <w:tc>
          <w:tcPr>
            <w:tcW w:w="3224" w:type="dxa"/>
          </w:tcPr>
          <w:tcPr/>
          <w:p>
            <w:pPr>
              <w:pStyle w:val="Compact"/>
              <w:jc w:val="left"/>
            </w:pPr>
            <w:r>
              <w:t xml:space="preserve">Notation</w:t>
            </w:r>
          </w:p>
        </w:tc>
        <w:tc>
          <w:tcPr>
            <w:tcW w:w="8122" w:type="dxa"/>
          </w:tcPr>
          <w:tcPr/>
          <w:p>
            <w:pPr>
              <w:pStyle w:val="Compact"/>
              <w:jc w:val="left"/>
            </w:pPr>
            <w:r>
              <w:t xml:space="preserve">aucune</w:t>
            </w:r>
          </w:p>
        </w:tc>
        <w:tc>
          <w:tcPr>
            <w:tcW w:w="1058" w:type="dxa"/>
          </w:tcPr>
          <w:tcPr/>
          <w:p>
            <w:pPr>
              <w:pStyle w:val="Compact"/>
            </w:pPr>
          </w:p>
        </w:tc>
        <w:tc>
          <w:tcPr>
            <w:tcW w:w="1076" w:type="dxa"/>
          </w:tcPr>
          <w:tcPr/>
          <w:p>
            <w:pPr>
              <w:pStyle w:val="Compact"/>
              <w:jc w:val="left"/>
            </w:pPr>
            <w:r>
              <w:t xml:space="preserve">[?]</w:t>
            </w:r>
          </w:p>
        </w:tc>
        <w:tc>
          <w:tcPr>
            <w:tcW w:w="1088" w:type="dxa"/>
          </w:tcPr>
          <w:tcPr/>
          <w:p>
            <w:pPr>
              <w:pStyle w:val="Compact"/>
            </w:pPr>
          </w:p>
        </w:tc>
      </w:tr>
    </w:tbl>
    <w:bookmarkEnd w:id="154"/>
    <w:bookmarkStart w:id="155" w:name="situation-technique-11"/>
    <w:p>
      <w:pPr>
        <w:pStyle w:val="Heading3"/>
      </w:pPr>
      <w:r>
        <w:t xml:space="preserve">2. Situation technique</w:t>
      </w:r>
    </w:p>
    <w:tbl>
      <w:tblPr>
        <w:tblStyle w:val="Table"/>
        <w:tblW w:type="dxa" w:w="14570"/>
        <w:tblLook w:firstRow="1" w:lastRow="0" w:firstColumn="0" w:lastColumn="0" w:noHBand="0" w:noVBand="0" w:val="0020"/>
        <w:jc w:val="start"/>
      </w:tblPr>
      <w:tblGrid>
        <w:gridCol w:w="2225"/>
        <w:gridCol w:w="8248"/>
        <w:gridCol w:w="1418"/>
        <w:gridCol w:w="1324"/>
        <w:gridCol w:w="1353"/>
      </w:tblGrid>
      <w:tr>
        <w:trPr>
          <w:tblHeader w:val="true"/>
        </w:trPr>
        <w:tc>
          <w:tcPr>
            <w:tcW w:w="2225" w:type="dxa"/>
          </w:tcPr>
          <w:tcPr/>
          <w:p>
            <w:pPr>
              <w:pStyle w:val="Compact"/>
              <w:jc w:val="left"/>
            </w:pPr>
            <w:r>
              <w:t xml:space="preserve">Indicateur</w:t>
            </w:r>
          </w:p>
        </w:tc>
        <w:tc>
          <w:tcPr>
            <w:tcW w:w="8248" w:type="dxa"/>
          </w:tcPr>
          <w:tcPr/>
          <w:p>
            <w:pPr>
              <w:pStyle w:val="Compact"/>
              <w:jc w:val="left"/>
            </w:pPr>
            <w:r>
              <w:t xml:space="preserve">Valeur</w:t>
            </w:r>
          </w:p>
        </w:tc>
        <w:tc>
          <w:tcPr>
            <w:tcW w:w="1418" w:type="dxa"/>
          </w:tcPr>
          <w:tcPr/>
          <w:p>
            <w:pPr>
              <w:pStyle w:val="Compact"/>
              <w:jc w:val="left"/>
            </w:pPr>
            <w:r>
              <w:t xml:space="preserve">Année</w:t>
            </w:r>
          </w:p>
        </w:tc>
        <w:tc>
          <w:tcPr>
            <w:tcW w:w="1324" w:type="dxa"/>
          </w:tcPr>
          <w:tcPr/>
          <w:p>
            <w:pPr>
              <w:pStyle w:val="Compact"/>
              <w:jc w:val="left"/>
            </w:pPr>
            <w:r>
              <w:t xml:space="preserve">Statut</w:t>
            </w:r>
          </w:p>
        </w:tc>
        <w:tc>
          <w:tcPr>
            <w:tcW w:w="1353" w:type="dxa"/>
          </w:tcPr>
          <w:tcPr/>
          <w:p>
            <w:pPr>
              <w:pStyle w:val="Compact"/>
              <w:jc w:val="left"/>
            </w:pPr>
            <w:r>
              <w:t xml:space="preserve">Source</w:t>
            </w:r>
          </w:p>
        </w:tc>
      </w:tr>
      <w:tr>
        <w:tc>
          <w:tcPr>
            <w:tcW w:w="2225" w:type="dxa"/>
          </w:tcPr>
          <w:tcPr/>
          <w:p>
            <w:pPr>
              <w:pStyle w:val="Compact"/>
              <w:jc w:val="left"/>
            </w:pPr>
            <w:r>
              <w:t xml:space="preserve">Capacité installée</w:t>
            </w:r>
          </w:p>
        </w:tc>
        <w:tc>
          <w:tcPr>
            <w:tcW w:w="8248" w:type="dxa"/>
          </w:tcPr>
          <w:tcPr/>
          <w:p>
            <w:pPr>
              <w:pStyle w:val="Compact"/>
              <w:jc w:val="left"/>
            </w:pPr>
            <w:r>
              <w:t xml:space="preserve">≈ 3 000 MW (juin 2025) → &gt; 10 GW avec GERD ; 98 % renouvelable</w:t>
            </w:r>
          </w:p>
        </w:tc>
        <w:tc>
          <w:tcPr>
            <w:tcW w:w="1418" w:type="dxa"/>
          </w:tcPr>
          <w:tcPr/>
          <w:p>
            <w:pPr>
              <w:pStyle w:val="Compact"/>
              <w:jc w:val="left"/>
            </w:pPr>
            <w:r>
              <w:t xml:space="preserve">2025</w:t>
            </w:r>
          </w:p>
        </w:tc>
        <w:tc>
          <w:tcPr>
            <w:tcW w:w="1324" w:type="dxa"/>
          </w:tcPr>
          <w:tcPr/>
          <w:p>
            <w:pPr>
              <w:pStyle w:val="Compact"/>
              <w:jc w:val="left"/>
            </w:pPr>
            <w:r>
              <w:t xml:space="preserve">[V]</w:t>
            </w:r>
          </w:p>
        </w:tc>
        <w:tc>
          <w:tcPr>
            <w:tcW w:w="1353" w:type="dxa"/>
          </w:tcPr>
          <w:tcPr/>
          <w:p>
            <w:pPr>
              <w:pStyle w:val="Compact"/>
              <w:jc w:val="left"/>
            </w:pPr>
            <w:r>
              <w:t xml:space="preserve">[4]</w:t>
            </w:r>
          </w:p>
        </w:tc>
      </w:tr>
      <w:tr>
        <w:tc>
          <w:tcPr>
            <w:tcW w:w="2225" w:type="dxa"/>
          </w:tcPr>
          <w:tcPr/>
          <w:p>
            <w:pPr>
              <w:pStyle w:val="Compact"/>
              <w:jc w:val="left"/>
            </w:pPr>
            <w:r>
              <w:t xml:space="preserve">Capacité (pacte)</w:t>
            </w:r>
          </w:p>
        </w:tc>
        <w:tc>
          <w:tcPr>
            <w:tcW w:w="8248" w:type="dxa"/>
          </w:tcPr>
          <w:tcPr/>
          <w:p>
            <w:pPr>
              <w:pStyle w:val="Compact"/>
              <w:jc w:val="left"/>
            </w:pPr>
            <w:r>
              <w:t xml:space="preserve">9 761 MW (2025)</w:t>
            </w:r>
          </w:p>
        </w:tc>
        <w:tc>
          <w:tcPr>
            <w:tcW w:w="1418" w:type="dxa"/>
          </w:tcPr>
          <w:tcPr/>
          <w:p>
            <w:pPr>
              <w:pStyle w:val="Compact"/>
              <w:jc w:val="left"/>
            </w:pPr>
            <w:r>
              <w:t xml:space="preserve">2025</w:t>
            </w:r>
          </w:p>
        </w:tc>
        <w:tc>
          <w:tcPr>
            <w:tcW w:w="1324" w:type="dxa"/>
          </w:tcPr>
          <w:tcPr/>
          <w:p>
            <w:pPr>
              <w:pStyle w:val="Compact"/>
              <w:jc w:val="left"/>
            </w:pPr>
            <w:r>
              <w:t xml:space="preserve">(pacte)</w:t>
            </w:r>
          </w:p>
        </w:tc>
        <w:tc>
          <w:tcPr>
            <w:tcW w:w="1353" w:type="dxa"/>
          </w:tcPr>
          <w:tcPr/>
          <w:p>
            <w:pPr>
              <w:pStyle w:val="Compact"/>
              <w:jc w:val="left"/>
            </w:pPr>
            <w:r>
              <w:t xml:space="preserve">— écart, voir §5</w:t>
            </w:r>
          </w:p>
        </w:tc>
      </w:tr>
      <w:tr>
        <w:tc>
          <w:tcPr>
            <w:tcW w:w="2225" w:type="dxa"/>
          </w:tcPr>
          <w:tcPr/>
          <w:p>
            <w:pPr>
              <w:pStyle w:val="Compact"/>
              <w:jc w:val="left"/>
            </w:pPr>
            <w:r>
              <w:t xml:space="preserve">Pertes</w:t>
            </w:r>
          </w:p>
        </w:tc>
        <w:tc>
          <w:tcPr>
            <w:tcW w:w="8248" w:type="dxa"/>
          </w:tcPr>
          <w:tcPr/>
          <w:p>
            <w:pPr>
              <w:pStyle w:val="Compact"/>
              <w:jc w:val="left"/>
            </w:pPr>
            <w:r>
              <w:t xml:space="preserve">techniques + commerciales EEU</w:t>
            </w:r>
            <w:r>
              <w:t xml:space="preserve"> </w:t>
            </w:r>
            <w:r>
              <w:rPr>
                <w:bCs/>
                <w:b/>
              </w:rPr>
              <w:t xml:space="preserve">20 %</w:t>
            </w:r>
            <w:r>
              <w:t xml:space="preserve"> </w:t>
            </w:r>
            <w:r>
              <w:t xml:space="preserve">(cible 14 % en 2030) ; pacte : T&amp;D &gt; 27 %</w:t>
            </w:r>
          </w:p>
        </w:tc>
        <w:tc>
          <w:tcPr>
            <w:tcW w:w="1418" w:type="dxa"/>
          </w:tcPr>
          <w:tcPr/>
          <w:p>
            <w:pPr>
              <w:pStyle w:val="Compact"/>
              <w:jc w:val="left"/>
            </w:pPr>
            <w:r>
              <w:t xml:space="preserve">2025</w:t>
            </w:r>
          </w:p>
        </w:tc>
        <w:tc>
          <w:tcPr>
            <w:tcW w:w="1324" w:type="dxa"/>
          </w:tcPr>
          <w:tcPr/>
          <w:p>
            <w:pPr>
              <w:pStyle w:val="Compact"/>
              <w:jc w:val="left"/>
            </w:pPr>
            <w:r>
              <w:t xml:space="preserve">[V] / (pacte)</w:t>
            </w:r>
          </w:p>
        </w:tc>
        <w:tc>
          <w:tcPr>
            <w:tcW w:w="1353" w:type="dxa"/>
          </w:tcPr>
          <w:tcPr/>
          <w:p>
            <w:pPr>
              <w:pStyle w:val="Compact"/>
              <w:jc w:val="left"/>
            </w:pPr>
            <w:r>
              <w:t xml:space="preserve">[4]</w:t>
            </w:r>
          </w:p>
        </w:tc>
      </w:tr>
      <w:tr>
        <w:tc>
          <w:tcPr>
            <w:tcW w:w="2225" w:type="dxa"/>
          </w:tcPr>
          <w:tcPr/>
          <w:p>
            <w:pPr>
              <w:pStyle w:val="Compact"/>
              <w:jc w:val="left"/>
            </w:pPr>
            <w:r>
              <w:t xml:space="preserve">Fiabilité</w:t>
            </w:r>
          </w:p>
        </w:tc>
        <w:tc>
          <w:tcPr>
            <w:tcW w:w="8248" w:type="dxa"/>
          </w:tcPr>
          <w:tcPr/>
          <w:p>
            <w:pPr>
              <w:pStyle w:val="Compact"/>
              <w:jc w:val="left"/>
            </w:pPr>
            <w:r>
              <w:t xml:space="preserve">&gt; 70 % des ménages : 4 à 14 coupures non programmées &gt; 2 h par semaine (MTF 2025) ; 86 % des ménages urbains ont subi une coupure dans la semaine (avril 2025)</w:t>
            </w:r>
          </w:p>
        </w:tc>
        <w:tc>
          <w:tcPr>
            <w:tcW w:w="1418" w:type="dxa"/>
          </w:tcPr>
          <w:tcPr/>
          <w:p>
            <w:pPr>
              <w:pStyle w:val="Compact"/>
              <w:jc w:val="left"/>
            </w:pPr>
            <w:r>
              <w:t xml:space="preserve">2025</w:t>
            </w:r>
          </w:p>
        </w:tc>
        <w:tc>
          <w:tcPr>
            <w:tcW w:w="1324" w:type="dxa"/>
          </w:tcPr>
          <w:tcPr/>
          <w:p>
            <w:pPr>
              <w:pStyle w:val="Compact"/>
              <w:jc w:val="left"/>
            </w:pPr>
            <w:r>
              <w:t xml:space="preserve">[V]</w:t>
            </w:r>
          </w:p>
        </w:tc>
        <w:tc>
          <w:tcPr>
            <w:tcW w:w="1353" w:type="dxa"/>
          </w:tcPr>
          <w:tcPr/>
          <w:p>
            <w:pPr>
              <w:pStyle w:val="Compact"/>
              <w:jc w:val="left"/>
            </w:pPr>
            <w:r>
              <w:t xml:space="preserve">[3][4]</w:t>
            </w:r>
          </w:p>
        </w:tc>
      </w:tr>
      <w:tr>
        <w:tc>
          <w:tcPr>
            <w:tcW w:w="2225" w:type="dxa"/>
          </w:tcPr>
          <w:tcPr/>
          <w:p>
            <w:pPr>
              <w:pStyle w:val="Compact"/>
              <w:jc w:val="left"/>
            </w:pPr>
            <w:r>
              <w:t xml:space="preserve">Clients</w:t>
            </w:r>
          </w:p>
        </w:tc>
        <w:tc>
          <w:tcPr>
            <w:tcW w:w="8248" w:type="dxa"/>
          </w:tcPr>
          <w:tcPr/>
          <w:p>
            <w:pPr>
              <w:pStyle w:val="Compact"/>
              <w:jc w:val="left"/>
            </w:pPr>
            <w:r>
              <w:t xml:space="preserve">≈ 5,8 M clients ; plus de la moitié des ménages raccordés ne sont pas enregistrés comme clients</w:t>
            </w:r>
          </w:p>
        </w:tc>
        <w:tc>
          <w:tcPr>
            <w:tcW w:w="1418" w:type="dxa"/>
          </w:tcPr>
          <w:tcPr/>
          <w:p>
            <w:pPr>
              <w:pStyle w:val="Compact"/>
              <w:jc w:val="left"/>
            </w:pPr>
            <w:r>
              <w:t xml:space="preserve">2025</w:t>
            </w:r>
          </w:p>
        </w:tc>
        <w:tc>
          <w:tcPr>
            <w:tcW w:w="1324" w:type="dxa"/>
          </w:tcPr>
          <w:tcPr/>
          <w:p>
            <w:pPr>
              <w:pStyle w:val="Compact"/>
              <w:jc w:val="left"/>
            </w:pPr>
            <w:r>
              <w:t xml:space="preserve">[V]</w:t>
            </w:r>
          </w:p>
        </w:tc>
        <w:tc>
          <w:tcPr>
            <w:tcW w:w="1353" w:type="dxa"/>
          </w:tcPr>
          <w:tcPr/>
          <w:p>
            <w:pPr>
              <w:pStyle w:val="Compact"/>
              <w:jc w:val="left"/>
            </w:pPr>
            <w:r>
              <w:t xml:space="preserve">[4]</w:t>
            </w:r>
          </w:p>
        </w:tc>
      </w:tr>
      <w:tr>
        <w:tc>
          <w:tcPr>
            <w:tcW w:w="2225" w:type="dxa"/>
          </w:tcPr>
          <w:tcPr/>
          <w:p>
            <w:pPr>
              <w:pStyle w:val="Compact"/>
              <w:jc w:val="left"/>
            </w:pPr>
            <w:r>
              <w:t xml:space="preserve">Accès</w:t>
            </w:r>
          </w:p>
        </w:tc>
        <w:tc>
          <w:tcPr>
            <w:tcW w:w="8248" w:type="dxa"/>
          </w:tcPr>
          <w:tcPr/>
          <w:p>
            <w:pPr>
              <w:pStyle w:val="Compact"/>
              <w:jc w:val="left"/>
            </w:pPr>
            <w:r>
              <w:t xml:space="preserve">65 % de la population près du réseau, 34 % raccordés (18 % rural) ; accès 44 % (2025) → 50 % (2027) visé</w:t>
            </w:r>
          </w:p>
        </w:tc>
        <w:tc>
          <w:tcPr>
            <w:tcW w:w="1418" w:type="dxa"/>
          </w:tcPr>
          <w:tcPr/>
          <w:p>
            <w:pPr>
              <w:pStyle w:val="Compact"/>
              <w:jc w:val="left"/>
            </w:pPr>
            <w:r>
              <w:t xml:space="preserve">2025–2026</w:t>
            </w:r>
          </w:p>
        </w:tc>
        <w:tc>
          <w:tcPr>
            <w:tcW w:w="1324" w:type="dxa"/>
          </w:tcPr>
          <w:tcPr/>
          <w:p>
            <w:pPr>
              <w:pStyle w:val="Compact"/>
              <w:jc w:val="left"/>
            </w:pPr>
            <w:r>
              <w:t xml:space="preserve">[V]</w:t>
            </w:r>
          </w:p>
        </w:tc>
        <w:tc>
          <w:tcPr>
            <w:tcW w:w="1353" w:type="dxa"/>
          </w:tcPr>
          <w:tcPr/>
          <w:p>
            <w:pPr>
              <w:pStyle w:val="Compact"/>
              <w:jc w:val="left"/>
            </w:pPr>
            <w:r>
              <w:t xml:space="preserve">[6]</w:t>
            </w:r>
          </w:p>
        </w:tc>
      </w:tr>
      <w:tr>
        <w:tc>
          <w:tcPr>
            <w:tcW w:w="2225" w:type="dxa"/>
          </w:tcPr>
          <w:tcPr/>
          <w:p>
            <w:pPr>
              <w:pStyle w:val="Compact"/>
              <w:jc w:val="left"/>
            </w:pPr>
            <w:r>
              <w:t xml:space="preserve">Raccordements</w:t>
            </w:r>
          </w:p>
        </w:tc>
        <w:tc>
          <w:tcPr>
            <w:tcW w:w="8248" w:type="dxa"/>
          </w:tcPr>
          <w:tcPr/>
          <w:p>
            <w:pPr>
              <w:pStyle w:val="Compact"/>
              <w:jc w:val="left"/>
            </w:pPr>
            <w:r>
              <w:t xml:space="preserve">130 054 vérifiés au T1 FY26 (650 270 personnes) ; 424 970 autres en vérification</w:t>
            </w:r>
          </w:p>
        </w:tc>
        <w:tc>
          <w:tcPr>
            <w:tcW w:w="1418" w:type="dxa"/>
          </w:tcPr>
          <w:tcPr/>
          <w:p>
            <w:pPr>
              <w:pStyle w:val="Compact"/>
              <w:jc w:val="left"/>
            </w:pPr>
            <w:r>
              <w:t xml:space="preserve">sept. 2026</w:t>
            </w:r>
          </w:p>
        </w:tc>
        <w:tc>
          <w:tcPr>
            <w:tcW w:w="1324" w:type="dxa"/>
          </w:tcPr>
          <w:tcPr/>
          <w:p>
            <w:pPr>
              <w:pStyle w:val="Compact"/>
              <w:jc w:val="left"/>
            </w:pPr>
            <w:r>
              <w:t xml:space="preserve">[V]</w:t>
            </w:r>
          </w:p>
        </w:tc>
        <w:tc>
          <w:tcPr>
            <w:tcW w:w="1353" w:type="dxa"/>
          </w:tcPr>
          <w:tcPr/>
          <w:p>
            <w:pPr>
              <w:pStyle w:val="Compact"/>
              <w:jc w:val="left"/>
            </w:pPr>
            <w:r>
              <w:t xml:space="preserve">[9]</w:t>
            </w:r>
          </w:p>
        </w:tc>
      </w:tr>
    </w:tbl>
    <w:bookmarkEnd w:id="155"/>
    <w:bookmarkStart w:id="156" w:name="situation-économique-et-gouvernance-11"/>
    <w:p>
      <w:pPr>
        <w:pStyle w:val="Heading3"/>
      </w:pPr>
      <w:r>
        <w:t xml:space="preserve">3. Situation économique et gouvernance</w:t>
      </w:r>
    </w:p>
    <w:p>
      <w:pPr>
        <w:numPr>
          <w:ilvl w:val="0"/>
          <w:numId w:val="1081"/>
        </w:numPr>
        <w:pStyle w:val="Compact"/>
      </w:pPr>
      <w:r>
        <w:rPr>
          <w:bCs/>
          <w:b/>
        </w:rPr>
        <w:t xml:space="preserve">PPA</w:t>
      </w:r>
      <w:r>
        <w:t xml:space="preserve"> </w:t>
      </w:r>
      <w:r>
        <w:t xml:space="preserve">: peu d’IPP (programme REI4P/garanties) ; risque principal = dette souveraine et service de la dette des grands barrages (EEP) [3][5] [V].</w:t>
      </w:r>
    </w:p>
    <w:p>
      <w:pPr>
        <w:numPr>
          <w:ilvl w:val="0"/>
          <w:numId w:val="1081"/>
        </w:numPr>
        <w:pStyle w:val="Compact"/>
      </w:pPr>
      <w:r>
        <w:rPr>
          <w:bCs/>
          <w:b/>
        </w:rPr>
        <w:t xml:space="preserve">Change</w:t>
      </w:r>
      <w:r>
        <w:t xml:space="preserve"> </w:t>
      </w:r>
      <w:r>
        <w:t xml:space="preserve">: libéralisation du birr (juillet 2024) : coûts en devises fortement renchéris, d’où l’ampleur de la réforme tarifaire [8] [S].</w:t>
      </w:r>
    </w:p>
    <w:p>
      <w:pPr>
        <w:numPr>
          <w:ilvl w:val="0"/>
          <w:numId w:val="1081"/>
        </w:numPr>
        <w:pStyle w:val="Compact"/>
      </w:pPr>
      <w:r>
        <w:rPr>
          <w:bCs/>
          <w:b/>
        </w:rPr>
        <w:t xml:space="preserve">Plan de redressement</w:t>
      </w:r>
      <w:r>
        <w:t xml:space="preserve"> </w:t>
      </w:r>
      <w:r>
        <w:t xml:space="preserve">: plan tarifaire quadriennal FY25–FY28 ; contrats de performance EEP/EEU ; PIP d’EEU adopté en juillet 2024 (AMI, CRM, protection des revenus, SI) [4] [V] ; costing des obligations de service public (pilote électricité achevé en décembre 2025) [5] [V].</w:t>
      </w:r>
    </w:p>
    <w:p>
      <w:pPr>
        <w:numPr>
          <w:ilvl w:val="0"/>
          <w:numId w:val="1081"/>
        </w:numPr>
        <w:pStyle w:val="Compact"/>
      </w:pPr>
      <w:r>
        <w:rPr>
          <w:bCs/>
          <w:b/>
        </w:rPr>
        <w:t xml:space="preserve">Gouvernance</w:t>
      </w:r>
      <w:r>
        <w:t xml:space="preserve"> </w:t>
      </w:r>
      <w:r>
        <w:t xml:space="preserve">: EIH actionnaire « commercial » ; politique de dividendes ; obligation de plan de moindre coût publié et de mise en concurrence des PPP (action préalable DPO 2) [3][5] [V].</w:t>
      </w:r>
    </w:p>
    <w:bookmarkEnd w:id="156"/>
    <w:bookmarkStart w:id="157" w:name="X30089e7c87573ee3a0c61b6bd24c8085fa27165"/>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485"/>
        <w:gridCol w:w="824"/>
        <w:gridCol w:w="1635"/>
        <w:gridCol w:w="950"/>
        <w:gridCol w:w="2191"/>
        <w:gridCol w:w="3489"/>
        <w:gridCol w:w="1153"/>
        <w:gridCol w:w="840"/>
      </w:tblGrid>
      <w:tr>
        <w:trPr>
          <w:tblHeader w:val="true"/>
        </w:trPr>
        <w:tc>
          <w:tcPr>
            <w:tcW w:w="3485" w:type="dxa"/>
          </w:tcPr>
          <w:tcPr/>
          <w:p>
            <w:pPr>
              <w:pStyle w:val="Compact"/>
              <w:jc w:val="left"/>
            </w:pPr>
            <w:r>
              <w:t xml:space="preserve">Programme / projet</w:t>
            </w:r>
          </w:p>
        </w:tc>
        <w:tc>
          <w:tcPr>
            <w:tcW w:w="824" w:type="dxa"/>
          </w:tcPr>
          <w:tcPr/>
          <w:p>
            <w:pPr>
              <w:pStyle w:val="Compact"/>
              <w:jc w:val="left"/>
            </w:pPr>
            <w:r>
              <w:t xml:space="preserve">Bailleur</w:t>
            </w:r>
          </w:p>
        </w:tc>
        <w:tc>
          <w:tcPr>
            <w:tcW w:w="1635" w:type="dxa"/>
          </w:tcPr>
          <w:tcPr/>
          <w:p>
            <w:pPr>
              <w:pStyle w:val="Compact"/>
              <w:jc w:val="left"/>
            </w:pPr>
            <w:r>
              <w:t xml:space="preserve">Montant</w:t>
            </w:r>
          </w:p>
        </w:tc>
        <w:tc>
          <w:tcPr>
            <w:tcW w:w="950" w:type="dxa"/>
          </w:tcPr>
          <w:tcPr/>
          <w:p>
            <w:pPr>
              <w:pStyle w:val="Compact"/>
              <w:jc w:val="left"/>
            </w:pPr>
            <w:r>
              <w:t xml:space="preserve">Années</w:t>
            </w:r>
          </w:p>
        </w:tc>
        <w:tc>
          <w:tcPr>
            <w:tcW w:w="2191" w:type="dxa"/>
          </w:tcPr>
          <w:tcPr/>
          <w:p>
            <w:pPr>
              <w:pStyle w:val="Compact"/>
              <w:jc w:val="left"/>
            </w:pPr>
            <w:r>
              <w:t xml:space="preserve">Objectifs liés à l’opérateur</w:t>
            </w:r>
          </w:p>
        </w:tc>
        <w:tc>
          <w:tcPr>
            <w:tcW w:w="3489" w:type="dxa"/>
          </w:tcPr>
          <w:tcPr/>
          <w:p>
            <w:pPr>
              <w:pStyle w:val="Compact"/>
              <w:jc w:val="left"/>
            </w:pPr>
            <w:r>
              <w:t xml:space="preserve">Conditions / indicateurs</w:t>
            </w:r>
          </w:p>
        </w:tc>
        <w:tc>
          <w:tcPr>
            <w:tcW w:w="1153" w:type="dxa"/>
          </w:tcPr>
          <w:tcPr/>
          <w:p>
            <w:pPr>
              <w:pStyle w:val="Compact"/>
              <w:jc w:val="left"/>
            </w:pPr>
            <w:r>
              <w:t xml:space="preserve">Statut</w:t>
            </w:r>
          </w:p>
        </w:tc>
        <w:tc>
          <w:tcPr>
            <w:tcW w:w="840" w:type="dxa"/>
          </w:tcPr>
          <w:tcPr/>
          <w:p>
            <w:pPr>
              <w:pStyle w:val="Compact"/>
              <w:jc w:val="left"/>
            </w:pPr>
            <w:r>
              <w:t xml:space="preserve">Source</w:t>
            </w:r>
          </w:p>
        </w:tc>
      </w:tr>
      <w:tr>
        <w:tc>
          <w:tcPr>
            <w:tcW w:w="3485" w:type="dxa"/>
          </w:tcPr>
          <w:tcPr/>
          <w:p>
            <w:pPr>
              <w:pStyle w:val="Compact"/>
              <w:jc w:val="left"/>
            </w:pPr>
            <w:r>
              <w:rPr>
                <w:bCs/>
                <w:b/>
              </w:rPr>
              <w:t xml:space="preserve">1st Sustainable and Inclusive Growth DPO (P181591)</w:t>
            </w:r>
          </w:p>
        </w:tc>
        <w:tc>
          <w:tcPr>
            <w:tcW w:w="824" w:type="dxa"/>
          </w:tcPr>
          <w:tcPr/>
          <w:p>
            <w:pPr>
              <w:pStyle w:val="Compact"/>
              <w:jc w:val="left"/>
            </w:pPr>
            <w:r>
              <w:t xml:space="preserve">BM (DPF)</w:t>
            </w:r>
          </w:p>
        </w:tc>
        <w:tc>
          <w:tcPr>
            <w:tcW w:w="1635" w:type="dxa"/>
          </w:tcPr>
          <w:tcPr/>
          <w:p>
            <w:pPr>
              <w:pStyle w:val="Compact"/>
              <w:jc w:val="left"/>
            </w:pPr>
            <w:r>
              <w:t xml:space="preserve">1 500 M USD</w:t>
            </w:r>
          </w:p>
        </w:tc>
        <w:tc>
          <w:tcPr>
            <w:tcW w:w="950" w:type="dxa"/>
          </w:tcPr>
          <w:tcPr/>
          <w:p>
            <w:pPr>
              <w:pStyle w:val="Compact"/>
              <w:jc w:val="left"/>
            </w:pPr>
            <w:r>
              <w:t xml:space="preserve">2024</w:t>
            </w:r>
          </w:p>
        </w:tc>
        <w:tc>
          <w:tcPr>
            <w:tcW w:w="2191" w:type="dxa"/>
          </w:tcPr>
          <w:tcPr/>
          <w:p>
            <w:pPr>
              <w:pStyle w:val="Compact"/>
              <w:jc w:val="left"/>
            </w:pPr>
            <w:r>
              <w:t xml:space="preserve">viabilité du secteur électrique</w:t>
            </w:r>
          </w:p>
        </w:tc>
        <w:tc>
          <w:tcPr>
            <w:tcW w:w="3489" w:type="dxa"/>
          </w:tcPr>
          <w:tcPr/>
          <w:p>
            <w:pPr>
              <w:pStyle w:val="Compact"/>
              <w:jc w:val="left"/>
            </w:pPr>
            <w:r>
              <w:rPr>
                <w:bCs/>
                <w:b/>
              </w:rPr>
              <w:t xml:space="preserve">PA7</w:t>
            </w:r>
            <w:r>
              <w:t xml:space="preserve"> </w:t>
            </w:r>
            <w:r>
              <w:t xml:space="preserve">: (a) directive MoF remplaçant 100 % de la dette d’EEP envers la CBE ; (b) plan tarifaire quadriennal ≥ 10 %/trimestre</w:t>
            </w:r>
          </w:p>
        </w:tc>
        <w:tc>
          <w:tcPr>
            <w:tcW w:w="1153" w:type="dxa"/>
          </w:tcPr>
          <w:tcPr/>
          <w:p>
            <w:pPr>
              <w:pStyle w:val="Compact"/>
              <w:jc w:val="left"/>
            </w:pPr>
            <w:r>
              <w:t xml:space="preserve">Actif</w:t>
            </w:r>
          </w:p>
        </w:tc>
        <w:tc>
          <w:tcPr>
            <w:tcW w:w="840" w:type="dxa"/>
          </w:tcPr>
          <w:tcPr/>
          <w:p>
            <w:pPr>
              <w:pStyle w:val="Compact"/>
              <w:jc w:val="left"/>
            </w:pPr>
            <w:r>
              <w:t xml:space="preserve">[3][10]</w:t>
            </w:r>
          </w:p>
        </w:tc>
      </w:tr>
      <w:tr>
        <w:tc>
          <w:tcPr>
            <w:tcW w:w="3485" w:type="dxa"/>
          </w:tcPr>
          <w:tcPr/>
          <w:p>
            <w:pPr>
              <w:pStyle w:val="Compact"/>
              <w:jc w:val="left"/>
            </w:pPr>
            <w:r>
              <w:rPr>
                <w:bCs/>
                <w:b/>
              </w:rPr>
              <w:t xml:space="preserve">2nd Sustainable and Inclusive Growth DPO (P506352)</w:t>
            </w:r>
          </w:p>
        </w:tc>
        <w:tc>
          <w:tcPr>
            <w:tcW w:w="824" w:type="dxa"/>
          </w:tcPr>
          <w:tcPr/>
          <w:p>
            <w:pPr>
              <w:pStyle w:val="Compact"/>
              <w:jc w:val="left"/>
            </w:pPr>
            <w:r>
              <w:t xml:space="preserve">BM (DPF)</w:t>
            </w:r>
          </w:p>
        </w:tc>
        <w:tc>
          <w:tcPr>
            <w:tcW w:w="1635" w:type="dxa"/>
          </w:tcPr>
          <w:tcPr/>
          <w:p>
            <w:pPr>
              <w:pStyle w:val="Compact"/>
              <w:jc w:val="left"/>
            </w:pPr>
            <w:r>
              <w:t xml:space="preserve">1 000 M USD</w:t>
            </w:r>
          </w:p>
        </w:tc>
        <w:tc>
          <w:tcPr>
            <w:tcW w:w="950" w:type="dxa"/>
          </w:tcPr>
          <w:tcPr/>
          <w:p>
            <w:pPr>
              <w:pStyle w:val="Compact"/>
              <w:jc w:val="left"/>
            </w:pPr>
            <w:r>
              <w:t xml:space="preserve">2025</w:t>
            </w:r>
          </w:p>
        </w:tc>
        <w:tc>
          <w:tcPr>
            <w:tcW w:w="2191" w:type="dxa"/>
          </w:tcPr>
          <w:tcPr/>
          <w:p>
            <w:pPr>
              <w:pStyle w:val="Compact"/>
              <w:jc w:val="left"/>
            </w:pPr>
            <w:r>
              <w:t xml:space="preserve">idem</w:t>
            </w:r>
          </w:p>
        </w:tc>
        <w:tc>
          <w:tcPr>
            <w:tcW w:w="3489" w:type="dxa"/>
          </w:tcPr>
          <w:tcPr/>
          <w:p>
            <w:pPr>
              <w:pStyle w:val="Compact"/>
              <w:jc w:val="left"/>
            </w:pPr>
            <w:r>
              <w:rPr>
                <w:bCs/>
                <w:b/>
              </w:rPr>
              <w:t xml:space="preserve">PA5</w:t>
            </w:r>
            <w:r>
              <w:t xml:space="preserve"> </w:t>
            </w:r>
            <w:r>
              <w:t xml:space="preserve">: revue publiée des revenus/tarifs pour recouvrement des coûts d’exploitation + dette d’ici 2028 ; plan de moindre coût publié et obligatoire ; mise en concurrence obligatoire des PPP ;</w:t>
            </w:r>
            <w:r>
              <w:t xml:space="preserve"> </w:t>
            </w:r>
            <w:r>
              <w:rPr>
                <w:bCs/>
                <w:b/>
              </w:rPr>
              <w:t xml:space="preserve">RI8</w:t>
            </w:r>
            <w:r>
              <w:t xml:space="preserve"> </w:t>
            </w:r>
            <w:r>
              <w:t xml:space="preserve">: recouvrement 18 % → 90 % (2027)</w:t>
            </w:r>
          </w:p>
        </w:tc>
        <w:tc>
          <w:tcPr>
            <w:tcW w:w="1153" w:type="dxa"/>
          </w:tcPr>
          <w:tcPr/>
          <w:p>
            <w:pPr>
              <w:pStyle w:val="Compact"/>
              <w:jc w:val="left"/>
            </w:pPr>
            <w:r>
              <w:t xml:space="preserve">Actif</w:t>
            </w:r>
          </w:p>
        </w:tc>
        <w:tc>
          <w:tcPr>
            <w:tcW w:w="840" w:type="dxa"/>
          </w:tcPr>
          <w:tcPr/>
          <w:p>
            <w:pPr>
              <w:pStyle w:val="Compact"/>
              <w:jc w:val="left"/>
            </w:pPr>
            <w:r>
              <w:t xml:space="preserve">[3]</w:t>
            </w:r>
          </w:p>
        </w:tc>
      </w:tr>
      <w:tr>
        <w:tc>
          <w:tcPr>
            <w:tcW w:w="3485" w:type="dxa"/>
          </w:tcPr>
          <w:tcPr/>
          <w:p>
            <w:pPr>
              <w:pStyle w:val="Compact"/>
              <w:jc w:val="left"/>
            </w:pPr>
            <w:r>
              <w:t xml:space="preserve">Inclusive Growth DPO (P514383)</w:t>
            </w:r>
          </w:p>
        </w:tc>
        <w:tc>
          <w:tcPr>
            <w:tcW w:w="824" w:type="dxa"/>
          </w:tcPr>
          <w:tcPr/>
          <w:p>
            <w:pPr>
              <w:pStyle w:val="Compact"/>
              <w:jc w:val="left"/>
            </w:pPr>
            <w:r>
              <w:t xml:space="preserve">BM (DPF)</w:t>
            </w:r>
          </w:p>
        </w:tc>
        <w:tc>
          <w:tcPr>
            <w:tcW w:w="1635" w:type="dxa"/>
          </w:tcPr>
          <w:tcPr/>
          <w:p>
            <w:pPr>
              <w:pStyle w:val="Compact"/>
              <w:jc w:val="left"/>
            </w:pPr>
            <w:r>
              <w:t xml:space="preserve">1 450 M USD</w:t>
            </w:r>
          </w:p>
        </w:tc>
        <w:tc>
          <w:tcPr>
            <w:tcW w:w="950" w:type="dxa"/>
          </w:tcPr>
          <w:tcPr/>
          <w:p>
            <w:pPr>
              <w:pStyle w:val="Compact"/>
              <w:jc w:val="left"/>
            </w:pPr>
            <w:r>
              <w:t xml:space="preserve">approuvé 25/06/2026</w:t>
            </w:r>
          </w:p>
        </w:tc>
        <w:tc>
          <w:tcPr>
            <w:tcW w:w="2191" w:type="dxa"/>
          </w:tcPr>
          <w:tcPr/>
          <w:p>
            <w:pPr>
              <w:pStyle w:val="Compact"/>
              <w:jc w:val="left"/>
            </w:pPr>
            <w:r>
              <w:t xml:space="preserve">accès, transport privé</w:t>
            </w:r>
          </w:p>
        </w:tc>
        <w:tc>
          <w:tcPr>
            <w:tcW w:w="3489" w:type="dxa"/>
          </w:tcPr>
          <w:tcPr/>
          <w:p>
            <w:pPr>
              <w:pStyle w:val="Compact"/>
              <w:jc w:val="left"/>
            </w:pPr>
            <w:r>
              <w:rPr>
                <w:bCs/>
                <w:b/>
              </w:rPr>
              <w:t xml:space="preserve">PA4</w:t>
            </w:r>
            <w:r>
              <w:t xml:space="preserve"> </w:t>
            </w:r>
            <w:r>
              <w:t xml:space="preserve">: ouverture des marchés d’infrastructure (dont transport d’électricité) au privé ;</w:t>
            </w:r>
            <w:r>
              <w:t xml:space="preserve"> </w:t>
            </w:r>
            <w:r>
              <w:rPr>
                <w:bCs/>
                <w:b/>
              </w:rPr>
              <w:t xml:space="preserve">PA7</w:t>
            </w:r>
            <w:r>
              <w:t xml:space="preserve"> </w:t>
            </w:r>
            <w:r>
              <w:t xml:space="preserve">: procédure EEU de paiement échelonné des frais de raccordement + clarification PAYGo ; TRC2 sur les carburants</w:t>
            </w:r>
          </w:p>
        </w:tc>
        <w:tc>
          <w:tcPr>
            <w:tcW w:w="1153" w:type="dxa"/>
          </w:tcPr>
          <w:tcPr/>
          <w:p>
            <w:pPr>
              <w:pStyle w:val="Compact"/>
              <w:jc w:val="left"/>
            </w:pPr>
            <w:r>
              <w:t xml:space="preserve">Actif</w:t>
            </w:r>
          </w:p>
        </w:tc>
        <w:tc>
          <w:tcPr>
            <w:tcW w:w="840" w:type="dxa"/>
          </w:tcPr>
          <w:tcPr/>
          <w:p>
            <w:pPr>
              <w:pStyle w:val="Compact"/>
              <w:jc w:val="left"/>
            </w:pPr>
            <w:r>
              <w:t xml:space="preserve">[6]</w:t>
            </w:r>
          </w:p>
        </w:tc>
      </w:tr>
      <w:tr>
        <w:tc>
          <w:tcPr>
            <w:tcW w:w="3485" w:type="dxa"/>
          </w:tcPr>
          <w:tcPr/>
          <w:p>
            <w:pPr>
              <w:pStyle w:val="Compact"/>
              <w:jc w:val="left"/>
            </w:pPr>
            <w:r>
              <w:t xml:space="preserve">PRIME-1 Power Sector Reform, Investment and Modernization (P176731) + AF (P508707)</w:t>
            </w:r>
          </w:p>
        </w:tc>
        <w:tc>
          <w:tcPr>
            <w:tcW w:w="824" w:type="dxa"/>
          </w:tcPr>
          <w:tcPr/>
          <w:p>
            <w:pPr>
              <w:pStyle w:val="Compact"/>
              <w:jc w:val="left"/>
            </w:pPr>
            <w:r>
              <w:t xml:space="preserve">BM</w:t>
            </w:r>
          </w:p>
        </w:tc>
        <w:tc>
          <w:tcPr>
            <w:tcW w:w="1635" w:type="dxa"/>
          </w:tcPr>
          <w:tcPr/>
          <w:p>
            <w:pPr>
              <w:pStyle w:val="Compact"/>
              <w:jc w:val="left"/>
            </w:pPr>
            <w:r>
              <w:t xml:space="preserve">572,6 M + 17 M don ; AF 200 M IDA + 17 M (coût total 819,3 M USD)</w:t>
            </w:r>
          </w:p>
        </w:tc>
        <w:tc>
          <w:tcPr>
            <w:tcW w:w="950" w:type="dxa"/>
          </w:tcPr>
          <w:tcPr/>
          <w:p>
            <w:pPr>
              <w:pStyle w:val="Compact"/>
              <w:jc w:val="left"/>
            </w:pPr>
            <w:r>
              <w:t xml:space="preserve">2024–2030</w:t>
            </w:r>
          </w:p>
        </w:tc>
        <w:tc>
          <w:tcPr>
            <w:tcW w:w="2191" w:type="dxa"/>
          </w:tcPr>
          <w:tcPr/>
          <w:p>
            <w:pPr>
              <w:pStyle w:val="Compact"/>
              <w:jc w:val="left"/>
            </w:pPr>
            <w:r>
              <w:t xml:space="preserve">réforme sectorielle, AMI, ERP, transport Addis (AF : 200 M), géothermie (GCF)</w:t>
            </w:r>
          </w:p>
        </w:tc>
        <w:tc>
          <w:tcPr>
            <w:tcW w:w="3489" w:type="dxa"/>
          </w:tcPr>
          <w:tcPr/>
          <w:p>
            <w:pPr>
              <w:pStyle w:val="Compact"/>
              <w:jc w:val="left"/>
            </w:pPr>
            <w:r>
              <w:t xml:space="preserve">—</w:t>
            </w:r>
          </w:p>
        </w:tc>
        <w:tc>
          <w:tcPr>
            <w:tcW w:w="1153" w:type="dxa"/>
          </w:tcPr>
          <w:tcPr/>
          <w:p>
            <w:pPr>
              <w:pStyle w:val="Compact"/>
              <w:jc w:val="left"/>
            </w:pPr>
            <w:r>
              <w:t xml:space="preserve">Actif</w:t>
            </w:r>
          </w:p>
        </w:tc>
        <w:tc>
          <w:tcPr>
            <w:tcW w:w="840" w:type="dxa"/>
          </w:tcPr>
          <w:tcPr/>
          <w:p>
            <w:pPr>
              <w:pStyle w:val="Compact"/>
              <w:jc w:val="left"/>
            </w:pPr>
            <w:r>
              <w:t xml:space="preserve">[2][10]</w:t>
            </w:r>
          </w:p>
        </w:tc>
      </w:tr>
      <w:tr>
        <w:tc>
          <w:tcPr>
            <w:tcW w:w="3485" w:type="dxa"/>
          </w:tcPr>
          <w:tcPr/>
          <w:p>
            <w:pPr>
              <w:pStyle w:val="Compact"/>
              <w:jc w:val="left"/>
            </w:pPr>
            <w:r>
              <w:t xml:space="preserve">ASCENT Ethiopia (P506061)</w:t>
            </w:r>
          </w:p>
        </w:tc>
        <w:tc>
          <w:tcPr>
            <w:tcW w:w="824" w:type="dxa"/>
          </w:tcPr>
          <w:tcPr/>
          <w:p>
            <w:pPr>
              <w:pStyle w:val="Compact"/>
              <w:jc w:val="left"/>
            </w:pPr>
            <w:r>
              <w:t xml:space="preserve">BM (PforR)</w:t>
            </w:r>
          </w:p>
        </w:tc>
        <w:tc>
          <w:tcPr>
            <w:tcW w:w="1635" w:type="dxa"/>
          </w:tcPr>
          <w:tcPr/>
          <w:p>
            <w:pPr>
              <w:pStyle w:val="Compact"/>
              <w:jc w:val="left"/>
            </w:pPr>
            <w:r>
              <w:t xml:space="preserve">400 M USD (+ 24 M don)</w:t>
            </w:r>
          </w:p>
        </w:tc>
        <w:tc>
          <w:tcPr>
            <w:tcW w:w="950" w:type="dxa"/>
          </w:tcPr>
          <w:tcPr/>
          <w:p>
            <w:pPr>
              <w:pStyle w:val="Compact"/>
              <w:jc w:val="left"/>
            </w:pPr>
            <w:r>
              <w:t xml:space="preserve">2025–2030</w:t>
            </w:r>
          </w:p>
        </w:tc>
        <w:tc>
          <w:tcPr>
            <w:tcW w:w="2191" w:type="dxa"/>
          </w:tcPr>
          <w:tcPr/>
          <w:p>
            <w:pPr>
              <w:pStyle w:val="Compact"/>
              <w:jc w:val="left"/>
            </w:pPr>
            <w:r>
              <w:t xml:space="preserve">EEU : raccordements, digitalisation, performance</w:t>
            </w:r>
          </w:p>
        </w:tc>
        <w:tc>
          <w:tcPr>
            <w:tcW w:w="3489" w:type="dxa"/>
          </w:tcPr>
          <w:tcPr/>
          <w:p>
            <w:pPr>
              <w:pStyle w:val="Compact"/>
              <w:jc w:val="left"/>
            </w:pPr>
            <w:r>
              <w:t xml:space="preserve">DLI 1 raccordements (1,1 M ; 300 USD/raccordement) ; DLI 2 digitalisation ; DLI 3 renforcement (dont comptes audités EEU) ; DLI 4 cadre d’accès ; décaissé 32 % (sept. 2026)</w:t>
            </w:r>
          </w:p>
        </w:tc>
        <w:tc>
          <w:tcPr>
            <w:tcW w:w="1153" w:type="dxa"/>
          </w:tcPr>
          <w:tcPr/>
          <w:p>
            <w:pPr>
              <w:pStyle w:val="Compact"/>
              <w:jc w:val="left"/>
            </w:pPr>
            <w:r>
              <w:t xml:space="preserve">Actif, effectif 12/03/2026</w:t>
            </w:r>
          </w:p>
        </w:tc>
        <w:tc>
          <w:tcPr>
            <w:tcW w:w="840" w:type="dxa"/>
          </w:tcPr>
          <w:tcPr/>
          <w:p>
            <w:pPr>
              <w:pStyle w:val="Compact"/>
              <w:jc w:val="left"/>
            </w:pPr>
            <w:r>
              <w:t xml:space="preserve">[4][9]</w:t>
            </w:r>
          </w:p>
        </w:tc>
      </w:tr>
      <w:tr>
        <w:tc>
          <w:tcPr>
            <w:tcW w:w="3485" w:type="dxa"/>
          </w:tcPr>
          <w:tcPr/>
          <w:p>
            <w:pPr>
              <w:pStyle w:val="Compact"/>
              <w:jc w:val="left"/>
            </w:pPr>
            <w:r>
              <w:t xml:space="preserve">Ethiopia Electrification Program ELEAP (P160395) + AF (P178895)</w:t>
            </w:r>
          </w:p>
        </w:tc>
        <w:tc>
          <w:tcPr>
            <w:tcW w:w="824" w:type="dxa"/>
          </w:tcPr>
          <w:tcPr/>
          <w:p>
            <w:pPr>
              <w:pStyle w:val="Compact"/>
              <w:jc w:val="left"/>
            </w:pPr>
            <w:r>
              <w:t xml:space="preserve">BM (PforR)</w:t>
            </w:r>
          </w:p>
        </w:tc>
        <w:tc>
          <w:tcPr>
            <w:tcW w:w="1635" w:type="dxa"/>
          </w:tcPr>
          <w:tcPr/>
          <w:p>
            <w:pPr>
              <w:pStyle w:val="Compact"/>
              <w:jc w:val="left"/>
            </w:pPr>
            <w:r>
              <w:t xml:space="preserve">375 M + 250 M USD</w:t>
            </w:r>
          </w:p>
        </w:tc>
        <w:tc>
          <w:tcPr>
            <w:tcW w:w="950" w:type="dxa"/>
          </w:tcPr>
          <w:tcPr/>
          <w:p>
            <w:pPr>
              <w:pStyle w:val="Compact"/>
              <w:jc w:val="left"/>
            </w:pPr>
            <w:r>
              <w:t xml:space="preserve">2018–2026</w:t>
            </w:r>
          </w:p>
        </w:tc>
        <w:tc>
          <w:tcPr>
            <w:tcW w:w="2191" w:type="dxa"/>
          </w:tcPr>
          <w:tcPr/>
          <w:p>
            <w:pPr>
              <w:pStyle w:val="Compact"/>
              <w:jc w:val="left"/>
            </w:pPr>
            <w:r>
              <w:t xml:space="preserve">EEU (PIP)</w:t>
            </w:r>
          </w:p>
        </w:tc>
        <w:tc>
          <w:tcPr>
            <w:tcW w:w="3489" w:type="dxa"/>
          </w:tcPr>
          <w:tcPr/>
          <w:p>
            <w:pPr>
              <w:pStyle w:val="Compact"/>
              <w:jc w:val="left"/>
            </w:pPr>
            <w:r>
              <w:t xml:space="preserve">—</w:t>
            </w:r>
          </w:p>
        </w:tc>
        <w:tc>
          <w:tcPr>
            <w:tcW w:w="1153" w:type="dxa"/>
          </w:tcPr>
          <w:tcPr/>
          <w:p>
            <w:pPr>
              <w:pStyle w:val="Compact"/>
              <w:jc w:val="left"/>
            </w:pPr>
            <w:r>
              <w:t xml:space="preserve">Clos (juil. 2026)</w:t>
            </w:r>
          </w:p>
        </w:tc>
        <w:tc>
          <w:tcPr>
            <w:tcW w:w="840" w:type="dxa"/>
          </w:tcPr>
          <w:tcPr/>
          <w:p>
            <w:pPr>
              <w:pStyle w:val="Compact"/>
              <w:jc w:val="left"/>
            </w:pPr>
            <w:r>
              <w:t xml:space="preserve">[10]</w:t>
            </w:r>
          </w:p>
        </w:tc>
      </w:tr>
      <w:tr>
        <w:tc>
          <w:tcPr>
            <w:tcW w:w="3485" w:type="dxa"/>
          </w:tcPr>
          <w:tcPr/>
          <w:p>
            <w:pPr>
              <w:pStyle w:val="Compact"/>
              <w:jc w:val="left"/>
            </w:pPr>
            <w:r>
              <w:t xml:space="preserve">ADELE (P171742)</w:t>
            </w:r>
          </w:p>
        </w:tc>
        <w:tc>
          <w:tcPr>
            <w:tcW w:w="824" w:type="dxa"/>
          </w:tcPr>
          <w:tcPr/>
          <w:p>
            <w:pPr>
              <w:pStyle w:val="Compact"/>
              <w:jc w:val="left"/>
            </w:pPr>
            <w:r>
              <w:t xml:space="preserve">BM</w:t>
            </w:r>
          </w:p>
        </w:tc>
        <w:tc>
          <w:tcPr>
            <w:tcW w:w="1635" w:type="dxa"/>
          </w:tcPr>
          <w:tcPr/>
          <w:p>
            <w:pPr>
              <w:pStyle w:val="Compact"/>
              <w:jc w:val="left"/>
            </w:pPr>
            <w:r>
              <w:t xml:space="preserve">500 M USD</w:t>
            </w:r>
          </w:p>
        </w:tc>
        <w:tc>
          <w:tcPr>
            <w:tcW w:w="950" w:type="dxa"/>
          </w:tcPr>
          <w:tcPr/>
          <w:p>
            <w:pPr>
              <w:pStyle w:val="Compact"/>
              <w:jc w:val="left"/>
            </w:pPr>
            <w:r>
              <w:t xml:space="preserve">2021–2028</w:t>
            </w:r>
          </w:p>
        </w:tc>
        <w:tc>
          <w:tcPr>
            <w:tcW w:w="2191" w:type="dxa"/>
          </w:tcPr>
          <w:tcPr/>
          <w:p>
            <w:pPr>
              <w:pStyle w:val="Compact"/>
              <w:jc w:val="left"/>
            </w:pPr>
            <w:r>
              <w:t xml:space="preserve">hors réseau, EEU</w:t>
            </w:r>
          </w:p>
        </w:tc>
        <w:tc>
          <w:tcPr>
            <w:tcW w:w="3489" w:type="dxa"/>
          </w:tcPr>
          <w:tcPr/>
          <w:p>
            <w:pPr>
              <w:pStyle w:val="Compact"/>
              <w:jc w:val="left"/>
            </w:pPr>
            <w:r>
              <w:t xml:space="preserve">—</w:t>
            </w:r>
          </w:p>
        </w:tc>
        <w:tc>
          <w:tcPr>
            <w:tcW w:w="1153" w:type="dxa"/>
          </w:tcPr>
          <w:tcPr/>
          <w:p>
            <w:pPr>
              <w:pStyle w:val="Compact"/>
              <w:jc w:val="left"/>
            </w:pPr>
            <w:r>
              <w:t xml:space="preserve">Actif</w:t>
            </w:r>
          </w:p>
        </w:tc>
        <w:tc>
          <w:tcPr>
            <w:tcW w:w="840" w:type="dxa"/>
          </w:tcPr>
          <w:tcPr/>
          <w:p>
            <w:pPr>
              <w:pStyle w:val="Compact"/>
              <w:jc w:val="left"/>
            </w:pPr>
            <w:r>
              <w:t xml:space="preserve">[10]</w:t>
            </w:r>
          </w:p>
        </w:tc>
      </w:tr>
      <w:tr>
        <w:tc>
          <w:tcPr>
            <w:tcW w:w="3485" w:type="dxa"/>
          </w:tcPr>
          <w:tcPr/>
          <w:p>
            <w:pPr>
              <w:pStyle w:val="Compact"/>
              <w:jc w:val="left"/>
            </w:pPr>
            <w:r>
              <w:t xml:space="preserve">RETRADE-EAPP Ph.2 Ethiopia-Somalia Interconnector (P179036)</w:t>
            </w:r>
          </w:p>
        </w:tc>
        <w:tc>
          <w:tcPr>
            <w:tcW w:w="824" w:type="dxa"/>
          </w:tcPr>
          <w:tcPr/>
          <w:p>
            <w:pPr>
              <w:pStyle w:val="Compact"/>
              <w:jc w:val="left"/>
            </w:pPr>
            <w:r>
              <w:t xml:space="preserve">BM</w:t>
            </w:r>
          </w:p>
        </w:tc>
        <w:tc>
          <w:tcPr>
            <w:tcW w:w="1635" w:type="dxa"/>
          </w:tcPr>
          <w:tcPr/>
          <w:p>
            <w:pPr>
              <w:pStyle w:val="Compact"/>
              <w:jc w:val="left"/>
            </w:pPr>
            <w:r>
              <w:t xml:space="preserve">230 M USD</w:t>
            </w:r>
          </w:p>
        </w:tc>
        <w:tc>
          <w:tcPr>
            <w:tcW w:w="950" w:type="dxa"/>
          </w:tcPr>
          <w:tcPr/>
          <w:p>
            <w:pPr>
              <w:pStyle w:val="Compact"/>
              <w:jc w:val="left"/>
            </w:pPr>
            <w:r>
              <w:t xml:space="preserve">—</w:t>
            </w:r>
          </w:p>
        </w:tc>
        <w:tc>
          <w:tcPr>
            <w:tcW w:w="2191" w:type="dxa"/>
          </w:tcPr>
          <w:tcPr/>
          <w:p>
            <w:pPr>
              <w:pStyle w:val="Compact"/>
              <w:jc w:val="left"/>
            </w:pPr>
            <w:r>
              <w:t xml:space="preserve">EEP</w:t>
            </w:r>
          </w:p>
        </w:tc>
        <w:tc>
          <w:tcPr>
            <w:tcW w:w="3489" w:type="dxa"/>
          </w:tcPr>
          <w:tcPr/>
          <w:p>
            <w:pPr>
              <w:pStyle w:val="Compact"/>
              <w:jc w:val="left"/>
            </w:pPr>
            <w:r>
              <w:t xml:space="preserve">—</w:t>
            </w:r>
          </w:p>
        </w:tc>
        <w:tc>
          <w:tcPr>
            <w:tcW w:w="1153" w:type="dxa"/>
          </w:tcPr>
          <w:tcPr/>
          <w:p>
            <w:pPr>
              <w:pStyle w:val="Compact"/>
              <w:jc w:val="left"/>
            </w:pPr>
            <w:r>
              <w:rPr>
                <w:bCs/>
                <w:b/>
              </w:rPr>
              <w:t xml:space="preserve">Abandonné</w:t>
            </w:r>
            <w:r>
              <w:t xml:space="preserve"> </w:t>
            </w:r>
            <w:r>
              <w:t xml:space="preserve">(mars 2026)</w:t>
            </w:r>
          </w:p>
        </w:tc>
        <w:tc>
          <w:tcPr>
            <w:tcW w:w="840" w:type="dxa"/>
          </w:tcPr>
          <w:tcPr/>
          <w:p>
            <w:pPr>
              <w:pStyle w:val="Compact"/>
              <w:jc w:val="left"/>
            </w:pPr>
            <w:r>
              <w:t xml:space="preserve">[10]</w:t>
            </w:r>
          </w:p>
        </w:tc>
      </w:tr>
      <w:tr>
        <w:tc>
          <w:tcPr>
            <w:tcW w:w="3485" w:type="dxa"/>
          </w:tcPr>
          <w:tcPr/>
          <w:p>
            <w:pPr>
              <w:pStyle w:val="Compact"/>
              <w:jc w:val="left"/>
            </w:pPr>
            <w:r>
              <w:t xml:space="preserve">Programme ECF (4 ans)</w:t>
            </w:r>
          </w:p>
        </w:tc>
        <w:tc>
          <w:tcPr>
            <w:tcW w:w="824" w:type="dxa"/>
          </w:tcPr>
          <w:tcPr/>
          <w:p>
            <w:pPr>
              <w:pStyle w:val="Compact"/>
              <w:jc w:val="left"/>
            </w:pPr>
            <w:r>
              <w:t xml:space="preserve">FMI</w:t>
            </w:r>
          </w:p>
        </w:tc>
        <w:tc>
          <w:tcPr>
            <w:tcW w:w="1635" w:type="dxa"/>
          </w:tcPr>
          <w:tcPr/>
          <w:p>
            <w:pPr>
              <w:pStyle w:val="Compact"/>
              <w:jc w:val="left"/>
            </w:pPr>
            <w:r>
              <w:t xml:space="preserve">—</w:t>
            </w:r>
          </w:p>
        </w:tc>
        <w:tc>
          <w:tcPr>
            <w:tcW w:w="950" w:type="dxa"/>
          </w:tcPr>
          <w:tcPr/>
          <w:p>
            <w:pPr>
              <w:pStyle w:val="Compact"/>
              <w:jc w:val="left"/>
            </w:pPr>
            <w:r>
              <w:t xml:space="preserve">2024–2028</w:t>
            </w:r>
          </w:p>
        </w:tc>
        <w:tc>
          <w:tcPr>
            <w:tcW w:w="2191" w:type="dxa"/>
          </w:tcPr>
          <w:tcPr/>
          <w:p>
            <w:pPr>
              <w:pStyle w:val="Compact"/>
              <w:jc w:val="left"/>
            </w:pPr>
            <w:r>
              <w:t xml:space="preserve">tarifs électriques, viabilité d’EEP</w:t>
            </w:r>
          </w:p>
        </w:tc>
        <w:tc>
          <w:tcPr>
            <w:tcW w:w="3489" w:type="dxa"/>
          </w:tcPr>
          <w:tcPr/>
          <w:p>
            <w:pPr>
              <w:pStyle w:val="Compact"/>
              <w:jc w:val="left"/>
            </w:pPr>
            <w:r>
              <w:t xml:space="preserve">repère structurel : hausses trimestrielles ; 4e revue (janv. 2026) et 5e revue (juillet 2026) achevées</w:t>
            </w:r>
          </w:p>
        </w:tc>
        <w:tc>
          <w:tcPr>
            <w:tcW w:w="1153" w:type="dxa"/>
          </w:tcPr>
          <w:tcPr/>
          <w:p>
            <w:pPr>
              <w:pStyle w:val="Compact"/>
              <w:jc w:val="left"/>
            </w:pPr>
            <w:r>
              <w:t xml:space="preserve">en cours</w:t>
            </w:r>
          </w:p>
        </w:tc>
        <w:tc>
          <w:tcPr>
            <w:tcW w:w="840" w:type="dxa"/>
          </w:tcPr>
          <w:tcPr/>
          <w:p>
            <w:pPr>
              <w:pStyle w:val="Compact"/>
              <w:jc w:val="left"/>
            </w:pPr>
            <w:r>
              <w:t xml:space="preserve">[5]</w:t>
            </w:r>
          </w:p>
        </w:tc>
      </w:tr>
      <w:tr>
        <w:tc>
          <w:tcPr>
            <w:tcW w:w="3485" w:type="dxa"/>
          </w:tcPr>
          <w:tcPr/>
          <w:p>
            <w:pPr>
              <w:pStyle w:val="Compact"/>
              <w:jc w:val="left"/>
            </w:pPr>
            <w:r>
              <w:t xml:space="preserve">Interconnexion Djibouti (Semera–Nagad), Eastern Grid (104 M), Hurso–Jijiga (187,75 M)</w:t>
            </w:r>
          </w:p>
        </w:tc>
        <w:tc>
          <w:tcPr>
            <w:tcW w:w="824" w:type="dxa"/>
          </w:tcPr>
          <w:tcPr/>
          <w:p>
            <w:pPr>
              <w:pStyle w:val="Compact"/>
              <w:jc w:val="left"/>
            </w:pPr>
            <w:r>
              <w:t xml:space="preserve">BAD</w:t>
            </w:r>
          </w:p>
        </w:tc>
        <w:tc>
          <w:tcPr>
            <w:tcW w:w="1635" w:type="dxa"/>
          </w:tcPr>
          <w:tcPr/>
          <w:p>
            <w:pPr>
              <w:pStyle w:val="Compact"/>
              <w:jc w:val="left"/>
            </w:pPr>
            <w:r>
              <w:t xml:space="preserve">montants du pacte</w:t>
            </w:r>
          </w:p>
        </w:tc>
        <w:tc>
          <w:tcPr>
            <w:tcW w:w="950" w:type="dxa"/>
          </w:tcPr>
          <w:tcPr/>
          <w:p>
            <w:pPr>
              <w:pStyle w:val="Compact"/>
              <w:jc w:val="left"/>
            </w:pPr>
            <w:r>
              <w:t xml:space="preserve">—</w:t>
            </w:r>
          </w:p>
        </w:tc>
        <w:tc>
          <w:tcPr>
            <w:tcW w:w="2191" w:type="dxa"/>
          </w:tcPr>
          <w:tcPr/>
          <w:p>
            <w:pPr>
              <w:pStyle w:val="Compact"/>
              <w:jc w:val="left"/>
            </w:pPr>
            <w:r>
              <w:t xml:space="preserve">EEP</w:t>
            </w:r>
          </w:p>
        </w:tc>
        <w:tc>
          <w:tcPr>
            <w:tcW w:w="3489" w:type="dxa"/>
          </w:tcPr>
          <w:tcPr/>
          <w:p>
            <w:pPr>
              <w:pStyle w:val="Compact"/>
              <w:jc w:val="left"/>
            </w:pPr>
            <w:r>
              <w:t xml:space="preserve">—</w:t>
            </w:r>
          </w:p>
        </w:tc>
        <w:tc>
          <w:tcPr>
            <w:tcW w:w="1153" w:type="dxa"/>
          </w:tcPr>
          <w:tcPr/>
          <w:p>
            <w:pPr>
              <w:pStyle w:val="Compact"/>
              <w:jc w:val="left"/>
            </w:pPr>
            <w:r>
              <w:t xml:space="preserve">[?]</w:t>
            </w:r>
          </w:p>
        </w:tc>
        <w:tc>
          <w:tcPr>
            <w:tcW w:w="840" w:type="dxa"/>
          </w:tcPr>
          <w:tcPr/>
          <w:p>
            <w:pPr>
              <w:pStyle w:val="Compact"/>
              <w:jc w:val="left"/>
            </w:pPr>
            <w:r>
              <w:t xml:space="preserve">pacte (fiche ph. 1)</w:t>
            </w:r>
          </w:p>
        </w:tc>
      </w:tr>
    </w:tbl>
    <w:bookmarkEnd w:id="157"/>
    <w:bookmarkStart w:id="158" w:name="écart-pacte-réalité-11"/>
    <w:p>
      <w:pPr>
        <w:pStyle w:val="Heading3"/>
      </w:pPr>
      <w:r>
        <w:t xml:space="preserve">5. Écart pacte ↔ réalité</w:t>
      </w:r>
    </w:p>
    <w:p>
      <w:pPr>
        <w:numPr>
          <w:ilvl w:val="0"/>
          <w:numId w:val="1082"/>
        </w:numPr>
        <w:pStyle w:val="Compact"/>
      </w:pPr>
      <w:r>
        <w:rPr>
          <w:bCs/>
          <w:b/>
        </w:rPr>
        <w:t xml:space="preserve">Recouvrement des coûts</w:t>
      </w:r>
      <w:r>
        <w:t xml:space="preserve"> </w:t>
      </w:r>
      <w:r>
        <w:t xml:space="preserve">: le pacte affirme une base « &lt; 60 % » ; le DPO 2 de la BM mesure</w:t>
      </w:r>
      <w:r>
        <w:t xml:space="preserve"> </w:t>
      </w:r>
      <w:r>
        <w:rPr>
          <w:bCs/>
          <w:b/>
        </w:rPr>
        <w:t xml:space="preserve">76 % en FY25</w:t>
      </w:r>
      <w:r>
        <w:t xml:space="preserve"> </w:t>
      </w:r>
      <w:r>
        <w:t xml:space="preserve">(contre 18 % en 2023) [3] — la réforme a progressé plus vite que ne le dit le pacte, ou les définitions diffèrent (à clarifier en phase 3).</w:t>
      </w:r>
    </w:p>
    <w:p>
      <w:pPr>
        <w:numPr>
          <w:ilvl w:val="0"/>
          <w:numId w:val="1082"/>
        </w:numPr>
        <w:pStyle w:val="Compact"/>
      </w:pPr>
      <w:r>
        <w:rPr>
          <w:bCs/>
          <w:b/>
        </w:rPr>
        <w:t xml:space="preserve">Capacité</w:t>
      </w:r>
      <w:r>
        <w:t xml:space="preserve"> </w:t>
      </w:r>
      <w:r>
        <w:t xml:space="preserve">: le pacte annonce 9 761 MW en 2025 ; le PAD ASCENT (juillet 2025) parle de ≈ 3 000 MW en juin 2025, &gt; 10 GW une fois GERD pleinement opérationnel [4] — le pacte compte la capacité nominale de GERD.</w:t>
      </w:r>
    </w:p>
    <w:p>
      <w:pPr>
        <w:numPr>
          <w:ilvl w:val="0"/>
          <w:numId w:val="1082"/>
        </w:numPr>
        <w:pStyle w:val="Compact"/>
      </w:pPr>
      <w:r>
        <w:rPr>
          <w:bCs/>
          <w:b/>
        </w:rPr>
        <w:t xml:space="preserve">Pertes</w:t>
      </w:r>
      <w:r>
        <w:t xml:space="preserve"> </w:t>
      </w:r>
      <w:r>
        <w:t xml:space="preserve">: pacte &gt; 27 % (T&amp;D) ; BM 20 % (techniques + commerciales d’EEU) [4] — périmètres différents.</w:t>
      </w:r>
    </w:p>
    <w:p>
      <w:pPr>
        <w:numPr>
          <w:ilvl w:val="0"/>
          <w:numId w:val="1082"/>
        </w:numPr>
        <w:pStyle w:val="Compact"/>
      </w:pPr>
      <w:r>
        <w:rPr>
          <w:bCs/>
          <w:b/>
        </w:rPr>
        <w:t xml:space="preserve">Protection des vulnérables</w:t>
      </w:r>
      <w:r>
        <w:t xml:space="preserve"> </w:t>
      </w:r>
      <w:r>
        <w:t xml:space="preserve">: le pacte n’alloue que 0,16 M USD de l’État à la PSO ; les sources BM/FMI s’appuient sur le maintien de tranches sociales et l’exemption de TVA, et le costing PSO n’en est qu’au pilote [3][5].</w:t>
      </w:r>
    </w:p>
    <w:p>
      <w:pPr>
        <w:numPr>
          <w:ilvl w:val="0"/>
          <w:numId w:val="1082"/>
        </w:numPr>
        <w:pStyle w:val="Compact"/>
      </w:pPr>
      <w:r>
        <w:rPr>
          <w:bCs/>
          <w:b/>
        </w:rPr>
        <w:t xml:space="preserve">Comptes</w:t>
      </w:r>
      <w:r>
        <w:t xml:space="preserve"> </w:t>
      </w:r>
      <w:r>
        <w:t xml:space="preserve">: le pacte reconnaît des états financiers « souvent en retard » ; aucun compte EEP/EEU récent n’a été trouvé en ligne.</w:t>
      </w:r>
    </w:p>
    <w:bookmarkEnd w:id="158"/>
    <w:bookmarkStart w:id="159" w:name="diagnostic-synthétique-11"/>
    <w:p>
      <w:pPr>
        <w:pStyle w:val="Heading3"/>
      </w:pPr>
      <w:r>
        <w:t xml:space="preserve">6. Diagnostic synthétique</w:t>
      </w:r>
    </w:p>
    <w:p>
      <w:pPr>
        <w:numPr>
          <w:ilvl w:val="0"/>
          <w:numId w:val="1083"/>
        </w:numPr>
        <w:pStyle w:val="Compact"/>
      </w:pPr>
      <w:r>
        <w:rPr>
          <w:bCs/>
          <w:b/>
        </w:rPr>
        <w:t xml:space="preserve">Financier : faible, en amélioration rapide</w:t>
      </w:r>
      <w:r>
        <w:t xml:space="preserve"> </w:t>
      </w:r>
      <w:r>
        <w:t xml:space="preserve">(dette CBE reprise par l’État, tarifs ×4–6 programmés, recouvrement 76 %, mais EEP déficitaire jusqu’en FY24 et maintenance différée).</w:t>
      </w:r>
      <w:r>
        <w:t xml:space="preserve"> </w:t>
      </w:r>
      <w:r>
        <w:rPr>
          <w:bCs/>
          <w:b/>
        </w:rPr>
        <w:t xml:space="preserve">Technique : faible</w:t>
      </w:r>
      <w:r>
        <w:t xml:space="preserve"> </w:t>
      </w:r>
      <w:r>
        <w:t xml:space="preserve">(fiabilité dégradée, plus de la moitié des raccordements non enregistrés, comptage &lt; 10 % selon le pacte).</w:t>
      </w:r>
      <w:r>
        <w:t xml:space="preserve"> </w:t>
      </w:r>
      <w:r>
        <w:rPr>
          <w:bCs/>
          <w:b/>
        </w:rPr>
        <w:t xml:space="preserve">Gouvernance : moyenne</w:t>
      </w:r>
      <w:r>
        <w:t xml:space="preserve"> </w:t>
      </w:r>
      <w:r>
        <w:t xml:space="preserve">(cadre EIH/PEA en construction, conditionnalité BM/FMI forte).</w:t>
      </w:r>
    </w:p>
    <w:p>
      <w:pPr>
        <w:numPr>
          <w:ilvl w:val="0"/>
          <w:numId w:val="1083"/>
        </w:numPr>
        <w:pStyle w:val="Compact"/>
      </w:pPr>
      <w:r>
        <w:rPr>
          <w:bCs/>
          <w:b/>
        </w:rPr>
        <w:t xml:space="preserve">Causes racines</w:t>
      </w:r>
      <w:r>
        <w:t xml:space="preserve"> </w:t>
      </w:r>
      <w:r>
        <w:t xml:space="preserve">: (1) tarifs historiquement érodés par l’inflation puis par la dévaluation ; (2) surendettement des grands barrages porté par EEP ; (3) faiblesse commerciale d’EEU (clients non enregistrés, comptage, recouvrement).</w:t>
      </w:r>
    </w:p>
    <w:p>
      <w:pPr>
        <w:numPr>
          <w:ilvl w:val="0"/>
          <w:numId w:val="1083"/>
        </w:numPr>
        <w:pStyle w:val="Compact"/>
      </w:pPr>
      <w:r>
        <w:rPr>
          <w:bCs/>
          <w:b/>
        </w:rPr>
        <w:t xml:space="preserve">Phase 3</w:t>
      </w:r>
      <w:r>
        <w:t xml:space="preserve"> </w:t>
      </w:r>
      <w:r>
        <w:t xml:space="preserve">: grille trimestrielle par tranche (ETB/kWh), coût de service PEA 2025, impact social des hausses.</w:t>
      </w:r>
    </w:p>
    <w:bookmarkEnd w:id="159"/>
    <w:bookmarkStart w:id="160" w:name="inconnus-11"/>
    <w:p>
      <w:pPr>
        <w:pStyle w:val="Heading3"/>
      </w:pPr>
      <w:r>
        <w:t xml:space="preserve">7. Inconnus</w:t>
      </w:r>
    </w:p>
    <w:p>
      <w:pPr>
        <w:numPr>
          <w:ilvl w:val="0"/>
          <w:numId w:val="1084"/>
        </w:numPr>
        <w:pStyle w:val="Compact"/>
      </w:pPr>
      <w:r>
        <w:t xml:space="preserve">Comptes audités récents d’EEP et d’EEU (résultat, dette, créances) [?].</w:t>
      </w:r>
    </w:p>
    <w:p>
      <w:pPr>
        <w:numPr>
          <w:ilvl w:val="0"/>
          <w:numId w:val="1084"/>
        </w:numPr>
        <w:pStyle w:val="Compact"/>
      </w:pPr>
      <w:r>
        <w:t xml:space="preserve">Taux de recouvrement des factures d’EEU [?].</w:t>
      </w:r>
    </w:p>
    <w:p>
      <w:pPr>
        <w:numPr>
          <w:ilvl w:val="0"/>
          <w:numId w:val="1084"/>
        </w:numPr>
        <w:pStyle w:val="Compact"/>
      </w:pPr>
      <w:r>
        <w:t xml:space="preserve">Montant des arriérés publics et du coût des PSO [?].</w:t>
      </w:r>
    </w:p>
    <w:p>
      <w:pPr>
        <w:numPr>
          <w:ilvl w:val="0"/>
          <w:numId w:val="1084"/>
        </w:numPr>
        <w:pStyle w:val="Compact"/>
      </w:pPr>
      <w:r>
        <w:t xml:space="preserve">Statut des projets BAD cités par le pacte [?].</w:t>
      </w:r>
    </w:p>
    <w:bookmarkEnd w:id="160"/>
    <w:bookmarkStart w:id="161" w:name="sources-12"/>
    <w:p>
      <w:pPr>
        <w:pStyle w:val="Heading3"/>
      </w:pPr>
      <w:r>
        <w:t xml:space="preserve">Sources</w:t>
      </w:r>
    </w:p>
    <w:p>
      <w:pPr>
        <w:pStyle w:val="FirstParagraph"/>
      </w:pPr>
      <w:r>
        <w:t xml:space="preserve">[1] Banque mondiale, PRIME-1 Additional Financing — Project Information Document, 15/05/2026 (P176731). https://documents.worldbank.org/curated/en/099051526163019271/text/P176731-a5c6de9a-86ab-4151-960b-6b3ea2397fdd.txt</w:t>
      </w:r>
      <w:r>
        <w:t xml:space="preserve"> </w:t>
      </w:r>
      <w:r>
        <w:t xml:space="preserve">[2] idem [1] (coûts et composantes de l’AF).</w:t>
      </w:r>
      <w:r>
        <w:t xml:space="preserve"> </w:t>
      </w:r>
      <w:r>
        <w:t xml:space="preserve">[3] Banque mondiale,</w:t>
      </w:r>
      <w:r>
        <w:t xml:space="preserve"> </w:t>
      </w:r>
      <w:r>
        <w:rPr>
          <w:iCs/>
          <w:i/>
        </w:rPr>
        <w:t xml:space="preserve">Ethiopia — Second Sustainable and Inclusive Growth Development Policy Operation</w:t>
      </w:r>
      <w:r>
        <w:t xml:space="preserve">, Program Document, 04/06/2025 (P506352) — PA5, tableau de passage DPO1→DPO2 (PA7 du DPO1), RI8. https://documents.worldbank.org/curated/en/099940009032544066/text/IDU-5e7ac1f7-87fb-43d8-b682-a3e7e333a467.txt</w:t>
      </w:r>
      <w:r>
        <w:t xml:space="preserve"> </w:t>
      </w:r>
      <w:r>
        <w:t xml:space="preserve">[4] Banque mondiale,</w:t>
      </w:r>
      <w:r>
        <w:t xml:space="preserve"> </w:t>
      </w:r>
      <w:r>
        <w:rPr>
          <w:iCs/>
          <w:i/>
        </w:rPr>
        <w:t xml:space="preserve">Accelerating Sustainable and Clean Energy Access Transformation in Ethiopia</w:t>
      </w:r>
      <w:r>
        <w:t xml:space="preserve">, Program Appraisal Document, 03/07/2025 (P506061). https://documents.worldbank.org/curated/en/099070925154021409/text/BOSIB-b16acf78-b05c-4234-b35d-ec4ca80658d2.txt</w:t>
      </w:r>
      <w:r>
        <w:t xml:space="preserve"> </w:t>
      </w:r>
      <w:r>
        <w:t xml:space="preserve">[5] FMI,</w:t>
      </w:r>
      <w:r>
        <w:t xml:space="preserve"> </w:t>
      </w:r>
      <w:r>
        <w:rPr>
          <w:iCs/>
          <w:i/>
        </w:rPr>
        <w:t xml:space="preserve">Ethiopia — Fourth Review under the ECF</w:t>
      </w:r>
      <w:r>
        <w:t xml:space="preserve">, Country Report No. 26/20, janvier 2026 (§18, §33, MEFP §44-45). https://www.imf.org/-/media/files/publications/cr/2026/english/1ethea2026001-source-pdf.pdf ; communiqué 5e revue (01/07/2026) vu via résultats de recherche.</w:t>
      </w:r>
      <w:r>
        <w:t xml:space="preserve"> </w:t>
      </w:r>
      <w:r>
        <w:t xml:space="preserve">[6] Banque mondiale,</w:t>
      </w:r>
      <w:r>
        <w:t xml:space="preserve"> </w:t>
      </w:r>
      <w:r>
        <w:rPr>
          <w:iCs/>
          <w:i/>
        </w:rPr>
        <w:t xml:space="preserve">Ethiopia — Inclusive Growth Development Policy Operation</w:t>
      </w:r>
      <w:r>
        <w:t xml:space="preserve">, Program Document, 29/05/2026 (P514383). https://documents.worldbank.org/curated/en/099060226161033684/text/BOSIB-82b946b6-ccb3-4f15-8dbd-bd599ec938e6.txt</w:t>
      </w:r>
      <w:r>
        <w:t xml:space="preserve"> </w:t>
      </w:r>
      <w:r>
        <w:t xml:space="preserve">[7] The Reporter Ethiopia, « EEU defends tariff increments, says power subsidy still high », 07/02/2026. https://www.thereporterethiopia.com/48994/</w:t>
      </w:r>
      <w:r>
        <w:t xml:space="preserve"> </w:t>
      </w:r>
      <w:r>
        <w:t xml:space="preserve">[8] Y. N. Ayele et M. Tesfaye,</w:t>
      </w:r>
      <w:r>
        <w:t xml:space="preserve"> </w:t>
      </w:r>
      <w:r>
        <w:rPr>
          <w:iCs/>
          <w:i/>
        </w:rPr>
        <w:t xml:space="preserve">Ethiopia’s aggressive electricity tariff reset</w:t>
      </w:r>
      <w:r>
        <w:t xml:space="preserve">, Energy for Growth Hub, juillet 2026. https://energyforgrowth.org/wp-content/uploads/2026/07/Ethiopia_Tariff_Memo_V3.pdf</w:t>
      </w:r>
      <w:r>
        <w:t xml:space="preserve"> </w:t>
      </w:r>
      <w:r>
        <w:t xml:space="preserve">[9] Banque mondiale, ISR ASCENT Ethiopia (P506061), 26/09/2026.</w:t>
      </w:r>
      <w:r>
        <w:t xml:space="preserve"> </w:t>
      </w:r>
      <w:r>
        <w:t xml:space="preserve">[10] Banque mondiale, base de données des projets (API v3, 18/10/2026) — P181591, P506352, P514383, P176731, P508707, P506061, P160395, P178895, P171742, P179036.</w:t>
      </w:r>
    </w:p>
    <w:p>
      <w:r>
        <w:br w:type="page"/>
      </w:r>
    </w:p>
    <w:bookmarkEnd w:id="161"/>
    <w:bookmarkEnd w:id="162"/>
    <w:bookmarkStart w:id="172" w:name="diagnostic-opérateur-seeg-gabon"/>
    <w:p>
      <w:pPr>
        <w:pStyle w:val="Heading2"/>
      </w:pPr>
      <w:r>
        <w:t xml:space="preserve">Diagnostic opérateur — SEEG (Gabon)</w:t>
      </w:r>
    </w:p>
    <w:p>
      <w:pPr>
        <w:pStyle w:val="BlockText"/>
      </w:pPr>
      <w:r>
        <w:t xml:space="preserve">Phase 2 — Mission 300. Statuts :</w:t>
      </w:r>
      <w:r>
        <w:t xml:space="preserve"> </w:t>
      </w:r>
      <w:r>
        <w:rPr>
          <w:bCs/>
          <w:b/>
        </w:rPr>
        <w:t xml:space="preserve">[V]</w:t>
      </w:r>
      <w:r>
        <w:t xml:space="preserve"> </w:t>
      </w:r>
      <w:r>
        <w:t xml:space="preserve">document primaire (états financiers, régulateur, document de projet BM/BAD, FMI)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Pacte : ../../phase1/fiches/GAB_gabon.md (« (pacte) », [P]). Recherche du 2026-10-18.</w:t>
      </w:r>
    </w:p>
    <w:bookmarkStart w:id="163" w:name="identité-12"/>
    <w:p>
      <w:pPr>
        <w:pStyle w:val="Heading3"/>
      </w:pPr>
      <w:r>
        <w:t xml:space="preserve">0. Identité</w:t>
      </w:r>
    </w:p>
    <w:p>
      <w:pPr>
        <w:numPr>
          <w:ilvl w:val="0"/>
          <w:numId w:val="1085"/>
        </w:numPr>
        <w:pStyle w:val="Compact"/>
      </w:pPr>
      <w:r>
        <w:t xml:space="preserve">SEEG (Société d’Énergie et d’Eau du Gabon) : concessionnaire eau + électricité (production, transport, distribution) ; concession renouvelée pour 20 ans le</w:t>
      </w:r>
      <w:r>
        <w:t xml:space="preserve"> </w:t>
      </w:r>
      <w:r>
        <w:rPr>
          <w:bCs/>
          <w:b/>
        </w:rPr>
        <w:t xml:space="preserve">05-01-2022</w:t>
      </w:r>
      <w:r>
        <w:t xml:space="preserve"> </w:t>
      </w:r>
      <w:r>
        <w:t xml:space="preserve">; société publique depuis la « fin brutale de l’affermage en 2018 » (Veolia) [1] [V]. Contrat d’objectifs et de performance MAUEE-SEEG signé le</w:t>
      </w:r>
      <w:r>
        <w:t xml:space="preserve"> </w:t>
      </w:r>
      <w:r>
        <w:rPr>
          <w:bCs/>
          <w:b/>
        </w:rPr>
        <w:t xml:space="preserve">20-03-2024</w:t>
      </w:r>
      <w:r>
        <w:t xml:space="preserve">, mais</w:t>
      </w:r>
      <w:r>
        <w:t xml:space="preserve"> </w:t>
      </w:r>
      <w:r>
        <w:rPr>
          <w:bCs/>
          <w:b/>
        </w:rPr>
        <w:t xml:space="preserve">sans cibles chiffrées, échéances ni mécanisme d’exécution</w:t>
      </w:r>
      <w:r>
        <w:t xml:space="preserve"> </w:t>
      </w:r>
      <w:r>
        <w:t xml:space="preserve">[1] [V].</w:t>
      </w:r>
    </w:p>
    <w:p>
      <w:pPr>
        <w:numPr>
          <w:ilvl w:val="0"/>
          <w:numId w:val="1085"/>
        </w:numPr>
        <w:pStyle w:val="Compact"/>
      </w:pPr>
      <w:r>
        <w:t xml:space="preserve">Scandale 2024 : une enquête a mis au jour un réseau de corruption ayant détourné « au moins plusieurs milliards de FCFA » des paiements d’électricité ; administration provisoire d’août 2024,</w:t>
      </w:r>
      <w:r>
        <w:t xml:space="preserve"> </w:t>
      </w:r>
      <w:r>
        <w:rPr>
          <w:bCs/>
          <w:b/>
        </w:rPr>
        <w:t xml:space="preserve">levée le 28-05-2025</w:t>
      </w:r>
      <w:r>
        <w:t xml:space="preserve"> </w:t>
      </w:r>
      <w:r>
        <w:t xml:space="preserve">[1] [V]. Réformes annoncées dans le pacte : scission eau/électricité (2026), fusion SP-GPC, recapitalisation [P].</w:t>
      </w:r>
    </w:p>
    <w:p>
      <w:pPr>
        <w:numPr>
          <w:ilvl w:val="0"/>
          <w:numId w:val="1085"/>
        </w:numPr>
        <w:pStyle w:val="Compact"/>
      </w:pPr>
      <w:r>
        <w:t xml:space="preserve">Autres acteurs : Société de Patrimoine, GPC (FGIS), CNEE (financée par une surtaxe sur les factures SEEG, donc dépendante du recouvrement SEEG) [1] [V][P] ; IPP/locations : Karpowership (centrale flottante, Libreville, depuis 2025), Aggreko ; IFC : Kinguélé Aval (35 MW hydro), Orinko (gaz) [1] [V][5] [S].</w:t>
      </w:r>
    </w:p>
    <w:p>
      <w:pPr>
        <w:numPr>
          <w:ilvl w:val="0"/>
          <w:numId w:val="1085"/>
        </w:numPr>
        <w:pStyle w:val="Compact"/>
      </w:pPr>
      <w:r>
        <w:t xml:space="preserve">Régulateur : ARSEE, mandatée pour les normes, tarifs et performances, mais « manque des ressources nécessaires » ; tarifs fixés par voie réglementaire (pacte) [1] [V][P].</w:t>
      </w:r>
    </w:p>
    <w:p>
      <w:pPr>
        <w:numPr>
          <w:ilvl w:val="0"/>
          <w:numId w:val="1085"/>
        </w:numPr>
        <w:pStyle w:val="Compact"/>
      </w:pPr>
      <w:r>
        <w:t xml:space="preserve">Comptes :</w:t>
      </w:r>
      <w:r>
        <w:t xml:space="preserve"> </w:t>
      </w:r>
      <w:r>
        <w:rPr>
          <w:bCs/>
          <w:b/>
        </w:rPr>
        <w:t xml:space="preserve">absence d’états financiers depuis 2018</w:t>
      </w:r>
      <w:r>
        <w:t xml:space="preserve"> </w:t>
      </w:r>
      <w:r>
        <w:t xml:space="preserve">; les comptes post-2018 ont été « reconstitués rétroactivement » dans le cadre du redressement [1] [V] ; certification en cours pour plusieurs exercices (avril 2026) [5] [S]. Aucun compte publié trouvé [?].</w:t>
      </w:r>
    </w:p>
    <w:bookmarkEnd w:id="163"/>
    <w:bookmarkStart w:id="164" w:name="situation-financière-12"/>
    <w:p>
      <w:pPr>
        <w:pStyle w:val="Heading3"/>
      </w:pPr>
      <w:r>
        <w:t xml:space="preserve">1. Situation financière</w:t>
      </w:r>
    </w:p>
    <w:tbl>
      <w:tblPr>
        <w:tblStyle w:val="Table"/>
        <w:tblW w:type="dxa" w:w="14570"/>
        <w:tblLook w:firstRow="1" w:lastRow="0" w:firstColumn="0" w:lastColumn="0" w:noHBand="0" w:noVBand="0" w:val="0020"/>
        <w:jc w:val="start"/>
      </w:tblPr>
      <w:tblGrid>
        <w:gridCol w:w="3196"/>
        <w:gridCol w:w="7928"/>
        <w:gridCol w:w="1154"/>
        <w:gridCol w:w="1193"/>
        <w:gridCol w:w="1097"/>
      </w:tblGrid>
      <w:tr>
        <w:trPr>
          <w:tblHeader w:val="true"/>
        </w:trPr>
        <w:tc>
          <w:tcPr>
            <w:tcW w:w="3196" w:type="dxa"/>
          </w:tcPr>
          <w:tcPr/>
          <w:p>
            <w:pPr>
              <w:pStyle w:val="Compact"/>
              <w:jc w:val="left"/>
            </w:pPr>
            <w:r>
              <w:t xml:space="preserve">Indicateur</w:t>
            </w:r>
          </w:p>
        </w:tc>
        <w:tc>
          <w:tcPr>
            <w:tcW w:w="7928" w:type="dxa"/>
          </w:tcPr>
          <w:tcPr/>
          <w:p>
            <w:pPr>
              <w:pStyle w:val="Compact"/>
              <w:jc w:val="left"/>
            </w:pPr>
            <w:r>
              <w:t xml:space="preserve">Valeur</w:t>
            </w:r>
          </w:p>
        </w:tc>
        <w:tc>
          <w:tcPr>
            <w:tcW w:w="1154" w:type="dxa"/>
          </w:tcPr>
          <w:tcPr/>
          <w:p>
            <w:pPr>
              <w:pStyle w:val="Compact"/>
              <w:jc w:val="left"/>
            </w:pPr>
            <w:r>
              <w:t xml:space="preserve">Année</w:t>
            </w:r>
          </w:p>
        </w:tc>
        <w:tc>
          <w:tcPr>
            <w:tcW w:w="1193" w:type="dxa"/>
          </w:tcPr>
          <w:tcPr/>
          <w:p>
            <w:pPr>
              <w:pStyle w:val="Compact"/>
              <w:jc w:val="left"/>
            </w:pPr>
            <w:r>
              <w:t xml:space="preserve">Statut</w:t>
            </w:r>
          </w:p>
        </w:tc>
        <w:tc>
          <w:tcPr>
            <w:tcW w:w="1097" w:type="dxa"/>
          </w:tcPr>
          <w:tcPr/>
          <w:p>
            <w:pPr>
              <w:pStyle w:val="Compact"/>
              <w:jc w:val="left"/>
            </w:pPr>
            <w:r>
              <w:t xml:space="preserve">Source</w:t>
            </w:r>
          </w:p>
        </w:tc>
      </w:tr>
      <w:tr>
        <w:tc>
          <w:tcPr>
            <w:tcW w:w="3196" w:type="dxa"/>
          </w:tcPr>
          <w:tcPr/>
          <w:p>
            <w:pPr>
              <w:pStyle w:val="Compact"/>
              <w:jc w:val="left"/>
            </w:pPr>
            <w:r>
              <w:t xml:space="preserve">Chiffre d’affaires</w:t>
            </w:r>
          </w:p>
        </w:tc>
        <w:tc>
          <w:tcPr>
            <w:tcW w:w="7928" w:type="dxa"/>
          </w:tcPr>
          <w:tcPr/>
          <w:p>
            <w:pPr>
              <w:pStyle w:val="Compact"/>
              <w:jc w:val="left"/>
            </w:pPr>
            <w:r>
              <w:t xml:space="preserve">Implicitement &lt; 230 Md FCFA (les impayés de 230 Md FCFA « dépassent une année de chiffre d’affaires »)</w:t>
            </w:r>
          </w:p>
        </w:tc>
        <w:tc>
          <w:tcPr>
            <w:tcW w:w="1154" w:type="dxa"/>
          </w:tcPr>
          <w:tcPr/>
          <w:p>
            <w:pPr>
              <w:pStyle w:val="Compact"/>
              <w:jc w:val="left"/>
            </w:pPr>
            <w:r>
              <w:t xml:space="preserve">2021</w:t>
            </w:r>
          </w:p>
        </w:tc>
        <w:tc>
          <w:tcPr>
            <w:tcW w:w="1193" w:type="dxa"/>
          </w:tcPr>
          <w:tcPr/>
          <w:p>
            <w:pPr>
              <w:pStyle w:val="Compact"/>
              <w:jc w:val="left"/>
            </w:pPr>
            <w:r>
              <w:t xml:space="preserve">[V]/[E]</w:t>
            </w:r>
          </w:p>
        </w:tc>
        <w:tc>
          <w:tcPr>
            <w:tcW w:w="1097" w:type="dxa"/>
          </w:tcPr>
          <w:tcPr/>
          <w:p>
            <w:pPr>
              <w:pStyle w:val="Compact"/>
              <w:jc w:val="left"/>
            </w:pPr>
            <w:r>
              <w:t xml:space="preserve">[1]</w:t>
            </w:r>
          </w:p>
        </w:tc>
      </w:tr>
      <w:tr>
        <w:tc>
          <w:tcPr>
            <w:tcW w:w="3196" w:type="dxa"/>
          </w:tcPr>
          <w:tcPr/>
          <w:p>
            <w:pPr>
              <w:pStyle w:val="Compact"/>
              <w:jc w:val="left"/>
            </w:pPr>
            <w:r>
              <w:t xml:space="preserve">Résultat net</w:t>
            </w:r>
          </w:p>
        </w:tc>
        <w:tc>
          <w:tcPr>
            <w:tcW w:w="7928" w:type="dxa"/>
          </w:tcPr>
          <w:tcPr/>
          <w:p>
            <w:pPr>
              <w:pStyle w:val="Compact"/>
              <w:jc w:val="left"/>
            </w:pPr>
            <w:r>
              <w:rPr>
                <w:bCs/>
                <w:b/>
              </w:rPr>
              <w:t xml:space="preserve">Perte nette combinée eau + électricité : 21,6 M USD</w:t>
            </w:r>
          </w:p>
        </w:tc>
        <w:tc>
          <w:tcPr>
            <w:tcW w:w="1154" w:type="dxa"/>
          </w:tcPr>
          <w:tcPr/>
          <w:p>
            <w:pPr>
              <w:pStyle w:val="Compact"/>
              <w:jc w:val="left"/>
            </w:pPr>
            <w:r>
              <w:t xml:space="preserve">2022</w:t>
            </w:r>
          </w:p>
        </w:tc>
        <w:tc>
          <w:tcPr>
            <w:tcW w:w="1193" w:type="dxa"/>
          </w:tcPr>
          <w:tcPr/>
          <w:p>
            <w:pPr>
              <w:pStyle w:val="Compact"/>
              <w:jc w:val="left"/>
            </w:pPr>
            <w:r>
              <w:t xml:space="preserve">[V]</w:t>
            </w:r>
          </w:p>
        </w:tc>
        <w:tc>
          <w:tcPr>
            <w:tcW w:w="1097" w:type="dxa"/>
          </w:tcPr>
          <w:tcPr/>
          <w:p>
            <w:pPr>
              <w:pStyle w:val="Compact"/>
              <w:jc w:val="left"/>
            </w:pPr>
            <w:r>
              <w:t xml:space="preserve">[1]</w:t>
            </w:r>
          </w:p>
        </w:tc>
      </w:tr>
      <w:tr>
        <w:tc>
          <w:tcPr>
            <w:tcW w:w="3196" w:type="dxa"/>
          </w:tcPr>
          <w:tcPr/>
          <w:p>
            <w:pPr>
              <w:pStyle w:val="Compact"/>
              <w:jc w:val="left"/>
            </w:pPr>
            <w:r>
              <w:t xml:space="preserve">EBITDA</w:t>
            </w:r>
          </w:p>
        </w:tc>
        <w:tc>
          <w:tcPr>
            <w:tcW w:w="7928" w:type="dxa"/>
          </w:tcPr>
          <w:tcPr/>
          <w:p>
            <w:pPr>
              <w:pStyle w:val="Compact"/>
              <w:jc w:val="left"/>
            </w:pPr>
            <w:r>
              <w:t xml:space="preserve">[?]</w:t>
            </w:r>
          </w:p>
        </w:tc>
        <w:tc>
          <w:tcPr>
            <w:tcW w:w="1154" w:type="dxa"/>
          </w:tcPr>
          <w:tcPr/>
          <w:p>
            <w:pPr>
              <w:pStyle w:val="Compact"/>
              <w:jc w:val="left"/>
            </w:pPr>
            <w:r>
              <w:t xml:space="preserve">—</w:t>
            </w:r>
          </w:p>
        </w:tc>
        <w:tc>
          <w:tcPr>
            <w:tcW w:w="1193" w:type="dxa"/>
          </w:tcPr>
          <w:tcPr/>
          <w:p>
            <w:pPr>
              <w:pStyle w:val="Compact"/>
              <w:jc w:val="left"/>
            </w:pPr>
            <w:r>
              <w:t xml:space="preserve">[?]</w:t>
            </w:r>
          </w:p>
        </w:tc>
        <w:tc>
          <w:tcPr>
            <w:tcW w:w="1097" w:type="dxa"/>
          </w:tcPr>
          <w:tcPr/>
          <w:p>
            <w:pPr>
              <w:pStyle w:val="Compact"/>
              <w:jc w:val="left"/>
            </w:pPr>
            <w:r>
              <w:t xml:space="preserve">—</w:t>
            </w:r>
          </w:p>
        </w:tc>
      </w:tr>
      <w:tr>
        <w:tc>
          <w:tcPr>
            <w:tcW w:w="3196" w:type="dxa"/>
          </w:tcPr>
          <w:tcPr/>
          <w:p>
            <w:pPr>
              <w:pStyle w:val="Compact"/>
              <w:jc w:val="left"/>
            </w:pPr>
            <w:r>
              <w:t xml:space="preserve">Dette totale</w:t>
            </w:r>
          </w:p>
        </w:tc>
        <w:tc>
          <w:tcPr>
            <w:tcW w:w="7928" w:type="dxa"/>
          </w:tcPr>
          <w:tcPr/>
          <w:p>
            <w:pPr>
              <w:pStyle w:val="Compact"/>
              <w:jc w:val="left"/>
            </w:pPr>
            <w:r>
              <w:t xml:space="preserve">&gt; 150 Md FCFA selon les autorités (avril 2026)</w:t>
            </w:r>
          </w:p>
        </w:tc>
        <w:tc>
          <w:tcPr>
            <w:tcW w:w="1154" w:type="dxa"/>
          </w:tcPr>
          <w:tcPr/>
          <w:p>
            <w:pPr>
              <w:pStyle w:val="Compact"/>
              <w:jc w:val="left"/>
            </w:pPr>
            <w:r>
              <w:t xml:space="preserve">2026</w:t>
            </w:r>
          </w:p>
        </w:tc>
        <w:tc>
          <w:tcPr>
            <w:tcW w:w="1193" w:type="dxa"/>
          </w:tcPr>
          <w:tcPr/>
          <w:p>
            <w:pPr>
              <w:pStyle w:val="Compact"/>
              <w:jc w:val="left"/>
            </w:pPr>
            <w:r>
              <w:t xml:space="preserve">[S]</w:t>
            </w:r>
          </w:p>
        </w:tc>
        <w:tc>
          <w:tcPr>
            <w:tcW w:w="1097" w:type="dxa"/>
          </w:tcPr>
          <w:tcPr/>
          <w:p>
            <w:pPr>
              <w:pStyle w:val="Compact"/>
              <w:jc w:val="left"/>
            </w:pPr>
            <w:r>
              <w:t xml:space="preserve">[5]</w:t>
            </w:r>
          </w:p>
        </w:tc>
      </w:tr>
      <w:tr>
        <w:tc>
          <w:tcPr>
            <w:tcW w:w="3196" w:type="dxa"/>
          </w:tcPr>
          <w:tcPr/>
          <w:p>
            <w:pPr>
              <w:pStyle w:val="Compact"/>
              <w:jc w:val="left"/>
            </w:pPr>
            <w:r>
              <w:t xml:space="preserve">Arriérés de l’État</w:t>
            </w:r>
          </w:p>
        </w:tc>
        <w:tc>
          <w:tcPr>
            <w:tcW w:w="7928" w:type="dxa"/>
          </w:tcPr>
          <w:tcPr/>
          <w:p>
            <w:pPr>
              <w:pStyle w:val="Compact"/>
              <w:jc w:val="left"/>
            </w:pPr>
            <w:r>
              <w:rPr>
                <w:bCs/>
                <w:b/>
              </w:rPr>
              <w:t xml:space="preserve">Impayés cumulés 230 Md FCFA (2021), dont 58,6 % détenus par l’État et 31,8 % par les particuliers</w:t>
            </w:r>
            <w:r>
              <w:t xml:space="preserve"> </w:t>
            </w:r>
            <w:r>
              <w:t xml:space="preserve">(→ ~135 Md FCFA dus par l’État [E])</w:t>
            </w:r>
          </w:p>
        </w:tc>
        <w:tc>
          <w:tcPr>
            <w:tcW w:w="1154" w:type="dxa"/>
          </w:tcPr>
          <w:tcPr/>
          <w:p>
            <w:pPr>
              <w:pStyle w:val="Compact"/>
              <w:jc w:val="left"/>
            </w:pPr>
            <w:r>
              <w:t xml:space="preserve">2021</w:t>
            </w:r>
          </w:p>
        </w:tc>
        <w:tc>
          <w:tcPr>
            <w:tcW w:w="1193" w:type="dxa"/>
          </w:tcPr>
          <w:tcPr/>
          <w:p>
            <w:pPr>
              <w:pStyle w:val="Compact"/>
              <w:jc w:val="left"/>
            </w:pPr>
            <w:r>
              <w:t xml:space="preserve">[V]</w:t>
            </w:r>
          </w:p>
        </w:tc>
        <w:tc>
          <w:tcPr>
            <w:tcW w:w="1097" w:type="dxa"/>
          </w:tcPr>
          <w:tcPr/>
          <w:p>
            <w:pPr>
              <w:pStyle w:val="Compact"/>
              <w:jc w:val="left"/>
            </w:pPr>
            <w:r>
              <w:t xml:space="preserve">[1]</w:t>
            </w:r>
          </w:p>
        </w:tc>
      </w:tr>
      <w:tr>
        <w:tc>
          <w:tcPr>
            <w:tcW w:w="3196" w:type="dxa"/>
          </w:tcPr>
          <w:tcPr/>
          <w:p>
            <w:pPr>
              <w:pStyle w:val="Compact"/>
              <w:jc w:val="left"/>
            </w:pPr>
            <w:r>
              <w:t xml:space="preserve">Transferts / subventions</w:t>
            </w:r>
          </w:p>
        </w:tc>
        <w:tc>
          <w:tcPr>
            <w:tcW w:w="7928" w:type="dxa"/>
          </w:tcPr>
          <w:tcPr/>
          <w:p>
            <w:pPr>
              <w:pStyle w:val="Compact"/>
              <w:jc w:val="left"/>
            </w:pPr>
            <w:r>
              <w:t xml:space="preserve">Prêt-relais de l’État (~30 Md FCFA, obligations domestiques structurées par L’Archer) rétrocédé à la SEEG pour payer une partie des arriérés envers Karpowership (avril 2026) ; subvention budgétaire LF 2025 de 11,1 Md FCFA (blog, non vérifié)</w:t>
            </w:r>
          </w:p>
        </w:tc>
        <w:tc>
          <w:tcPr>
            <w:tcW w:w="1154" w:type="dxa"/>
          </w:tcPr>
          <w:tcPr/>
          <w:p>
            <w:pPr>
              <w:pStyle w:val="Compact"/>
              <w:jc w:val="left"/>
            </w:pPr>
            <w:r>
              <w:t xml:space="preserve">2025-2026</w:t>
            </w:r>
          </w:p>
        </w:tc>
        <w:tc>
          <w:tcPr>
            <w:tcW w:w="1193" w:type="dxa"/>
          </w:tcPr>
          <w:tcPr/>
          <w:p>
            <w:pPr>
              <w:pStyle w:val="Compact"/>
              <w:jc w:val="left"/>
            </w:pPr>
            <w:r>
              <w:t xml:space="preserve">[S]</w:t>
            </w:r>
          </w:p>
        </w:tc>
        <w:tc>
          <w:tcPr>
            <w:tcW w:w="1097" w:type="dxa"/>
          </w:tcPr>
          <w:tcPr/>
          <w:p>
            <w:pPr>
              <w:pStyle w:val="Compact"/>
              <w:jc w:val="left"/>
            </w:pPr>
            <w:r>
              <w:t xml:space="preserve">[5][6]</w:t>
            </w:r>
          </w:p>
        </w:tc>
      </w:tr>
      <w:tr>
        <w:tc>
          <w:tcPr>
            <w:tcW w:w="3196" w:type="dxa"/>
          </w:tcPr>
          <w:tcPr/>
          <w:p>
            <w:pPr>
              <w:pStyle w:val="Compact"/>
              <w:jc w:val="left"/>
            </w:pPr>
            <w:r>
              <w:t xml:space="preserve">Taux de recouvrement électricité</w:t>
            </w:r>
          </w:p>
        </w:tc>
        <w:tc>
          <w:tcPr>
            <w:tcW w:w="7928" w:type="dxa"/>
          </w:tcPr>
          <w:tcPr/>
          <w:p>
            <w:pPr>
              <w:pStyle w:val="Compact"/>
              <w:jc w:val="left"/>
            </w:pPr>
            <w:r>
              <w:rPr>
                <w:bCs/>
                <w:b/>
              </w:rPr>
              <w:t xml:space="preserve">Contradictoire</w:t>
            </w:r>
            <w:r>
              <w:t xml:space="preserve"> </w:t>
            </w:r>
            <w:r>
              <w:t xml:space="preserve">: « environ 70 % » (texte du PAD) mais</w:t>
            </w:r>
            <w:r>
              <w:t xml:space="preserve"> </w:t>
            </w:r>
            <w:r>
              <w:rPr>
                <w:bCs/>
                <w:b/>
              </w:rPr>
              <w:t xml:space="preserve">90 % (déc. 2024)</w:t>
            </w:r>
            <w:r>
              <w:t xml:space="preserve"> </w:t>
            </w:r>
            <w:r>
              <w:t xml:space="preserve">comme référence du cadre de résultats (cible 95 % en 2031) ; pacte : 60,5 % y compris l’État</w:t>
            </w:r>
          </w:p>
        </w:tc>
        <w:tc>
          <w:tcPr>
            <w:tcW w:w="1154" w:type="dxa"/>
          </w:tcPr>
          <w:tcPr/>
          <w:p>
            <w:pPr>
              <w:pStyle w:val="Compact"/>
              <w:jc w:val="left"/>
            </w:pPr>
            <w:r>
              <w:t xml:space="preserve">2024</w:t>
            </w:r>
          </w:p>
        </w:tc>
        <w:tc>
          <w:tcPr>
            <w:tcW w:w="1193" w:type="dxa"/>
          </w:tcPr>
          <w:tcPr/>
          <w:p>
            <w:pPr>
              <w:pStyle w:val="Compact"/>
              <w:jc w:val="left"/>
            </w:pPr>
            <w:r>
              <w:t xml:space="preserve">[V]/[P]</w:t>
            </w:r>
          </w:p>
        </w:tc>
        <w:tc>
          <w:tcPr>
            <w:tcW w:w="1097" w:type="dxa"/>
          </w:tcPr>
          <w:tcPr/>
          <w:p>
            <w:pPr>
              <w:pStyle w:val="Compact"/>
              <w:jc w:val="left"/>
            </w:pPr>
            <w:r>
              <w:t xml:space="preserve">[1][P]</w:t>
            </w:r>
          </w:p>
        </w:tc>
      </w:tr>
      <w:tr>
        <w:tc>
          <w:tcPr>
            <w:tcW w:w="3196" w:type="dxa"/>
          </w:tcPr>
          <w:tcPr/>
          <w:p>
            <w:pPr>
              <w:pStyle w:val="Compact"/>
              <w:jc w:val="left"/>
            </w:pPr>
            <w:r>
              <w:t xml:space="preserve">Recette vs coût par kWh</w:t>
            </w:r>
          </w:p>
        </w:tc>
        <w:tc>
          <w:tcPr>
            <w:tcW w:w="7928" w:type="dxa"/>
          </w:tcPr>
          <w:tcPr/>
          <w:p>
            <w:pPr>
              <w:pStyle w:val="Compact"/>
              <w:jc w:val="left"/>
            </w:pPr>
            <w:r>
              <w:t xml:space="preserve">Prix moyen 103,2 FCFA/kWh vs coût moyen 79,8 FCFA/kWh (pacte, non réconcilié) ; diesel ≈ 26 % de la production à ~200 FCFA/kWh ; tarifs gelés depuis 2018</w:t>
            </w:r>
          </w:p>
        </w:tc>
        <w:tc>
          <w:tcPr>
            <w:tcW w:w="1154" w:type="dxa"/>
          </w:tcPr>
          <w:tcPr/>
          <w:p>
            <w:pPr>
              <w:pStyle w:val="Compact"/>
              <w:jc w:val="left"/>
            </w:pPr>
            <w:r>
              <w:t xml:space="preserve">2024</w:t>
            </w:r>
          </w:p>
        </w:tc>
        <w:tc>
          <w:tcPr>
            <w:tcW w:w="1193" w:type="dxa"/>
          </w:tcPr>
          <w:tcPr/>
          <w:p>
            <w:pPr>
              <w:pStyle w:val="Compact"/>
              <w:jc w:val="left"/>
            </w:pPr>
            <w:r>
              <w:t xml:space="preserve">[V]/[P]</w:t>
            </w:r>
          </w:p>
        </w:tc>
        <w:tc>
          <w:tcPr>
            <w:tcW w:w="1097" w:type="dxa"/>
          </w:tcPr>
          <w:tcPr/>
          <w:p>
            <w:pPr>
              <w:pStyle w:val="Compact"/>
              <w:jc w:val="left"/>
            </w:pPr>
            <w:r>
              <w:t xml:space="preserve">[1][P]</w:t>
            </w:r>
          </w:p>
        </w:tc>
      </w:tr>
      <w:tr>
        <w:tc>
          <w:tcPr>
            <w:tcW w:w="3196" w:type="dxa"/>
          </w:tcPr>
          <w:tcPr/>
          <w:p>
            <w:pPr>
              <w:pStyle w:val="Compact"/>
              <w:jc w:val="left"/>
            </w:pPr>
            <w:r>
              <w:t xml:space="preserve">Déficit quasi-budgétaire</w:t>
            </w:r>
          </w:p>
        </w:tc>
        <w:tc>
          <w:tcPr>
            <w:tcW w:w="7928" w:type="dxa"/>
          </w:tcPr>
          <w:tcPr/>
          <w:p>
            <w:pPr>
              <w:pStyle w:val="Compact"/>
              <w:jc w:val="left"/>
            </w:pPr>
            <w:r>
              <w:t xml:space="preserve">Pertes T&amp;D ≈ 45 Md FCFA/an (79 M USD)</w:t>
            </w:r>
          </w:p>
        </w:tc>
        <w:tc>
          <w:tcPr>
            <w:tcW w:w="1154" w:type="dxa"/>
          </w:tcPr>
          <w:tcPr/>
          <w:p>
            <w:pPr>
              <w:pStyle w:val="Compact"/>
              <w:jc w:val="left"/>
            </w:pPr>
            <w:r>
              <w:t xml:space="preserve">2024</w:t>
            </w:r>
          </w:p>
        </w:tc>
        <w:tc>
          <w:tcPr>
            <w:tcW w:w="1193" w:type="dxa"/>
          </w:tcPr>
          <w:tcPr/>
          <w:p>
            <w:pPr>
              <w:pStyle w:val="Compact"/>
              <w:jc w:val="left"/>
            </w:pPr>
            <w:r>
              <w:t xml:space="preserve">[V]</w:t>
            </w:r>
          </w:p>
        </w:tc>
        <w:tc>
          <w:tcPr>
            <w:tcW w:w="1097" w:type="dxa"/>
          </w:tcPr>
          <w:tcPr/>
          <w:p>
            <w:pPr>
              <w:pStyle w:val="Compact"/>
              <w:jc w:val="left"/>
            </w:pPr>
            <w:r>
              <w:t xml:space="preserve">[1]</w:t>
            </w:r>
          </w:p>
        </w:tc>
      </w:tr>
      <w:tr>
        <w:tc>
          <w:tcPr>
            <w:tcW w:w="3196" w:type="dxa"/>
          </w:tcPr>
          <w:tcPr/>
          <w:p>
            <w:pPr>
              <w:pStyle w:val="Compact"/>
              <w:jc w:val="left"/>
            </w:pPr>
            <w:r>
              <w:t xml:space="preserve">Notation</w:t>
            </w:r>
          </w:p>
        </w:tc>
        <w:tc>
          <w:tcPr>
            <w:tcW w:w="7928" w:type="dxa"/>
          </w:tcPr>
          <w:tcPr/>
          <w:p>
            <w:pPr>
              <w:pStyle w:val="Compact"/>
              <w:jc w:val="left"/>
            </w:pPr>
            <w:r>
              <w:t xml:space="preserve">Aucune</w:t>
            </w:r>
          </w:p>
        </w:tc>
        <w:tc>
          <w:tcPr>
            <w:tcW w:w="1154" w:type="dxa"/>
          </w:tcPr>
          <w:tcPr/>
          <w:p>
            <w:pPr>
              <w:pStyle w:val="Compact"/>
              <w:jc w:val="left"/>
            </w:pPr>
            <w:r>
              <w:t xml:space="preserve">—</w:t>
            </w:r>
          </w:p>
        </w:tc>
        <w:tc>
          <w:tcPr>
            <w:tcW w:w="1193" w:type="dxa"/>
          </w:tcPr>
          <w:tcPr/>
          <w:p>
            <w:pPr>
              <w:pStyle w:val="Compact"/>
              <w:jc w:val="left"/>
            </w:pPr>
            <w:r>
              <w:t xml:space="preserve">—</w:t>
            </w:r>
          </w:p>
        </w:tc>
        <w:tc>
          <w:tcPr>
            <w:tcW w:w="1097" w:type="dxa"/>
          </w:tcPr>
          <w:tcPr/>
          <w:p>
            <w:pPr>
              <w:pStyle w:val="Compact"/>
              <w:jc w:val="left"/>
            </w:pPr>
            <w:r>
              <w:t xml:space="preserve">—</w:t>
            </w:r>
          </w:p>
        </w:tc>
      </w:tr>
    </w:tbl>
    <w:bookmarkEnd w:id="164"/>
    <w:bookmarkStart w:id="165" w:name="situation-technique-12"/>
    <w:p>
      <w:pPr>
        <w:pStyle w:val="Heading3"/>
      </w:pPr>
      <w:r>
        <w:t xml:space="preserve">2. Situation technique</w:t>
      </w:r>
    </w:p>
    <w:tbl>
      <w:tblPr>
        <w:tblStyle w:val="Table"/>
        <w:tblW w:type="dxa" w:w="14570"/>
        <w:tblLook w:firstRow="1" w:lastRow="0" w:firstColumn="0" w:lastColumn="0" w:noHBand="0" w:noVBand="0" w:val="0020"/>
        <w:jc w:val="start"/>
      </w:tblPr>
      <w:tblGrid>
        <w:gridCol w:w="2027"/>
        <w:gridCol w:w="8780"/>
        <w:gridCol w:w="1408"/>
        <w:gridCol w:w="1201"/>
        <w:gridCol w:w="1152"/>
      </w:tblGrid>
      <w:tr>
        <w:trPr>
          <w:tblHeader w:val="true"/>
        </w:trPr>
        <w:tc>
          <w:tcPr>
            <w:tcW w:w="2027" w:type="dxa"/>
          </w:tcPr>
          <w:tcPr/>
          <w:p>
            <w:pPr>
              <w:pStyle w:val="Compact"/>
              <w:jc w:val="left"/>
            </w:pPr>
            <w:r>
              <w:t xml:space="preserve">Indicateur</w:t>
            </w:r>
          </w:p>
        </w:tc>
        <w:tc>
          <w:tcPr>
            <w:tcW w:w="8780" w:type="dxa"/>
          </w:tcPr>
          <w:tcPr/>
          <w:p>
            <w:pPr>
              <w:pStyle w:val="Compact"/>
              <w:jc w:val="left"/>
            </w:pPr>
            <w:r>
              <w:t xml:space="preserve">Valeur</w:t>
            </w:r>
          </w:p>
        </w:tc>
        <w:tc>
          <w:tcPr>
            <w:tcW w:w="1408" w:type="dxa"/>
          </w:tcPr>
          <w:tcPr/>
          <w:p>
            <w:pPr>
              <w:pStyle w:val="Compact"/>
              <w:jc w:val="left"/>
            </w:pPr>
            <w:r>
              <w:t xml:space="preserve">Année</w:t>
            </w:r>
          </w:p>
        </w:tc>
        <w:tc>
          <w:tcPr>
            <w:tcW w:w="1201" w:type="dxa"/>
          </w:tcPr>
          <w:tcPr/>
          <w:p>
            <w:pPr>
              <w:pStyle w:val="Compact"/>
              <w:jc w:val="left"/>
            </w:pPr>
            <w:r>
              <w:t xml:space="preserve">Statut</w:t>
            </w:r>
          </w:p>
        </w:tc>
        <w:tc>
          <w:tcPr>
            <w:tcW w:w="1152" w:type="dxa"/>
          </w:tcPr>
          <w:tcPr/>
          <w:p>
            <w:pPr>
              <w:pStyle w:val="Compact"/>
              <w:jc w:val="left"/>
            </w:pPr>
            <w:r>
              <w:t xml:space="preserve">Source</w:t>
            </w:r>
          </w:p>
        </w:tc>
      </w:tr>
      <w:tr>
        <w:tc>
          <w:tcPr>
            <w:tcW w:w="2027" w:type="dxa"/>
          </w:tcPr>
          <w:tcPr/>
          <w:p>
            <w:pPr>
              <w:pStyle w:val="Compact"/>
              <w:jc w:val="left"/>
            </w:pPr>
            <w:r>
              <w:t xml:space="preserve">Capacité</w:t>
            </w:r>
          </w:p>
        </w:tc>
        <w:tc>
          <w:tcPr>
            <w:tcW w:w="8780" w:type="dxa"/>
          </w:tcPr>
          <w:tcPr/>
          <w:p>
            <w:pPr>
              <w:pStyle w:val="Compact"/>
              <w:jc w:val="left"/>
            </w:pPr>
            <w:r>
              <w:t xml:space="preserve">55 des 148 groupes de production hors service, soit</w:t>
            </w:r>
            <w:r>
              <w:t xml:space="preserve"> </w:t>
            </w:r>
            <w:r>
              <w:rPr>
                <w:bCs/>
                <w:b/>
              </w:rPr>
              <w:t xml:space="preserve">37 % d’indisponibilité (304 MW)</w:t>
            </w:r>
            <w:r>
              <w:t xml:space="preserve"> </w:t>
            </w:r>
            <w:r>
              <w:t xml:space="preserve">; déficit de 55 MW à Libreville vs excédent de 160 MW à Franceville (Grand Poubara) faute d’interconnexion</w:t>
            </w:r>
          </w:p>
        </w:tc>
        <w:tc>
          <w:tcPr>
            <w:tcW w:w="1408" w:type="dxa"/>
          </w:tcPr>
          <w:tcPr/>
          <w:p>
            <w:pPr>
              <w:pStyle w:val="Compact"/>
              <w:jc w:val="left"/>
            </w:pPr>
            <w:r>
              <w:t xml:space="preserve">2024-2025</w:t>
            </w:r>
          </w:p>
        </w:tc>
        <w:tc>
          <w:tcPr>
            <w:tcW w:w="1201" w:type="dxa"/>
          </w:tcPr>
          <w:tcPr/>
          <w:p>
            <w:pPr>
              <w:pStyle w:val="Compact"/>
              <w:jc w:val="left"/>
            </w:pPr>
            <w:r>
              <w:t xml:space="preserve">[V]</w:t>
            </w:r>
          </w:p>
        </w:tc>
        <w:tc>
          <w:tcPr>
            <w:tcW w:w="1152" w:type="dxa"/>
          </w:tcPr>
          <w:tcPr/>
          <w:p>
            <w:pPr>
              <w:pStyle w:val="Compact"/>
              <w:jc w:val="left"/>
            </w:pPr>
            <w:r>
              <w:t xml:space="preserve">[1]</w:t>
            </w:r>
          </w:p>
        </w:tc>
      </w:tr>
      <w:tr>
        <w:tc>
          <w:tcPr>
            <w:tcW w:w="2027" w:type="dxa"/>
          </w:tcPr>
          <w:tcPr/>
          <w:p>
            <w:pPr>
              <w:pStyle w:val="Compact"/>
              <w:jc w:val="left"/>
            </w:pPr>
            <w:r>
              <w:t xml:space="preserve">Pertes électricité</w:t>
            </w:r>
          </w:p>
        </w:tc>
        <w:tc>
          <w:tcPr>
            <w:tcW w:w="8780" w:type="dxa"/>
          </w:tcPr>
          <w:tcPr/>
          <w:p>
            <w:pPr>
              <w:pStyle w:val="Compact"/>
              <w:jc w:val="left"/>
            </w:pPr>
            <w:r>
              <w:rPr>
                <w:bCs/>
                <w:b/>
              </w:rPr>
              <w:t xml:space="preserve">29,4 % (déc. 2024)</w:t>
            </w:r>
            <w:r>
              <w:t xml:space="preserve">, cible 27,9 % en 2031 ; pertes T&amp;D « environ 28 % » (2024)</w:t>
            </w:r>
          </w:p>
        </w:tc>
        <w:tc>
          <w:tcPr>
            <w:tcW w:w="1408" w:type="dxa"/>
          </w:tcPr>
          <w:tcPr/>
          <w:p>
            <w:pPr>
              <w:pStyle w:val="Compact"/>
              <w:jc w:val="left"/>
            </w:pPr>
            <w:r>
              <w:t xml:space="preserve">2024</w:t>
            </w:r>
          </w:p>
        </w:tc>
        <w:tc>
          <w:tcPr>
            <w:tcW w:w="1201" w:type="dxa"/>
          </w:tcPr>
          <w:tcPr/>
          <w:p>
            <w:pPr>
              <w:pStyle w:val="Compact"/>
              <w:jc w:val="left"/>
            </w:pPr>
            <w:r>
              <w:t xml:space="preserve">[V]</w:t>
            </w:r>
          </w:p>
        </w:tc>
        <w:tc>
          <w:tcPr>
            <w:tcW w:w="1152" w:type="dxa"/>
          </w:tcPr>
          <w:tcPr/>
          <w:p>
            <w:pPr>
              <w:pStyle w:val="Compact"/>
              <w:jc w:val="left"/>
            </w:pPr>
            <w:r>
              <w:t xml:space="preserve">[1]</w:t>
            </w:r>
          </w:p>
        </w:tc>
      </w:tr>
      <w:tr>
        <w:tc>
          <w:tcPr>
            <w:tcW w:w="2027" w:type="dxa"/>
          </w:tcPr>
          <w:tcPr/>
          <w:p>
            <w:pPr>
              <w:pStyle w:val="Compact"/>
              <w:jc w:val="left"/>
            </w:pPr>
            <w:r>
              <w:t xml:space="preserve">SAIDI/SAIFI</w:t>
            </w:r>
          </w:p>
        </w:tc>
        <w:tc>
          <w:tcPr>
            <w:tcW w:w="8780" w:type="dxa"/>
          </w:tcPr>
          <w:tcPr/>
          <w:p>
            <w:pPr>
              <w:pStyle w:val="Compact"/>
              <w:jc w:val="left"/>
            </w:pPr>
            <w:r>
              <w:t xml:space="preserve">~10 047 min / ~104 (non audités, pacte)</w:t>
            </w:r>
          </w:p>
        </w:tc>
        <w:tc>
          <w:tcPr>
            <w:tcW w:w="1408" w:type="dxa"/>
          </w:tcPr>
          <w:tcPr/>
          <w:p>
            <w:pPr>
              <w:pStyle w:val="Compact"/>
              <w:jc w:val="left"/>
            </w:pPr>
            <w:r>
              <w:t xml:space="preserve">~2024</w:t>
            </w:r>
          </w:p>
        </w:tc>
        <w:tc>
          <w:tcPr>
            <w:tcW w:w="1201" w:type="dxa"/>
          </w:tcPr>
          <w:tcPr/>
          <w:p>
            <w:pPr>
              <w:pStyle w:val="Compact"/>
              <w:jc w:val="left"/>
            </w:pPr>
            <w:r>
              <w:t xml:space="preserve">[P]</w:t>
            </w:r>
          </w:p>
        </w:tc>
        <w:tc>
          <w:tcPr>
            <w:tcW w:w="1152" w:type="dxa"/>
          </w:tcPr>
          <w:tcPr/>
          <w:p>
            <w:pPr>
              <w:pStyle w:val="Compact"/>
              <w:jc w:val="left"/>
            </w:pPr>
            <w:r>
              <w:t xml:space="preserve">[P]</w:t>
            </w:r>
          </w:p>
        </w:tc>
      </w:tr>
      <w:tr>
        <w:tc>
          <w:tcPr>
            <w:tcW w:w="2027" w:type="dxa"/>
          </w:tcPr>
          <w:tcPr/>
          <w:p>
            <w:pPr>
              <w:pStyle w:val="Compact"/>
              <w:jc w:val="left"/>
            </w:pPr>
            <w:r>
              <w:t xml:space="preserve">Comptage</w:t>
            </w:r>
          </w:p>
        </w:tc>
        <w:tc>
          <w:tcPr>
            <w:tcW w:w="8780" w:type="dxa"/>
          </w:tcPr>
          <w:tcPr/>
          <w:p>
            <w:pPr>
              <w:pStyle w:val="Compact"/>
              <w:jc w:val="left"/>
            </w:pPr>
            <w:r>
              <w:t xml:space="preserve">56 000 compteurs intelligents à court terme (pacte) ; PASBAP : compteurs intelligents contre les pertes commerciales</w:t>
            </w:r>
          </w:p>
        </w:tc>
        <w:tc>
          <w:tcPr>
            <w:tcW w:w="1408" w:type="dxa"/>
          </w:tcPr>
          <w:tcPr/>
          <w:p>
            <w:pPr>
              <w:pStyle w:val="Compact"/>
              <w:jc w:val="left"/>
            </w:pPr>
            <w:r>
              <w:t xml:space="preserve">2026</w:t>
            </w:r>
          </w:p>
        </w:tc>
        <w:tc>
          <w:tcPr>
            <w:tcW w:w="1201" w:type="dxa"/>
          </w:tcPr>
          <w:tcPr/>
          <w:p>
            <w:pPr>
              <w:pStyle w:val="Compact"/>
              <w:jc w:val="left"/>
            </w:pPr>
            <w:r>
              <w:t xml:space="preserve">[P]/[V]</w:t>
            </w:r>
          </w:p>
        </w:tc>
        <w:tc>
          <w:tcPr>
            <w:tcW w:w="1152" w:type="dxa"/>
          </w:tcPr>
          <w:tcPr/>
          <w:p>
            <w:pPr>
              <w:pStyle w:val="Compact"/>
              <w:jc w:val="left"/>
            </w:pPr>
            <w:r>
              <w:t xml:space="preserve">[P][1]</w:t>
            </w:r>
          </w:p>
        </w:tc>
      </w:tr>
      <w:tr>
        <w:tc>
          <w:tcPr>
            <w:tcW w:w="2027" w:type="dxa"/>
          </w:tcPr>
          <w:tcPr/>
          <w:p>
            <w:pPr>
              <w:pStyle w:val="Compact"/>
              <w:jc w:val="left"/>
            </w:pPr>
            <w:r>
              <w:t xml:space="preserve">Mix</w:t>
            </w:r>
          </w:p>
        </w:tc>
        <w:tc>
          <w:tcPr>
            <w:tcW w:w="8780" w:type="dxa"/>
          </w:tcPr>
          <w:tcPr/>
          <w:p>
            <w:pPr>
              <w:pStyle w:val="Compact"/>
              <w:jc w:val="left"/>
            </w:pPr>
            <w:r>
              <w:t xml:space="preserve">~26 % de la production au diesel ; gaz, hydro ; quatre réseaux régionaux non interconnectés</w:t>
            </w:r>
          </w:p>
        </w:tc>
        <w:tc>
          <w:tcPr>
            <w:tcW w:w="1408" w:type="dxa"/>
          </w:tcPr>
          <w:tcPr/>
          <w:p>
            <w:pPr>
              <w:pStyle w:val="Compact"/>
              <w:jc w:val="left"/>
            </w:pPr>
            <w:r>
              <w:t xml:space="preserve">2024</w:t>
            </w:r>
          </w:p>
        </w:tc>
        <w:tc>
          <w:tcPr>
            <w:tcW w:w="1201" w:type="dxa"/>
          </w:tcPr>
          <w:tcPr/>
          <w:p>
            <w:pPr>
              <w:pStyle w:val="Compact"/>
              <w:jc w:val="left"/>
            </w:pPr>
            <w:r>
              <w:t xml:space="preserve">[V]</w:t>
            </w:r>
          </w:p>
        </w:tc>
        <w:tc>
          <w:tcPr>
            <w:tcW w:w="1152" w:type="dxa"/>
          </w:tcPr>
          <w:tcPr/>
          <w:p>
            <w:pPr>
              <w:pStyle w:val="Compact"/>
              <w:jc w:val="left"/>
            </w:pPr>
            <w:r>
              <w:t xml:space="preserve">[1]</w:t>
            </w:r>
          </w:p>
        </w:tc>
      </w:tr>
      <w:tr>
        <w:tc>
          <w:tcPr>
            <w:tcW w:w="2027" w:type="dxa"/>
          </w:tcPr>
          <w:tcPr/>
          <w:p>
            <w:pPr>
              <w:pStyle w:val="Compact"/>
              <w:jc w:val="left"/>
            </w:pPr>
            <w:r>
              <w:t xml:space="preserve">Délestages</w:t>
            </w:r>
          </w:p>
        </w:tc>
        <w:tc>
          <w:tcPr>
            <w:tcW w:w="8780" w:type="dxa"/>
          </w:tcPr>
          <w:tcPr/>
          <w:p>
            <w:pPr>
              <w:pStyle w:val="Compact"/>
              <w:jc w:val="left"/>
            </w:pPr>
            <w:r>
              <w:t xml:space="preserve">« Coupures fréquentes » et mécontentement croissant ; Karpowership menaçant de suspendre l’approvisionnement (2026)</w:t>
            </w:r>
          </w:p>
        </w:tc>
        <w:tc>
          <w:tcPr>
            <w:tcW w:w="1408" w:type="dxa"/>
          </w:tcPr>
          <w:tcPr/>
          <w:p>
            <w:pPr>
              <w:pStyle w:val="Compact"/>
              <w:jc w:val="left"/>
            </w:pPr>
            <w:r>
              <w:t xml:space="preserve">2025-2026</w:t>
            </w:r>
          </w:p>
        </w:tc>
        <w:tc>
          <w:tcPr>
            <w:tcW w:w="1201" w:type="dxa"/>
          </w:tcPr>
          <w:tcPr/>
          <w:p>
            <w:pPr>
              <w:pStyle w:val="Compact"/>
              <w:jc w:val="left"/>
            </w:pPr>
            <w:r>
              <w:t xml:space="preserve">[V]/[S]</w:t>
            </w:r>
          </w:p>
        </w:tc>
        <w:tc>
          <w:tcPr>
            <w:tcW w:w="1152" w:type="dxa"/>
          </w:tcPr>
          <w:tcPr/>
          <w:p>
            <w:pPr>
              <w:pStyle w:val="Compact"/>
              <w:jc w:val="left"/>
            </w:pPr>
            <w:r>
              <w:t xml:space="preserve">[1][5]</w:t>
            </w:r>
          </w:p>
        </w:tc>
      </w:tr>
    </w:tbl>
    <w:bookmarkEnd w:id="165"/>
    <w:bookmarkStart w:id="166" w:name="situation-économique-et-gouvernance-12"/>
    <w:p>
      <w:pPr>
        <w:pStyle w:val="Heading3"/>
      </w:pPr>
      <w:r>
        <w:t xml:space="preserve">3. Situation économique et gouvernance</w:t>
      </w:r>
    </w:p>
    <w:p>
      <w:pPr>
        <w:numPr>
          <w:ilvl w:val="0"/>
          <w:numId w:val="1086"/>
        </w:numPr>
        <w:pStyle w:val="Compact"/>
      </w:pPr>
      <w:r>
        <w:t xml:space="preserve">PPA / location : Karpowership (TR, location de capacité flottante) — arriérés partiellement apurés en avril 2026 [5] [S] ; imports de Guinée équatoriale (litige de facturation, fév. 2026) [6] [S]. Take-or-pay et devises [?].</w:t>
      </w:r>
    </w:p>
    <w:p>
      <w:pPr>
        <w:numPr>
          <w:ilvl w:val="0"/>
          <w:numId w:val="1086"/>
        </w:numPr>
        <w:pStyle w:val="Compact"/>
      </w:pPr>
      <w:r>
        <w:t xml:space="preserve">Exposition : gaz domestique (contrainte d’approvisionnement à Owendo selon le pacte) et gazole importé ; conversion fioul → gaz prévue 2027-2028 (pacte) [P].</w:t>
      </w:r>
    </w:p>
    <w:p>
      <w:pPr>
        <w:numPr>
          <w:ilvl w:val="0"/>
          <w:numId w:val="1086"/>
        </w:numPr>
        <w:pStyle w:val="Compact"/>
      </w:pPr>
      <w:r>
        <w:t xml:space="preserve">Redressement : contrat d’objectifs 2024 jugé non opérationnel par la BM [1] [V] ; plan de redressement global et scission (pacte) [P] ; plan de financement à moyen terme pour rembourser l’État (presse) [5] [S].</w:t>
      </w:r>
    </w:p>
    <w:p>
      <w:pPr>
        <w:numPr>
          <w:ilvl w:val="0"/>
          <w:numId w:val="1086"/>
        </w:numPr>
        <w:pStyle w:val="Compact"/>
      </w:pPr>
      <w:r>
        <w:t xml:space="preserve">Gouvernance : corruption massive révélée en 2024 ; comptes non produits pendant six exercices ; réduction des directions de 54 à 16 (pacte) [1][P].</w:t>
      </w:r>
    </w:p>
    <w:bookmarkEnd w:id="166"/>
    <w:bookmarkStart w:id="167" w:name="X07bc647deec464b5f2b8247f7fd07831bff4569"/>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423"/>
        <w:gridCol w:w="967"/>
        <w:gridCol w:w="1517"/>
        <w:gridCol w:w="1403"/>
        <w:gridCol w:w="2574"/>
        <w:gridCol w:w="1860"/>
        <w:gridCol w:w="2106"/>
        <w:gridCol w:w="717"/>
      </w:tblGrid>
      <w:tr>
        <w:trPr>
          <w:tblHeader w:val="true"/>
        </w:trPr>
        <w:tc>
          <w:tcPr>
            <w:tcW w:w="3423" w:type="dxa"/>
          </w:tcPr>
          <w:tcPr/>
          <w:p>
            <w:pPr>
              <w:pStyle w:val="Compact"/>
              <w:jc w:val="left"/>
            </w:pPr>
            <w:r>
              <w:t xml:space="preserve">Programme / projet</w:t>
            </w:r>
          </w:p>
        </w:tc>
        <w:tc>
          <w:tcPr>
            <w:tcW w:w="967" w:type="dxa"/>
          </w:tcPr>
          <w:tcPr/>
          <w:p>
            <w:pPr>
              <w:pStyle w:val="Compact"/>
              <w:jc w:val="left"/>
            </w:pPr>
            <w:r>
              <w:t xml:space="preserve">Bailleur</w:t>
            </w:r>
          </w:p>
        </w:tc>
        <w:tc>
          <w:tcPr>
            <w:tcW w:w="1517" w:type="dxa"/>
          </w:tcPr>
          <w:tcPr/>
          <w:p>
            <w:pPr>
              <w:pStyle w:val="Compact"/>
              <w:jc w:val="left"/>
            </w:pPr>
            <w:r>
              <w:t xml:space="preserve">Montant</w:t>
            </w:r>
          </w:p>
        </w:tc>
        <w:tc>
          <w:tcPr>
            <w:tcW w:w="1403" w:type="dxa"/>
          </w:tcPr>
          <w:tcPr/>
          <w:p>
            <w:pPr>
              <w:pStyle w:val="Compact"/>
              <w:jc w:val="left"/>
            </w:pPr>
            <w:r>
              <w:t xml:space="preserve">Années</w:t>
            </w:r>
          </w:p>
        </w:tc>
        <w:tc>
          <w:tcPr>
            <w:tcW w:w="2574" w:type="dxa"/>
          </w:tcPr>
          <w:tcPr/>
          <w:p>
            <w:pPr>
              <w:pStyle w:val="Compact"/>
              <w:jc w:val="left"/>
            </w:pPr>
            <w:r>
              <w:t xml:space="preserve">Objectifs liés à l’opérateur</w:t>
            </w:r>
          </w:p>
        </w:tc>
        <w:tc>
          <w:tcPr>
            <w:tcW w:w="1860" w:type="dxa"/>
          </w:tcPr>
          <w:tcPr/>
          <w:p>
            <w:pPr>
              <w:pStyle w:val="Compact"/>
              <w:jc w:val="left"/>
            </w:pPr>
            <w:r>
              <w:t xml:space="preserve">Conditions/indicateurs</w:t>
            </w:r>
          </w:p>
        </w:tc>
        <w:tc>
          <w:tcPr>
            <w:tcW w:w="2106" w:type="dxa"/>
          </w:tcPr>
          <w:tcPr/>
          <w:p>
            <w:pPr>
              <w:pStyle w:val="Compact"/>
              <w:jc w:val="left"/>
            </w:pPr>
            <w:r>
              <w:t xml:space="preserve">Statut d’exécution</w:t>
            </w:r>
          </w:p>
        </w:tc>
        <w:tc>
          <w:tcPr>
            <w:tcW w:w="717" w:type="dxa"/>
          </w:tcPr>
          <w:tcPr/>
          <w:p>
            <w:pPr>
              <w:pStyle w:val="Compact"/>
              <w:jc w:val="left"/>
            </w:pPr>
            <w:r>
              <w:t xml:space="preserve">Source</w:t>
            </w:r>
          </w:p>
        </w:tc>
      </w:tr>
      <w:tr>
        <w:tc>
          <w:tcPr>
            <w:tcW w:w="3423" w:type="dxa"/>
          </w:tcPr>
          <w:tcPr/>
          <w:p>
            <w:pPr>
              <w:pStyle w:val="Compact"/>
              <w:jc w:val="left"/>
            </w:pPr>
            <w:r>
              <w:t xml:space="preserve">Access to Basic Services and Performance Improvement Project (PASBAP),</w:t>
            </w:r>
            <w:r>
              <w:t xml:space="preserve"> </w:t>
            </w:r>
            <w:r>
              <w:rPr>
                <w:bCs/>
                <w:b/>
              </w:rPr>
              <w:t xml:space="preserve">P179643</w:t>
            </w:r>
          </w:p>
        </w:tc>
        <w:tc>
          <w:tcPr>
            <w:tcW w:w="967" w:type="dxa"/>
          </w:tcPr>
          <w:tcPr/>
          <w:p>
            <w:pPr>
              <w:pStyle w:val="Compact"/>
              <w:jc w:val="left"/>
            </w:pPr>
            <w:r>
              <w:t xml:space="preserve">BM (prêt BIRD 9926-GA / 99260)</w:t>
            </w:r>
          </w:p>
        </w:tc>
        <w:tc>
          <w:tcPr>
            <w:tcW w:w="1517" w:type="dxa"/>
          </w:tcPr>
          <w:tcPr/>
          <w:p>
            <w:pPr>
              <w:pStyle w:val="Compact"/>
              <w:jc w:val="left"/>
            </w:pPr>
            <w:r>
              <w:rPr>
                <w:bCs/>
                <w:b/>
              </w:rPr>
              <w:t xml:space="preserve">129,7 M EUR (150 M USD)</w:t>
            </w:r>
            <w:r>
              <w:t xml:space="preserve"> </w:t>
            </w:r>
            <w:r>
              <w:t xml:space="preserve">dont composante électricité 49,875 M USD</w:t>
            </w:r>
          </w:p>
        </w:tc>
        <w:tc>
          <w:tcPr>
            <w:tcW w:w="1403" w:type="dxa"/>
          </w:tcPr>
          <w:tcPr/>
          <w:p>
            <w:pPr>
              <w:pStyle w:val="Compact"/>
              <w:jc w:val="left"/>
            </w:pPr>
            <w:r>
              <w:t xml:space="preserve">approuvé 05-02-2026, clôture 30-06-2032</w:t>
            </w:r>
          </w:p>
        </w:tc>
        <w:tc>
          <w:tcPr>
            <w:tcW w:w="2574" w:type="dxa"/>
          </w:tcPr>
          <w:tcPr/>
          <w:p>
            <w:pPr>
              <w:pStyle w:val="Compact"/>
              <w:jc w:val="left"/>
            </w:pPr>
            <w:r>
              <w:t xml:space="preserve">Eau + électricité ; performance commerciale de la SEEG (SIG, facturation, compteurs intelligents), réseau, renforcement des institutions</w:t>
            </w:r>
          </w:p>
        </w:tc>
        <w:tc>
          <w:tcPr>
            <w:tcW w:w="1860" w:type="dxa"/>
          </w:tcPr>
          <w:tcPr/>
          <w:p>
            <w:pPr>
              <w:pStyle w:val="Compact"/>
              <w:jc w:val="left"/>
            </w:pPr>
            <w:r>
              <w:t xml:space="preserve">RI : pertes électricité 29,4 % → 27,9 % ; recouvrement électricité 90 % → 95 % ; recouvrement eau 50 % → 65 % ; 2 contrats PPP</w:t>
            </w:r>
          </w:p>
        </w:tc>
        <w:tc>
          <w:tcPr>
            <w:tcW w:w="2106" w:type="dxa"/>
          </w:tcPr>
          <w:tcPr/>
          <w:p>
            <w:pPr>
              <w:pStyle w:val="Compact"/>
              <w:jc w:val="left"/>
            </w:pPr>
            <w:r>
              <w:t xml:space="preserve">Accord de prêt signé (août 2026) ; non encore en vigueur en mai 2026 ; 0 % décaissé</w:t>
            </w:r>
          </w:p>
        </w:tc>
        <w:tc>
          <w:tcPr>
            <w:tcW w:w="717" w:type="dxa"/>
          </w:tcPr>
          <w:tcPr/>
          <w:p>
            <w:pPr>
              <w:pStyle w:val="Compact"/>
              <w:jc w:val="left"/>
            </w:pPr>
            <w:r>
              <w:t xml:space="preserve">[1][2][3]</w:t>
            </w:r>
          </w:p>
        </w:tc>
      </w:tr>
      <w:tr>
        <w:tc>
          <w:tcPr>
            <w:tcW w:w="3423" w:type="dxa"/>
          </w:tcPr>
          <w:tcPr/>
          <w:p>
            <w:pPr>
              <w:pStyle w:val="Compact"/>
              <w:jc w:val="left"/>
            </w:pPr>
            <w:r>
              <w:t xml:space="preserve">Access to Basic Services in Rural Areas and Capacity Building Project, P144135</w:t>
            </w:r>
          </w:p>
        </w:tc>
        <w:tc>
          <w:tcPr>
            <w:tcW w:w="967" w:type="dxa"/>
          </w:tcPr>
          <w:tcPr/>
          <w:p>
            <w:pPr>
              <w:pStyle w:val="Compact"/>
              <w:jc w:val="left"/>
            </w:pPr>
            <w:r>
              <w:t xml:space="preserve">BM</w:t>
            </w:r>
          </w:p>
        </w:tc>
        <w:tc>
          <w:tcPr>
            <w:tcW w:w="1517" w:type="dxa"/>
          </w:tcPr>
          <w:tcPr/>
          <w:p>
            <w:pPr>
              <w:pStyle w:val="Compact"/>
              <w:jc w:val="left"/>
            </w:pPr>
            <w:r>
              <w:t xml:space="preserve">60 M USD</w:t>
            </w:r>
          </w:p>
        </w:tc>
        <w:tc>
          <w:tcPr>
            <w:tcW w:w="1403" w:type="dxa"/>
          </w:tcPr>
          <w:tcPr/>
          <w:p>
            <w:pPr>
              <w:pStyle w:val="Compact"/>
              <w:jc w:val="left"/>
            </w:pPr>
            <w:r>
              <w:t xml:space="preserve">2015-11/2023 (clos)</w:t>
            </w:r>
          </w:p>
        </w:tc>
        <w:tc>
          <w:tcPr>
            <w:tcW w:w="2574" w:type="dxa"/>
          </w:tcPr>
          <w:tcPr/>
          <w:p>
            <w:pPr>
              <w:pStyle w:val="Compact"/>
              <w:jc w:val="left"/>
            </w:pPr>
            <w:r>
              <w:t xml:space="preserve">Services de base ruraux</w:t>
            </w:r>
          </w:p>
        </w:tc>
        <w:tc>
          <w:tcPr>
            <w:tcW w:w="1860" w:type="dxa"/>
          </w:tcPr>
          <w:tcPr/>
          <w:p>
            <w:pPr>
              <w:pStyle w:val="Compact"/>
              <w:jc w:val="left"/>
            </w:pPr>
            <w:r>
              <w:t xml:space="preserve">—</w:t>
            </w:r>
          </w:p>
        </w:tc>
        <w:tc>
          <w:tcPr>
            <w:tcW w:w="2106" w:type="dxa"/>
          </w:tcPr>
          <w:tcPr/>
          <w:p>
            <w:pPr>
              <w:pStyle w:val="Compact"/>
              <w:jc w:val="left"/>
            </w:pPr>
            <w:r>
              <w:t xml:space="preserve">ICR nov. 2024</w:t>
            </w:r>
          </w:p>
        </w:tc>
        <w:tc>
          <w:tcPr>
            <w:tcW w:w="717" w:type="dxa"/>
          </w:tcPr>
          <w:tcPr/>
          <w:p>
            <w:pPr>
              <w:pStyle w:val="Compact"/>
              <w:jc w:val="left"/>
            </w:pPr>
            <w:r>
              <w:t xml:space="preserve">[4]</w:t>
            </w:r>
          </w:p>
        </w:tc>
      </w:tr>
      <w:tr>
        <w:tc>
          <w:tcPr>
            <w:tcW w:w="3423" w:type="dxa"/>
          </w:tcPr>
          <w:tcPr/>
          <w:p>
            <w:pPr>
              <w:pStyle w:val="Compact"/>
              <w:jc w:val="left"/>
            </w:pPr>
            <w:r>
              <w:t xml:space="preserve">Gabon Second Fiscal Consolidation DPF, P164201</w:t>
            </w:r>
          </w:p>
        </w:tc>
        <w:tc>
          <w:tcPr>
            <w:tcW w:w="967" w:type="dxa"/>
          </w:tcPr>
          <w:tcPr/>
          <w:p>
            <w:pPr>
              <w:pStyle w:val="Compact"/>
              <w:jc w:val="left"/>
            </w:pPr>
            <w:r>
              <w:t xml:space="preserve">BM</w:t>
            </w:r>
          </w:p>
        </w:tc>
        <w:tc>
          <w:tcPr>
            <w:tcW w:w="1517" w:type="dxa"/>
          </w:tcPr>
          <w:tcPr/>
          <w:p>
            <w:pPr>
              <w:pStyle w:val="Compact"/>
              <w:jc w:val="left"/>
            </w:pPr>
            <w:r>
              <w:t xml:space="preserve">200 M USD</w:t>
            </w:r>
          </w:p>
        </w:tc>
        <w:tc>
          <w:tcPr>
            <w:tcW w:w="1403" w:type="dxa"/>
          </w:tcPr>
          <w:tcPr/>
          <w:p>
            <w:pPr>
              <w:pStyle w:val="Compact"/>
              <w:jc w:val="left"/>
            </w:pPr>
            <w:r>
              <w:t xml:space="preserve">2019 (clos)</w:t>
            </w:r>
          </w:p>
        </w:tc>
        <w:tc>
          <w:tcPr>
            <w:tcW w:w="2574" w:type="dxa"/>
          </w:tcPr>
          <w:tcPr/>
          <w:p>
            <w:pPr>
              <w:pStyle w:val="Compact"/>
              <w:jc w:val="left"/>
            </w:pPr>
            <w:r>
              <w:t xml:space="preserve">[?]</w:t>
            </w:r>
          </w:p>
        </w:tc>
        <w:tc>
          <w:tcPr>
            <w:tcW w:w="1860" w:type="dxa"/>
          </w:tcPr>
          <w:tcPr/>
          <w:p>
            <w:pPr>
              <w:pStyle w:val="Compact"/>
              <w:jc w:val="left"/>
            </w:pPr>
            <w:r>
              <w:t xml:space="preserve">[?]</w:t>
            </w:r>
          </w:p>
        </w:tc>
        <w:tc>
          <w:tcPr>
            <w:tcW w:w="2106" w:type="dxa"/>
          </w:tcPr>
          <w:tcPr/>
          <w:p>
            <w:pPr>
              <w:pStyle w:val="Compact"/>
              <w:jc w:val="left"/>
            </w:pPr>
            <w:r>
              <w:t xml:space="preserve">Clos</w:t>
            </w:r>
          </w:p>
        </w:tc>
        <w:tc>
          <w:tcPr>
            <w:tcW w:w="717" w:type="dxa"/>
          </w:tcPr>
          <w:tcPr/>
          <w:p>
            <w:pPr>
              <w:pStyle w:val="Compact"/>
              <w:jc w:val="left"/>
            </w:pPr>
            <w:r>
              <w:t xml:space="preserve">[4]</w:t>
            </w:r>
          </w:p>
        </w:tc>
      </w:tr>
      <w:tr>
        <w:tc>
          <w:tcPr>
            <w:tcW w:w="3423" w:type="dxa"/>
          </w:tcPr>
          <w:tcPr/>
          <w:p>
            <w:pPr>
              <w:pStyle w:val="Compact"/>
              <w:jc w:val="left"/>
            </w:pPr>
            <w:r>
              <w:t xml:space="preserve">PIVRHE</w:t>
            </w:r>
          </w:p>
        </w:tc>
        <w:tc>
          <w:tcPr>
            <w:tcW w:w="967" w:type="dxa"/>
          </w:tcPr>
          <w:tcPr/>
          <w:p>
            <w:pPr>
              <w:pStyle w:val="Compact"/>
              <w:jc w:val="left"/>
            </w:pPr>
            <w:r>
              <w:t xml:space="preserve">BAD</w:t>
            </w:r>
          </w:p>
        </w:tc>
        <w:tc>
          <w:tcPr>
            <w:tcW w:w="1517" w:type="dxa"/>
          </w:tcPr>
          <w:tcPr/>
          <w:p>
            <w:pPr>
              <w:pStyle w:val="Compact"/>
              <w:jc w:val="left"/>
            </w:pPr>
            <w:r>
              <w:t xml:space="preserve">[?]</w:t>
            </w:r>
          </w:p>
        </w:tc>
        <w:tc>
          <w:tcPr>
            <w:tcW w:w="1403" w:type="dxa"/>
          </w:tcPr>
          <w:tcPr/>
          <w:p>
            <w:pPr>
              <w:pStyle w:val="Compact"/>
              <w:jc w:val="left"/>
            </w:pPr>
            <w:r>
              <w:t xml:space="preserve">[?]</w:t>
            </w:r>
          </w:p>
        </w:tc>
        <w:tc>
          <w:tcPr>
            <w:tcW w:w="2574" w:type="dxa"/>
          </w:tcPr>
          <w:tcPr/>
          <w:p>
            <w:pPr>
              <w:pStyle w:val="Compact"/>
              <w:jc w:val="left"/>
            </w:pPr>
            <w:r>
              <w:t xml:space="preserve">[?]</w:t>
            </w:r>
          </w:p>
        </w:tc>
        <w:tc>
          <w:tcPr>
            <w:tcW w:w="1860" w:type="dxa"/>
          </w:tcPr>
          <w:tcPr/>
          <w:p>
            <w:pPr>
              <w:pStyle w:val="Compact"/>
              <w:jc w:val="left"/>
            </w:pPr>
            <w:r>
              <w:t xml:space="preserve">[?]</w:t>
            </w:r>
          </w:p>
        </w:tc>
        <w:tc>
          <w:tcPr>
            <w:tcW w:w="2106" w:type="dxa"/>
          </w:tcPr>
          <w:tcPr/>
          <w:p>
            <w:pPr>
              <w:pStyle w:val="Compact"/>
              <w:jc w:val="left"/>
            </w:pPr>
            <w:r>
              <w:t xml:space="preserve">[?] non vérifié en primaire</w:t>
            </w:r>
          </w:p>
        </w:tc>
        <w:tc>
          <w:tcPr>
            <w:tcW w:w="717" w:type="dxa"/>
          </w:tcPr>
          <w:tcPr/>
          <w:p>
            <w:pPr>
              <w:pStyle w:val="Compact"/>
              <w:jc w:val="left"/>
            </w:pPr>
            <w:r>
              <w:t xml:space="preserve">[P]</w:t>
            </w:r>
          </w:p>
        </w:tc>
      </w:tr>
      <w:tr>
        <w:tc>
          <w:tcPr>
            <w:tcW w:w="3423" w:type="dxa"/>
          </w:tcPr>
          <w:tcPr/>
          <w:p>
            <w:pPr>
              <w:pStyle w:val="Compact"/>
              <w:jc w:val="left"/>
            </w:pPr>
            <w:r>
              <w:t xml:space="preserve">Kinguélé Aval (35 MW) ; Orinko (gaz)</w:t>
            </w:r>
          </w:p>
        </w:tc>
        <w:tc>
          <w:tcPr>
            <w:tcW w:w="967" w:type="dxa"/>
          </w:tcPr>
          <w:tcPr/>
          <w:p>
            <w:pPr>
              <w:pStyle w:val="Compact"/>
              <w:jc w:val="left"/>
            </w:pPr>
            <w:r>
              <w:t xml:space="preserve">IFC</w:t>
            </w:r>
          </w:p>
        </w:tc>
        <w:tc>
          <w:tcPr>
            <w:tcW w:w="1517" w:type="dxa"/>
          </w:tcPr>
          <w:tcPr/>
          <w:p>
            <w:pPr>
              <w:pStyle w:val="Compact"/>
              <w:jc w:val="left"/>
            </w:pPr>
            <w:r>
              <w:t xml:space="preserve">[?]</w:t>
            </w:r>
          </w:p>
        </w:tc>
        <w:tc>
          <w:tcPr>
            <w:tcW w:w="1403" w:type="dxa"/>
          </w:tcPr>
          <w:tcPr/>
          <w:p>
            <w:pPr>
              <w:pStyle w:val="Compact"/>
              <w:jc w:val="left"/>
            </w:pPr>
            <w:r>
              <w:t xml:space="preserve">—</w:t>
            </w:r>
          </w:p>
        </w:tc>
        <w:tc>
          <w:tcPr>
            <w:tcW w:w="2574" w:type="dxa"/>
          </w:tcPr>
          <w:tcPr/>
          <w:p>
            <w:pPr>
              <w:pStyle w:val="Compact"/>
              <w:jc w:val="left"/>
            </w:pPr>
            <w:r>
              <w:t xml:space="preserve">Offre de moyen terme</w:t>
            </w:r>
          </w:p>
        </w:tc>
        <w:tc>
          <w:tcPr>
            <w:tcW w:w="1860" w:type="dxa"/>
          </w:tcPr>
          <w:tcPr/>
          <w:p>
            <w:pPr>
              <w:pStyle w:val="Compact"/>
              <w:jc w:val="left"/>
            </w:pPr>
            <w:r>
              <w:t xml:space="preserve">—</w:t>
            </w:r>
          </w:p>
        </w:tc>
        <w:tc>
          <w:tcPr>
            <w:tcW w:w="2106" w:type="dxa"/>
          </w:tcPr>
          <w:tcPr/>
          <w:p>
            <w:pPr>
              <w:pStyle w:val="Compact"/>
              <w:jc w:val="left"/>
            </w:pPr>
            <w:r>
              <w:t xml:space="preserve">—</w:t>
            </w:r>
          </w:p>
        </w:tc>
        <w:tc>
          <w:tcPr>
            <w:tcW w:w="717" w:type="dxa"/>
          </w:tcPr>
          <w:tcPr/>
          <w:p>
            <w:pPr>
              <w:pStyle w:val="Compact"/>
              <w:jc w:val="left"/>
            </w:pPr>
            <w:r>
              <w:t xml:space="preserve">[1]</w:t>
            </w:r>
          </w:p>
        </w:tc>
      </w:tr>
    </w:tbl>
    <w:bookmarkEnd w:id="167"/>
    <w:bookmarkStart w:id="168" w:name="écart-pacte-réalité-12"/>
    <w:p>
      <w:pPr>
        <w:pStyle w:val="Heading3"/>
      </w:pPr>
      <w:r>
        <w:t xml:space="preserve">5. Écart pacte ↔ réalité</w:t>
      </w:r>
    </w:p>
    <w:p>
      <w:pPr>
        <w:numPr>
          <w:ilvl w:val="0"/>
          <w:numId w:val="1087"/>
        </w:numPr>
        <w:pStyle w:val="Compact"/>
      </w:pPr>
      <w:r>
        <w:t xml:space="preserve">Pacte : PASBAP « 53 M USD, en négociation » → approuvé le 05-02-2026 pour</w:t>
      </w:r>
      <w:r>
        <w:t xml:space="preserve"> </w:t>
      </w:r>
      <w:r>
        <w:rPr>
          <w:bCs/>
          <w:b/>
        </w:rPr>
        <w:t xml:space="preserve">150 M USD</w:t>
      </w:r>
      <w:r>
        <w:t xml:space="preserve"> </w:t>
      </w:r>
      <w:r>
        <w:t xml:space="preserve">(dont ~50 M pour l’électricité) [1][2] [V] ; le chiffre du pacte correspond approximativement à la composante électricité [E].</w:t>
      </w:r>
    </w:p>
    <w:p>
      <w:pPr>
        <w:numPr>
          <w:ilvl w:val="0"/>
          <w:numId w:val="1087"/>
        </w:numPr>
        <w:pStyle w:val="Compact"/>
      </w:pPr>
      <w:r>
        <w:t xml:space="preserve">Recouvrement : pacte 60,5 % ; BM 70 % (texte) et 90 % (cadre de résultats) — trois valeurs pour la même année [1][P].</w:t>
      </w:r>
    </w:p>
    <w:p>
      <w:pPr>
        <w:numPr>
          <w:ilvl w:val="0"/>
          <w:numId w:val="1087"/>
        </w:numPr>
        <w:pStyle w:val="Compact"/>
      </w:pPr>
      <w:r>
        <w:t xml:space="preserve">Pacte : coût moyen 79,8 FCFA/kWh &lt; prix moyen 103,2 FCFA/kWh, alors que la BM documente une perte nette (2022), 37 % d’indisponibilité et un diesel à ~200 FCFA/kWh [1] [V] — le coût moyen du pacte paraît sous-estimé [E].</w:t>
      </w:r>
    </w:p>
    <w:p>
      <w:pPr>
        <w:numPr>
          <w:ilvl w:val="0"/>
          <w:numId w:val="1087"/>
        </w:numPr>
        <w:pStyle w:val="Compact"/>
      </w:pPr>
      <w:r>
        <w:t xml:space="preserve">Pacte : publication des comptes audités « en 2026 » → comptes absents depuis 2018, reconstitution en cours [1][5].</w:t>
      </w:r>
    </w:p>
    <w:p>
      <w:pPr>
        <w:numPr>
          <w:ilvl w:val="0"/>
          <w:numId w:val="1087"/>
        </w:numPr>
        <w:pStyle w:val="Compact"/>
      </w:pPr>
      <w:r>
        <w:t xml:space="preserve">Le pacte ne chiffre pas les impayés de l’État ; la BM les situe à ~58,6 % de 230 Md FCFA (2021) [1] [V].</w:t>
      </w:r>
    </w:p>
    <w:bookmarkEnd w:id="168"/>
    <w:bookmarkStart w:id="169" w:name="diagnostic-synthétique-12"/>
    <w:p>
      <w:pPr>
        <w:pStyle w:val="Heading3"/>
      </w:pPr>
      <w:r>
        <w:t xml:space="preserve">6. Diagnostic synthétique</w:t>
      </w:r>
    </w:p>
    <w:p>
      <w:pPr>
        <w:numPr>
          <w:ilvl w:val="0"/>
          <w:numId w:val="1088"/>
        </w:numPr>
        <w:pStyle w:val="Compact"/>
      </w:pPr>
      <w:r>
        <w:t xml:space="preserve">Financière :</w:t>
      </w:r>
      <w:r>
        <w:t xml:space="preserve"> </w:t>
      </w:r>
      <w:r>
        <w:rPr>
          <w:bCs/>
          <w:b/>
        </w:rPr>
        <w:t xml:space="preserve">faible</w:t>
      </w:r>
      <w:r>
        <w:t xml:space="preserve"> </w:t>
      </w:r>
      <w:r>
        <w:t xml:space="preserve">(pertes, impayés supérieurs à un an de CA, absence de comptes, dépendance au soutien de l’État pour payer Karpowership). Technique :</w:t>
      </w:r>
      <w:r>
        <w:t xml:space="preserve"> </w:t>
      </w:r>
      <w:r>
        <w:rPr>
          <w:bCs/>
          <w:b/>
        </w:rPr>
        <w:t xml:space="preserve">faible à moyenne</w:t>
      </w:r>
      <w:r>
        <w:t xml:space="preserve"> </w:t>
      </w:r>
      <w:r>
        <w:t xml:space="preserve">(bon taux d’accès mais 37 % du parc indisponible, réseaux isolés, pertes ~29 %). Gouvernance :</w:t>
      </w:r>
      <w:r>
        <w:t xml:space="preserve"> </w:t>
      </w:r>
      <w:r>
        <w:rPr>
          <w:bCs/>
          <w:b/>
        </w:rPr>
        <w:t xml:space="preserve">faible</w:t>
      </w:r>
      <w:r>
        <w:t xml:space="preserve"> </w:t>
      </w:r>
      <w:r>
        <w:t xml:space="preserve">(corruption 2024, contrat de performance sans cibles, régulateur sans moyens).</w:t>
      </w:r>
    </w:p>
    <w:p>
      <w:pPr>
        <w:numPr>
          <w:ilvl w:val="0"/>
          <w:numId w:val="1088"/>
        </w:numPr>
        <w:pStyle w:val="Compact"/>
      </w:pPr>
      <w:r>
        <w:t xml:space="preserve">Causes racines : (1) gel tarifaire depuis 2018 et impayés de l’État ; (2) sous-investissement depuis la fin de l’affermage, dépendance à des solutions d’urgence coûteuses ; (3) gouvernance défaillante (fraude, comptes non produits).</w:t>
      </w:r>
    </w:p>
    <w:p>
      <w:pPr>
        <w:numPr>
          <w:ilvl w:val="0"/>
          <w:numId w:val="1088"/>
        </w:numPr>
        <w:pStyle w:val="Compact"/>
      </w:pPr>
      <w:r>
        <w:t xml:space="preserve">Phase 3 : diagnostic tarifaire 2026 annoncé par le pacte ; coût de Karpowership et d’Aggreko ; structure eau/électricité après scission ; arriérés publics actualisés.</w:t>
      </w:r>
    </w:p>
    <w:bookmarkEnd w:id="169"/>
    <w:bookmarkStart w:id="170" w:name="inconnus-12"/>
    <w:p>
      <w:pPr>
        <w:pStyle w:val="Heading3"/>
      </w:pPr>
      <w:r>
        <w:t xml:space="preserve">7. Inconnus</w:t>
      </w:r>
    </w:p>
    <w:p>
      <w:pPr>
        <w:numPr>
          <w:ilvl w:val="0"/>
          <w:numId w:val="1089"/>
        </w:numPr>
        <w:pStyle w:val="Compact"/>
      </w:pPr>
      <w:r>
        <w:t xml:space="preserve">Comptes SEEG 2019-2025 [?] ; dette totale et arriérés de l’État actualisés (2024-2026) [?] ; rapport FMI récent (Article IV 2025 non trouvé) [?] ; documents BAD [?].</w:t>
      </w:r>
    </w:p>
    <w:bookmarkEnd w:id="170"/>
    <w:bookmarkStart w:id="171" w:name="sources-13"/>
    <w:p>
      <w:pPr>
        <w:pStyle w:val="Heading3"/>
      </w:pPr>
      <w:r>
        <w:t xml:space="preserve">Sources</w:t>
      </w:r>
    </w:p>
    <w:p>
      <w:pPr>
        <w:pStyle w:val="FirstParagraph"/>
      </w:pPr>
      <w:r>
        <w:t xml:space="preserve">[1] Banque mondiale, Project Appraisal Document, « Gabon — Access to Basic Services and Performance Improvement Project (PASBAP) » (P179643), janvier 2026. https://documents.worldbank.org/curated/en/099011626102575716/pdf/BOSIB-a852726a-9c2e-4d4e-8903-33e9705339c0.pdf</w:t>
      </w:r>
      <w:r>
        <w:t xml:space="preserve"> </w:t>
      </w:r>
      <w:r>
        <w:t xml:space="preserve">[2] Banque mondiale, ISR, PASBAP (P179643), 11-05-2026. https://documents.worldbank.org/curated/en/099051126165540324/pdf/P179643-cf6fbd8e-c4d5-480d-a46c-bbc82d6d2169.pdf</w:t>
      </w:r>
      <w:r>
        <w:t xml:space="preserve"> </w:t>
      </w:r>
      <w:r>
        <w:t xml:space="preserve">[3] Banque mondiale, « Official Documents — Loan Agreement for Loan 9926-GA », août 2026. https://documents.worldbank.org/curated/en/099082626103526756/pdf/P179643-01d5294c-71a7-4191-b633-9c50c9d23ea1.pdf (référencé, non lu)</w:t>
      </w:r>
      <w:r>
        <w:t xml:space="preserve"> </w:t>
      </w:r>
      <w:r>
        <w:t xml:space="preserve">[4] Banque mondiale, API Projects (search.worldbank.org/api/v2/projects), fiches Gabon, consulté le 2026-10-18.</w:t>
      </w:r>
      <w:r>
        <w:t xml:space="preserve"> </w:t>
      </w:r>
      <w:r>
        <w:t xml:space="preserve">[5] Financial Afrik, « Gabon : comment L’Archer a structuré le prêt-relais… pour apaiser la crise énergétique », 21-04-2026. https://www.financialafrik.com/2026/04/21/gabon-comment-larcher-a-structure-le-pret-relais-de-534-millions-e-pour-apaiser-la-crise-energetique-exclusif/</w:t>
      </w:r>
      <w:r>
        <w:t xml:space="preserve"> </w:t>
      </w:r>
      <w:r>
        <w:t xml:space="preserve">[6] Ecofin, « Gabon denies owing unpaid power bills to Equatorial Guinea », fév. 2026. https://www.ecofinagency.com/news-industry/0902-52714-gabon-denies-owing-unpaid-power-bills-to-equatorial-guinea-says-payment-follows-invoice-review ; Steven Obame (blog), « Financial laws 2025 ». https://stevenobame.com/index.php/en-us/document-library/finance-laws/financial-laws-2025</w:t>
      </w:r>
      <w:r>
        <w:t xml:space="preserve"> </w:t>
      </w:r>
      <w:r>
        <w:t xml:space="preserve">[P] Fiche phase 1 (Pacte national de l’énergie du Gabon, juin 2026) : ../../phase1/fiches/GAB_gabon.md</w:t>
      </w:r>
    </w:p>
    <w:p>
      <w:r>
        <w:br w:type="page"/>
      </w:r>
    </w:p>
    <w:bookmarkEnd w:id="171"/>
    <w:bookmarkEnd w:id="172"/>
    <w:bookmarkStart w:id="182" w:name="Xc8341ddc8ac564888a6fad0660a5009f21c1940"/>
    <w:p>
      <w:pPr>
        <w:pStyle w:val="Heading2"/>
      </w:pPr>
      <w:r>
        <w:t xml:space="preserve">Diagnostic opérateur — Electricity Company of Ghana (ECG), avec VRA / GRIDCo en contexte (Ghana)</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../phase1/fiches/GHA_ghana.md.</w:t>
      </w:r>
    </w:p>
    <w:bookmarkStart w:id="173" w:name="identité-13"/>
    <w:p>
      <w:pPr>
        <w:pStyle w:val="Heading3"/>
      </w:pPr>
      <w:r>
        <w:t xml:space="preserve">0. Identité</w:t>
      </w:r>
    </w:p>
    <w:p>
      <w:pPr>
        <w:numPr>
          <w:ilvl w:val="0"/>
          <w:numId w:val="1090"/>
        </w:numPr>
        <w:pStyle w:val="Compact"/>
      </w:pPr>
      <w:r>
        <w:t xml:space="preserve">Opérateurs : ECG (distribution, sud du Ghana, ~5,85 M clients en 2025) ; NEDCo (distribution, nord) ; GRIDCo (transport et opérateur système) ; VRA (production publique hydro et thermique) ; IPP thermiques (part importante) [1] (pacte) ; [3] [S].</w:t>
      </w:r>
    </w:p>
    <w:p>
      <w:pPr>
        <w:numPr>
          <w:ilvl w:val="0"/>
          <w:numId w:val="1090"/>
        </w:numPr>
        <w:pStyle w:val="Compact"/>
      </w:pPr>
      <w:r>
        <w:t xml:space="preserve">Statut : ECG, société publique à 100 % (État) ; tutelle Ministry of Energy and Green Transition et ministère des Finances ; le mécanisme « Cash Waterfall Mechanism » (CWM) répartit les encaissements d’ECG entre fournisseurs (niveaux A et B) [2] [V].</w:t>
      </w:r>
    </w:p>
    <w:p>
      <w:pPr>
        <w:numPr>
          <w:ilvl w:val="0"/>
          <w:numId w:val="1090"/>
        </w:numPr>
        <w:pStyle w:val="Compact"/>
      </w:pPr>
      <w:r>
        <w:t xml:space="preserve">Régulateurs : PURC (tarifs ; publie les rapports mensuels de validation du CWM) et Energy Commission [1][2].</w:t>
      </w:r>
    </w:p>
    <w:p>
      <w:pPr>
        <w:numPr>
          <w:ilvl w:val="0"/>
          <w:numId w:val="1090"/>
        </w:numPr>
        <w:pStyle w:val="Compact"/>
      </w:pPr>
      <w:r>
        <w:t xml:space="preserve">Dernier exercice publié :</w:t>
      </w:r>
      <w:r>
        <w:t xml:space="preserve"> </w:t>
      </w:r>
      <w:r>
        <w:rPr>
          <w:bCs/>
          <w:b/>
        </w:rPr>
        <w:t xml:space="preserve">2025, comptes audités</w:t>
      </w:r>
      <w:r>
        <w:t xml:space="preserve"> </w:t>
      </w:r>
      <w:r>
        <w:t xml:space="preserve">présentés à la 28e AGO (juillet 2026) — premiers comptes audités présentés depuis 2018 [3] [S]. Un audit PwC de 2024 avait relevé une sous-déclaration de recettes [4] [S].</w:t>
      </w:r>
    </w:p>
    <w:bookmarkEnd w:id="173"/>
    <w:bookmarkStart w:id="174" w:name="situation-financière-13"/>
    <w:p>
      <w:pPr>
        <w:pStyle w:val="Heading3"/>
      </w:pPr>
      <w:r>
        <w:t xml:space="preserve">1. Situation financière</w:t>
      </w:r>
    </w:p>
    <w:tbl>
      <w:tblPr>
        <w:tblStyle w:val="Table"/>
        <w:tblW w:type="dxa" w:w="14570"/>
        <w:tblLook w:firstRow="1" w:lastRow="0" w:firstColumn="0" w:lastColumn="0" w:noHBand="0" w:noVBand="0" w:val="0020"/>
        <w:jc w:val="start"/>
      </w:tblPr>
      <w:tblGrid>
        <w:gridCol w:w="4223"/>
        <w:gridCol w:w="6694"/>
        <w:gridCol w:w="1494"/>
        <w:gridCol w:w="1234"/>
        <w:gridCol w:w="923"/>
      </w:tblGrid>
      <w:tr>
        <w:trPr>
          <w:tblHeader w:val="true"/>
        </w:trPr>
        <w:tc>
          <w:tcPr>
            <w:tcW w:w="4223" w:type="dxa"/>
          </w:tcPr>
          <w:tcPr/>
          <w:p>
            <w:pPr>
              <w:pStyle w:val="Compact"/>
              <w:jc w:val="left"/>
            </w:pPr>
            <w:r>
              <w:t xml:space="preserve">Indicateur</w:t>
            </w:r>
          </w:p>
        </w:tc>
        <w:tc>
          <w:tcPr>
            <w:tcW w:w="6694" w:type="dxa"/>
          </w:tcPr>
          <w:tcPr/>
          <w:p>
            <w:pPr>
              <w:pStyle w:val="Compact"/>
              <w:jc w:val="left"/>
            </w:pPr>
            <w:r>
              <w:t xml:space="preserve">Valeur</w:t>
            </w:r>
          </w:p>
        </w:tc>
        <w:tc>
          <w:tcPr>
            <w:tcW w:w="1494" w:type="dxa"/>
          </w:tcPr>
          <w:tcPr/>
          <w:p>
            <w:pPr>
              <w:pStyle w:val="Compact"/>
              <w:jc w:val="left"/>
            </w:pPr>
            <w:r>
              <w:t xml:space="preserve">Année</w:t>
            </w:r>
          </w:p>
        </w:tc>
        <w:tc>
          <w:tcPr>
            <w:tcW w:w="1234" w:type="dxa"/>
          </w:tcPr>
          <w:tcPr/>
          <w:p>
            <w:pPr>
              <w:pStyle w:val="Compact"/>
              <w:jc w:val="left"/>
            </w:pPr>
            <w:r>
              <w:t xml:space="preserve">Statut</w:t>
            </w:r>
          </w:p>
        </w:tc>
        <w:tc>
          <w:tcPr>
            <w:tcW w:w="923" w:type="dxa"/>
          </w:tcPr>
          <w:tcPr/>
          <w:p>
            <w:pPr>
              <w:pStyle w:val="Compact"/>
              <w:jc w:val="left"/>
            </w:pPr>
            <w:r>
              <w:t xml:space="preserve">Source</w:t>
            </w:r>
          </w:p>
        </w:tc>
      </w:tr>
      <w:tr>
        <w:tc>
          <w:tcPr>
            <w:tcW w:w="4223" w:type="dxa"/>
          </w:tcPr>
          <w:tcPr/>
          <w:p>
            <w:pPr>
              <w:pStyle w:val="Compact"/>
              <w:jc w:val="left"/>
            </w:pPr>
            <w:r>
              <w:t xml:space="preserve">Chiffre d’affaires ECG</w:t>
            </w:r>
          </w:p>
        </w:tc>
        <w:tc>
          <w:tcPr>
            <w:tcW w:w="6694" w:type="dxa"/>
          </w:tcPr>
          <w:tcPr/>
          <w:p>
            <w:pPr>
              <w:pStyle w:val="Compact"/>
              <w:jc w:val="left"/>
            </w:pPr>
            <w:r>
              <w:t xml:space="preserve">22,11 Md GHS (2025) vs 19,03 Md GHS (2024)</w:t>
            </w:r>
          </w:p>
        </w:tc>
        <w:tc>
          <w:tcPr>
            <w:tcW w:w="1494" w:type="dxa"/>
          </w:tcPr>
          <w:tcPr/>
          <w:p>
            <w:pPr>
              <w:pStyle w:val="Compact"/>
              <w:jc w:val="left"/>
            </w:pPr>
            <w:r>
              <w:t xml:space="preserve">2024-2025</w:t>
            </w:r>
          </w:p>
        </w:tc>
        <w:tc>
          <w:tcPr>
            <w:tcW w:w="1234" w:type="dxa"/>
          </w:tcPr>
          <w:tcPr/>
          <w:p>
            <w:pPr>
              <w:pStyle w:val="Compact"/>
              <w:jc w:val="left"/>
            </w:pPr>
            <w:r>
              <w:t xml:space="preserve">[S] (comptes audités cités par la presse)</w:t>
            </w:r>
          </w:p>
        </w:tc>
        <w:tc>
          <w:tcPr>
            <w:tcW w:w="923" w:type="dxa"/>
          </w:tcPr>
          <w:tcPr/>
          <w:p>
            <w:pPr>
              <w:pStyle w:val="Compact"/>
              <w:jc w:val="left"/>
            </w:pPr>
            <w:r>
              <w:t xml:space="preserve">[3]</w:t>
            </w:r>
          </w:p>
        </w:tc>
      </w:tr>
      <w:tr>
        <w:tc>
          <w:tcPr>
            <w:tcW w:w="4223" w:type="dxa"/>
          </w:tcPr>
          <w:tcPr/>
          <w:p>
            <w:pPr>
              <w:pStyle w:val="Compact"/>
              <w:jc w:val="left"/>
            </w:pPr>
            <w:r>
              <w:t xml:space="preserve">Coût des ventes (achats d’énergie + distribution)</w:t>
            </w:r>
          </w:p>
        </w:tc>
        <w:tc>
          <w:tcPr>
            <w:tcW w:w="6694" w:type="dxa"/>
          </w:tcPr>
          <w:tcPr/>
          <w:p>
            <w:pPr>
              <w:pStyle w:val="Compact"/>
              <w:jc w:val="left"/>
            </w:pPr>
            <w:r>
              <w:t xml:space="preserve">34,77 Md GHS (2025) ; 31,47 Md GHS (2024)</w:t>
            </w:r>
          </w:p>
        </w:tc>
        <w:tc>
          <w:tcPr>
            <w:tcW w:w="1494" w:type="dxa"/>
          </w:tcPr>
          <w:tcPr/>
          <w:p>
            <w:pPr>
              <w:pStyle w:val="Compact"/>
              <w:jc w:val="left"/>
            </w:pPr>
            <w:r>
              <w:t xml:space="preserve">2024-2025</w:t>
            </w:r>
          </w:p>
        </w:tc>
        <w:tc>
          <w:tcPr>
            <w:tcW w:w="1234" w:type="dxa"/>
          </w:tcPr>
          <w:tcPr/>
          <w:p>
            <w:pPr>
              <w:pStyle w:val="Compact"/>
              <w:jc w:val="left"/>
            </w:pPr>
            <w:r>
              <w:t xml:space="preserve">[S]</w:t>
            </w:r>
          </w:p>
        </w:tc>
        <w:tc>
          <w:tcPr>
            <w:tcW w:w="923" w:type="dxa"/>
          </w:tcPr>
          <w:tcPr/>
          <w:p>
            <w:pPr>
              <w:pStyle w:val="Compact"/>
              <w:jc w:val="left"/>
            </w:pPr>
            <w:r>
              <w:t xml:space="preserve">[3]</w:t>
            </w:r>
          </w:p>
        </w:tc>
      </w:tr>
      <w:tr>
        <w:tc>
          <w:tcPr>
            <w:tcW w:w="4223" w:type="dxa"/>
          </w:tcPr>
          <w:tcPr/>
          <w:p>
            <w:pPr>
              <w:pStyle w:val="Compact"/>
              <w:jc w:val="left"/>
            </w:pPr>
            <w:r>
              <w:t xml:space="preserve">Marge brute / résultat opérationnel</w:t>
            </w:r>
          </w:p>
        </w:tc>
        <w:tc>
          <w:tcPr>
            <w:tcW w:w="6694" w:type="dxa"/>
          </w:tcPr>
          <w:tcPr/>
          <w:p>
            <w:pPr>
              <w:pStyle w:val="Compact"/>
              <w:jc w:val="left"/>
            </w:pPr>
            <w:r>
              <w:t xml:space="preserve">perte brute 12,66 Md GHS ; perte opérationnelle 14,35 Md GHS</w:t>
            </w:r>
          </w:p>
        </w:tc>
        <w:tc>
          <w:tcPr>
            <w:tcW w:w="1494" w:type="dxa"/>
          </w:tcPr>
          <w:tcPr/>
          <w:p>
            <w:pPr>
              <w:pStyle w:val="Compact"/>
              <w:jc w:val="left"/>
            </w:pPr>
            <w:r>
              <w:t xml:space="preserve">2025</w:t>
            </w:r>
          </w:p>
        </w:tc>
        <w:tc>
          <w:tcPr>
            <w:tcW w:w="1234" w:type="dxa"/>
          </w:tcPr>
          <w:tcPr/>
          <w:p>
            <w:pPr>
              <w:pStyle w:val="Compact"/>
              <w:jc w:val="left"/>
            </w:pPr>
            <w:r>
              <w:t xml:space="preserve">[S]</w:t>
            </w:r>
          </w:p>
        </w:tc>
        <w:tc>
          <w:tcPr>
            <w:tcW w:w="923" w:type="dxa"/>
          </w:tcPr>
          <w:tcPr/>
          <w:p>
            <w:pPr>
              <w:pStyle w:val="Compact"/>
              <w:jc w:val="left"/>
            </w:pPr>
            <w:r>
              <w:t xml:space="preserve">[3][5]</w:t>
            </w:r>
          </w:p>
        </w:tc>
      </w:tr>
      <w:tr>
        <w:tc>
          <w:tcPr>
            <w:tcW w:w="4223" w:type="dxa"/>
          </w:tcPr>
          <w:tcPr/>
          <w:p>
            <w:pPr>
              <w:pStyle w:val="Compact"/>
              <w:jc w:val="left"/>
            </w:pPr>
            <w:r>
              <w:t xml:space="preserve">Résultat net</w:t>
            </w:r>
          </w:p>
        </w:tc>
        <w:tc>
          <w:tcPr>
            <w:tcW w:w="6694" w:type="dxa"/>
          </w:tcPr>
          <w:tcPr/>
          <w:p>
            <w:pPr>
              <w:pStyle w:val="Compact"/>
              <w:jc w:val="left"/>
            </w:pPr>
            <w:r>
              <w:t xml:space="preserve">−2,52 Md GHS (2025, après gain de change de 12,16 Md GHS) ; −8,26 Md GHS (2024)</w:t>
            </w:r>
          </w:p>
        </w:tc>
        <w:tc>
          <w:tcPr>
            <w:tcW w:w="1494" w:type="dxa"/>
          </w:tcPr>
          <w:tcPr/>
          <w:p>
            <w:pPr>
              <w:pStyle w:val="Compact"/>
              <w:jc w:val="left"/>
            </w:pPr>
            <w:r>
              <w:t xml:space="preserve">2024-2025</w:t>
            </w:r>
          </w:p>
        </w:tc>
        <w:tc>
          <w:tcPr>
            <w:tcW w:w="1234" w:type="dxa"/>
          </w:tcPr>
          <w:tcPr/>
          <w:p>
            <w:pPr>
              <w:pStyle w:val="Compact"/>
              <w:jc w:val="left"/>
            </w:pPr>
            <w:r>
              <w:t xml:space="preserve">[S]</w:t>
            </w:r>
          </w:p>
        </w:tc>
        <w:tc>
          <w:tcPr>
            <w:tcW w:w="923" w:type="dxa"/>
          </w:tcPr>
          <w:tcPr/>
          <w:p>
            <w:pPr>
              <w:pStyle w:val="Compact"/>
              <w:jc w:val="left"/>
            </w:pPr>
            <w:r>
              <w:t xml:space="preserve">[3]</w:t>
            </w:r>
          </w:p>
        </w:tc>
      </w:tr>
      <w:tr>
        <w:tc>
          <w:tcPr>
            <w:tcW w:w="4223" w:type="dxa"/>
          </w:tcPr>
          <w:tcPr/>
          <w:p>
            <w:pPr>
              <w:pStyle w:val="Compact"/>
              <w:jc w:val="left"/>
            </w:pPr>
            <w:r>
              <w:t xml:space="preserve">Fonds propres</w:t>
            </w:r>
          </w:p>
        </w:tc>
        <w:tc>
          <w:tcPr>
            <w:tcW w:w="6694" w:type="dxa"/>
          </w:tcPr>
          <w:tcPr/>
          <w:p>
            <w:pPr>
              <w:pStyle w:val="Compact"/>
              <w:jc w:val="left"/>
            </w:pPr>
            <w:r>
              <w:t xml:space="preserve">438 M GHS (2025) contre 5,25 Md GHS (2024)</w:t>
            </w:r>
          </w:p>
        </w:tc>
        <w:tc>
          <w:tcPr>
            <w:tcW w:w="1494" w:type="dxa"/>
          </w:tcPr>
          <w:tcPr/>
          <w:p>
            <w:pPr>
              <w:pStyle w:val="Compact"/>
              <w:jc w:val="left"/>
            </w:pPr>
            <w:r>
              <w:t xml:space="preserve">2025</w:t>
            </w:r>
          </w:p>
        </w:tc>
        <w:tc>
          <w:tcPr>
            <w:tcW w:w="1234" w:type="dxa"/>
          </w:tcPr>
          <w:tcPr/>
          <w:p>
            <w:pPr>
              <w:pStyle w:val="Compact"/>
              <w:jc w:val="left"/>
            </w:pPr>
            <w:r>
              <w:t xml:space="preserve">[S]</w:t>
            </w:r>
          </w:p>
        </w:tc>
        <w:tc>
          <w:tcPr>
            <w:tcW w:w="923" w:type="dxa"/>
          </w:tcPr>
          <w:tcPr/>
          <w:p>
            <w:pPr>
              <w:pStyle w:val="Compact"/>
              <w:jc w:val="left"/>
            </w:pPr>
            <w:r>
              <w:t xml:space="preserve">[3]</w:t>
            </w:r>
          </w:p>
        </w:tc>
      </w:tr>
      <w:tr>
        <w:tc>
          <w:tcPr>
            <w:tcW w:w="4223" w:type="dxa"/>
          </w:tcPr>
          <w:tcPr/>
          <w:p>
            <w:pPr>
              <w:pStyle w:val="Compact"/>
              <w:jc w:val="left"/>
            </w:pPr>
            <w:r>
              <w:t xml:space="preserve">Emprunts LT ; dettes fournisseurs</w:t>
            </w:r>
          </w:p>
        </w:tc>
        <w:tc>
          <w:tcPr>
            <w:tcW w:w="6694" w:type="dxa"/>
          </w:tcPr>
          <w:tcPr/>
          <w:p>
            <w:pPr>
              <w:pStyle w:val="Compact"/>
              <w:jc w:val="left"/>
            </w:pPr>
            <w:r>
              <w:t xml:space="preserve">24,65 Md GHS ; 46,74 Md GHS de dettes d’exploitation</w:t>
            </w:r>
          </w:p>
        </w:tc>
        <w:tc>
          <w:tcPr>
            <w:tcW w:w="1494" w:type="dxa"/>
          </w:tcPr>
          <w:tcPr/>
          <w:p>
            <w:pPr>
              <w:pStyle w:val="Compact"/>
              <w:jc w:val="left"/>
            </w:pPr>
            <w:r>
              <w:t xml:space="preserve">2025</w:t>
            </w:r>
          </w:p>
        </w:tc>
        <w:tc>
          <w:tcPr>
            <w:tcW w:w="1234" w:type="dxa"/>
          </w:tcPr>
          <w:tcPr/>
          <w:p>
            <w:pPr>
              <w:pStyle w:val="Compact"/>
              <w:jc w:val="left"/>
            </w:pPr>
            <w:r>
              <w:t xml:space="preserve">[S]</w:t>
            </w:r>
          </w:p>
        </w:tc>
        <w:tc>
          <w:tcPr>
            <w:tcW w:w="923" w:type="dxa"/>
          </w:tcPr>
          <w:tcPr/>
          <w:p>
            <w:pPr>
              <w:pStyle w:val="Compact"/>
              <w:jc w:val="left"/>
            </w:pPr>
            <w:r>
              <w:t xml:space="preserve">[5]</w:t>
            </w:r>
          </w:p>
        </w:tc>
      </w:tr>
      <w:tr>
        <w:tc>
          <w:tcPr>
            <w:tcW w:w="4223" w:type="dxa"/>
          </w:tcPr>
          <w:tcPr/>
          <w:p>
            <w:pPr>
              <w:pStyle w:val="Compact"/>
              <w:jc w:val="left"/>
            </w:pPr>
            <w:r>
              <w:t xml:space="preserve">Financement public</w:t>
            </w:r>
          </w:p>
        </w:tc>
        <w:tc>
          <w:tcPr>
            <w:tcW w:w="6694" w:type="dxa"/>
          </w:tcPr>
          <w:tcPr/>
          <w:p>
            <w:pPr>
              <w:pStyle w:val="Compact"/>
              <w:jc w:val="left"/>
            </w:pPr>
            <w:r>
              <w:t xml:space="preserve">20,86 Md GHS payés par le Fonds consolidé aux IPP / fournisseurs de gaz, comptabilisés comme prêt à ECG</w:t>
            </w:r>
          </w:p>
        </w:tc>
        <w:tc>
          <w:tcPr>
            <w:tcW w:w="1494" w:type="dxa"/>
          </w:tcPr>
          <w:tcPr/>
          <w:p>
            <w:pPr>
              <w:pStyle w:val="Compact"/>
              <w:jc w:val="left"/>
            </w:pPr>
            <w:r>
              <w:t xml:space="preserve">2025</w:t>
            </w:r>
          </w:p>
        </w:tc>
        <w:tc>
          <w:tcPr>
            <w:tcW w:w="1234" w:type="dxa"/>
          </w:tcPr>
          <w:tcPr/>
          <w:p>
            <w:pPr>
              <w:pStyle w:val="Compact"/>
              <w:jc w:val="left"/>
            </w:pPr>
            <w:r>
              <w:t xml:space="preserve">[S]</w:t>
            </w:r>
          </w:p>
        </w:tc>
        <w:tc>
          <w:tcPr>
            <w:tcW w:w="923" w:type="dxa"/>
          </w:tcPr>
          <w:tcPr/>
          <w:p>
            <w:pPr>
              <w:pStyle w:val="Compact"/>
              <w:jc w:val="left"/>
            </w:pPr>
            <w:r>
              <w:t xml:space="preserve">[5]</w:t>
            </w:r>
          </w:p>
        </w:tc>
      </w:tr>
      <w:tr>
        <w:tc>
          <w:tcPr>
            <w:tcW w:w="4223" w:type="dxa"/>
          </w:tcPr>
          <w:tcPr/>
          <w:p>
            <w:pPr>
              <w:pStyle w:val="Compact"/>
              <w:jc w:val="left"/>
            </w:pPr>
            <w:r>
              <w:t xml:space="preserve">Créances sur l’État (MDAs)</w:t>
            </w:r>
          </w:p>
        </w:tc>
        <w:tc>
          <w:tcPr>
            <w:tcW w:w="6694" w:type="dxa"/>
          </w:tcPr>
          <w:tcPr/>
          <w:p>
            <w:pPr>
              <w:pStyle w:val="Compact"/>
              <w:jc w:val="left"/>
            </w:pPr>
            <w:r>
              <w:t xml:space="preserve">1,58 Md GHS (sur 20,10 Md GHS de créances totales)</w:t>
            </w:r>
          </w:p>
        </w:tc>
        <w:tc>
          <w:tcPr>
            <w:tcW w:w="1494" w:type="dxa"/>
          </w:tcPr>
          <w:tcPr/>
          <w:p>
            <w:pPr>
              <w:pStyle w:val="Compact"/>
              <w:jc w:val="left"/>
            </w:pPr>
            <w:r>
              <w:t xml:space="preserve">2025</w:t>
            </w:r>
          </w:p>
        </w:tc>
        <w:tc>
          <w:tcPr>
            <w:tcW w:w="1234" w:type="dxa"/>
          </w:tcPr>
          <w:tcPr/>
          <w:p>
            <w:pPr>
              <w:pStyle w:val="Compact"/>
              <w:jc w:val="left"/>
            </w:pPr>
            <w:r>
              <w:t xml:space="preserve">[S]</w:t>
            </w:r>
          </w:p>
        </w:tc>
        <w:tc>
          <w:tcPr>
            <w:tcW w:w="923" w:type="dxa"/>
          </w:tcPr>
          <w:tcPr/>
          <w:p>
            <w:pPr>
              <w:pStyle w:val="Compact"/>
              <w:jc w:val="left"/>
            </w:pPr>
            <w:r>
              <w:t xml:space="preserve">[5]</w:t>
            </w:r>
          </w:p>
        </w:tc>
      </w:tr>
      <w:tr>
        <w:tc>
          <w:tcPr>
            <w:tcW w:w="4223" w:type="dxa"/>
          </w:tcPr>
          <w:tcPr/>
          <w:p>
            <w:pPr>
              <w:pStyle w:val="Compact"/>
              <w:jc w:val="left"/>
            </w:pPr>
            <w:r>
              <w:t xml:space="preserve">Pertes financières de la distribution (ECG)</w:t>
            </w:r>
          </w:p>
        </w:tc>
        <w:tc>
          <w:tcPr>
            <w:tcW w:w="6694" w:type="dxa"/>
          </w:tcPr>
          <w:tcPr/>
          <w:p>
            <w:pPr>
              <w:pStyle w:val="Compact"/>
              <w:jc w:val="left"/>
            </w:pPr>
            <w:r>
              <w:t xml:space="preserve">1 201 M USD (2022) ; 804 M USD (2023) ; cible 481 M USD (2027)</w:t>
            </w:r>
          </w:p>
        </w:tc>
        <w:tc>
          <w:tcPr>
            <w:tcW w:w="1494" w:type="dxa"/>
          </w:tcPr>
          <w:tcPr/>
          <w:p>
            <w:pPr>
              <w:pStyle w:val="Compact"/>
              <w:jc w:val="left"/>
            </w:pPr>
            <w:r>
              <w:t xml:space="preserve">2022-2023</w:t>
            </w:r>
          </w:p>
        </w:tc>
        <w:tc>
          <w:tcPr>
            <w:tcW w:w="1234" w:type="dxa"/>
          </w:tcPr>
          <w:tcPr/>
          <w:p>
            <w:pPr>
              <w:pStyle w:val="Compact"/>
              <w:jc w:val="left"/>
            </w:pPr>
            <w:r>
              <w:t xml:space="preserve">[V]</w:t>
            </w:r>
          </w:p>
        </w:tc>
        <w:tc>
          <w:tcPr>
            <w:tcW w:w="923" w:type="dxa"/>
          </w:tcPr>
          <w:tcPr/>
          <w:p>
            <w:pPr>
              <w:pStyle w:val="Compact"/>
              <w:jc w:val="left"/>
            </w:pPr>
            <w:r>
              <w:t xml:space="preserve">[6]</w:t>
            </w:r>
          </w:p>
        </w:tc>
      </w:tr>
      <w:tr>
        <w:tc>
          <w:tcPr>
            <w:tcW w:w="4223" w:type="dxa"/>
          </w:tcPr>
          <w:tcPr/>
          <w:p>
            <w:pPr>
              <w:pStyle w:val="Compact"/>
              <w:jc w:val="left"/>
            </w:pPr>
            <w:r>
              <w:t xml:space="preserve">Déficit du secteur énergie (écart recettes-coûts)</w:t>
            </w:r>
          </w:p>
        </w:tc>
        <w:tc>
          <w:tcPr>
            <w:tcW w:w="6694" w:type="dxa"/>
          </w:tcPr>
          <w:tcPr/>
          <w:p>
            <w:pPr>
              <w:pStyle w:val="Compact"/>
              <w:jc w:val="left"/>
            </w:pPr>
            <w:r>
              <w:t xml:space="preserve">1,6 Md USD (1,4 % PIB) 2024 ; 1,4 Md USD (1,2 % PIB) 2025 ; ~1,1 Md USD projeté 2026</w:t>
            </w:r>
          </w:p>
        </w:tc>
        <w:tc>
          <w:tcPr>
            <w:tcW w:w="1494" w:type="dxa"/>
          </w:tcPr>
          <w:tcPr/>
          <w:p>
            <w:pPr>
              <w:pStyle w:val="Compact"/>
              <w:jc w:val="left"/>
            </w:pPr>
            <w:r>
              <w:t xml:space="preserve">2024-2026</w:t>
            </w:r>
          </w:p>
        </w:tc>
        <w:tc>
          <w:tcPr>
            <w:tcW w:w="1234" w:type="dxa"/>
          </w:tcPr>
          <w:tcPr/>
          <w:p>
            <w:pPr>
              <w:pStyle w:val="Compact"/>
              <w:jc w:val="left"/>
            </w:pPr>
            <w:r>
              <w:t xml:space="preserve">[V]</w:t>
            </w:r>
          </w:p>
        </w:tc>
        <w:tc>
          <w:tcPr>
            <w:tcW w:w="923" w:type="dxa"/>
          </w:tcPr>
          <w:tcPr/>
          <w:p>
            <w:pPr>
              <w:pStyle w:val="Compact"/>
              <w:jc w:val="left"/>
            </w:pPr>
            <w:r>
              <w:t xml:space="preserve">[2]</w:t>
            </w:r>
          </w:p>
        </w:tc>
      </w:tr>
      <w:tr>
        <w:tc>
          <w:tcPr>
            <w:tcW w:w="4223" w:type="dxa"/>
          </w:tcPr>
          <w:tcPr/>
          <w:p>
            <w:pPr>
              <w:pStyle w:val="Compact"/>
              <w:jc w:val="left"/>
            </w:pPr>
            <w:r>
              <w:t xml:space="preserve">Dettes nettes envers IPP et fournisseurs de combustible</w:t>
            </w:r>
          </w:p>
        </w:tc>
        <w:tc>
          <w:tcPr>
            <w:tcW w:w="6694" w:type="dxa"/>
          </w:tcPr>
          <w:tcPr/>
          <w:p>
            <w:pPr>
              <w:pStyle w:val="Compact"/>
              <w:jc w:val="left"/>
            </w:pPr>
            <w:r>
              <w:t xml:space="preserve">2,1 Md USD (fin 2024) ; pic 2,2 Md USD (T1 2025) ; 1,7 Md USD (fin mars 2026)</w:t>
            </w:r>
          </w:p>
        </w:tc>
        <w:tc>
          <w:tcPr>
            <w:tcW w:w="1494" w:type="dxa"/>
          </w:tcPr>
          <w:tcPr/>
          <w:p>
            <w:pPr>
              <w:pStyle w:val="Compact"/>
              <w:jc w:val="left"/>
            </w:pPr>
            <w:r>
              <w:t xml:space="preserve">2024-2026</w:t>
            </w:r>
          </w:p>
        </w:tc>
        <w:tc>
          <w:tcPr>
            <w:tcW w:w="1234" w:type="dxa"/>
          </w:tcPr>
          <w:tcPr/>
          <w:p>
            <w:pPr>
              <w:pStyle w:val="Compact"/>
              <w:jc w:val="left"/>
            </w:pPr>
            <w:r>
              <w:t xml:space="preserve">[V]</w:t>
            </w:r>
          </w:p>
        </w:tc>
        <w:tc>
          <w:tcPr>
            <w:tcW w:w="923" w:type="dxa"/>
          </w:tcPr>
          <w:tcPr/>
          <w:p>
            <w:pPr>
              <w:pStyle w:val="Compact"/>
              <w:jc w:val="left"/>
            </w:pPr>
            <w:r>
              <w:t xml:space="preserve">[2]</w:t>
            </w:r>
          </w:p>
        </w:tc>
      </w:tr>
      <w:tr>
        <w:tc>
          <w:tcPr>
            <w:tcW w:w="4223" w:type="dxa"/>
          </w:tcPr>
          <w:tcPr/>
          <w:p>
            <w:pPr>
              <w:pStyle w:val="Compact"/>
              <w:jc w:val="left"/>
            </w:pPr>
            <w:r>
              <w:t xml:space="preserve">Paiements CWM d’ECG aux IPP</w:t>
            </w:r>
          </w:p>
        </w:tc>
        <w:tc>
          <w:tcPr>
            <w:tcW w:w="6694" w:type="dxa"/>
          </w:tcPr>
          <w:tcPr/>
          <w:p>
            <w:pPr>
              <w:pStyle w:val="Compact"/>
              <w:jc w:val="left"/>
            </w:pPr>
            <w:r>
              <w:t xml:space="preserve">521 M USD (2024) → 712 M USD (2025)</w:t>
            </w:r>
          </w:p>
        </w:tc>
        <w:tc>
          <w:tcPr>
            <w:tcW w:w="1494" w:type="dxa"/>
          </w:tcPr>
          <w:tcPr/>
          <w:p>
            <w:pPr>
              <w:pStyle w:val="Compact"/>
              <w:jc w:val="left"/>
            </w:pPr>
            <w:r>
              <w:t xml:space="preserve">2024-2025</w:t>
            </w:r>
          </w:p>
        </w:tc>
        <w:tc>
          <w:tcPr>
            <w:tcW w:w="1234" w:type="dxa"/>
          </w:tcPr>
          <w:tcPr/>
          <w:p>
            <w:pPr>
              <w:pStyle w:val="Compact"/>
              <w:jc w:val="left"/>
            </w:pPr>
            <w:r>
              <w:t xml:space="preserve">[V]</w:t>
            </w:r>
          </w:p>
        </w:tc>
        <w:tc>
          <w:tcPr>
            <w:tcW w:w="923" w:type="dxa"/>
          </w:tcPr>
          <w:tcPr/>
          <w:p>
            <w:pPr>
              <w:pStyle w:val="Compact"/>
              <w:jc w:val="left"/>
            </w:pPr>
            <w:r>
              <w:t xml:space="preserve">[2]</w:t>
            </w:r>
          </w:p>
        </w:tc>
      </w:tr>
      <w:tr>
        <w:tc>
          <w:tcPr>
            <w:tcW w:w="4223" w:type="dxa"/>
          </w:tcPr>
          <w:tcPr/>
          <w:p>
            <w:pPr>
              <w:pStyle w:val="Compact"/>
              <w:jc w:val="left"/>
            </w:pPr>
            <w:r>
              <w:t xml:space="preserve">Recettes déclarées au CWM</w:t>
            </w:r>
          </w:p>
        </w:tc>
        <w:tc>
          <w:tcPr>
            <w:tcW w:w="6694" w:type="dxa"/>
          </w:tcPr>
          <w:tcPr/>
          <w:p>
            <w:pPr>
              <w:pStyle w:val="Compact"/>
              <w:jc w:val="left"/>
            </w:pPr>
            <w:r>
              <w:t xml:space="preserve">&gt; 1 Md GHS/mois depuis janv. 2025 ; 1,6 Md GHS (janv. 2026) ; 1,9 Md GHS (avril 2026)</w:t>
            </w:r>
          </w:p>
        </w:tc>
        <w:tc>
          <w:tcPr>
            <w:tcW w:w="1494" w:type="dxa"/>
          </w:tcPr>
          <w:tcPr/>
          <w:p>
            <w:pPr>
              <w:pStyle w:val="Compact"/>
              <w:jc w:val="left"/>
            </w:pPr>
            <w:r>
              <w:t xml:space="preserve">2025-2026</w:t>
            </w:r>
          </w:p>
        </w:tc>
        <w:tc>
          <w:tcPr>
            <w:tcW w:w="1234" w:type="dxa"/>
          </w:tcPr>
          <w:tcPr/>
          <w:p>
            <w:pPr>
              <w:pStyle w:val="Compact"/>
              <w:jc w:val="left"/>
            </w:pPr>
            <w:r>
              <w:t xml:space="preserve">[V]</w:t>
            </w:r>
          </w:p>
        </w:tc>
        <w:tc>
          <w:tcPr>
            <w:tcW w:w="923" w:type="dxa"/>
          </w:tcPr>
          <w:tcPr/>
          <w:p>
            <w:pPr>
              <w:pStyle w:val="Compact"/>
              <w:jc w:val="left"/>
            </w:pPr>
            <w:r>
              <w:t xml:space="preserve">[2]</w:t>
            </w:r>
          </w:p>
        </w:tc>
      </w:tr>
      <w:tr>
        <w:tc>
          <w:tcPr>
            <w:tcW w:w="4223" w:type="dxa"/>
          </w:tcPr>
          <w:tcPr/>
          <w:p>
            <w:pPr>
              <w:pStyle w:val="Compact"/>
              <w:jc w:val="left"/>
            </w:pPr>
            <w:r>
              <w:t xml:space="preserve">Taux de recouvrement ECG</w:t>
            </w:r>
          </w:p>
        </w:tc>
        <w:tc>
          <w:tcPr>
            <w:tcW w:w="6694" w:type="dxa"/>
          </w:tcPr>
          <w:tcPr/>
          <w:p>
            <w:pPr>
              <w:pStyle w:val="Compact"/>
              <w:jc w:val="left"/>
            </w:pPr>
            <w:r>
              <w:t xml:space="preserve">85 % (2022, base) ; 84,7 % (déc. 2023) ; cible 93-94 % (2027)</w:t>
            </w:r>
          </w:p>
        </w:tc>
        <w:tc>
          <w:tcPr>
            <w:tcW w:w="1494" w:type="dxa"/>
          </w:tcPr>
          <w:tcPr/>
          <w:p>
            <w:pPr>
              <w:pStyle w:val="Compact"/>
              <w:jc w:val="left"/>
            </w:pPr>
            <w:r>
              <w:t xml:space="preserve">2022-2023</w:t>
            </w:r>
          </w:p>
        </w:tc>
        <w:tc>
          <w:tcPr>
            <w:tcW w:w="1234" w:type="dxa"/>
          </w:tcPr>
          <w:tcPr/>
          <w:p>
            <w:pPr>
              <w:pStyle w:val="Compact"/>
              <w:jc w:val="left"/>
            </w:pPr>
            <w:r>
              <w:t xml:space="preserve">[V]</w:t>
            </w:r>
          </w:p>
        </w:tc>
        <w:tc>
          <w:tcPr>
            <w:tcW w:w="923" w:type="dxa"/>
          </w:tcPr>
          <w:tcPr/>
          <w:p>
            <w:pPr>
              <w:pStyle w:val="Compact"/>
              <w:jc w:val="left"/>
            </w:pPr>
            <w:r>
              <w:t xml:space="preserve">[6]</w:t>
            </w:r>
          </w:p>
        </w:tc>
      </w:tr>
      <w:tr>
        <w:tc>
          <w:tcPr>
            <w:tcW w:w="4223" w:type="dxa"/>
          </w:tcPr>
          <w:tcPr/>
          <w:p>
            <w:pPr>
              <w:pStyle w:val="Compact"/>
              <w:jc w:val="left"/>
            </w:pPr>
            <w:r>
              <w:t xml:space="preserve">Recette moyenne vs coût par kWh</w:t>
            </w:r>
          </w:p>
        </w:tc>
        <w:tc>
          <w:tcPr>
            <w:tcW w:w="6694" w:type="dxa"/>
          </w:tcPr>
          <w:tcPr/>
          <w:p>
            <w:pPr>
              <w:pStyle w:val="Compact"/>
              <w:jc w:val="left"/>
            </w:pPr>
            <w:r>
              <w:t xml:space="preserve">[?] non trouvé (écart tarifaire de 18 % selon le pacte)</w:t>
            </w:r>
          </w:p>
        </w:tc>
        <w:tc>
          <w:tcPr>
            <w:tcW w:w="1494" w:type="dxa"/>
          </w:tcPr>
          <w:tcPr/>
          <w:p>
            <w:pPr>
              <w:pStyle w:val="Compact"/>
              <w:jc w:val="left"/>
            </w:pPr>
            <w:r>
              <w:t xml:space="preserve">2024</w:t>
            </w:r>
          </w:p>
        </w:tc>
        <w:tc>
          <w:tcPr>
            <w:tcW w:w="1234" w:type="dxa"/>
          </w:tcPr>
          <w:tcPr/>
          <w:p>
            <w:pPr>
              <w:pStyle w:val="Compact"/>
              <w:jc w:val="left"/>
            </w:pPr>
            <w:r>
              <w:t xml:space="preserve">(pacte)</w:t>
            </w:r>
          </w:p>
        </w:tc>
        <w:tc>
          <w:tcPr>
            <w:tcW w:w="923" w:type="dxa"/>
          </w:tcPr>
          <w:tcPr/>
          <w:p>
            <w:pPr>
              <w:pStyle w:val="Compact"/>
              <w:jc w:val="left"/>
            </w:pPr>
            <w:r>
              <w:t xml:space="preserve">[1]</w:t>
            </w:r>
          </w:p>
        </w:tc>
      </w:tr>
      <w:tr>
        <w:tc>
          <w:tcPr>
            <w:tcW w:w="4223" w:type="dxa"/>
          </w:tcPr>
          <w:tcPr/>
          <w:p>
            <w:pPr>
              <w:pStyle w:val="Compact"/>
              <w:jc w:val="left"/>
            </w:pPr>
            <w:r>
              <w:t xml:space="preserve">Notation de crédit</w:t>
            </w:r>
          </w:p>
        </w:tc>
        <w:tc>
          <w:tcPr>
            <w:tcW w:w="6694" w:type="dxa"/>
          </w:tcPr>
          <w:tcPr/>
          <w:p>
            <w:pPr>
              <w:pStyle w:val="Compact"/>
              <w:jc w:val="left"/>
            </w:pPr>
            <w:r>
              <w:t xml:space="preserve">[?] non trouvé</w:t>
            </w:r>
          </w:p>
        </w:tc>
        <w:tc>
          <w:tcPr>
            <w:tcW w:w="1494" w:type="dxa"/>
          </w:tcPr>
          <w:tcPr/>
          <w:p>
            <w:pPr>
              <w:pStyle w:val="Compact"/>
              <w:jc w:val="left"/>
            </w:pPr>
            <w:r>
              <w:t xml:space="preserve">—</w:t>
            </w:r>
          </w:p>
        </w:tc>
        <w:tc>
          <w:tcPr>
            <w:tcW w:w="1234" w:type="dxa"/>
          </w:tcPr>
          <w:tcPr/>
          <w:p>
            <w:pPr>
              <w:pStyle w:val="Compact"/>
              <w:jc w:val="left"/>
            </w:pPr>
            <w:r>
              <w:t xml:space="preserve">[?]</w:t>
            </w:r>
          </w:p>
        </w:tc>
        <w:tc>
          <w:tcPr>
            <w:tcW w:w="923" w:type="dxa"/>
          </w:tcPr>
          <w:tcPr/>
          <w:p>
            <w:pPr>
              <w:pStyle w:val="Compact"/>
              <w:jc w:val="left"/>
            </w:pPr>
            <w:r>
              <w:t xml:space="preserve">—</w:t>
            </w:r>
          </w:p>
        </w:tc>
      </w:tr>
    </w:tbl>
    <w:bookmarkEnd w:id="174"/>
    <w:bookmarkStart w:id="175" w:name="situation-technique-13"/>
    <w:p>
      <w:pPr>
        <w:pStyle w:val="Heading3"/>
      </w:pPr>
      <w:r>
        <w:t xml:space="preserve">2. Situation technique</w:t>
      </w:r>
    </w:p>
    <w:tbl>
      <w:tblPr>
        <w:tblStyle w:val="Table"/>
        <w:tblW w:type="dxa" w:w="14570"/>
        <w:tblLook w:firstRow="1" w:lastRow="0" w:firstColumn="0" w:lastColumn="0" w:noHBand="0" w:noVBand="0" w:val="0020"/>
        <w:jc w:val="start"/>
      </w:tblPr>
      <w:tblGrid>
        <w:gridCol w:w="4694"/>
        <w:gridCol w:w="6109"/>
        <w:gridCol w:w="1464"/>
        <w:gridCol w:w="1250"/>
        <w:gridCol w:w="1051"/>
      </w:tblGrid>
      <w:tr>
        <w:trPr>
          <w:tblHeader w:val="true"/>
        </w:trPr>
        <w:tc>
          <w:tcPr>
            <w:tcW w:w="4694" w:type="dxa"/>
          </w:tcPr>
          <w:tcPr/>
          <w:p>
            <w:pPr>
              <w:pStyle w:val="Compact"/>
              <w:jc w:val="left"/>
            </w:pPr>
            <w:r>
              <w:t xml:space="preserve">Indicateur</w:t>
            </w:r>
          </w:p>
        </w:tc>
        <w:tc>
          <w:tcPr>
            <w:tcW w:w="6109" w:type="dxa"/>
          </w:tcPr>
          <w:tcPr/>
          <w:p>
            <w:pPr>
              <w:pStyle w:val="Compact"/>
              <w:jc w:val="left"/>
            </w:pPr>
            <w:r>
              <w:t xml:space="preserve">Valeur</w:t>
            </w:r>
          </w:p>
        </w:tc>
        <w:tc>
          <w:tcPr>
            <w:tcW w:w="1464" w:type="dxa"/>
          </w:tcPr>
          <w:tcPr/>
          <w:p>
            <w:pPr>
              <w:pStyle w:val="Compact"/>
              <w:jc w:val="left"/>
            </w:pPr>
            <w:r>
              <w:t xml:space="preserve">Année</w:t>
            </w:r>
          </w:p>
        </w:tc>
        <w:tc>
          <w:tcPr>
            <w:tcW w:w="1250" w:type="dxa"/>
          </w:tcPr>
          <w:tcPr/>
          <w:p>
            <w:pPr>
              <w:pStyle w:val="Compact"/>
              <w:jc w:val="left"/>
            </w:pPr>
            <w:r>
              <w:t xml:space="preserve">Statut</w:t>
            </w:r>
          </w:p>
        </w:tc>
        <w:tc>
          <w:tcPr>
            <w:tcW w:w="1051" w:type="dxa"/>
          </w:tcPr>
          <w:tcPr/>
          <w:p>
            <w:pPr>
              <w:pStyle w:val="Compact"/>
              <w:jc w:val="left"/>
            </w:pPr>
            <w:r>
              <w:t xml:space="preserve">Source</w:t>
            </w:r>
          </w:p>
        </w:tc>
      </w:tr>
      <w:tr>
        <w:tc>
          <w:tcPr>
            <w:tcW w:w="4694" w:type="dxa"/>
          </w:tcPr>
          <w:tcPr/>
          <w:p>
            <w:pPr>
              <w:pStyle w:val="Compact"/>
              <w:jc w:val="left"/>
            </w:pPr>
            <w:r>
              <w:t xml:space="preserve">Pertes d’électricité ECG</w:t>
            </w:r>
          </w:p>
        </w:tc>
        <w:tc>
          <w:tcPr>
            <w:tcW w:w="6109" w:type="dxa"/>
          </w:tcPr>
          <w:tcPr/>
          <w:p>
            <w:pPr>
              <w:pStyle w:val="Compact"/>
              <w:jc w:val="left"/>
            </w:pPr>
            <w:r>
              <w:t xml:space="preserve">28,4 % (2022) ; 27,2 % (2023) ; cible 19,2 % (2027)</w:t>
            </w:r>
          </w:p>
        </w:tc>
        <w:tc>
          <w:tcPr>
            <w:tcW w:w="1464" w:type="dxa"/>
          </w:tcPr>
          <w:tcPr/>
          <w:p>
            <w:pPr>
              <w:pStyle w:val="Compact"/>
              <w:jc w:val="left"/>
            </w:pPr>
            <w:r>
              <w:t xml:space="preserve">2022-2023</w:t>
            </w:r>
          </w:p>
        </w:tc>
        <w:tc>
          <w:tcPr>
            <w:tcW w:w="1250" w:type="dxa"/>
          </w:tcPr>
          <w:tcPr/>
          <w:p>
            <w:pPr>
              <w:pStyle w:val="Compact"/>
              <w:jc w:val="left"/>
            </w:pPr>
            <w:r>
              <w:t xml:space="preserve">[V]</w:t>
            </w:r>
          </w:p>
        </w:tc>
        <w:tc>
          <w:tcPr>
            <w:tcW w:w="1051" w:type="dxa"/>
          </w:tcPr>
          <w:tcPr/>
          <w:p>
            <w:pPr>
              <w:pStyle w:val="Compact"/>
              <w:jc w:val="left"/>
            </w:pPr>
            <w:r>
              <w:t xml:space="preserve">[6]</w:t>
            </w:r>
          </w:p>
        </w:tc>
      </w:tr>
      <w:tr>
        <w:tc>
          <w:tcPr>
            <w:tcW w:w="4694" w:type="dxa"/>
          </w:tcPr>
          <w:tcPr/>
          <w:p>
            <w:pPr>
              <w:pStyle w:val="Compact"/>
              <w:jc w:val="left"/>
            </w:pPr>
            <w:r>
              <w:t xml:space="preserve">Pertes système ECG (déclaration de la direction)</w:t>
            </w:r>
          </w:p>
        </w:tc>
        <w:tc>
          <w:tcPr>
            <w:tcW w:w="6109" w:type="dxa"/>
          </w:tcPr>
          <w:tcPr/>
          <w:p>
            <w:pPr>
              <w:pStyle w:val="Compact"/>
              <w:jc w:val="left"/>
            </w:pPr>
            <w:r>
              <w:t xml:space="preserve">27,05 % (2024) → 26,88 % (2025)</w:t>
            </w:r>
          </w:p>
        </w:tc>
        <w:tc>
          <w:tcPr>
            <w:tcW w:w="1464" w:type="dxa"/>
          </w:tcPr>
          <w:tcPr/>
          <w:p>
            <w:pPr>
              <w:pStyle w:val="Compact"/>
              <w:jc w:val="left"/>
            </w:pPr>
            <w:r>
              <w:t xml:space="preserve">2024-2025</w:t>
            </w:r>
          </w:p>
        </w:tc>
        <w:tc>
          <w:tcPr>
            <w:tcW w:w="1250" w:type="dxa"/>
          </w:tcPr>
          <w:tcPr/>
          <w:p>
            <w:pPr>
              <w:pStyle w:val="Compact"/>
              <w:jc w:val="left"/>
            </w:pPr>
            <w:r>
              <w:t xml:space="preserve">[S]</w:t>
            </w:r>
          </w:p>
        </w:tc>
        <w:tc>
          <w:tcPr>
            <w:tcW w:w="1051" w:type="dxa"/>
          </w:tcPr>
          <w:tcPr/>
          <w:p>
            <w:pPr>
              <w:pStyle w:val="Compact"/>
              <w:jc w:val="left"/>
            </w:pPr>
            <w:r>
              <w:t xml:space="preserve">[3]</w:t>
            </w:r>
          </w:p>
        </w:tc>
      </w:tr>
      <w:tr>
        <w:tc>
          <w:tcPr>
            <w:tcW w:w="4694" w:type="dxa"/>
          </w:tcPr>
          <w:tcPr/>
          <w:p>
            <w:pPr>
              <w:pStyle w:val="Compact"/>
              <w:jc w:val="left"/>
            </w:pPr>
            <w:r>
              <w:t xml:space="preserve">Clients ; prépaiement</w:t>
            </w:r>
          </w:p>
        </w:tc>
        <w:tc>
          <w:tcPr>
            <w:tcW w:w="6109" w:type="dxa"/>
          </w:tcPr>
          <w:tcPr/>
          <w:p>
            <w:pPr>
              <w:pStyle w:val="Compact"/>
              <w:jc w:val="left"/>
            </w:pPr>
            <w:r>
              <w:t xml:space="preserve">5,52 M (2024) → 5,85 M (2025) ; 53,5 % prépayés ; 222 979 nouveaux branchements en 2025</w:t>
            </w:r>
          </w:p>
        </w:tc>
        <w:tc>
          <w:tcPr>
            <w:tcW w:w="1464" w:type="dxa"/>
          </w:tcPr>
          <w:tcPr/>
          <w:p>
            <w:pPr>
              <w:pStyle w:val="Compact"/>
              <w:jc w:val="left"/>
            </w:pPr>
            <w:r>
              <w:t xml:space="preserve">2025</w:t>
            </w:r>
          </w:p>
        </w:tc>
        <w:tc>
          <w:tcPr>
            <w:tcW w:w="1250" w:type="dxa"/>
          </w:tcPr>
          <w:tcPr/>
          <w:p>
            <w:pPr>
              <w:pStyle w:val="Compact"/>
              <w:jc w:val="left"/>
            </w:pPr>
            <w:r>
              <w:t xml:space="preserve">[S]</w:t>
            </w:r>
          </w:p>
        </w:tc>
        <w:tc>
          <w:tcPr>
            <w:tcW w:w="1051" w:type="dxa"/>
          </w:tcPr>
          <w:tcPr/>
          <w:p>
            <w:pPr>
              <w:pStyle w:val="Compact"/>
              <w:jc w:val="left"/>
            </w:pPr>
            <w:r>
              <w:t xml:space="preserve">[3]</w:t>
            </w:r>
          </w:p>
        </w:tc>
      </w:tr>
      <w:tr>
        <w:tc>
          <w:tcPr>
            <w:tcW w:w="4694" w:type="dxa"/>
          </w:tcPr>
          <w:tcPr/>
          <w:p>
            <w:pPr>
              <w:pStyle w:val="Compact"/>
              <w:jc w:val="left"/>
            </w:pPr>
            <w:r>
              <w:t xml:space="preserve">Compteurs intelligents (DLI ESRP)</w:t>
            </w:r>
          </w:p>
        </w:tc>
        <w:tc>
          <w:tcPr>
            <w:tcW w:w="6109" w:type="dxa"/>
          </w:tcPr>
          <w:tcPr/>
          <w:p>
            <w:pPr>
              <w:pStyle w:val="Compact"/>
              <w:jc w:val="left"/>
            </w:pPr>
            <w:r>
              <w:t xml:space="preserve">0 (août 2024) ; cible 1 050 000 (2027)</w:t>
            </w:r>
          </w:p>
        </w:tc>
        <w:tc>
          <w:tcPr>
            <w:tcW w:w="1464" w:type="dxa"/>
          </w:tcPr>
          <w:tcPr/>
          <w:p>
            <w:pPr>
              <w:pStyle w:val="Compact"/>
              <w:jc w:val="left"/>
            </w:pPr>
            <w:r>
              <w:t xml:space="preserve">2024</w:t>
            </w:r>
          </w:p>
        </w:tc>
        <w:tc>
          <w:tcPr>
            <w:tcW w:w="1250" w:type="dxa"/>
          </w:tcPr>
          <w:tcPr/>
          <w:p>
            <w:pPr>
              <w:pStyle w:val="Compact"/>
              <w:jc w:val="left"/>
            </w:pPr>
            <w:r>
              <w:t xml:space="preserve">[V]</w:t>
            </w:r>
          </w:p>
        </w:tc>
        <w:tc>
          <w:tcPr>
            <w:tcW w:w="1051" w:type="dxa"/>
          </w:tcPr>
          <w:tcPr/>
          <w:p>
            <w:pPr>
              <w:pStyle w:val="Compact"/>
              <w:jc w:val="left"/>
            </w:pPr>
            <w:r>
              <w:t xml:space="preserve">[6]</w:t>
            </w:r>
          </w:p>
        </w:tc>
      </w:tr>
      <w:tr>
        <w:tc>
          <w:tcPr>
            <w:tcW w:w="4694" w:type="dxa"/>
          </w:tcPr>
          <w:tcPr/>
          <w:p>
            <w:pPr>
              <w:pStyle w:val="Compact"/>
              <w:jc w:val="left"/>
            </w:pPr>
            <w:r>
              <w:t xml:space="preserve">Capacité installée / mix</w:t>
            </w:r>
          </w:p>
        </w:tc>
        <w:tc>
          <w:tcPr>
            <w:tcW w:w="6109" w:type="dxa"/>
          </w:tcPr>
          <w:tcPr/>
          <w:p>
            <w:pPr>
              <w:pStyle w:val="Compact"/>
              <w:jc w:val="left"/>
            </w:pPr>
            <w:r>
              <w:t xml:space="preserve">5,3-5,6 GW, 62 % thermique (pacte, chiffres incohérents)</w:t>
            </w:r>
          </w:p>
        </w:tc>
        <w:tc>
          <w:tcPr>
            <w:tcW w:w="1464" w:type="dxa"/>
          </w:tcPr>
          <w:tcPr/>
          <w:p>
            <w:pPr>
              <w:pStyle w:val="Compact"/>
              <w:jc w:val="left"/>
            </w:pPr>
            <w:r>
              <w:t xml:space="preserve">2024</w:t>
            </w:r>
          </w:p>
        </w:tc>
        <w:tc>
          <w:tcPr>
            <w:tcW w:w="1250" w:type="dxa"/>
          </w:tcPr>
          <w:tcPr/>
          <w:p>
            <w:pPr>
              <w:pStyle w:val="Compact"/>
              <w:jc w:val="left"/>
            </w:pPr>
            <w:r>
              <w:t xml:space="preserve">(pacte)</w:t>
            </w:r>
          </w:p>
        </w:tc>
        <w:tc>
          <w:tcPr>
            <w:tcW w:w="1051" w:type="dxa"/>
          </w:tcPr>
          <w:tcPr/>
          <w:p>
            <w:pPr>
              <w:pStyle w:val="Compact"/>
              <w:jc w:val="left"/>
            </w:pPr>
            <w:r>
              <w:t xml:space="preserve">[1]</w:t>
            </w:r>
          </w:p>
        </w:tc>
      </w:tr>
      <w:tr>
        <w:tc>
          <w:tcPr>
            <w:tcW w:w="4694" w:type="dxa"/>
          </w:tcPr>
          <w:tcPr/>
          <w:p>
            <w:pPr>
              <w:pStyle w:val="Compact"/>
              <w:jc w:val="left"/>
            </w:pPr>
            <w:r>
              <w:t xml:space="preserve">SAIDI / SAIFI ; délestages</w:t>
            </w:r>
          </w:p>
        </w:tc>
        <w:tc>
          <w:tcPr>
            <w:tcW w:w="6109" w:type="dxa"/>
          </w:tcPr>
          <w:tcPr/>
          <w:p>
            <w:pPr>
              <w:pStyle w:val="Compact"/>
              <w:jc w:val="left"/>
            </w:pPr>
            <w:r>
              <w:t xml:space="preserve">[?] non trouvé</w:t>
            </w:r>
          </w:p>
        </w:tc>
        <w:tc>
          <w:tcPr>
            <w:tcW w:w="1464" w:type="dxa"/>
          </w:tcPr>
          <w:tcPr/>
          <w:p>
            <w:pPr>
              <w:pStyle w:val="Compact"/>
              <w:jc w:val="left"/>
            </w:pPr>
            <w:r>
              <w:t xml:space="preserve">—</w:t>
            </w:r>
          </w:p>
        </w:tc>
        <w:tc>
          <w:tcPr>
            <w:tcW w:w="1250" w:type="dxa"/>
          </w:tcPr>
          <w:tcPr/>
          <w:p>
            <w:pPr>
              <w:pStyle w:val="Compact"/>
              <w:jc w:val="left"/>
            </w:pPr>
            <w:r>
              <w:t xml:space="preserve">[?]</w:t>
            </w:r>
          </w:p>
        </w:tc>
        <w:tc>
          <w:tcPr>
            <w:tcW w:w="1051" w:type="dxa"/>
          </w:tcPr>
          <w:tcPr/>
          <w:p>
            <w:pPr>
              <w:pStyle w:val="Compact"/>
              <w:jc w:val="left"/>
            </w:pPr>
            <w:r>
              <w:t xml:space="preserve">—</w:t>
            </w:r>
          </w:p>
        </w:tc>
      </w:tr>
    </w:tbl>
    <w:bookmarkEnd w:id="175"/>
    <w:bookmarkStart w:id="176" w:name="situation-économique-et-gouvernance-13"/>
    <w:p>
      <w:pPr>
        <w:pStyle w:val="Heading3"/>
      </w:pPr>
      <w:r>
        <w:t xml:space="preserve">3. Situation économique et gouvernance</w:t>
      </w:r>
    </w:p>
    <w:p>
      <w:pPr>
        <w:numPr>
          <w:ilvl w:val="0"/>
          <w:numId w:val="1091"/>
        </w:numPr>
        <w:pStyle w:val="Compact"/>
      </w:pPr>
      <w:r>
        <w:t xml:space="preserve">PPA : surcapacité sous contrats « take-or-pay » et charges de capacité, cause structurelle du déficit [2] [V]. Plan de paiement des arriérés hérités envers les IPP (accumulés jusqu’à fin juin 2025) approuvé par le Parlement en novembre 2025 : décotes de 15 à 30 %, paiements initiaux (août-sept. 2025) et étalement sur 4-5 ans ; certains PPA révisés [2] [V].</w:t>
      </w:r>
    </w:p>
    <w:p>
      <w:pPr>
        <w:numPr>
          <w:ilvl w:val="0"/>
          <w:numId w:val="1091"/>
        </w:numPr>
        <w:pStyle w:val="Compact"/>
      </w:pPr>
      <w:r>
        <w:t xml:space="preserve">Combustible / change : gaz (Sankofa &gt; 50 % des arriérés envers fournisseurs de combustible en 2024) ; lettre de crédit stand-by de 500 M USD garantie par la BM reconstituée [2] [V] ; résultat 2025 d’ECG très sensible au change (gain de 12,16 Md GHS après une perte de 8,84 Md GHS en 2024) [3] [S].</w:t>
      </w:r>
    </w:p>
    <w:p>
      <w:pPr>
        <w:numPr>
          <w:ilvl w:val="0"/>
          <w:numId w:val="1091"/>
        </w:numPr>
        <w:pStyle w:val="Compact"/>
      </w:pPr>
      <w:r>
        <w:t xml:space="preserve">Tarifs : MYTO 2026-2030 (+9,86 % au 1/1/2026), −4,81 % en avril 2026, +3,49 % en juillet 2026 [2] [V].</w:t>
      </w:r>
    </w:p>
    <w:p>
      <w:pPr>
        <w:numPr>
          <w:ilvl w:val="0"/>
          <w:numId w:val="1091"/>
        </w:numPr>
        <w:pStyle w:val="Compact"/>
      </w:pPr>
      <w:r>
        <w:t xml:space="preserve">Restructuration : stratégie de participation privée (PSP) dans la distribution approuvée par le Conseil des ministres en avril 2025 ; conseiller de transaction recruté en mai 2026 ; stratégie d’opérationnalisation au plus tard fin mars 2027 (repère FMI/PCI) ; attribution des concessions attendue fin juin 2027 [2] [V].</w:t>
      </w:r>
    </w:p>
    <w:p>
      <w:pPr>
        <w:numPr>
          <w:ilvl w:val="0"/>
          <w:numId w:val="1091"/>
        </w:numPr>
        <w:pStyle w:val="Compact"/>
      </w:pPr>
      <w:r>
        <w:t xml:space="preserve">Gouvernance / transparence : audits trimestriels du compte de recettes d’ECG (premiers rapports 2025 publiés en mai 2026) ; audit de validation des dettes intra-sectorielles 2023-2025 promis pour fin déc. 2026 [2] [V].</w:t>
      </w:r>
    </w:p>
    <w:bookmarkEnd w:id="176"/>
    <w:bookmarkStart w:id="177" w:name="Xf82d6c8b888ab5ad2c756a013a48018dbc18942"/>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2949"/>
        <w:gridCol w:w="825"/>
        <w:gridCol w:w="1744"/>
        <w:gridCol w:w="1114"/>
        <w:gridCol w:w="2680"/>
        <w:gridCol w:w="2326"/>
        <w:gridCol w:w="2189"/>
        <w:gridCol w:w="739"/>
      </w:tblGrid>
      <w:tr>
        <w:trPr>
          <w:tblHeader w:val="true"/>
        </w:trPr>
        <w:tc>
          <w:tcPr>
            <w:tcW w:w="2949" w:type="dxa"/>
          </w:tcPr>
          <w:tcPr/>
          <w:p>
            <w:pPr>
              <w:pStyle w:val="Compact"/>
              <w:jc w:val="left"/>
            </w:pPr>
            <w:r>
              <w:t xml:space="preserve">Programme / projet</w:t>
            </w:r>
          </w:p>
        </w:tc>
        <w:tc>
          <w:tcPr>
            <w:tcW w:w="825" w:type="dxa"/>
          </w:tcPr>
          <w:tcPr/>
          <w:p>
            <w:pPr>
              <w:pStyle w:val="Compact"/>
              <w:jc w:val="left"/>
            </w:pPr>
            <w:r>
              <w:t xml:space="preserve">Bailleur</w:t>
            </w:r>
          </w:p>
        </w:tc>
        <w:tc>
          <w:tcPr>
            <w:tcW w:w="1744" w:type="dxa"/>
          </w:tcPr>
          <w:tcPr/>
          <w:p>
            <w:pPr>
              <w:pStyle w:val="Compact"/>
              <w:jc w:val="left"/>
            </w:pPr>
            <w:r>
              <w:t xml:space="preserve">Montant</w:t>
            </w:r>
          </w:p>
        </w:tc>
        <w:tc>
          <w:tcPr>
            <w:tcW w:w="1114" w:type="dxa"/>
          </w:tcPr>
          <w:tcPr/>
          <w:p>
            <w:pPr>
              <w:pStyle w:val="Compact"/>
              <w:jc w:val="left"/>
            </w:pPr>
            <w:r>
              <w:t xml:space="preserve">Années</w:t>
            </w:r>
          </w:p>
        </w:tc>
        <w:tc>
          <w:tcPr>
            <w:tcW w:w="2680" w:type="dxa"/>
          </w:tcPr>
          <w:tcPr/>
          <w:p>
            <w:pPr>
              <w:pStyle w:val="Compact"/>
              <w:jc w:val="left"/>
            </w:pPr>
            <w:r>
              <w:t xml:space="preserve">Objectifs liés à l’opérateur</w:t>
            </w:r>
          </w:p>
        </w:tc>
        <w:tc>
          <w:tcPr>
            <w:tcW w:w="2326" w:type="dxa"/>
          </w:tcPr>
          <w:tcPr/>
          <w:p>
            <w:pPr>
              <w:pStyle w:val="Compact"/>
              <w:jc w:val="left"/>
            </w:pPr>
            <w:r>
              <w:t xml:space="preserve">Conditions / indicateurs</w:t>
            </w:r>
          </w:p>
        </w:tc>
        <w:tc>
          <w:tcPr>
            <w:tcW w:w="2189" w:type="dxa"/>
          </w:tcPr>
          <w:tcPr/>
          <w:p>
            <w:pPr>
              <w:pStyle w:val="Compact"/>
              <w:jc w:val="left"/>
            </w:pPr>
            <w:r>
              <w:t xml:space="preserve">Statut d’exécution</w:t>
            </w:r>
          </w:p>
        </w:tc>
        <w:tc>
          <w:tcPr>
            <w:tcW w:w="739" w:type="dxa"/>
          </w:tcPr>
          <w:tcPr/>
          <w:p>
            <w:pPr>
              <w:pStyle w:val="Compact"/>
              <w:jc w:val="left"/>
            </w:pPr>
            <w:r>
              <w:t xml:space="preserve">Source</w:t>
            </w:r>
          </w:p>
        </w:tc>
      </w:tr>
      <w:tr>
        <w:tc>
          <w:tcPr>
            <w:tcW w:w="2949" w:type="dxa"/>
          </w:tcPr>
          <w:tcPr/>
          <w:p>
            <w:pPr>
              <w:pStyle w:val="Compact"/>
              <w:jc w:val="left"/>
            </w:pPr>
            <w:r>
              <w:t xml:space="preserve">Ghana Energy Sector Recovery Program (ESRP), P173258</w:t>
            </w:r>
          </w:p>
        </w:tc>
        <w:tc>
          <w:tcPr>
            <w:tcW w:w="825" w:type="dxa"/>
          </w:tcPr>
          <w:tcPr/>
          <w:p>
            <w:pPr>
              <w:pStyle w:val="Compact"/>
              <w:jc w:val="left"/>
            </w:pPr>
            <w:r>
              <w:t xml:space="preserve">BM (IDA, PforR ; crédits 7592-GH et 7593-GH)</w:t>
            </w:r>
          </w:p>
        </w:tc>
        <w:tc>
          <w:tcPr>
            <w:tcW w:w="1744" w:type="dxa"/>
          </w:tcPr>
          <w:tcPr/>
          <w:p>
            <w:pPr>
              <w:pStyle w:val="Compact"/>
              <w:jc w:val="left"/>
            </w:pPr>
            <w:r>
              <w:t xml:space="preserve">250 M USD (110 + 140)</w:t>
            </w:r>
          </w:p>
        </w:tc>
        <w:tc>
          <w:tcPr>
            <w:tcW w:w="1114" w:type="dxa"/>
          </w:tcPr>
          <w:tcPr/>
          <w:p>
            <w:pPr>
              <w:pStyle w:val="Compact"/>
              <w:jc w:val="left"/>
            </w:pPr>
            <w:r>
              <w:t xml:space="preserve">2024-2028 (clôture 30/06/2028)</w:t>
            </w:r>
          </w:p>
        </w:tc>
        <w:tc>
          <w:tcPr>
            <w:tcW w:w="2680" w:type="dxa"/>
          </w:tcPr>
          <w:tcPr/>
          <w:p>
            <w:pPr>
              <w:pStyle w:val="Compact"/>
              <w:jc w:val="left"/>
            </w:pPr>
            <w:r>
              <w:t xml:space="preserve">Viabilité financière de la distribution (ECG/NEDCo) ; cuisson propre</w:t>
            </w:r>
          </w:p>
        </w:tc>
        <w:tc>
          <w:tcPr>
            <w:tcW w:w="2326" w:type="dxa"/>
          </w:tcPr>
          <w:tcPr/>
          <w:p>
            <w:pPr>
              <w:pStyle w:val="Compact"/>
              <w:jc w:val="left"/>
            </w:pPr>
            <w:r>
              <w:t xml:space="preserve">DLI 2 : recouvrement ECG (base 86 % → 93 %) ; indicateurs : pertes financières ECG 1 201 → 481 M USD ; pertes 28,4 → 19,2 % ; 1,05 M compteurs intelligents ; CIS mis à jour</w:t>
            </w:r>
          </w:p>
        </w:tc>
        <w:tc>
          <w:tcPr>
            <w:tcW w:w="2189" w:type="dxa"/>
          </w:tcPr>
          <w:tcPr/>
          <w:p>
            <w:pPr>
              <w:pStyle w:val="Compact"/>
              <w:jc w:val="left"/>
            </w:pPr>
            <w:r>
              <w:t xml:space="preserve">Approuvé 12/06/2024 ; ratifié par le Parlement 04/09/2024 ; en vigueur 28/03/2025 ; 0 % décaissé au dernier ISR consulté ; une source secondaire signale une dégradation de la note à « Unsatisfactory » en 2026 [S, non vérifié]</w:t>
            </w:r>
          </w:p>
        </w:tc>
        <w:tc>
          <w:tcPr>
            <w:tcW w:w="739" w:type="dxa"/>
          </w:tcPr>
          <w:tcPr/>
          <w:p>
            <w:pPr>
              <w:pStyle w:val="Compact"/>
              <w:jc w:val="left"/>
            </w:pPr>
            <w:r>
              <w:t xml:space="preserve">[6][7]</w:t>
            </w:r>
          </w:p>
        </w:tc>
      </w:tr>
      <w:tr>
        <w:tc>
          <w:tcPr>
            <w:tcW w:w="2949" w:type="dxa"/>
          </w:tcPr>
          <w:tcPr/>
          <w:p>
            <w:pPr>
              <w:pStyle w:val="Compact"/>
              <w:jc w:val="left"/>
            </w:pPr>
            <w:r>
              <w:t xml:space="preserve">First Resilient Recovery DPF, P180718</w:t>
            </w:r>
          </w:p>
        </w:tc>
        <w:tc>
          <w:tcPr>
            <w:tcW w:w="825" w:type="dxa"/>
          </w:tcPr>
          <w:tcPr/>
          <w:p>
            <w:pPr>
              <w:pStyle w:val="Compact"/>
              <w:jc w:val="left"/>
            </w:pPr>
            <w:r>
              <w:t xml:space="preserve">BM</w:t>
            </w:r>
          </w:p>
        </w:tc>
        <w:tc>
          <w:tcPr>
            <w:tcW w:w="1744" w:type="dxa"/>
          </w:tcPr>
          <w:tcPr/>
          <w:p>
            <w:pPr>
              <w:pStyle w:val="Compact"/>
              <w:jc w:val="left"/>
            </w:pPr>
            <w:r>
              <w:t xml:space="preserve">300 M USD</w:t>
            </w:r>
          </w:p>
        </w:tc>
        <w:tc>
          <w:tcPr>
            <w:tcW w:w="1114" w:type="dxa"/>
          </w:tcPr>
          <w:tcPr/>
          <w:p>
            <w:pPr>
              <w:pStyle w:val="Compact"/>
              <w:jc w:val="left"/>
            </w:pPr>
            <w:r>
              <w:t xml:space="preserve">2024</w:t>
            </w:r>
          </w:p>
        </w:tc>
        <w:tc>
          <w:tcPr>
            <w:tcW w:w="2680" w:type="dxa"/>
          </w:tcPr>
          <w:tcPr/>
          <w:p>
            <w:pPr>
              <w:pStyle w:val="Compact"/>
              <w:jc w:val="left"/>
            </w:pPr>
            <w:r>
              <w:t xml:space="preserve">Appui budgétaire (réformes énergie non extraites)</w:t>
            </w:r>
          </w:p>
        </w:tc>
        <w:tc>
          <w:tcPr>
            <w:tcW w:w="2326" w:type="dxa"/>
          </w:tcPr>
          <w:tcPr/>
          <w:p>
            <w:pPr>
              <w:pStyle w:val="Compact"/>
              <w:jc w:val="left"/>
            </w:pPr>
            <w:r>
              <w:t xml:space="preserve">[?]</w:t>
            </w:r>
          </w:p>
        </w:tc>
        <w:tc>
          <w:tcPr>
            <w:tcW w:w="2189" w:type="dxa"/>
          </w:tcPr>
          <w:tcPr/>
          <w:p>
            <w:pPr>
              <w:pStyle w:val="Compact"/>
              <w:jc w:val="left"/>
            </w:pPr>
            <w:r>
              <w:t xml:space="preserve">Approuvé 23/01/2024</w:t>
            </w:r>
          </w:p>
        </w:tc>
        <w:tc>
          <w:tcPr>
            <w:tcW w:w="739" w:type="dxa"/>
          </w:tcPr>
          <w:tcPr/>
          <w:p>
            <w:pPr>
              <w:pStyle w:val="Compact"/>
              <w:jc w:val="left"/>
            </w:pPr>
            <w:r>
              <w:t xml:space="preserve">[7]</w:t>
            </w:r>
          </w:p>
        </w:tc>
      </w:tr>
      <w:tr>
        <w:tc>
          <w:tcPr>
            <w:tcW w:w="2949" w:type="dxa"/>
          </w:tcPr>
          <w:tcPr/>
          <w:p>
            <w:pPr>
              <w:pStyle w:val="Compact"/>
              <w:jc w:val="left"/>
            </w:pPr>
            <w:r>
              <w:t xml:space="preserve">Ghana Second Resilient Recovery DPF, P181148</w:t>
            </w:r>
          </w:p>
        </w:tc>
        <w:tc>
          <w:tcPr>
            <w:tcW w:w="825" w:type="dxa"/>
          </w:tcPr>
          <w:tcPr/>
          <w:p>
            <w:pPr>
              <w:pStyle w:val="Compact"/>
              <w:jc w:val="left"/>
            </w:pPr>
            <w:r>
              <w:t xml:space="preserve">BM</w:t>
            </w:r>
          </w:p>
        </w:tc>
        <w:tc>
          <w:tcPr>
            <w:tcW w:w="1744" w:type="dxa"/>
          </w:tcPr>
          <w:tcPr/>
          <w:p>
            <w:pPr>
              <w:pStyle w:val="Compact"/>
              <w:jc w:val="left"/>
            </w:pPr>
            <w:r>
              <w:t xml:space="preserve">300 M USD (pipeline)</w:t>
            </w:r>
          </w:p>
        </w:tc>
        <w:tc>
          <w:tcPr>
            <w:tcW w:w="1114" w:type="dxa"/>
          </w:tcPr>
          <w:tcPr/>
          <w:p>
            <w:pPr>
              <w:pStyle w:val="Compact"/>
              <w:jc w:val="left"/>
            </w:pPr>
            <w:r>
              <w:t xml:space="preserve">—</w:t>
            </w:r>
          </w:p>
        </w:tc>
        <w:tc>
          <w:tcPr>
            <w:tcW w:w="2680" w:type="dxa"/>
          </w:tcPr>
          <w:tcPr/>
          <w:p>
            <w:pPr>
              <w:pStyle w:val="Compact"/>
              <w:jc w:val="left"/>
            </w:pPr>
            <w:r>
              <w:t xml:space="preserve">[?]</w:t>
            </w:r>
          </w:p>
        </w:tc>
        <w:tc>
          <w:tcPr>
            <w:tcW w:w="2326" w:type="dxa"/>
          </w:tcPr>
          <w:tcPr/>
          <w:p>
            <w:pPr>
              <w:pStyle w:val="Compact"/>
              <w:jc w:val="left"/>
            </w:pPr>
            <w:r>
              <w:t xml:space="preserve">[?]</w:t>
            </w:r>
          </w:p>
        </w:tc>
        <w:tc>
          <w:tcPr>
            <w:tcW w:w="2189" w:type="dxa"/>
          </w:tcPr>
          <w:tcPr/>
          <w:p>
            <w:pPr>
              <w:pStyle w:val="Compact"/>
              <w:jc w:val="left"/>
            </w:pPr>
            <w:r>
              <w:t xml:space="preserve">Pipeline (API BM)</w:t>
            </w:r>
          </w:p>
        </w:tc>
        <w:tc>
          <w:tcPr>
            <w:tcW w:w="739" w:type="dxa"/>
          </w:tcPr>
          <w:tcPr/>
          <w:p>
            <w:pPr>
              <w:pStyle w:val="Compact"/>
              <w:jc w:val="left"/>
            </w:pPr>
            <w:r>
              <w:t xml:space="preserve">[7]</w:t>
            </w:r>
          </w:p>
        </w:tc>
      </w:tr>
      <w:tr>
        <w:tc>
          <w:tcPr>
            <w:tcW w:w="2949" w:type="dxa"/>
          </w:tcPr>
          <w:tcPr/>
          <w:p>
            <w:pPr>
              <w:pStyle w:val="Compact"/>
              <w:jc w:val="left"/>
            </w:pPr>
            <w:r>
              <w:t xml:space="preserve">Ghana Energy Sector Transformation Initiative Project, P163984</w:t>
            </w:r>
          </w:p>
        </w:tc>
        <w:tc>
          <w:tcPr>
            <w:tcW w:w="825" w:type="dxa"/>
          </w:tcPr>
          <w:tcPr/>
          <w:p>
            <w:pPr>
              <w:pStyle w:val="Compact"/>
              <w:jc w:val="left"/>
            </w:pPr>
            <w:r>
              <w:t xml:space="preserve">BM</w:t>
            </w:r>
          </w:p>
        </w:tc>
        <w:tc>
          <w:tcPr>
            <w:tcW w:w="1744" w:type="dxa"/>
          </w:tcPr>
          <w:tcPr/>
          <w:p>
            <w:pPr>
              <w:pStyle w:val="Compact"/>
              <w:jc w:val="left"/>
            </w:pPr>
            <w:r>
              <w:t xml:space="preserve">20 M USD</w:t>
            </w:r>
          </w:p>
        </w:tc>
        <w:tc>
          <w:tcPr>
            <w:tcW w:w="1114" w:type="dxa"/>
          </w:tcPr>
          <w:tcPr/>
          <w:p>
            <w:pPr>
              <w:pStyle w:val="Compact"/>
              <w:jc w:val="left"/>
            </w:pPr>
            <w:r>
              <w:t xml:space="preserve">2018-2023</w:t>
            </w:r>
          </w:p>
        </w:tc>
        <w:tc>
          <w:tcPr>
            <w:tcW w:w="2680" w:type="dxa"/>
          </w:tcPr>
          <w:tcPr/>
          <w:p>
            <w:pPr>
              <w:pStyle w:val="Compact"/>
              <w:jc w:val="left"/>
            </w:pPr>
            <w:r>
              <w:t xml:space="preserve">Assistance technique secteur</w:t>
            </w:r>
          </w:p>
        </w:tc>
        <w:tc>
          <w:tcPr>
            <w:tcW w:w="2326" w:type="dxa"/>
          </w:tcPr>
          <w:tcPr/>
          <w:p>
            <w:pPr>
              <w:pStyle w:val="Compact"/>
              <w:jc w:val="left"/>
            </w:pPr>
            <w:r>
              <w:t xml:space="preserve">—</w:t>
            </w:r>
          </w:p>
        </w:tc>
        <w:tc>
          <w:tcPr>
            <w:tcW w:w="2189" w:type="dxa"/>
          </w:tcPr>
          <w:tcPr/>
          <w:p>
            <w:pPr>
              <w:pStyle w:val="Compact"/>
              <w:jc w:val="left"/>
            </w:pPr>
            <w:r>
              <w:t xml:space="preserve">Clos</w:t>
            </w:r>
          </w:p>
        </w:tc>
        <w:tc>
          <w:tcPr>
            <w:tcW w:w="739" w:type="dxa"/>
          </w:tcPr>
          <w:tcPr/>
          <w:p>
            <w:pPr>
              <w:pStyle w:val="Compact"/>
              <w:jc w:val="left"/>
            </w:pPr>
            <w:r>
              <w:t xml:space="preserve">[7]</w:t>
            </w:r>
          </w:p>
        </w:tc>
      </w:tr>
      <w:tr>
        <w:tc>
          <w:tcPr>
            <w:tcW w:w="2949" w:type="dxa"/>
          </w:tcPr>
          <w:tcPr/>
          <w:p>
            <w:pPr>
              <w:pStyle w:val="Compact"/>
              <w:jc w:val="left"/>
            </w:pPr>
            <w:r>
              <w:t xml:space="preserve">Garantie BM (lettre de crédit gaz Sankofa)</w:t>
            </w:r>
          </w:p>
        </w:tc>
        <w:tc>
          <w:tcPr>
            <w:tcW w:w="825" w:type="dxa"/>
          </w:tcPr>
          <w:tcPr/>
          <w:p>
            <w:pPr>
              <w:pStyle w:val="Compact"/>
              <w:jc w:val="left"/>
            </w:pPr>
            <w:r>
              <w:t xml:space="preserve">BM</w:t>
            </w:r>
          </w:p>
        </w:tc>
        <w:tc>
          <w:tcPr>
            <w:tcW w:w="1744" w:type="dxa"/>
          </w:tcPr>
          <w:tcPr/>
          <w:p>
            <w:pPr>
              <w:pStyle w:val="Compact"/>
              <w:jc w:val="left"/>
            </w:pPr>
            <w:r>
              <w:t xml:space="preserve">LC stand-by 500 M USD</w:t>
            </w:r>
          </w:p>
        </w:tc>
        <w:tc>
          <w:tcPr>
            <w:tcW w:w="1114" w:type="dxa"/>
          </w:tcPr>
          <w:tcPr/>
          <w:p>
            <w:pPr>
              <w:pStyle w:val="Compact"/>
              <w:jc w:val="left"/>
            </w:pPr>
            <w:r>
              <w:t xml:space="preserve">en cours</w:t>
            </w:r>
          </w:p>
        </w:tc>
        <w:tc>
          <w:tcPr>
            <w:tcW w:w="2680" w:type="dxa"/>
          </w:tcPr>
          <w:tcPr/>
          <w:p>
            <w:pPr>
              <w:pStyle w:val="Compact"/>
              <w:jc w:val="left"/>
            </w:pPr>
            <w:r>
              <w:t xml:space="preserve">Sécurité de paiement des fournisseurs de gaz</w:t>
            </w:r>
          </w:p>
        </w:tc>
        <w:tc>
          <w:tcPr>
            <w:tcW w:w="2326" w:type="dxa"/>
          </w:tcPr>
          <w:tcPr/>
          <w:p>
            <w:pPr>
              <w:pStyle w:val="Compact"/>
              <w:jc w:val="left"/>
            </w:pPr>
            <w:r>
              <w:t xml:space="preserve">Reconstitution intégrale par l’État</w:t>
            </w:r>
          </w:p>
        </w:tc>
        <w:tc>
          <w:tcPr>
            <w:tcW w:w="2189" w:type="dxa"/>
          </w:tcPr>
          <w:tcPr/>
          <w:p>
            <w:pPr>
              <w:pStyle w:val="Compact"/>
              <w:jc w:val="left"/>
            </w:pPr>
            <w:r>
              <w:t xml:space="preserve">Reconstituée en 2025-2026</w:t>
            </w:r>
          </w:p>
        </w:tc>
        <w:tc>
          <w:tcPr>
            <w:tcW w:w="739" w:type="dxa"/>
          </w:tcPr>
          <w:tcPr/>
          <w:p>
            <w:pPr>
              <w:pStyle w:val="Compact"/>
              <w:jc w:val="left"/>
            </w:pPr>
            <w:r>
              <w:t xml:space="preserve">[2]</w:t>
            </w:r>
          </w:p>
        </w:tc>
      </w:tr>
      <w:tr>
        <w:tc>
          <w:tcPr>
            <w:tcW w:w="2949" w:type="dxa"/>
          </w:tcPr>
          <w:tcPr/>
          <w:p>
            <w:pPr>
              <w:pStyle w:val="Compact"/>
              <w:jc w:val="left"/>
            </w:pPr>
            <w:r>
              <w:t xml:space="preserve">Programme FMI ECF (2023-2026) puis PCI 36 mois</w:t>
            </w:r>
          </w:p>
        </w:tc>
        <w:tc>
          <w:tcPr>
            <w:tcW w:w="825" w:type="dxa"/>
          </w:tcPr>
          <w:tcPr/>
          <w:p>
            <w:pPr>
              <w:pStyle w:val="Compact"/>
              <w:jc w:val="left"/>
            </w:pPr>
            <w:r>
              <w:t xml:space="preserve">FMI</w:t>
            </w:r>
          </w:p>
        </w:tc>
        <w:tc>
          <w:tcPr>
            <w:tcW w:w="1744" w:type="dxa"/>
          </w:tcPr>
          <w:tcPr/>
          <w:p>
            <w:pPr>
              <w:pStyle w:val="Compact"/>
              <w:jc w:val="left"/>
            </w:pPr>
            <w:r>
              <w:t xml:space="preserve">ECF ~3 Md USD</w:t>
            </w:r>
          </w:p>
        </w:tc>
        <w:tc>
          <w:tcPr>
            <w:tcW w:w="1114" w:type="dxa"/>
          </w:tcPr>
          <w:tcPr/>
          <w:p>
            <w:pPr>
              <w:pStyle w:val="Compact"/>
              <w:jc w:val="left"/>
            </w:pPr>
            <w:r>
              <w:t xml:space="preserve">2023-2026 ; PCI 2026-2029</w:t>
            </w:r>
          </w:p>
        </w:tc>
        <w:tc>
          <w:tcPr>
            <w:tcW w:w="2680" w:type="dxa"/>
          </w:tcPr>
          <w:tcPr/>
          <w:p>
            <w:pPr>
              <w:pStyle w:val="Compact"/>
              <w:jc w:val="left"/>
            </w:pPr>
            <w:r>
              <w:t xml:space="preserve">Ajustements tarifaires trimestriels, CWM, PSP ECG</w:t>
            </w:r>
          </w:p>
        </w:tc>
        <w:tc>
          <w:tcPr>
            <w:tcW w:w="2326" w:type="dxa"/>
          </w:tcPr>
          <w:tcPr/>
          <w:p>
            <w:pPr>
              <w:pStyle w:val="Compact"/>
              <w:jc w:val="left"/>
            </w:pPr>
            <w:r>
              <w:t xml:space="preserve">Repères : ajustements trimestriels (RT), audits trimestriels ECG (RT), stratégie PSP (fin mars 2027)</w:t>
            </w:r>
          </w:p>
        </w:tc>
        <w:tc>
          <w:tcPr>
            <w:tcW w:w="2189" w:type="dxa"/>
          </w:tcPr>
          <w:tcPr/>
          <w:p>
            <w:pPr>
              <w:pStyle w:val="Compact"/>
              <w:jc w:val="left"/>
            </w:pPr>
            <w:r>
              <w:t xml:space="preserve">ECF achevé (6e revue, juillet 2026)</w:t>
            </w:r>
          </w:p>
        </w:tc>
        <w:tc>
          <w:tcPr>
            <w:tcW w:w="739" w:type="dxa"/>
          </w:tcPr>
          <w:tcPr/>
          <w:p>
            <w:pPr>
              <w:pStyle w:val="Compact"/>
              <w:jc w:val="left"/>
            </w:pPr>
            <w:r>
              <w:t xml:space="preserve">[2]</w:t>
            </w:r>
          </w:p>
        </w:tc>
      </w:tr>
      <w:tr>
        <w:tc>
          <w:tcPr>
            <w:tcW w:w="2949" w:type="dxa"/>
          </w:tcPr>
          <w:tcPr/>
          <w:p>
            <w:pPr>
              <w:pStyle w:val="Compact"/>
              <w:jc w:val="left"/>
            </w:pPr>
            <w:r>
              <w:t xml:space="preserve">Don SREP / ENR (BAD)</w:t>
            </w:r>
          </w:p>
        </w:tc>
        <w:tc>
          <w:tcPr>
            <w:tcW w:w="825" w:type="dxa"/>
          </w:tcPr>
          <w:tcPr/>
          <w:p>
            <w:pPr>
              <w:pStyle w:val="Compact"/>
              <w:jc w:val="left"/>
            </w:pPr>
            <w:r>
              <w:t xml:space="preserve">BAD</w:t>
            </w:r>
          </w:p>
        </w:tc>
        <w:tc>
          <w:tcPr>
            <w:tcW w:w="1744" w:type="dxa"/>
          </w:tcPr>
          <w:tcPr/>
          <w:p>
            <w:pPr>
              <w:pStyle w:val="Compact"/>
              <w:jc w:val="left"/>
            </w:pPr>
            <w:r>
              <w:t xml:space="preserve">28,49 M USD (don, mars 2023) ; le pacte cite « SREP 85 M USD »</w:t>
            </w:r>
          </w:p>
        </w:tc>
        <w:tc>
          <w:tcPr>
            <w:tcW w:w="1114" w:type="dxa"/>
          </w:tcPr>
          <w:tcPr/>
          <w:p>
            <w:pPr>
              <w:pStyle w:val="Compact"/>
              <w:jc w:val="left"/>
            </w:pPr>
            <w:r>
              <w:t xml:space="preserve">2023-</w:t>
            </w:r>
          </w:p>
        </w:tc>
        <w:tc>
          <w:tcPr>
            <w:tcW w:w="2680" w:type="dxa"/>
          </w:tcPr>
          <w:tcPr/>
          <w:p>
            <w:pPr>
              <w:pStyle w:val="Compact"/>
              <w:jc w:val="left"/>
            </w:pPr>
            <w:r>
              <w:t xml:space="preserve">ENR / électrification</w:t>
            </w:r>
          </w:p>
        </w:tc>
        <w:tc>
          <w:tcPr>
            <w:tcW w:w="2326" w:type="dxa"/>
          </w:tcPr>
          <w:tcPr/>
          <w:p>
            <w:pPr>
              <w:pStyle w:val="Compact"/>
              <w:jc w:val="left"/>
            </w:pPr>
            <w:r>
              <w:t xml:space="preserve">[?]</w:t>
            </w:r>
          </w:p>
        </w:tc>
        <w:tc>
          <w:tcPr>
            <w:tcW w:w="2189" w:type="dxa"/>
          </w:tcPr>
          <w:tcPr/>
          <w:p>
            <w:pPr>
              <w:pStyle w:val="Compact"/>
              <w:jc w:val="left"/>
            </w:pPr>
            <w:r>
              <w:t xml:space="preserve">[?]</w:t>
            </w:r>
          </w:p>
        </w:tc>
        <w:tc>
          <w:tcPr>
            <w:tcW w:w="739" w:type="dxa"/>
          </w:tcPr>
          <w:tcPr/>
          <w:p>
            <w:pPr>
              <w:pStyle w:val="Compact"/>
              <w:jc w:val="left"/>
            </w:pPr>
            <w:r>
              <w:t xml:space="preserve">[8] [S] ; [1] (pacte)</w:t>
            </w:r>
          </w:p>
        </w:tc>
      </w:tr>
    </w:tbl>
    <w:bookmarkEnd w:id="177"/>
    <w:bookmarkStart w:id="178" w:name="écart-pacte-réalité-13"/>
    <w:p>
      <w:pPr>
        <w:pStyle w:val="Heading3"/>
      </w:pPr>
      <w:r>
        <w:t xml:space="preserve">5. Écart pacte ↔ réalité</w:t>
      </w:r>
    </w:p>
    <w:p>
      <w:pPr>
        <w:numPr>
          <w:ilvl w:val="0"/>
          <w:numId w:val="1092"/>
        </w:numPr>
        <w:pStyle w:val="Compact"/>
      </w:pPr>
      <w:r>
        <w:rPr>
          <w:bCs/>
          <w:b/>
        </w:rPr>
        <w:t xml:space="preserve">Calendrier PSP d’ECG</w:t>
      </w:r>
      <w:r>
        <w:t xml:space="preserve"> </w:t>
      </w:r>
      <w:r>
        <w:t xml:space="preserve">: le pacte prévoit la sélection des concessionnaires dès janvier 2026 et le contrat au T4 2026 [1] ; le FMI (juillet 2026) indique un conseiller de transaction recruté en mai 2026 et une attribution attendue fin juin 2027 [2] [V] —</w:t>
      </w:r>
      <w:r>
        <w:t xml:space="preserve"> </w:t>
      </w:r>
      <w:r>
        <w:rPr>
          <w:bCs/>
          <w:b/>
        </w:rPr>
        <w:t xml:space="preserve">glissement d’environ 6-9 mois</w:t>
      </w:r>
      <w:r>
        <w:t xml:space="preserve">.</w:t>
      </w:r>
    </w:p>
    <w:p>
      <w:pPr>
        <w:numPr>
          <w:ilvl w:val="0"/>
          <w:numId w:val="1092"/>
        </w:numPr>
        <w:pStyle w:val="Compact"/>
      </w:pPr>
      <w:r>
        <w:rPr>
          <w:bCs/>
          <w:b/>
        </w:rPr>
        <w:t xml:space="preserve">Recouvrement d’ECG</w:t>
      </w:r>
      <w:r>
        <w:t xml:space="preserve"> </w:t>
      </w:r>
      <w:r>
        <w:t xml:space="preserve">: pacte 86 % (2023) ; ISR ESRP 84,7 % au 31/12/2023 et base DLI 86 % [6] [V] — écart faible mais la base varie selon les documents.</w:t>
      </w:r>
    </w:p>
    <w:p>
      <w:pPr>
        <w:numPr>
          <w:ilvl w:val="0"/>
          <w:numId w:val="1092"/>
        </w:numPr>
        <w:pStyle w:val="Compact"/>
      </w:pPr>
      <w:r>
        <w:rPr>
          <w:bCs/>
          <w:b/>
        </w:rPr>
        <w:t xml:space="preserve">Pertes ECG</w:t>
      </w:r>
      <w:r>
        <w:t xml:space="preserve"> </w:t>
      </w:r>
      <w:r>
        <w:t xml:space="preserve">: pacte 27 % (2024) ; ISR 27,2 % (2023) [6] ; direction ECG 27,05 % (2024) → 26,88 % (2025) [3] — quasi-stagnation, loin de la trajectoire DLI (19,2 % en 2027).</w:t>
      </w:r>
    </w:p>
    <w:p>
      <w:pPr>
        <w:numPr>
          <w:ilvl w:val="0"/>
          <w:numId w:val="1092"/>
        </w:numPr>
        <w:pStyle w:val="Compact"/>
      </w:pPr>
      <w:r>
        <w:rPr>
          <w:bCs/>
          <w:b/>
        </w:rPr>
        <w:t xml:space="preserve">Résultat net ECG</w:t>
      </w:r>
      <w:r>
        <w:t xml:space="preserve"> </w:t>
      </w:r>
      <w:r>
        <w:t xml:space="preserve">: le pacte cite « −50 M USD » [1] ; les comptes 2024 donnent −8,26 Md GHS (≈ −0,5 Md USD au cours de 2024, [E]) et 2025 −2,52 Md GHS grâce à un gain de change [3] [S] — le chiffre du pacte sous-estime fortement la perte.</w:t>
      </w:r>
    </w:p>
    <w:p>
      <w:pPr>
        <w:numPr>
          <w:ilvl w:val="0"/>
          <w:numId w:val="1092"/>
        </w:numPr>
        <w:pStyle w:val="Compact"/>
      </w:pPr>
      <w:r>
        <w:rPr>
          <w:bCs/>
          <w:b/>
        </w:rPr>
        <w:t xml:space="preserve">Arriérés</w:t>
      </w:r>
      <w:r>
        <w:t xml:space="preserve"> </w:t>
      </w:r>
      <w:r>
        <w:t xml:space="preserve">: pacte 2,1 Md USD fin 2023 [1] ; FMI : 2,1 Md USD fin 2024, pic 2,2 Md USD au T1 2025, 1,7 Md USD fin mars 2026 [2] [V] — baisse récente réelle, mais via décotes et budget.</w:t>
      </w:r>
    </w:p>
    <w:p>
      <w:pPr>
        <w:numPr>
          <w:ilvl w:val="0"/>
          <w:numId w:val="1092"/>
        </w:numPr>
        <w:pStyle w:val="Compact"/>
      </w:pPr>
      <w:r>
        <w:rPr>
          <w:bCs/>
          <w:b/>
        </w:rPr>
        <w:t xml:space="preserve">Déficit sectoriel</w:t>
      </w:r>
      <w:r>
        <w:t xml:space="preserve"> </w:t>
      </w:r>
      <w:r>
        <w:t xml:space="preserve">: pacte 2,2 % du PIB (2024) ; FMI 1,4 % du PIB (2024) et 1,2 % (2025) [2] [V] — définitions probablement différentes [?].</w:t>
      </w:r>
    </w:p>
    <w:bookmarkEnd w:id="178"/>
    <w:bookmarkStart w:id="179" w:name="diagnostic-synthétique-13"/>
    <w:p>
      <w:pPr>
        <w:pStyle w:val="Heading3"/>
      </w:pPr>
      <w:r>
        <w:t xml:space="preserve">6. Diagnostic synthétique</w:t>
      </w:r>
    </w:p>
    <w:p>
      <w:pPr>
        <w:numPr>
          <w:ilvl w:val="0"/>
          <w:numId w:val="1093"/>
        </w:numPr>
        <w:pStyle w:val="Compact"/>
      </w:pPr>
      <w:r>
        <w:t xml:space="preserve">Financière :</w:t>
      </w:r>
      <w:r>
        <w:t xml:space="preserve"> </w:t>
      </w:r>
      <w:r>
        <w:rPr>
          <w:bCs/>
          <w:b/>
        </w:rPr>
        <w:t xml:space="preserve">faible</w:t>
      </w:r>
      <w:r>
        <w:t xml:space="preserve"> </w:t>
      </w:r>
      <w:r>
        <w:t xml:space="preserve">— perte brute structurelle (coût des ventes &gt; 150 % du CA en 2025), fonds propres quasi nuls, dépendance aux paiements du Trésor requalifiés en prêts.</w:t>
      </w:r>
    </w:p>
    <w:p>
      <w:pPr>
        <w:numPr>
          <w:ilvl w:val="0"/>
          <w:numId w:val="1093"/>
        </w:numPr>
        <w:pStyle w:val="Compact"/>
      </w:pPr>
      <w:r>
        <w:t xml:space="preserve">Technique :</w:t>
      </w:r>
      <w:r>
        <w:t xml:space="preserve"> </w:t>
      </w:r>
      <w:r>
        <w:rPr>
          <w:bCs/>
          <w:b/>
        </w:rPr>
        <w:t xml:space="preserve">moyenne/faible</w:t>
      </w:r>
      <w:r>
        <w:t xml:space="preserve"> </w:t>
      </w:r>
      <w:r>
        <w:t xml:space="preserve">— pertes ~27 % stables, comptage intelligent naissant.</w:t>
      </w:r>
    </w:p>
    <w:p>
      <w:pPr>
        <w:numPr>
          <w:ilvl w:val="0"/>
          <w:numId w:val="1093"/>
        </w:numPr>
        <w:pStyle w:val="Compact"/>
      </w:pPr>
      <w:r>
        <w:t xml:space="preserve">Gouvernance :</w:t>
      </w:r>
      <w:r>
        <w:t xml:space="preserve"> </w:t>
      </w:r>
      <w:r>
        <w:rPr>
          <w:bCs/>
          <w:b/>
        </w:rPr>
        <w:t xml:space="preserve">moyenne, en amélioration</w:t>
      </w:r>
      <w:r>
        <w:t xml:space="preserve"> </w:t>
      </w:r>
      <w:r>
        <w:t xml:space="preserve">— comptes audités 2025, audits trimestriels du compte de recettes, CWM appliqué ; mais historique de sous-déclaration des recettes.</w:t>
      </w:r>
    </w:p>
    <w:p>
      <w:pPr>
        <w:numPr>
          <w:ilvl w:val="0"/>
          <w:numId w:val="1093"/>
        </w:numPr>
        <w:pStyle w:val="Compact"/>
      </w:pPr>
      <w:r>
        <w:t xml:space="preserve">Causes racines : (1) PPA take-or-pay surdimensionnés en dollars ; (2) pertes et recouvrement d’ECG (≈ 27 % de pertes, ~85 % de recouvrement) ; (3) ajustements tarifaires irréguliers, notamment en période électorale.</w:t>
      </w:r>
    </w:p>
    <w:p>
      <w:pPr>
        <w:numPr>
          <w:ilvl w:val="0"/>
          <w:numId w:val="1093"/>
        </w:numPr>
        <w:pStyle w:val="Compact"/>
      </w:pPr>
      <w:r>
        <w:t xml:space="preserve">Phase 3 : MYTO 2026-2030 (décision PURC), coût de service par classe, réforme lifeline/LEAP.</w:t>
      </w:r>
    </w:p>
    <w:bookmarkEnd w:id="179"/>
    <w:bookmarkStart w:id="180" w:name="inconnus-13"/>
    <w:p>
      <w:pPr>
        <w:pStyle w:val="Heading3"/>
      </w:pPr>
      <w:r>
        <w:t xml:space="preserve">7. Inconnus</w:t>
      </w:r>
    </w:p>
    <w:p>
      <w:pPr>
        <w:numPr>
          <w:ilvl w:val="0"/>
          <w:numId w:val="1094"/>
        </w:numPr>
        <w:pStyle w:val="Compact"/>
      </w:pPr>
      <w:r>
        <w:t xml:space="preserve">Rapport financier audité ECG 2025 en source primaire (PDF) : [?] (chiffres connus via la presse).</w:t>
      </w:r>
    </w:p>
    <w:p>
      <w:pPr>
        <w:numPr>
          <w:ilvl w:val="0"/>
          <w:numId w:val="1094"/>
        </w:numPr>
        <w:pStyle w:val="Compact"/>
      </w:pPr>
      <w:r>
        <w:t xml:space="preserve">Taux de recouvrement 2024-2025 consolidé : [?].</w:t>
      </w:r>
    </w:p>
    <w:p>
      <w:pPr>
        <w:numPr>
          <w:ilvl w:val="0"/>
          <w:numId w:val="1094"/>
        </w:numPr>
        <w:pStyle w:val="Compact"/>
      </w:pPr>
      <w:r>
        <w:t xml:space="preserve">Situation financière VRA, GRIDCo, NEDCo : [?] non traitée en détail.</w:t>
      </w:r>
    </w:p>
    <w:p>
      <w:pPr>
        <w:numPr>
          <w:ilvl w:val="0"/>
          <w:numId w:val="1094"/>
        </w:numPr>
        <w:pStyle w:val="Compact"/>
      </w:pPr>
      <w:r>
        <w:t xml:space="preserve">ISR ESRP 2025-2026 (note actuelle) : [?].</w:t>
      </w:r>
    </w:p>
    <w:p>
      <w:pPr>
        <w:numPr>
          <w:ilvl w:val="0"/>
          <w:numId w:val="1094"/>
        </w:numPr>
        <w:pStyle w:val="Compact"/>
      </w:pPr>
      <w:r>
        <w:t xml:space="preserve">Détail des montants BAD au Ghana 2024-2026 : [?].</w:t>
      </w:r>
    </w:p>
    <w:bookmarkEnd w:id="180"/>
    <w:bookmarkStart w:id="181" w:name="sources-14"/>
    <w:p>
      <w:pPr>
        <w:pStyle w:val="Heading3"/>
      </w:pPr>
      <w:r>
        <w:t xml:space="preserve">Sources</w:t>
      </w:r>
    </w:p>
    <w:p>
      <w:pPr>
        <w:pStyle w:val="FirstParagraph"/>
      </w:pPr>
      <w:r>
        <w:t xml:space="preserve">[1] Fiche phase 1 GHA_ghana.md / pacte national du Ghana (Mission 300), s.d. — référence « (pacte) ».</w:t>
      </w:r>
      <w:r>
        <w:t xml:space="preserve"> </w:t>
      </w:r>
      <w:r>
        <w:t xml:space="preserve">[2] FMI, « Ghana: 2026 Article IV Consultation, Sixth Review under the ECF … and Request for a 36-month PCI », IMF Country Report No. 26/212, juillet 2026 (§76-80 et MEFP §45-49). https://www.imf.org/-/media/files/publications/cr/2026/english/1ghaea2026001.pdf</w:t>
      </w:r>
      <w:r>
        <w:t xml:space="preserve"> </w:t>
      </w:r>
      <w:r>
        <w:t xml:space="preserve">[3] Ghana News Agency, « ECG slashes annual loss from GHS8.3bn to GHS2.5bn amid revenue surge », 31/07/2026. https://gna.org.gh/2026/07/ecg-slashes-annual-loss-from-ghs8-3bn-to-ghs2-5bn-amid-revenue-surge/</w:t>
      </w:r>
      <w:r>
        <w:t xml:space="preserve"> </w:t>
      </w:r>
      <w:r>
        <w:t xml:space="preserve">[4] Citi Newsroom, « PwC audit uncovers GH¢5.3bn revenue under-declaration at ECG », févr. 2025. https://www.citinewsroom.com/2025/02/pwc-audit-uncovers-gh%c2%a25-3bn-revenue-under-declaration-at-ecg/</w:t>
      </w:r>
      <w:r>
        <w:t xml:space="preserve"> </w:t>
      </w:r>
      <w:r>
        <w:t xml:space="preserve">[5] 3News, « Inside ECG’s 2025 accounts: the GH¢20bn financing lifeline holding up Ghana’s power distributor », 2026. https://preview.3news.com/news/inside-ecgs-2025-accounts-the-gh-20bn-financing-lifeline-holding-up-ghanas-power-distributor</w:t>
      </w:r>
      <w:r>
        <w:t xml:space="preserve"> </w:t>
      </w:r>
      <w:r>
        <w:t xml:space="preserve">[6] Banque mondiale, ISR « Ghana Energy Sector Recovery Program (P173258) », Seq. 1, archivé 07/11/2024. https://documents.worldbank.org/curated/en/099110724092573552/pdf/P1732581a7668b0501826417d672449d4ed.pdf</w:t>
      </w:r>
      <w:r>
        <w:t xml:space="preserve"> </w:t>
      </w:r>
      <w:r>
        <w:t xml:space="preserve">[7] Banque mondiale, API projets (countrycode GH), extraction du 18/10/2026.</w:t>
      </w:r>
      <w:r>
        <w:t xml:space="preserve"> </w:t>
      </w:r>
      <w:r>
        <w:t xml:space="preserve">[8] ECGnet (reprise AfDB), « African Development Bank approves $28.49 million grant to enhance Ghana’s universal electrification goal », mars 2023. https://www.ecgnet.org/news/african-development-bank-approves-2849-million-grant-enhance-ghanas-universal-electrification</w:t>
      </w:r>
    </w:p>
    <w:p>
      <w:r>
        <w:br w:type="page"/>
      </w:r>
    </w:p>
    <w:bookmarkEnd w:id="181"/>
    <w:bookmarkEnd w:id="182"/>
    <w:bookmarkStart w:id="192" w:name="X776fe62f51ebfcbfe04d0e85d49619471052d8b"/>
    <w:p>
      <w:pPr>
        <w:pStyle w:val="Heading2"/>
      </w:pPr>
      <w:r>
        <w:t xml:space="preserve">Diagnostic opérateur — Électricité de Guinée (EDG-SA) (Guinée)</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../phase1/fiches/GIN_guinee.md.</w:t>
      </w:r>
    </w:p>
    <w:bookmarkStart w:id="183" w:name="identité-14"/>
    <w:p>
      <w:pPr>
        <w:pStyle w:val="Heading3"/>
      </w:pPr>
      <w:r>
        <w:t xml:space="preserve">0. Identité</w:t>
      </w:r>
    </w:p>
    <w:p>
      <w:pPr>
        <w:numPr>
          <w:ilvl w:val="0"/>
          <w:numId w:val="1095"/>
        </w:numPr>
        <w:pStyle w:val="Compact"/>
      </w:pPr>
      <w:r>
        <w:t xml:space="preserve">Opérateur : EDG, intégrée (production publique, transport, distribution),</w:t>
      </w:r>
      <w:r>
        <w:t xml:space="preserve"> </w:t>
      </w:r>
      <w:r>
        <w:rPr>
          <w:bCs/>
          <w:b/>
        </w:rPr>
        <w:t xml:space="preserve">acheteur unique</w:t>
      </w:r>
      <w:r>
        <w:t xml:space="preserve"> </w:t>
      </w:r>
      <w:r>
        <w:t xml:space="preserve">; IPP hydro SOGES (Souapiti) et SOGEKA (Kaléta) et IPP thermiques (dont Karpowership) sous contrats non concurrentiels, avec clause « take or pay » à Souapiti [2] [V] ; AGER pour le rural [1] (pacte).</w:t>
      </w:r>
    </w:p>
    <w:p>
      <w:pPr>
        <w:numPr>
          <w:ilvl w:val="0"/>
          <w:numId w:val="1095"/>
        </w:numPr>
        <w:pStyle w:val="Compact"/>
      </w:pPr>
      <w:r>
        <w:t xml:space="preserve">Statut / tutelle : créée en 2001 ; société anonyme à actionnaire unique (État) depuis 2019 ; tutelle technique du ministère de l’Énergie et financière du ministère de l’Économie et des Finances [2] [V] ; [4] [S].</w:t>
      </w:r>
    </w:p>
    <w:p>
      <w:pPr>
        <w:numPr>
          <w:ilvl w:val="0"/>
          <w:numId w:val="1095"/>
        </w:numPr>
        <w:pStyle w:val="Compact"/>
      </w:pPr>
      <w:r>
        <w:t xml:space="preserve">Historique : contrat de gestion attribué à Veolia en 2015 (réforme soutenue par la BM, adossée à un contrat de performance État-EDG) [5] [S] ; plan de redressement à moyen terme préparé en 2020 avec la BM, resté « en suspens » (FMI, 2024) [2] [V].</w:t>
      </w:r>
    </w:p>
    <w:p>
      <w:pPr>
        <w:numPr>
          <w:ilvl w:val="0"/>
          <w:numId w:val="1095"/>
        </w:numPr>
        <w:pStyle w:val="Compact"/>
      </w:pPr>
      <w:r>
        <w:t xml:space="preserve">Régulateur : Autorité de régulation de l’eau et de l’électricité (AREE) [1] (pacte).</w:t>
      </w:r>
    </w:p>
    <w:p>
      <w:pPr>
        <w:numPr>
          <w:ilvl w:val="0"/>
          <w:numId w:val="1095"/>
        </w:numPr>
        <w:pStyle w:val="Compact"/>
      </w:pPr>
      <w:r>
        <w:t xml:space="preserve">Dernier exercice publié : états financiers audités disponibles jusqu’à fin 2022, « avec réserve » (pacte) [1] ; une source secondaire cite les subventions d’exploitation 2024 « enregistrées dans les comptes d’EDG » [4] [S]. Audit 2023-2024 promis pour fin 2025 (pacte) : [?] non vérifié.</w:t>
      </w:r>
    </w:p>
    <w:bookmarkEnd w:id="183"/>
    <w:bookmarkStart w:id="184" w:name="situation-financière-14"/>
    <w:p>
      <w:pPr>
        <w:pStyle w:val="Heading3"/>
      </w:pPr>
      <w:r>
        <w:t xml:space="preserve">1. Situation financière</w:t>
      </w:r>
    </w:p>
    <w:tbl>
      <w:tblPr>
        <w:tblStyle w:val="Table"/>
        <w:tblW w:type="dxa" w:w="14570"/>
        <w:tblLook w:firstRow="1" w:lastRow="0" w:firstColumn="0" w:lastColumn="0" w:noHBand="0" w:noVBand="0" w:val="0020"/>
        <w:jc w:val="start"/>
      </w:tblPr>
      <w:tblGrid>
        <w:gridCol w:w="3664"/>
        <w:gridCol w:w="7540"/>
        <w:gridCol w:w="1388"/>
        <w:gridCol w:w="1113"/>
        <w:gridCol w:w="864"/>
      </w:tblGrid>
      <w:tr>
        <w:trPr>
          <w:tblHeader w:val="true"/>
        </w:trPr>
        <w:tc>
          <w:tcPr>
            <w:tcW w:w="3664" w:type="dxa"/>
          </w:tcPr>
          <w:tcPr/>
          <w:p>
            <w:pPr>
              <w:pStyle w:val="Compact"/>
              <w:jc w:val="left"/>
            </w:pPr>
            <w:r>
              <w:t xml:space="preserve">Indicateur</w:t>
            </w:r>
          </w:p>
        </w:tc>
        <w:tc>
          <w:tcPr>
            <w:tcW w:w="7540" w:type="dxa"/>
          </w:tcPr>
          <w:tcPr/>
          <w:p>
            <w:pPr>
              <w:pStyle w:val="Compact"/>
              <w:jc w:val="left"/>
            </w:pPr>
            <w:r>
              <w:t xml:space="preserve">Valeur</w:t>
            </w:r>
          </w:p>
        </w:tc>
        <w:tc>
          <w:tcPr>
            <w:tcW w:w="1388" w:type="dxa"/>
          </w:tcPr>
          <w:tcPr/>
          <w:p>
            <w:pPr>
              <w:pStyle w:val="Compact"/>
              <w:jc w:val="left"/>
            </w:pPr>
            <w:r>
              <w:t xml:space="preserve">Année</w:t>
            </w:r>
          </w:p>
        </w:tc>
        <w:tc>
          <w:tcPr>
            <w:tcW w:w="1113" w:type="dxa"/>
          </w:tcPr>
          <w:tcPr/>
          <w:p>
            <w:pPr>
              <w:pStyle w:val="Compact"/>
              <w:jc w:val="left"/>
            </w:pPr>
            <w:r>
              <w:t xml:space="preserve">Statut</w:t>
            </w:r>
          </w:p>
        </w:tc>
        <w:tc>
          <w:tcPr>
            <w:tcW w:w="864" w:type="dxa"/>
          </w:tcPr>
          <w:tcPr/>
          <w:p>
            <w:pPr>
              <w:pStyle w:val="Compact"/>
              <w:jc w:val="left"/>
            </w:pPr>
            <w:r>
              <w:t xml:space="preserve">Source</w:t>
            </w:r>
          </w:p>
        </w:tc>
      </w:tr>
      <w:tr>
        <w:tc>
          <w:tcPr>
            <w:tcW w:w="3664" w:type="dxa"/>
          </w:tcPr>
          <w:tcPr/>
          <w:p>
            <w:pPr>
              <w:pStyle w:val="Compact"/>
              <w:jc w:val="left"/>
            </w:pPr>
            <w:r>
              <w:t xml:space="preserve">Subvention budgétaire à EDG (dépenses de transfert)</w:t>
            </w:r>
          </w:p>
        </w:tc>
        <w:tc>
          <w:tcPr>
            <w:tcW w:w="7540" w:type="dxa"/>
          </w:tcPr>
          <w:tcPr/>
          <w:p>
            <w:pPr>
              <w:pStyle w:val="Compact"/>
              <w:jc w:val="left"/>
            </w:pPr>
            <w:r>
              <w:t xml:space="preserve">2 844,93 Md GNF (LFR 2024) ; 3 000 Md GNF (LFI 2025), soit 33,7 % des dépenses de transfert ; concerne la « subvention du prix de l’électricité en faveur des ménages au compte de l’EDG »</w:t>
            </w:r>
          </w:p>
        </w:tc>
        <w:tc>
          <w:tcPr>
            <w:tcW w:w="1388" w:type="dxa"/>
          </w:tcPr>
          <w:tcPr/>
          <w:p>
            <w:pPr>
              <w:pStyle w:val="Compact"/>
              <w:jc w:val="left"/>
            </w:pPr>
            <w:r>
              <w:t xml:space="preserve">2024-2025</w:t>
            </w:r>
          </w:p>
        </w:tc>
        <w:tc>
          <w:tcPr>
            <w:tcW w:w="1113" w:type="dxa"/>
          </w:tcPr>
          <w:tcPr/>
          <w:p>
            <w:pPr>
              <w:pStyle w:val="Compact"/>
              <w:jc w:val="left"/>
            </w:pPr>
            <w:r>
              <w:t xml:space="preserve">[V] (rapport du CNT)</w:t>
            </w:r>
          </w:p>
        </w:tc>
        <w:tc>
          <w:tcPr>
            <w:tcW w:w="864" w:type="dxa"/>
          </w:tcPr>
          <w:tcPr/>
          <w:p>
            <w:pPr>
              <w:pStyle w:val="Compact"/>
              <w:jc w:val="left"/>
            </w:pPr>
            <w:r>
              <w:t xml:space="preserve">[3]</w:t>
            </w:r>
          </w:p>
        </w:tc>
      </w:tr>
      <w:tr>
        <w:tc>
          <w:tcPr>
            <w:tcW w:w="3664" w:type="dxa"/>
          </w:tcPr>
          <w:tcPr/>
          <w:p>
            <w:pPr>
              <w:pStyle w:val="Compact"/>
              <w:jc w:val="left"/>
            </w:pPr>
            <w:r>
              <w:t xml:space="preserve">Subvention (historique)</w:t>
            </w:r>
          </w:p>
        </w:tc>
        <w:tc>
          <w:tcPr>
            <w:tcW w:w="7540" w:type="dxa"/>
          </w:tcPr>
          <w:tcPr/>
          <w:p>
            <w:pPr>
              <w:pStyle w:val="Compact"/>
              <w:jc w:val="left"/>
            </w:pPr>
            <w:r>
              <w:t xml:space="preserve">~3 500 Md GNF (2022) ; 2 496,53 Md GNF (2023, rapport BCRG) ; ~3 047 Md GNF (2024, comptes d’EDG)</w:t>
            </w:r>
          </w:p>
        </w:tc>
        <w:tc>
          <w:tcPr>
            <w:tcW w:w="1388" w:type="dxa"/>
          </w:tcPr>
          <w:tcPr/>
          <w:p>
            <w:pPr>
              <w:pStyle w:val="Compact"/>
              <w:jc w:val="left"/>
            </w:pPr>
            <w:r>
              <w:t xml:space="preserve">2022-2024</w:t>
            </w:r>
          </w:p>
        </w:tc>
        <w:tc>
          <w:tcPr>
            <w:tcW w:w="1113" w:type="dxa"/>
          </w:tcPr>
          <w:tcPr/>
          <w:p>
            <w:pPr>
              <w:pStyle w:val="Compact"/>
              <w:jc w:val="left"/>
            </w:pPr>
            <w:r>
              <w:t xml:space="preserve">[S]</w:t>
            </w:r>
          </w:p>
        </w:tc>
        <w:tc>
          <w:tcPr>
            <w:tcW w:w="864" w:type="dxa"/>
          </w:tcPr>
          <w:tcPr/>
          <w:p>
            <w:pPr>
              <w:pStyle w:val="Compact"/>
              <w:jc w:val="left"/>
            </w:pPr>
            <w:r>
              <w:t xml:space="preserve">[4]</w:t>
            </w:r>
          </w:p>
        </w:tc>
      </w:tr>
      <w:tr>
        <w:tc>
          <w:tcPr>
            <w:tcW w:w="3664" w:type="dxa"/>
          </w:tcPr>
          <w:tcPr/>
          <w:p>
            <w:pPr>
              <w:pStyle w:val="Compact"/>
              <w:jc w:val="left"/>
            </w:pPr>
            <w:r>
              <w:t xml:space="preserve">Poids budgétaire</w:t>
            </w:r>
          </w:p>
        </w:tc>
        <w:tc>
          <w:tcPr>
            <w:tcW w:w="7540" w:type="dxa"/>
          </w:tcPr>
          <w:tcPr/>
          <w:p>
            <w:pPr>
              <w:pStyle w:val="Compact"/>
              <w:jc w:val="left"/>
            </w:pPr>
            <w:r>
              <w:t xml:space="preserve">subventions non ciblées &gt; 61 % des recettes minières en 2023 ; baisse de 0,8 point de PIB des subventions à EDG depuis 2022 ; budget 2024 : −0,6 point de PIB</w:t>
            </w:r>
          </w:p>
        </w:tc>
        <w:tc>
          <w:tcPr>
            <w:tcW w:w="1388" w:type="dxa"/>
          </w:tcPr>
          <w:tcPr/>
          <w:p>
            <w:pPr>
              <w:pStyle w:val="Compact"/>
              <w:jc w:val="left"/>
            </w:pPr>
            <w:r>
              <w:t xml:space="preserve">2023-2024</w:t>
            </w:r>
          </w:p>
        </w:tc>
        <w:tc>
          <w:tcPr>
            <w:tcW w:w="1113" w:type="dxa"/>
          </w:tcPr>
          <w:tcPr/>
          <w:p>
            <w:pPr>
              <w:pStyle w:val="Compact"/>
              <w:jc w:val="left"/>
            </w:pPr>
            <w:r>
              <w:t xml:space="preserve">[V]</w:t>
            </w:r>
          </w:p>
        </w:tc>
        <w:tc>
          <w:tcPr>
            <w:tcW w:w="864" w:type="dxa"/>
          </w:tcPr>
          <w:tcPr/>
          <w:p>
            <w:pPr>
              <w:pStyle w:val="Compact"/>
              <w:jc w:val="left"/>
            </w:pPr>
            <w:r>
              <w:t xml:space="preserve">[2]</w:t>
            </w:r>
          </w:p>
        </w:tc>
      </w:tr>
      <w:tr>
        <w:tc>
          <w:tcPr>
            <w:tcW w:w="3664" w:type="dxa"/>
          </w:tcPr>
          <w:tcPr/>
          <w:p>
            <w:pPr>
              <w:pStyle w:val="Compact"/>
              <w:jc w:val="left"/>
            </w:pPr>
            <w:r>
              <w:t xml:space="preserve">Arriérés d’EDG envers les IPP</w:t>
            </w:r>
          </w:p>
        </w:tc>
        <w:tc>
          <w:tcPr>
            <w:tcW w:w="7540" w:type="dxa"/>
          </w:tcPr>
          <w:tcPr/>
          <w:p>
            <w:pPr>
              <w:pStyle w:val="Compact"/>
              <w:jc w:val="left"/>
            </w:pPr>
            <w:r>
              <w:t xml:space="preserve">710 M USD envers trois IPP + 20,3 M USD envers un fournisseur de diesel, accumulés 2020-2023 (non encore certifiés)</w:t>
            </w:r>
          </w:p>
        </w:tc>
        <w:tc>
          <w:tcPr>
            <w:tcW w:w="1388" w:type="dxa"/>
          </w:tcPr>
          <w:tcPr/>
          <w:p>
            <w:pPr>
              <w:pStyle w:val="Compact"/>
              <w:jc w:val="left"/>
            </w:pPr>
            <w:r>
              <w:t xml:space="preserve">2020-2023</w:t>
            </w:r>
          </w:p>
        </w:tc>
        <w:tc>
          <w:tcPr>
            <w:tcW w:w="1113" w:type="dxa"/>
          </w:tcPr>
          <w:tcPr/>
          <w:p>
            <w:pPr>
              <w:pStyle w:val="Compact"/>
              <w:jc w:val="left"/>
            </w:pPr>
            <w:r>
              <w:t xml:space="preserve">[V]</w:t>
            </w:r>
          </w:p>
        </w:tc>
        <w:tc>
          <w:tcPr>
            <w:tcW w:w="864" w:type="dxa"/>
          </w:tcPr>
          <w:tcPr/>
          <w:p>
            <w:pPr>
              <w:pStyle w:val="Compact"/>
              <w:jc w:val="left"/>
            </w:pPr>
            <w:r>
              <w:t xml:space="preserve">[2]</w:t>
            </w:r>
          </w:p>
        </w:tc>
      </w:tr>
      <w:tr>
        <w:tc>
          <w:tcPr>
            <w:tcW w:w="3664" w:type="dxa"/>
          </w:tcPr>
          <w:tcPr/>
          <w:p>
            <w:pPr>
              <w:pStyle w:val="Compact"/>
              <w:jc w:val="left"/>
            </w:pPr>
            <w:r>
              <w:t xml:space="preserve">Arriérés de l’administration envers EDG</w:t>
            </w:r>
          </w:p>
        </w:tc>
        <w:tc>
          <w:tcPr>
            <w:tcW w:w="7540" w:type="dxa"/>
          </w:tcPr>
          <w:tcPr/>
          <w:p>
            <w:pPr>
              <w:pStyle w:val="Compact"/>
              <w:jc w:val="left"/>
            </w:pPr>
            <w:r>
              <w:t xml:space="preserve">163 M USD (consommation 2020 – 31/08/2023)</w:t>
            </w:r>
          </w:p>
        </w:tc>
        <w:tc>
          <w:tcPr>
            <w:tcW w:w="1388" w:type="dxa"/>
          </w:tcPr>
          <w:tcPr/>
          <w:p>
            <w:pPr>
              <w:pStyle w:val="Compact"/>
              <w:jc w:val="left"/>
            </w:pPr>
            <w:r>
              <w:t xml:space="preserve">2023</w:t>
            </w:r>
          </w:p>
        </w:tc>
        <w:tc>
          <w:tcPr>
            <w:tcW w:w="1113" w:type="dxa"/>
          </w:tcPr>
          <w:tcPr/>
          <w:p>
            <w:pPr>
              <w:pStyle w:val="Compact"/>
              <w:jc w:val="left"/>
            </w:pPr>
            <w:r>
              <w:t xml:space="preserve">[V]</w:t>
            </w:r>
          </w:p>
        </w:tc>
        <w:tc>
          <w:tcPr>
            <w:tcW w:w="864" w:type="dxa"/>
          </w:tcPr>
          <w:tcPr/>
          <w:p>
            <w:pPr>
              <w:pStyle w:val="Compact"/>
              <w:jc w:val="left"/>
            </w:pPr>
            <w:r>
              <w:t xml:space="preserve">[2]</w:t>
            </w:r>
          </w:p>
        </w:tc>
      </w:tr>
      <w:tr>
        <w:tc>
          <w:tcPr>
            <w:tcW w:w="3664" w:type="dxa"/>
          </w:tcPr>
          <w:tcPr/>
          <w:p>
            <w:pPr>
              <w:pStyle w:val="Compact"/>
              <w:jc w:val="left"/>
            </w:pPr>
            <w:r>
              <w:t xml:space="preserve">Taux de recouvrement</w:t>
            </w:r>
          </w:p>
        </w:tc>
        <w:tc>
          <w:tcPr>
            <w:tcW w:w="7540" w:type="dxa"/>
          </w:tcPr>
          <w:tcPr/>
          <w:p>
            <w:pPr>
              <w:pStyle w:val="Compact"/>
              <w:jc w:val="left"/>
            </w:pPr>
            <w:r>
              <w:t xml:space="preserve">50 % (secteur public) ; 64 % (secteur privé)</w:t>
            </w:r>
          </w:p>
        </w:tc>
        <w:tc>
          <w:tcPr>
            <w:tcW w:w="1388" w:type="dxa"/>
          </w:tcPr>
          <w:tcPr/>
          <w:p>
            <w:pPr>
              <w:pStyle w:val="Compact"/>
              <w:jc w:val="left"/>
            </w:pPr>
            <w:r>
              <w:t xml:space="preserve">~2023</w:t>
            </w:r>
          </w:p>
        </w:tc>
        <w:tc>
          <w:tcPr>
            <w:tcW w:w="1113" w:type="dxa"/>
          </w:tcPr>
          <w:tcPr/>
          <w:p>
            <w:pPr>
              <w:pStyle w:val="Compact"/>
              <w:jc w:val="left"/>
            </w:pPr>
            <w:r>
              <w:t xml:space="preserve">[V]</w:t>
            </w:r>
          </w:p>
        </w:tc>
        <w:tc>
          <w:tcPr>
            <w:tcW w:w="864" w:type="dxa"/>
          </w:tcPr>
          <w:tcPr/>
          <w:p>
            <w:pPr>
              <w:pStyle w:val="Compact"/>
              <w:jc w:val="left"/>
            </w:pPr>
            <w:r>
              <w:t xml:space="preserve">[2]</w:t>
            </w:r>
          </w:p>
        </w:tc>
      </w:tr>
      <w:tr>
        <w:tc>
          <w:tcPr>
            <w:tcW w:w="3664" w:type="dxa"/>
          </w:tcPr>
          <w:tcPr/>
          <w:p>
            <w:pPr>
              <w:pStyle w:val="Compact"/>
              <w:jc w:val="left"/>
            </w:pPr>
            <w:r>
              <w:t xml:space="preserve">Couverture tarifaire</w:t>
            </w:r>
          </w:p>
        </w:tc>
        <w:tc>
          <w:tcPr>
            <w:tcW w:w="7540" w:type="dxa"/>
          </w:tcPr>
          <w:tcPr/>
          <w:p>
            <w:pPr>
              <w:pStyle w:val="Compact"/>
              <w:jc w:val="left"/>
            </w:pPr>
            <w:r>
              <w:t xml:space="preserve">tarifs couvrant ~40 % des coûts de production (estimation BM citée par le FMI) ; dernier relèvement tarifaire : septembre 2021</w:t>
            </w:r>
          </w:p>
        </w:tc>
        <w:tc>
          <w:tcPr>
            <w:tcW w:w="1388" w:type="dxa"/>
          </w:tcPr>
          <w:tcPr/>
          <w:p>
            <w:pPr>
              <w:pStyle w:val="Compact"/>
              <w:jc w:val="left"/>
            </w:pPr>
            <w:r>
              <w:t xml:space="preserve">2021-2024</w:t>
            </w:r>
          </w:p>
        </w:tc>
        <w:tc>
          <w:tcPr>
            <w:tcW w:w="1113" w:type="dxa"/>
          </w:tcPr>
          <w:tcPr/>
          <w:p>
            <w:pPr>
              <w:pStyle w:val="Compact"/>
              <w:jc w:val="left"/>
            </w:pPr>
            <w:r>
              <w:t xml:space="preserve">[V]</w:t>
            </w:r>
          </w:p>
        </w:tc>
        <w:tc>
          <w:tcPr>
            <w:tcW w:w="864" w:type="dxa"/>
          </w:tcPr>
          <w:tcPr/>
          <w:p>
            <w:pPr>
              <w:pStyle w:val="Compact"/>
              <w:jc w:val="left"/>
            </w:pPr>
            <w:r>
              <w:t xml:space="preserve">[2]</w:t>
            </w:r>
          </w:p>
        </w:tc>
      </w:tr>
      <w:tr>
        <w:tc>
          <w:tcPr>
            <w:tcW w:w="3664" w:type="dxa"/>
          </w:tcPr>
          <w:tcPr/>
          <w:p>
            <w:pPr>
              <w:pStyle w:val="Compact"/>
              <w:jc w:val="left"/>
            </w:pPr>
            <w:r>
              <w:t xml:space="preserve">Prix de revente vs coût</w:t>
            </w:r>
          </w:p>
        </w:tc>
        <w:tc>
          <w:tcPr>
            <w:tcW w:w="7540" w:type="dxa"/>
          </w:tcPr>
          <w:tcPr/>
          <w:p>
            <w:pPr>
              <w:pStyle w:val="Compact"/>
              <w:jc w:val="left"/>
            </w:pPr>
            <w:r>
              <w:t xml:space="preserve">revente subventionnée à 800 GNF/kWh vs achat à 1 700 GNF/kWh à un fournisseur mobile (document du ministère de l’Énergie, 2024) [S] ; coût ~1 500 GNF/kWh vs ~400 GNF/kWh aux ménages (2026) [S]</w:t>
            </w:r>
          </w:p>
        </w:tc>
        <w:tc>
          <w:tcPr>
            <w:tcW w:w="1388" w:type="dxa"/>
          </w:tcPr>
          <w:tcPr/>
          <w:p>
            <w:pPr>
              <w:pStyle w:val="Compact"/>
              <w:jc w:val="left"/>
            </w:pPr>
            <w:r>
              <w:t xml:space="preserve">2024-2026</w:t>
            </w:r>
          </w:p>
        </w:tc>
        <w:tc>
          <w:tcPr>
            <w:tcW w:w="1113" w:type="dxa"/>
          </w:tcPr>
          <w:tcPr/>
          <w:p>
            <w:pPr>
              <w:pStyle w:val="Compact"/>
              <w:jc w:val="left"/>
            </w:pPr>
            <w:r>
              <w:t xml:space="preserve">[S]</w:t>
            </w:r>
          </w:p>
        </w:tc>
        <w:tc>
          <w:tcPr>
            <w:tcW w:w="864" w:type="dxa"/>
          </w:tcPr>
          <w:tcPr/>
          <w:p>
            <w:pPr>
              <w:pStyle w:val="Compact"/>
              <w:jc w:val="left"/>
            </w:pPr>
            <w:r>
              <w:t xml:space="preserve">[6][4]</w:t>
            </w:r>
          </w:p>
        </w:tc>
      </w:tr>
      <w:tr>
        <w:tc>
          <w:tcPr>
            <w:tcW w:w="3664" w:type="dxa"/>
          </w:tcPr>
          <w:tcPr/>
          <w:p>
            <w:pPr>
              <w:pStyle w:val="Compact"/>
              <w:jc w:val="left"/>
            </w:pPr>
            <w:r>
              <w:t xml:space="preserve">Résultat net, CA, EBITDA</w:t>
            </w:r>
          </w:p>
        </w:tc>
        <w:tc>
          <w:tcPr>
            <w:tcW w:w="7540" w:type="dxa"/>
          </w:tcPr>
          <w:tcPr/>
          <w:p>
            <w:pPr>
              <w:pStyle w:val="Compact"/>
              <w:jc w:val="left"/>
            </w:pPr>
            <w:r>
              <w:t xml:space="preserve">[?] non trouvé</w:t>
            </w:r>
          </w:p>
        </w:tc>
        <w:tc>
          <w:tcPr>
            <w:tcW w:w="1388" w:type="dxa"/>
          </w:tcPr>
          <w:tcPr/>
          <w:p>
            <w:pPr>
              <w:pStyle w:val="Compact"/>
              <w:jc w:val="left"/>
            </w:pPr>
            <w:r>
              <w:t xml:space="preserve">—</w:t>
            </w:r>
          </w:p>
        </w:tc>
        <w:tc>
          <w:tcPr>
            <w:tcW w:w="1113" w:type="dxa"/>
          </w:tcPr>
          <w:tcPr/>
          <w:p>
            <w:pPr>
              <w:pStyle w:val="Compact"/>
              <w:jc w:val="left"/>
            </w:pPr>
            <w:r>
              <w:t xml:space="preserve">[?]</w:t>
            </w:r>
          </w:p>
        </w:tc>
        <w:tc>
          <w:tcPr>
            <w:tcW w:w="864" w:type="dxa"/>
          </w:tcPr>
          <w:tcPr/>
          <w:p>
            <w:pPr>
              <w:pStyle w:val="Compact"/>
              <w:jc w:val="left"/>
            </w:pPr>
            <w:r>
              <w:t xml:space="preserve">—</w:t>
            </w:r>
          </w:p>
        </w:tc>
      </w:tr>
      <w:tr>
        <w:tc>
          <w:tcPr>
            <w:tcW w:w="3664" w:type="dxa"/>
          </w:tcPr>
          <w:tcPr/>
          <w:p>
            <w:pPr>
              <w:pStyle w:val="Compact"/>
              <w:jc w:val="left"/>
            </w:pPr>
            <w:r>
              <w:t xml:space="preserve">Notation de crédit</w:t>
            </w:r>
          </w:p>
        </w:tc>
        <w:tc>
          <w:tcPr>
            <w:tcW w:w="7540" w:type="dxa"/>
          </w:tcPr>
          <w:tcPr/>
          <w:p>
            <w:pPr>
              <w:pStyle w:val="Compact"/>
              <w:jc w:val="left"/>
            </w:pPr>
            <w:r>
              <w:t xml:space="preserve">[?] non trouvé</w:t>
            </w:r>
          </w:p>
        </w:tc>
        <w:tc>
          <w:tcPr>
            <w:tcW w:w="1388" w:type="dxa"/>
          </w:tcPr>
          <w:tcPr/>
          <w:p>
            <w:pPr>
              <w:pStyle w:val="Compact"/>
              <w:jc w:val="left"/>
            </w:pPr>
            <w:r>
              <w:t xml:space="preserve">—</w:t>
            </w:r>
          </w:p>
        </w:tc>
        <w:tc>
          <w:tcPr>
            <w:tcW w:w="1113" w:type="dxa"/>
          </w:tcPr>
          <w:tcPr/>
          <w:p>
            <w:pPr>
              <w:pStyle w:val="Compact"/>
              <w:jc w:val="left"/>
            </w:pPr>
            <w:r>
              <w:t xml:space="preserve">[?]</w:t>
            </w:r>
          </w:p>
        </w:tc>
        <w:tc>
          <w:tcPr>
            <w:tcW w:w="864" w:type="dxa"/>
          </w:tcPr>
          <w:tcPr/>
          <w:p>
            <w:pPr>
              <w:pStyle w:val="Compact"/>
              <w:jc w:val="left"/>
            </w:pPr>
            <w:r>
              <w:t xml:space="preserve">—</w:t>
            </w:r>
          </w:p>
        </w:tc>
      </w:tr>
    </w:tbl>
    <w:bookmarkEnd w:id="184"/>
    <w:bookmarkStart w:id="185" w:name="situation-technique-14"/>
    <w:p>
      <w:pPr>
        <w:pStyle w:val="Heading3"/>
      </w:pPr>
      <w:r>
        <w:t xml:space="preserve">2. Situation technique</w:t>
      </w:r>
    </w:p>
    <w:tbl>
      <w:tblPr>
        <w:tblStyle w:val="Table"/>
        <w:tblW w:type="dxa" w:w="14570"/>
        <w:tblLook w:firstRow="1" w:lastRow="0" w:firstColumn="0" w:lastColumn="0" w:noHBand="0" w:noVBand="0" w:val="0020"/>
        <w:jc w:val="start"/>
      </w:tblPr>
      <w:tblGrid>
        <w:gridCol w:w="2410"/>
        <w:gridCol w:w="7892"/>
        <w:gridCol w:w="1312"/>
        <w:gridCol w:w="1810"/>
        <w:gridCol w:w="1145"/>
      </w:tblGrid>
      <w:tr>
        <w:trPr>
          <w:tblHeader w:val="true"/>
        </w:trPr>
        <w:tc>
          <w:tcPr>
            <w:tcW w:w="2410" w:type="dxa"/>
          </w:tcPr>
          <w:tcPr/>
          <w:p>
            <w:pPr>
              <w:pStyle w:val="Compact"/>
              <w:jc w:val="left"/>
            </w:pPr>
            <w:r>
              <w:t xml:space="preserve">Indicateur</w:t>
            </w:r>
          </w:p>
        </w:tc>
        <w:tc>
          <w:tcPr>
            <w:tcW w:w="7892" w:type="dxa"/>
          </w:tcPr>
          <w:tcPr/>
          <w:p>
            <w:pPr>
              <w:pStyle w:val="Compact"/>
              <w:jc w:val="left"/>
            </w:pPr>
            <w:r>
              <w:t xml:space="preserve">Valeur</w:t>
            </w:r>
          </w:p>
        </w:tc>
        <w:tc>
          <w:tcPr>
            <w:tcW w:w="1312" w:type="dxa"/>
          </w:tcPr>
          <w:tcPr/>
          <w:p>
            <w:pPr>
              <w:pStyle w:val="Compact"/>
              <w:jc w:val="left"/>
            </w:pPr>
            <w:r>
              <w:t xml:space="preserve">Année</w:t>
            </w:r>
          </w:p>
        </w:tc>
        <w:tc>
          <w:tcPr>
            <w:tcW w:w="1810" w:type="dxa"/>
          </w:tcPr>
          <w:tcPr/>
          <w:p>
            <w:pPr>
              <w:pStyle w:val="Compact"/>
              <w:jc w:val="left"/>
            </w:pPr>
            <w:r>
              <w:t xml:space="preserve">Statut</w:t>
            </w:r>
          </w:p>
        </w:tc>
        <w:tc>
          <w:tcPr>
            <w:tcW w:w="1145" w:type="dxa"/>
          </w:tcPr>
          <w:tcPr/>
          <w:p>
            <w:pPr>
              <w:pStyle w:val="Compact"/>
              <w:jc w:val="left"/>
            </w:pPr>
            <w:r>
              <w:t xml:space="preserve">Source</w:t>
            </w:r>
          </w:p>
        </w:tc>
      </w:tr>
      <w:tr>
        <w:tc>
          <w:tcPr>
            <w:tcW w:w="2410" w:type="dxa"/>
          </w:tcPr>
          <w:tcPr/>
          <w:p>
            <w:pPr>
              <w:pStyle w:val="Compact"/>
              <w:jc w:val="left"/>
            </w:pPr>
            <w:r>
              <w:t xml:space="preserve">Capacité installée</w:t>
            </w:r>
          </w:p>
        </w:tc>
        <w:tc>
          <w:tcPr>
            <w:tcW w:w="7892" w:type="dxa"/>
          </w:tcPr>
          <w:tcPr/>
          <w:p>
            <w:pPr>
              <w:pStyle w:val="Compact"/>
              <w:jc w:val="left"/>
            </w:pPr>
            <w:r>
              <w:t xml:space="preserve">~1 310 MW (61 % hydro / 39 % thermique) ; thermique ~500 MW dont Karpowership ~110 MW, Té Power ~50 MW ; hydro Souapiti 450 MW, Kaléta 240 MW, Garafiri 75 MW</w:t>
            </w:r>
          </w:p>
        </w:tc>
        <w:tc>
          <w:tcPr>
            <w:tcW w:w="1312" w:type="dxa"/>
          </w:tcPr>
          <w:tcPr/>
          <w:p>
            <w:pPr>
              <w:pStyle w:val="Compact"/>
              <w:jc w:val="left"/>
            </w:pPr>
            <w:r>
              <w:t xml:space="preserve">2024</w:t>
            </w:r>
          </w:p>
        </w:tc>
        <w:tc>
          <w:tcPr>
            <w:tcW w:w="1810" w:type="dxa"/>
          </w:tcPr>
          <w:tcPr/>
          <w:p>
            <w:pPr>
              <w:pStyle w:val="Compact"/>
              <w:jc w:val="left"/>
            </w:pPr>
            <w:r>
              <w:t xml:space="preserve">[S] (cohérent avec le pacte)</w:t>
            </w:r>
          </w:p>
        </w:tc>
        <w:tc>
          <w:tcPr>
            <w:tcW w:w="1145" w:type="dxa"/>
          </w:tcPr>
          <w:tcPr/>
          <w:p>
            <w:pPr>
              <w:pStyle w:val="Compact"/>
              <w:jc w:val="left"/>
            </w:pPr>
            <w:r>
              <w:t xml:space="preserve">[4][1]</w:t>
            </w:r>
          </w:p>
        </w:tc>
      </w:tr>
      <w:tr>
        <w:tc>
          <w:tcPr>
            <w:tcW w:w="2410" w:type="dxa"/>
          </w:tcPr>
          <w:tcPr/>
          <w:p>
            <w:pPr>
              <w:pStyle w:val="Compact"/>
              <w:jc w:val="left"/>
            </w:pPr>
            <w:r>
              <w:t xml:space="preserve">Pertes techniques et commerciales</w:t>
            </w:r>
          </w:p>
        </w:tc>
        <w:tc>
          <w:tcPr>
            <w:tcW w:w="7892" w:type="dxa"/>
          </w:tcPr>
          <w:tcPr/>
          <w:p>
            <w:pPr>
              <w:pStyle w:val="Compact"/>
              <w:jc w:val="left"/>
            </w:pPr>
            <w:r>
              <w:t xml:space="preserve">30 % (pacte) ; objectif du plan 2020 : réduire de moitié les pertes de non-conformité d’ici 2025</w:t>
            </w:r>
          </w:p>
        </w:tc>
        <w:tc>
          <w:tcPr>
            <w:tcW w:w="1312" w:type="dxa"/>
          </w:tcPr>
          <w:tcPr/>
          <w:p>
            <w:pPr>
              <w:pStyle w:val="Compact"/>
              <w:jc w:val="left"/>
            </w:pPr>
            <w:r>
              <w:t xml:space="preserve">2024</w:t>
            </w:r>
          </w:p>
        </w:tc>
        <w:tc>
          <w:tcPr>
            <w:tcW w:w="1810" w:type="dxa"/>
          </w:tcPr>
          <w:tcPr/>
          <w:p>
            <w:pPr>
              <w:pStyle w:val="Compact"/>
              <w:jc w:val="left"/>
            </w:pPr>
            <w:r>
              <w:t xml:space="preserve">(pacte) / [V]</w:t>
            </w:r>
          </w:p>
        </w:tc>
        <w:tc>
          <w:tcPr>
            <w:tcW w:w="1145" w:type="dxa"/>
          </w:tcPr>
          <w:tcPr/>
          <w:p>
            <w:pPr>
              <w:pStyle w:val="Compact"/>
              <w:jc w:val="left"/>
            </w:pPr>
            <w:r>
              <w:t xml:space="preserve">[1][2]</w:t>
            </w:r>
          </w:p>
        </w:tc>
      </w:tr>
      <w:tr>
        <w:tc>
          <w:tcPr>
            <w:tcW w:w="2410" w:type="dxa"/>
          </w:tcPr>
          <w:tcPr/>
          <w:p>
            <w:pPr>
              <w:pStyle w:val="Compact"/>
              <w:jc w:val="left"/>
            </w:pPr>
            <w:r>
              <w:t xml:space="preserve">Clients ; comptage</w:t>
            </w:r>
          </w:p>
        </w:tc>
        <w:tc>
          <w:tcPr>
            <w:tcW w:w="7892" w:type="dxa"/>
          </w:tcPr>
          <w:tcPr/>
          <w:p>
            <w:pPr>
              <w:pStyle w:val="Compact"/>
              <w:jc w:val="left"/>
            </w:pPr>
            <w:r>
              <w:t xml:space="preserve">398 000 (2018) → 608 000 (2022) ; ~85 % des clients au forfait (non comptés)</w:t>
            </w:r>
          </w:p>
        </w:tc>
        <w:tc>
          <w:tcPr>
            <w:tcW w:w="1312" w:type="dxa"/>
          </w:tcPr>
          <w:tcPr/>
          <w:p>
            <w:pPr>
              <w:pStyle w:val="Compact"/>
              <w:jc w:val="left"/>
            </w:pPr>
            <w:r>
              <w:t xml:space="preserve">2018-2022</w:t>
            </w:r>
          </w:p>
        </w:tc>
        <w:tc>
          <w:tcPr>
            <w:tcW w:w="1810" w:type="dxa"/>
          </w:tcPr>
          <w:tcPr/>
          <w:p>
            <w:pPr>
              <w:pStyle w:val="Compact"/>
              <w:jc w:val="left"/>
            </w:pPr>
            <w:r>
              <w:t xml:space="preserve">[V]</w:t>
            </w:r>
          </w:p>
        </w:tc>
        <w:tc>
          <w:tcPr>
            <w:tcW w:w="1145" w:type="dxa"/>
          </w:tcPr>
          <w:tcPr/>
          <w:p>
            <w:pPr>
              <w:pStyle w:val="Compact"/>
              <w:jc w:val="left"/>
            </w:pPr>
            <w:r>
              <w:t xml:space="preserve">[2]</w:t>
            </w:r>
          </w:p>
        </w:tc>
      </w:tr>
      <w:tr>
        <w:tc>
          <w:tcPr>
            <w:tcW w:w="2410" w:type="dxa"/>
          </w:tcPr>
          <w:tcPr/>
          <w:p>
            <w:pPr>
              <w:pStyle w:val="Compact"/>
              <w:jc w:val="left"/>
            </w:pPr>
            <w:r>
              <w:t xml:space="preserve">Compteurs</w:t>
            </w:r>
          </w:p>
        </w:tc>
        <w:tc>
          <w:tcPr>
            <w:tcW w:w="7892" w:type="dxa"/>
          </w:tcPr>
          <w:tcPr/>
          <w:p>
            <w:pPr>
              <w:pStyle w:val="Compact"/>
              <w:jc w:val="left"/>
            </w:pPr>
            <w:r>
              <w:t xml:space="preserve">destruction du stock de compteurs dans l’incendie de l’entrepôt d’EDG ; 250 000 compteurs commandés, livraison janv.-févr. 2025</w:t>
            </w:r>
          </w:p>
        </w:tc>
        <w:tc>
          <w:tcPr>
            <w:tcW w:w="1312" w:type="dxa"/>
          </w:tcPr>
          <w:tcPr/>
          <w:p>
            <w:pPr>
              <w:pStyle w:val="Compact"/>
              <w:jc w:val="left"/>
            </w:pPr>
            <w:r>
              <w:t xml:space="preserve">2024-2025</w:t>
            </w:r>
          </w:p>
        </w:tc>
        <w:tc>
          <w:tcPr>
            <w:tcW w:w="1810" w:type="dxa"/>
          </w:tcPr>
          <w:tcPr/>
          <w:p>
            <w:pPr>
              <w:pStyle w:val="Compact"/>
              <w:jc w:val="left"/>
            </w:pPr>
            <w:r>
              <w:t xml:space="preserve">[V]</w:t>
            </w:r>
          </w:p>
        </w:tc>
        <w:tc>
          <w:tcPr>
            <w:tcW w:w="1145" w:type="dxa"/>
          </w:tcPr>
          <w:tcPr/>
          <w:p>
            <w:pPr>
              <w:pStyle w:val="Compact"/>
              <w:jc w:val="left"/>
            </w:pPr>
            <w:r>
              <w:t xml:space="preserve">[7]</w:t>
            </w:r>
          </w:p>
        </w:tc>
      </w:tr>
      <w:tr>
        <w:tc>
          <w:tcPr>
            <w:tcW w:w="2410" w:type="dxa"/>
          </w:tcPr>
          <w:tcPr/>
          <w:p>
            <w:pPr>
              <w:pStyle w:val="Compact"/>
              <w:jc w:val="left"/>
            </w:pPr>
            <w:r>
              <w:t xml:space="preserve">Fiabilité</w:t>
            </w:r>
          </w:p>
        </w:tc>
        <w:tc>
          <w:tcPr>
            <w:tcW w:w="7892" w:type="dxa"/>
          </w:tcPr>
          <w:tcPr/>
          <w:p>
            <w:pPr>
              <w:pStyle w:val="Compact"/>
              <w:jc w:val="left"/>
            </w:pPr>
            <w:r>
              <w:t xml:space="preserve">SAIFI 47 / SAIDI 99 h (2024, pacte) ; explosion du dépôt pétrolier de Kaloum (déc. 2023) aggravant la situation d’EDG [V] ; reprise des coupures à Conakry en septembre 2026 [S]</w:t>
            </w:r>
          </w:p>
        </w:tc>
        <w:tc>
          <w:tcPr>
            <w:tcW w:w="1312" w:type="dxa"/>
          </w:tcPr>
          <w:tcPr/>
          <w:p>
            <w:pPr>
              <w:pStyle w:val="Compact"/>
              <w:jc w:val="left"/>
            </w:pPr>
            <w:r>
              <w:t xml:space="preserve">2023-2026</w:t>
            </w:r>
          </w:p>
        </w:tc>
        <w:tc>
          <w:tcPr>
            <w:tcW w:w="1810" w:type="dxa"/>
          </w:tcPr>
          <w:tcPr/>
          <w:p>
            <w:pPr>
              <w:pStyle w:val="Compact"/>
              <w:jc w:val="left"/>
            </w:pPr>
            <w:r>
              <w:t xml:space="preserve">(pacte)/[V]/[S]</w:t>
            </w:r>
          </w:p>
        </w:tc>
        <w:tc>
          <w:tcPr>
            <w:tcW w:w="1145" w:type="dxa"/>
          </w:tcPr>
          <w:tcPr/>
          <w:p>
            <w:pPr>
              <w:pStyle w:val="Compact"/>
              <w:jc w:val="left"/>
            </w:pPr>
            <w:r>
              <w:t xml:space="preserve">[1][2][4]</w:t>
            </w:r>
          </w:p>
        </w:tc>
      </w:tr>
    </w:tbl>
    <w:bookmarkEnd w:id="185"/>
    <w:bookmarkStart w:id="186" w:name="situation-économique-et-gouvernance-14"/>
    <w:p>
      <w:pPr>
        <w:pStyle w:val="Heading3"/>
      </w:pPr>
      <w:r>
        <w:t xml:space="preserve">3. Situation économique et gouvernance</w:t>
      </w:r>
    </w:p>
    <w:p>
      <w:pPr>
        <w:numPr>
          <w:ilvl w:val="0"/>
          <w:numId w:val="1096"/>
        </w:numPr>
        <w:pStyle w:val="Compact"/>
      </w:pPr>
      <w:r>
        <w:t xml:space="preserve">PPA : contrats non concurrentiels avec un IPP thermique et deux IPP hydro ; « take or pay » de Souapiti obligeant à payer une production non distribuée [2] [V]. Souapiti financé à 75 % par Exim Bank de Chine [4] [S].</w:t>
      </w:r>
    </w:p>
    <w:p>
      <w:pPr>
        <w:numPr>
          <w:ilvl w:val="0"/>
          <w:numId w:val="1096"/>
        </w:numPr>
        <w:pStyle w:val="Compact"/>
      </w:pPr>
      <w:r>
        <w:t xml:space="preserve">Change / combustible : production thermique au fioul importé (Karpowership, Té Power) ; arriérés en USD envers les IPP [2] [V].</w:t>
      </w:r>
    </w:p>
    <w:p>
      <w:pPr>
        <w:numPr>
          <w:ilvl w:val="0"/>
          <w:numId w:val="1096"/>
        </w:numPr>
        <w:pStyle w:val="Compact"/>
      </w:pPr>
      <w:r>
        <w:t xml:space="preserve">Plan de redressement : plan 2020 (hausses tarifaires jusqu’au coût en 2025-26, tarif social jusqu’à 90 kWh, apurement croisé des arriérés, comptage, transparence des achats et des comptes) « en suspens » [2] [V] ; le pacte promet un contrat de performance fin 2025 et +12 %/an de tarifs 2024-2029 [1] (pacte).</w:t>
      </w:r>
    </w:p>
    <w:p>
      <w:pPr>
        <w:numPr>
          <w:ilvl w:val="0"/>
          <w:numId w:val="1096"/>
        </w:numPr>
        <w:pStyle w:val="Compact"/>
      </w:pPr>
      <w:r>
        <w:t xml:space="preserve">Gouvernance : comptes audités avec réserve jusqu’en 2022 (pacte) ; fraude et branchements illicites « omniprésents » [2] [V].</w:t>
      </w:r>
    </w:p>
    <w:bookmarkEnd w:id="186"/>
    <w:bookmarkStart w:id="187" w:name="Xa9e1c1b6244e1d5eb38b7a47f8c1b9ca622cda6"/>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785"/>
        <w:gridCol w:w="698"/>
        <w:gridCol w:w="1513"/>
        <w:gridCol w:w="986"/>
        <w:gridCol w:w="2976"/>
        <w:gridCol w:w="1741"/>
        <w:gridCol w:w="2113"/>
        <w:gridCol w:w="754"/>
      </w:tblGrid>
      <w:tr>
        <w:trPr>
          <w:tblHeader w:val="true"/>
        </w:trPr>
        <w:tc>
          <w:tcPr>
            <w:tcW w:w="3785" w:type="dxa"/>
          </w:tcPr>
          <w:tcPr/>
          <w:p>
            <w:pPr>
              <w:pStyle w:val="Compact"/>
              <w:jc w:val="left"/>
            </w:pPr>
            <w:r>
              <w:t xml:space="preserve">Programme / projet</w:t>
            </w:r>
          </w:p>
        </w:tc>
        <w:tc>
          <w:tcPr>
            <w:tcW w:w="698" w:type="dxa"/>
          </w:tcPr>
          <w:tcPr/>
          <w:p>
            <w:pPr>
              <w:pStyle w:val="Compact"/>
              <w:jc w:val="left"/>
            </w:pPr>
            <w:r>
              <w:t xml:space="preserve">Bailleur</w:t>
            </w:r>
          </w:p>
        </w:tc>
        <w:tc>
          <w:tcPr>
            <w:tcW w:w="1513" w:type="dxa"/>
          </w:tcPr>
          <w:tcPr/>
          <w:p>
            <w:pPr>
              <w:pStyle w:val="Compact"/>
              <w:jc w:val="left"/>
            </w:pPr>
            <w:r>
              <w:t xml:space="preserve">Montant</w:t>
            </w:r>
          </w:p>
        </w:tc>
        <w:tc>
          <w:tcPr>
            <w:tcW w:w="986" w:type="dxa"/>
          </w:tcPr>
          <w:tcPr/>
          <w:p>
            <w:pPr>
              <w:pStyle w:val="Compact"/>
              <w:jc w:val="left"/>
            </w:pPr>
            <w:r>
              <w:t xml:space="preserve">Années</w:t>
            </w:r>
          </w:p>
        </w:tc>
        <w:tc>
          <w:tcPr>
            <w:tcW w:w="2976" w:type="dxa"/>
          </w:tcPr>
          <w:tcPr/>
          <w:p>
            <w:pPr>
              <w:pStyle w:val="Compact"/>
              <w:jc w:val="left"/>
            </w:pPr>
            <w:r>
              <w:t xml:space="preserve">Objectifs liés à l’opérateur</w:t>
            </w:r>
          </w:p>
        </w:tc>
        <w:tc>
          <w:tcPr>
            <w:tcW w:w="1741" w:type="dxa"/>
          </w:tcPr>
          <w:tcPr/>
          <w:p>
            <w:pPr>
              <w:pStyle w:val="Compact"/>
              <w:jc w:val="left"/>
            </w:pPr>
            <w:r>
              <w:t xml:space="preserve">Conditions / indicateurs</w:t>
            </w:r>
          </w:p>
        </w:tc>
        <w:tc>
          <w:tcPr>
            <w:tcW w:w="2113" w:type="dxa"/>
          </w:tcPr>
          <w:tcPr/>
          <w:p>
            <w:pPr>
              <w:pStyle w:val="Compact"/>
              <w:jc w:val="left"/>
            </w:pPr>
            <w:r>
              <w:t xml:space="preserve">Statut d’exécution</w:t>
            </w:r>
          </w:p>
        </w:tc>
        <w:tc>
          <w:tcPr>
            <w:tcW w:w="754" w:type="dxa"/>
          </w:tcPr>
          <w:tcPr/>
          <w:p>
            <w:pPr>
              <w:pStyle w:val="Compact"/>
              <w:jc w:val="left"/>
            </w:pPr>
            <w:r>
              <w:t xml:space="preserve">Source</w:t>
            </w:r>
          </w:p>
        </w:tc>
      </w:tr>
      <w:tr>
        <w:tc>
          <w:tcPr>
            <w:tcW w:w="3785" w:type="dxa"/>
          </w:tcPr>
          <w:tcPr/>
          <w:p>
            <w:pPr>
              <w:pStyle w:val="Compact"/>
              <w:jc w:val="left"/>
            </w:pPr>
            <w:r>
              <w:t xml:space="preserve">Guinea Electricity Access Scale Up Project (EASE), P164225</w:t>
            </w:r>
          </w:p>
        </w:tc>
        <w:tc>
          <w:tcPr>
            <w:tcW w:w="698" w:type="dxa"/>
          </w:tcPr>
          <w:tcPr/>
          <w:p>
            <w:pPr>
              <w:pStyle w:val="Compact"/>
              <w:jc w:val="left"/>
            </w:pPr>
            <w:r>
              <w:t xml:space="preserve">BM (IDA) + AFD (cofin.)</w:t>
            </w:r>
          </w:p>
        </w:tc>
        <w:tc>
          <w:tcPr>
            <w:tcW w:w="1513" w:type="dxa"/>
          </w:tcPr>
          <w:tcPr/>
          <w:p>
            <w:pPr>
              <w:pStyle w:val="Compact"/>
              <w:jc w:val="left"/>
            </w:pPr>
            <w:r>
              <w:t xml:space="preserve">50 M USD (IDA 25 + 25)</w:t>
            </w:r>
          </w:p>
        </w:tc>
        <w:tc>
          <w:tcPr>
            <w:tcW w:w="986" w:type="dxa"/>
          </w:tcPr>
          <w:tcPr/>
          <w:p>
            <w:pPr>
              <w:pStyle w:val="Compact"/>
              <w:jc w:val="left"/>
            </w:pPr>
            <w:r>
              <w:t xml:space="preserve">2019-2025 (clôture révisée 30/06/2025)</w:t>
            </w:r>
          </w:p>
        </w:tc>
        <w:tc>
          <w:tcPr>
            <w:tcW w:w="2976" w:type="dxa"/>
          </w:tcPr>
          <w:tcPr/>
          <w:p>
            <w:pPr>
              <w:pStyle w:val="Compact"/>
              <w:jc w:val="left"/>
            </w:pPr>
            <w:r>
              <w:t xml:space="preserve">Régularisation des branchements illicites à Conakry, réseaux Manéah/Dubréka/Coyah, revenus d’EDG des clients régularisés</w:t>
            </w:r>
          </w:p>
        </w:tc>
        <w:tc>
          <w:tcPr>
            <w:tcW w:w="1741" w:type="dxa"/>
          </w:tcPr>
          <w:tcPr/>
          <w:p>
            <w:pPr>
              <w:pStyle w:val="Compact"/>
              <w:jc w:val="left"/>
            </w:pPr>
            <w:r>
              <w:t xml:space="preserve">Indicateurs : revenus EDG des consommateurs régularisés ; pertes techniques par district</w:t>
            </w:r>
          </w:p>
        </w:tc>
        <w:tc>
          <w:tcPr>
            <w:tcW w:w="2113" w:type="dxa"/>
          </w:tcPr>
          <w:tcPr/>
          <w:p>
            <w:pPr>
              <w:pStyle w:val="Compact"/>
              <w:jc w:val="left"/>
            </w:pPr>
            <w:r>
              <w:t xml:space="preserve">PDO « Moderately Unsatisfactory », exécution « Moderately Satisfactory » (déc. 2024) ; compteurs détruits dans l’incendie compromettant l’objectif</w:t>
            </w:r>
          </w:p>
        </w:tc>
        <w:tc>
          <w:tcPr>
            <w:tcW w:w="754" w:type="dxa"/>
          </w:tcPr>
          <w:tcPr/>
          <w:p>
            <w:pPr>
              <w:pStyle w:val="Compact"/>
              <w:jc w:val="left"/>
            </w:pPr>
            <w:r>
              <w:t xml:space="preserve">[7]</w:t>
            </w:r>
          </w:p>
        </w:tc>
      </w:tr>
      <w:tr>
        <w:tc>
          <w:tcPr>
            <w:tcW w:w="3785" w:type="dxa"/>
          </w:tcPr>
          <w:tcPr/>
          <w:p>
            <w:pPr>
              <w:pStyle w:val="Compact"/>
              <w:jc w:val="left"/>
            </w:pPr>
            <w:r>
              <w:t xml:space="preserve">Guinea Electricity Access Scale Up Project – Phase 2, P181051</w:t>
            </w:r>
          </w:p>
        </w:tc>
        <w:tc>
          <w:tcPr>
            <w:tcW w:w="698" w:type="dxa"/>
          </w:tcPr>
          <w:tcPr/>
          <w:p>
            <w:pPr>
              <w:pStyle w:val="Compact"/>
              <w:jc w:val="left"/>
            </w:pPr>
            <w:r>
              <w:t xml:space="preserve">BM</w:t>
            </w:r>
          </w:p>
        </w:tc>
        <w:tc>
          <w:tcPr>
            <w:tcW w:w="1513" w:type="dxa"/>
          </w:tcPr>
          <w:tcPr/>
          <w:p>
            <w:pPr>
              <w:pStyle w:val="Compact"/>
              <w:jc w:val="left"/>
            </w:pPr>
            <w:r>
              <w:t xml:space="preserve">200 M USD (pipeline)</w:t>
            </w:r>
          </w:p>
        </w:tc>
        <w:tc>
          <w:tcPr>
            <w:tcW w:w="986" w:type="dxa"/>
          </w:tcPr>
          <w:tcPr/>
          <w:p>
            <w:pPr>
              <w:pStyle w:val="Compact"/>
              <w:jc w:val="left"/>
            </w:pPr>
            <w:r>
              <w:t xml:space="preserve">—</w:t>
            </w:r>
          </w:p>
        </w:tc>
        <w:tc>
          <w:tcPr>
            <w:tcW w:w="2976" w:type="dxa"/>
          </w:tcPr>
          <w:tcPr/>
          <w:p>
            <w:pPr>
              <w:pStyle w:val="Compact"/>
              <w:jc w:val="left"/>
            </w:pPr>
            <w:r>
              <w:t xml:space="preserve">Suite d’EASE</w:t>
            </w:r>
          </w:p>
        </w:tc>
        <w:tc>
          <w:tcPr>
            <w:tcW w:w="1741" w:type="dxa"/>
          </w:tcPr>
          <w:tcPr/>
          <w:p>
            <w:pPr>
              <w:pStyle w:val="Compact"/>
              <w:jc w:val="left"/>
            </w:pPr>
            <w:r>
              <w:t xml:space="preserve">—</w:t>
            </w:r>
          </w:p>
        </w:tc>
        <w:tc>
          <w:tcPr>
            <w:tcW w:w="2113" w:type="dxa"/>
          </w:tcPr>
          <w:tcPr/>
          <w:p>
            <w:pPr>
              <w:pStyle w:val="Compact"/>
              <w:jc w:val="left"/>
            </w:pPr>
            <w:r>
              <w:t xml:space="preserve">Pipeline (API BM)</w:t>
            </w:r>
          </w:p>
        </w:tc>
        <w:tc>
          <w:tcPr>
            <w:tcW w:w="754" w:type="dxa"/>
          </w:tcPr>
          <w:tcPr/>
          <w:p>
            <w:pPr>
              <w:pStyle w:val="Compact"/>
              <w:jc w:val="left"/>
            </w:pPr>
            <w:r>
              <w:t xml:space="preserve">[8]</w:t>
            </w:r>
          </w:p>
        </w:tc>
      </w:tr>
      <w:tr>
        <w:tc>
          <w:tcPr>
            <w:tcW w:w="3785" w:type="dxa"/>
          </w:tcPr>
          <w:tcPr/>
          <w:p>
            <w:pPr>
              <w:pStyle w:val="Compact"/>
              <w:jc w:val="left"/>
            </w:pPr>
            <w:r>
              <w:t xml:space="preserve">Guinea Fiscal Sustainability and Effectiveness DPF, P501272</w:t>
            </w:r>
          </w:p>
        </w:tc>
        <w:tc>
          <w:tcPr>
            <w:tcW w:w="698" w:type="dxa"/>
          </w:tcPr>
          <w:tcPr/>
          <w:p>
            <w:pPr>
              <w:pStyle w:val="Compact"/>
              <w:jc w:val="left"/>
            </w:pPr>
            <w:r>
              <w:t xml:space="preserve">BM</w:t>
            </w:r>
          </w:p>
        </w:tc>
        <w:tc>
          <w:tcPr>
            <w:tcW w:w="1513" w:type="dxa"/>
          </w:tcPr>
          <w:tcPr/>
          <w:p>
            <w:pPr>
              <w:pStyle w:val="Compact"/>
              <w:jc w:val="left"/>
            </w:pPr>
            <w:r>
              <w:t xml:space="preserve">100 M USD (concept)</w:t>
            </w:r>
          </w:p>
        </w:tc>
        <w:tc>
          <w:tcPr>
            <w:tcW w:w="986" w:type="dxa"/>
          </w:tcPr>
          <w:tcPr/>
          <w:p>
            <w:pPr>
              <w:pStyle w:val="Compact"/>
              <w:jc w:val="left"/>
            </w:pPr>
            <w:r>
              <w:t xml:space="preserve">concept juin 2024</w:t>
            </w:r>
          </w:p>
        </w:tc>
        <w:tc>
          <w:tcPr>
            <w:tcW w:w="2976" w:type="dxa"/>
          </w:tcPr>
          <w:tcPr/>
          <w:p>
            <w:pPr>
              <w:pStyle w:val="Compact"/>
              <w:jc w:val="left"/>
            </w:pPr>
            <w:r>
              <w:t xml:space="preserve">Performance financière d’EDG</w:t>
            </w:r>
          </w:p>
        </w:tc>
        <w:tc>
          <w:tcPr>
            <w:tcW w:w="1741" w:type="dxa"/>
          </w:tcPr>
          <w:tcPr/>
          <w:p>
            <w:pPr>
              <w:pStyle w:val="Compact"/>
              <w:jc w:val="left"/>
            </w:pPr>
            <w:r>
              <w:t xml:space="preserve">Action préalable 2 (concept) : tarifs différenciés par usager couvrant les coûts d’exploitation d’EDG ; résultat attendu : baisse des dotations budgétaires à EDG</w:t>
            </w:r>
          </w:p>
        </w:tc>
        <w:tc>
          <w:tcPr>
            <w:tcW w:w="2113" w:type="dxa"/>
          </w:tcPr>
          <w:tcPr/>
          <w:p>
            <w:pPr>
              <w:pStyle w:val="Compact"/>
              <w:jc w:val="left"/>
            </w:pPr>
            <w:r>
              <w:t xml:space="preserve">Pipeline (approbation non trouvée [?])</w:t>
            </w:r>
          </w:p>
        </w:tc>
        <w:tc>
          <w:tcPr>
            <w:tcW w:w="754" w:type="dxa"/>
          </w:tcPr>
          <w:tcPr/>
          <w:p>
            <w:pPr>
              <w:pStyle w:val="Compact"/>
              <w:jc w:val="left"/>
            </w:pPr>
            <w:r>
              <w:t xml:space="preserve">[9]</w:t>
            </w:r>
          </w:p>
        </w:tc>
      </w:tr>
      <w:tr>
        <w:tc>
          <w:tcPr>
            <w:tcW w:w="3785" w:type="dxa"/>
          </w:tcPr>
          <w:tcPr/>
          <w:p>
            <w:pPr>
              <w:pStyle w:val="Compact"/>
              <w:jc w:val="left"/>
            </w:pPr>
            <w:r>
              <w:t xml:space="preserve">Guinea First Fiscal Management, Competitiveness, and Energy Reform DPF, P166322</w:t>
            </w:r>
          </w:p>
        </w:tc>
        <w:tc>
          <w:tcPr>
            <w:tcW w:w="698" w:type="dxa"/>
          </w:tcPr>
          <w:tcPr/>
          <w:p>
            <w:pPr>
              <w:pStyle w:val="Compact"/>
              <w:jc w:val="left"/>
            </w:pPr>
            <w:r>
              <w:t xml:space="preserve">BM</w:t>
            </w:r>
          </w:p>
        </w:tc>
        <w:tc>
          <w:tcPr>
            <w:tcW w:w="1513" w:type="dxa"/>
          </w:tcPr>
          <w:tcPr/>
          <w:p>
            <w:pPr>
              <w:pStyle w:val="Compact"/>
              <w:jc w:val="left"/>
            </w:pPr>
            <w:r>
              <w:t xml:space="preserve">90 M USD</w:t>
            </w:r>
          </w:p>
        </w:tc>
        <w:tc>
          <w:tcPr>
            <w:tcW w:w="986" w:type="dxa"/>
          </w:tcPr>
          <w:tcPr/>
          <w:p>
            <w:pPr>
              <w:pStyle w:val="Compact"/>
              <w:jc w:val="left"/>
            </w:pPr>
            <w:r>
              <w:t xml:space="preserve">2019-2020</w:t>
            </w:r>
          </w:p>
        </w:tc>
        <w:tc>
          <w:tcPr>
            <w:tcW w:w="2976" w:type="dxa"/>
          </w:tcPr>
          <w:tcPr/>
          <w:p>
            <w:pPr>
              <w:pStyle w:val="Compact"/>
              <w:jc w:val="left"/>
            </w:pPr>
            <w:r>
              <w:t xml:space="preserve">Réformes énergie (non détaillées ici)</w:t>
            </w:r>
          </w:p>
        </w:tc>
        <w:tc>
          <w:tcPr>
            <w:tcW w:w="1741" w:type="dxa"/>
          </w:tcPr>
          <w:tcPr/>
          <w:p>
            <w:pPr>
              <w:pStyle w:val="Compact"/>
              <w:jc w:val="left"/>
            </w:pPr>
            <w:r>
              <w:t xml:space="preserve">[?]</w:t>
            </w:r>
          </w:p>
        </w:tc>
        <w:tc>
          <w:tcPr>
            <w:tcW w:w="2113" w:type="dxa"/>
          </w:tcPr>
          <w:tcPr/>
          <w:p>
            <w:pPr>
              <w:pStyle w:val="Compact"/>
              <w:jc w:val="left"/>
            </w:pPr>
            <w:r>
              <w:t xml:space="preserve">Clos</w:t>
            </w:r>
          </w:p>
        </w:tc>
        <w:tc>
          <w:tcPr>
            <w:tcW w:w="754" w:type="dxa"/>
          </w:tcPr>
          <w:tcPr/>
          <w:p>
            <w:pPr>
              <w:pStyle w:val="Compact"/>
              <w:jc w:val="left"/>
            </w:pPr>
            <w:r>
              <w:t xml:space="preserve">[8]</w:t>
            </w:r>
          </w:p>
        </w:tc>
      </w:tr>
      <w:tr>
        <w:tc>
          <w:tcPr>
            <w:tcW w:w="3785" w:type="dxa"/>
          </w:tcPr>
          <w:tcPr/>
          <w:p>
            <w:pPr>
              <w:pStyle w:val="Compact"/>
              <w:jc w:val="left"/>
            </w:pPr>
            <w:r>
              <w:t xml:space="preserve">Power Sector Recovery Project, P146696</w:t>
            </w:r>
          </w:p>
        </w:tc>
        <w:tc>
          <w:tcPr>
            <w:tcW w:w="698" w:type="dxa"/>
          </w:tcPr>
          <w:tcPr/>
          <w:p>
            <w:pPr>
              <w:pStyle w:val="Compact"/>
              <w:jc w:val="left"/>
            </w:pPr>
            <w:r>
              <w:t xml:space="preserve">BM</w:t>
            </w:r>
          </w:p>
        </w:tc>
        <w:tc>
          <w:tcPr>
            <w:tcW w:w="1513" w:type="dxa"/>
          </w:tcPr>
          <w:tcPr/>
          <w:p>
            <w:pPr>
              <w:pStyle w:val="Compact"/>
              <w:jc w:val="left"/>
            </w:pPr>
            <w:r>
              <w:t xml:space="preserve">50 M USD</w:t>
            </w:r>
          </w:p>
        </w:tc>
        <w:tc>
          <w:tcPr>
            <w:tcW w:w="986" w:type="dxa"/>
          </w:tcPr>
          <w:tcPr/>
          <w:p>
            <w:pPr>
              <w:pStyle w:val="Compact"/>
              <w:jc w:val="left"/>
            </w:pPr>
            <w:r>
              <w:t xml:space="preserve">2014-2022</w:t>
            </w:r>
          </w:p>
        </w:tc>
        <w:tc>
          <w:tcPr>
            <w:tcW w:w="2976" w:type="dxa"/>
          </w:tcPr>
          <w:tcPr/>
          <w:p>
            <w:pPr>
              <w:pStyle w:val="Compact"/>
              <w:jc w:val="left"/>
            </w:pPr>
            <w:r>
              <w:t xml:space="preserve">Redressement d’EDG (période du contrat de gestion)</w:t>
            </w:r>
          </w:p>
        </w:tc>
        <w:tc>
          <w:tcPr>
            <w:tcW w:w="1741" w:type="dxa"/>
          </w:tcPr>
          <w:tcPr/>
          <w:p>
            <w:pPr>
              <w:pStyle w:val="Compact"/>
              <w:jc w:val="left"/>
            </w:pPr>
            <w:r>
              <w:t xml:space="preserve">—</w:t>
            </w:r>
          </w:p>
        </w:tc>
        <w:tc>
          <w:tcPr>
            <w:tcW w:w="2113" w:type="dxa"/>
          </w:tcPr>
          <w:tcPr/>
          <w:p>
            <w:pPr>
              <w:pStyle w:val="Compact"/>
              <w:jc w:val="left"/>
            </w:pPr>
            <w:r>
              <w:t xml:space="preserve">Clos</w:t>
            </w:r>
          </w:p>
        </w:tc>
        <w:tc>
          <w:tcPr>
            <w:tcW w:w="754" w:type="dxa"/>
          </w:tcPr>
          <w:tcPr/>
          <w:p>
            <w:pPr>
              <w:pStyle w:val="Compact"/>
              <w:jc w:val="left"/>
            </w:pPr>
            <w:r>
              <w:t xml:space="preserve">[8]</w:t>
            </w:r>
          </w:p>
        </w:tc>
      </w:tr>
      <w:tr>
        <w:tc>
          <w:tcPr>
            <w:tcW w:w="3785" w:type="dxa"/>
          </w:tcPr>
          <w:tcPr/>
          <w:p>
            <w:pPr>
              <w:pStyle w:val="Compact"/>
              <w:jc w:val="left"/>
            </w:pPr>
            <w:r>
              <w:t xml:space="preserve">Projet d’interconnexion 225 kV Guinée-Mali (financement additionnel)</w:t>
            </w:r>
          </w:p>
        </w:tc>
        <w:tc>
          <w:tcPr>
            <w:tcW w:w="698" w:type="dxa"/>
          </w:tcPr>
          <w:tcPr/>
          <w:p>
            <w:pPr>
              <w:pStyle w:val="Compact"/>
              <w:jc w:val="left"/>
            </w:pPr>
            <w:r>
              <w:t xml:space="preserve">BAD</w:t>
            </w:r>
          </w:p>
        </w:tc>
        <w:tc>
          <w:tcPr>
            <w:tcW w:w="1513" w:type="dxa"/>
          </w:tcPr>
          <w:tcPr/>
          <w:p>
            <w:pPr>
              <w:pStyle w:val="Compact"/>
              <w:jc w:val="left"/>
            </w:pPr>
            <w:r>
              <w:t xml:space="preserve">25,79 M USD (AF)</w:t>
            </w:r>
          </w:p>
        </w:tc>
        <w:tc>
          <w:tcPr>
            <w:tcW w:w="986" w:type="dxa"/>
          </w:tcPr>
          <w:tcPr/>
          <w:p>
            <w:pPr>
              <w:pStyle w:val="Compact"/>
              <w:jc w:val="left"/>
            </w:pPr>
            <w:r>
              <w:t xml:space="preserve">—</w:t>
            </w:r>
          </w:p>
        </w:tc>
        <w:tc>
          <w:tcPr>
            <w:tcW w:w="2976" w:type="dxa"/>
          </w:tcPr>
          <w:tcPr/>
          <w:p>
            <w:pPr>
              <w:pStyle w:val="Compact"/>
              <w:jc w:val="left"/>
            </w:pPr>
            <w:r>
              <w:t xml:space="preserve">Interconnexion / export</w:t>
            </w:r>
          </w:p>
        </w:tc>
        <w:tc>
          <w:tcPr>
            <w:tcW w:w="1741" w:type="dxa"/>
          </w:tcPr>
          <w:tcPr/>
          <w:p>
            <w:pPr>
              <w:pStyle w:val="Compact"/>
              <w:jc w:val="left"/>
            </w:pPr>
            <w:r>
              <w:t xml:space="preserve">—</w:t>
            </w:r>
          </w:p>
        </w:tc>
        <w:tc>
          <w:tcPr>
            <w:tcW w:w="2113" w:type="dxa"/>
          </w:tcPr>
          <w:tcPr/>
          <w:p>
            <w:pPr>
              <w:pStyle w:val="Compact"/>
              <w:jc w:val="left"/>
            </w:pPr>
            <w:r>
              <w:t xml:space="preserve">[?]</w:t>
            </w:r>
          </w:p>
        </w:tc>
        <w:tc>
          <w:tcPr>
            <w:tcW w:w="754" w:type="dxa"/>
          </w:tcPr>
          <w:tcPr/>
          <w:p>
            <w:pPr>
              <w:pStyle w:val="Compact"/>
              <w:jc w:val="left"/>
            </w:pPr>
            <w:r>
              <w:t xml:space="preserve">[10] [S]</w:t>
            </w:r>
          </w:p>
        </w:tc>
      </w:tr>
      <w:tr>
        <w:tc>
          <w:tcPr>
            <w:tcW w:w="3785" w:type="dxa"/>
          </w:tcPr>
          <w:tcPr/>
          <w:p>
            <w:pPr>
              <w:pStyle w:val="Compact"/>
              <w:jc w:val="left"/>
            </w:pPr>
            <w:r>
              <w:t xml:space="preserve">PAAEG (étude de séparation comptable des fonctions d’EDG) ; PER (44 016 ménages selon le pacte)</w:t>
            </w:r>
          </w:p>
        </w:tc>
        <w:tc>
          <w:tcPr>
            <w:tcW w:w="698" w:type="dxa"/>
          </w:tcPr>
          <w:tcPr/>
          <w:p>
            <w:pPr>
              <w:pStyle w:val="Compact"/>
              <w:jc w:val="left"/>
            </w:pPr>
            <w:r>
              <w:t xml:space="preserve">BAD</w:t>
            </w:r>
          </w:p>
        </w:tc>
        <w:tc>
          <w:tcPr>
            <w:tcW w:w="1513" w:type="dxa"/>
          </w:tcPr>
          <w:tcPr/>
          <w:p>
            <w:pPr>
              <w:pStyle w:val="Compact"/>
              <w:jc w:val="left"/>
            </w:pPr>
            <w:r>
              <w:t xml:space="preserve">[?]</w:t>
            </w:r>
          </w:p>
        </w:tc>
        <w:tc>
          <w:tcPr>
            <w:tcW w:w="986" w:type="dxa"/>
          </w:tcPr>
          <w:tcPr/>
          <w:p>
            <w:pPr>
              <w:pStyle w:val="Compact"/>
              <w:jc w:val="left"/>
            </w:pPr>
            <w:r>
              <w:t xml:space="preserve">—</w:t>
            </w:r>
          </w:p>
        </w:tc>
        <w:tc>
          <w:tcPr>
            <w:tcW w:w="2976" w:type="dxa"/>
          </w:tcPr>
          <w:tcPr/>
          <w:p>
            <w:pPr>
              <w:pStyle w:val="Compact"/>
              <w:jc w:val="left"/>
            </w:pPr>
            <w:r>
              <w:t xml:space="preserve">Accès, réforme comptable d’EDG</w:t>
            </w:r>
          </w:p>
        </w:tc>
        <w:tc>
          <w:tcPr>
            <w:tcW w:w="1741" w:type="dxa"/>
          </w:tcPr>
          <w:tcPr/>
          <w:p>
            <w:pPr>
              <w:pStyle w:val="Compact"/>
              <w:jc w:val="left"/>
            </w:pPr>
            <w:r>
              <w:t xml:space="preserve">—</w:t>
            </w:r>
          </w:p>
        </w:tc>
        <w:tc>
          <w:tcPr>
            <w:tcW w:w="2113" w:type="dxa"/>
          </w:tcPr>
          <w:tcPr/>
          <w:p>
            <w:pPr>
              <w:pStyle w:val="Compact"/>
              <w:jc w:val="left"/>
            </w:pPr>
            <w:r>
              <w:t xml:space="preserve">[?]</w:t>
            </w:r>
          </w:p>
        </w:tc>
        <w:tc>
          <w:tcPr>
            <w:tcW w:w="754" w:type="dxa"/>
          </w:tcPr>
          <w:tcPr/>
          <w:p>
            <w:pPr>
              <w:pStyle w:val="Compact"/>
              <w:jc w:val="left"/>
            </w:pPr>
            <w:r>
              <w:t xml:space="preserve">[10] [S] ; [1] (pacte)</w:t>
            </w:r>
          </w:p>
        </w:tc>
      </w:tr>
      <w:tr>
        <w:tc>
          <w:tcPr>
            <w:tcW w:w="3785" w:type="dxa"/>
          </w:tcPr>
          <w:tcPr/>
          <w:p>
            <w:pPr>
              <w:pStyle w:val="Compact"/>
              <w:jc w:val="left"/>
            </w:pPr>
            <w:r>
              <w:t xml:space="preserve">FMI — RCF 2024 et Article IV</w:t>
            </w:r>
          </w:p>
        </w:tc>
        <w:tc>
          <w:tcPr>
            <w:tcW w:w="698" w:type="dxa"/>
          </w:tcPr>
          <w:tcPr/>
          <w:p>
            <w:pPr>
              <w:pStyle w:val="Compact"/>
              <w:jc w:val="left"/>
            </w:pPr>
            <w:r>
              <w:t xml:space="preserve">FMI</w:t>
            </w:r>
          </w:p>
        </w:tc>
        <w:tc>
          <w:tcPr>
            <w:tcW w:w="1513" w:type="dxa"/>
          </w:tcPr>
          <w:tcPr/>
          <w:p>
            <w:pPr>
              <w:pStyle w:val="Compact"/>
              <w:jc w:val="left"/>
            </w:pPr>
            <w:r>
              <w:t xml:space="preserve">décaissement RCF (montant non extrait)</w:t>
            </w:r>
          </w:p>
        </w:tc>
        <w:tc>
          <w:tcPr>
            <w:tcW w:w="986" w:type="dxa"/>
          </w:tcPr>
          <w:tcPr/>
          <w:p>
            <w:pPr>
              <w:pStyle w:val="Compact"/>
              <w:jc w:val="left"/>
            </w:pPr>
            <w:r>
              <w:t xml:space="preserve">2024</w:t>
            </w:r>
          </w:p>
        </w:tc>
        <w:tc>
          <w:tcPr>
            <w:tcW w:w="2976" w:type="dxa"/>
          </w:tcPr>
          <w:tcPr/>
          <w:p>
            <w:pPr>
              <w:pStyle w:val="Compact"/>
              <w:jc w:val="left"/>
            </w:pPr>
            <w:r>
              <w:t xml:space="preserve">Réduction des subventions à l’électricité</w:t>
            </w:r>
          </w:p>
        </w:tc>
        <w:tc>
          <w:tcPr>
            <w:tcW w:w="1741" w:type="dxa"/>
          </w:tcPr>
          <w:tcPr/>
          <w:p>
            <w:pPr>
              <w:pStyle w:val="Compact"/>
              <w:jc w:val="left"/>
            </w:pPr>
            <w:r>
              <w:t xml:space="preserve">—</w:t>
            </w:r>
          </w:p>
        </w:tc>
        <w:tc>
          <w:tcPr>
            <w:tcW w:w="2113" w:type="dxa"/>
          </w:tcPr>
          <w:tcPr/>
          <w:p>
            <w:pPr>
              <w:pStyle w:val="Compact"/>
              <w:jc w:val="left"/>
            </w:pPr>
            <w:r>
              <w:t xml:space="preserve">Pas de programme FMI de type ECF trouvé en 2025-2026 [?]</w:t>
            </w:r>
          </w:p>
        </w:tc>
        <w:tc>
          <w:tcPr>
            <w:tcW w:w="754" w:type="dxa"/>
          </w:tcPr>
          <w:tcPr/>
          <w:p>
            <w:pPr>
              <w:pStyle w:val="Compact"/>
              <w:jc w:val="left"/>
            </w:pPr>
            <w:r>
              <w:t xml:space="preserve">[2]</w:t>
            </w:r>
          </w:p>
        </w:tc>
      </w:tr>
    </w:tbl>
    <w:bookmarkEnd w:id="187"/>
    <w:bookmarkStart w:id="188" w:name="écart-pacte-réalité-14"/>
    <w:p>
      <w:pPr>
        <w:pStyle w:val="Heading3"/>
      </w:pPr>
      <w:r>
        <w:t xml:space="preserve">5. Écart pacte ↔ réalité</w:t>
      </w:r>
    </w:p>
    <w:p>
      <w:pPr>
        <w:numPr>
          <w:ilvl w:val="0"/>
          <w:numId w:val="1097"/>
        </w:numPr>
        <w:pStyle w:val="Compact"/>
      </w:pPr>
      <w:r>
        <w:rPr>
          <w:bCs/>
          <w:b/>
        </w:rPr>
        <w:t xml:space="preserve">Arriérés IPP</w:t>
      </w:r>
      <w:r>
        <w:t xml:space="preserve"> </w:t>
      </w:r>
      <w:r>
        <w:t xml:space="preserve">: le pacte ne chiffre pas les arriérés d’EDG ; le FMI les évalue à</w:t>
      </w:r>
      <w:r>
        <w:t xml:space="preserve"> </w:t>
      </w:r>
      <w:r>
        <w:rPr>
          <w:bCs/>
          <w:b/>
        </w:rPr>
        <w:t xml:space="preserve">710 M USD</w:t>
      </w:r>
      <w:r>
        <w:t xml:space="preserve"> </w:t>
      </w:r>
      <w:r>
        <w:t xml:space="preserve">(2020-2023, non certifiés) + 20,3 M USD [2] [V] — omission majeure.</w:t>
      </w:r>
    </w:p>
    <w:p>
      <w:pPr>
        <w:numPr>
          <w:ilvl w:val="0"/>
          <w:numId w:val="1097"/>
        </w:numPr>
        <w:pStyle w:val="Compact"/>
      </w:pPr>
      <w:r>
        <w:rPr>
          <w:bCs/>
          <w:b/>
        </w:rPr>
        <w:t xml:space="preserve">Arriérés publics</w:t>
      </w:r>
      <w:r>
        <w:t xml:space="preserve"> </w:t>
      </w:r>
      <w:r>
        <w:t xml:space="preserve">: absents du pacte ; 163 M USD dus par l’administration à EDG (août 2023) [2] [V].</w:t>
      </w:r>
    </w:p>
    <w:p>
      <w:pPr>
        <w:numPr>
          <w:ilvl w:val="0"/>
          <w:numId w:val="1097"/>
        </w:numPr>
        <w:pStyle w:val="Compact"/>
      </w:pPr>
      <w:r>
        <w:rPr>
          <w:bCs/>
          <w:b/>
        </w:rPr>
        <w:t xml:space="preserve">Tarifs</w:t>
      </w:r>
      <w:r>
        <w:t xml:space="preserve"> </w:t>
      </w:r>
      <w:r>
        <w:t xml:space="preserve">: le pacte affiche +12 %/an dès 2024, mais le FMI (mai 2024) note que le dernier relèvement date de septembre 2021 [2] [V] ; aucune hausse 2024-2026 trouvée [?]. La base du pacte (8 ou 10 cents/kWh, couverture 36 % ou 45 %) est proche de l’estimation BM (~40 % de couverture) [2].</w:t>
      </w:r>
    </w:p>
    <w:p>
      <w:pPr>
        <w:numPr>
          <w:ilvl w:val="0"/>
          <w:numId w:val="1097"/>
        </w:numPr>
        <w:pStyle w:val="Compact"/>
      </w:pPr>
      <w:r>
        <w:rPr>
          <w:bCs/>
          <w:b/>
        </w:rPr>
        <w:t xml:space="preserve">Subvention</w:t>
      </w:r>
      <w:r>
        <w:t xml:space="preserve"> </w:t>
      </w:r>
      <w:r>
        <w:t xml:space="preserve">: le pacte promet une baisse de la subvention d’ici fin 2027 ; la dotation passe de 2 844,93 à 3 000 Md GNF entre la LFR 2024 et la LFI 2025 [3] [V] —</w:t>
      </w:r>
      <w:r>
        <w:t xml:space="preserve"> </w:t>
      </w:r>
      <w:r>
        <w:rPr>
          <w:bCs/>
          <w:b/>
        </w:rPr>
        <w:t xml:space="preserve">hausse de 5,5 %</w:t>
      </w:r>
      <w:r>
        <w:t xml:space="preserve">.</w:t>
      </w:r>
    </w:p>
    <w:p>
      <w:pPr>
        <w:numPr>
          <w:ilvl w:val="0"/>
          <w:numId w:val="1097"/>
        </w:numPr>
        <w:pStyle w:val="Compact"/>
      </w:pPr>
      <w:r>
        <w:rPr>
          <w:bCs/>
          <w:b/>
        </w:rPr>
        <w:t xml:space="preserve">Recouvrement</w:t>
      </w:r>
      <w:r>
        <w:t xml:space="preserve"> </w:t>
      </w:r>
      <w:r>
        <w:t xml:space="preserve">: non chiffré dans le pacte ; 50 % (public) / 64 % (privé) selon le FMI [2].</w:t>
      </w:r>
    </w:p>
    <w:p>
      <w:pPr>
        <w:numPr>
          <w:ilvl w:val="0"/>
          <w:numId w:val="1097"/>
        </w:numPr>
        <w:pStyle w:val="Compact"/>
      </w:pPr>
      <w:r>
        <w:rPr>
          <w:bCs/>
          <w:b/>
        </w:rPr>
        <w:t xml:space="preserve">Plan de redressement</w:t>
      </w:r>
      <w:r>
        <w:t xml:space="preserve"> </w:t>
      </w:r>
      <w:r>
        <w:t xml:space="preserve">: le pacte dit le plan « finalisé en 2024 » ; le FMI décrit le plan 2020 comme « en suspens » [2] [V].</w:t>
      </w:r>
    </w:p>
    <w:bookmarkEnd w:id="188"/>
    <w:bookmarkStart w:id="189" w:name="diagnostic-synthétique-14"/>
    <w:p>
      <w:pPr>
        <w:pStyle w:val="Heading3"/>
      </w:pPr>
      <w:r>
        <w:t xml:space="preserve">6. Diagnostic synthétique</w:t>
      </w:r>
    </w:p>
    <w:p>
      <w:pPr>
        <w:numPr>
          <w:ilvl w:val="0"/>
          <w:numId w:val="1098"/>
        </w:numPr>
        <w:pStyle w:val="Compact"/>
      </w:pPr>
      <w:r>
        <w:t xml:space="preserve">Financière :</w:t>
      </w:r>
      <w:r>
        <w:t xml:space="preserve"> </w:t>
      </w:r>
      <w:r>
        <w:rPr>
          <w:bCs/>
          <w:b/>
        </w:rPr>
        <w:t xml:space="preserve">très faible</w:t>
      </w:r>
      <w:r>
        <w:t xml:space="preserve"> </w:t>
      </w:r>
      <w:r>
        <w:t xml:space="preserve">— subvention ≈ 3 000 Md GNF/an (≈ 0,35 Md USD [E]), arriérés IPP &gt; 0,7 Md USD, recouvrement 50-64 %.</w:t>
      </w:r>
    </w:p>
    <w:p>
      <w:pPr>
        <w:numPr>
          <w:ilvl w:val="0"/>
          <w:numId w:val="1098"/>
        </w:numPr>
        <w:pStyle w:val="Compact"/>
      </w:pPr>
      <w:r>
        <w:t xml:space="preserve">Technique :</w:t>
      </w:r>
      <w:r>
        <w:t xml:space="preserve"> </w:t>
      </w:r>
      <w:r>
        <w:rPr>
          <w:bCs/>
          <w:b/>
        </w:rPr>
        <w:t xml:space="preserve">faible</w:t>
      </w:r>
      <w:r>
        <w:t xml:space="preserve"> </w:t>
      </w:r>
      <w:r>
        <w:t xml:space="preserve">— 85 % de clients au forfait, pertes ~30 %, fiabilité très basse (SAIDI 99 h).</w:t>
      </w:r>
    </w:p>
    <w:p>
      <w:pPr>
        <w:numPr>
          <w:ilvl w:val="0"/>
          <w:numId w:val="1098"/>
        </w:numPr>
        <w:pStyle w:val="Compact"/>
      </w:pPr>
      <w:r>
        <w:t xml:space="preserve">Gouvernance :</w:t>
      </w:r>
      <w:r>
        <w:t xml:space="preserve"> </w:t>
      </w:r>
      <w:r>
        <w:rPr>
          <w:bCs/>
          <w:b/>
        </w:rPr>
        <w:t xml:space="preserve">faible</w:t>
      </w:r>
      <w:r>
        <w:t xml:space="preserve"> </w:t>
      </w:r>
      <w:r>
        <w:t xml:space="preserve">— comptes audités avec réserve et en retard, contrats IPP non concurrentiels, plan de redressement non appliqué.</w:t>
      </w:r>
    </w:p>
    <w:p>
      <w:pPr>
        <w:numPr>
          <w:ilvl w:val="0"/>
          <w:numId w:val="1098"/>
        </w:numPr>
        <w:pStyle w:val="Compact"/>
      </w:pPr>
      <w:r>
        <w:t xml:space="preserve">Causes racines : (1) tarifs gelés depuis 2021 et subventions non ciblées ; (2) contrats IPP take-or-pay non concurrentiels ; (3) absence de comptage et fraude massive.</w:t>
      </w:r>
    </w:p>
    <w:p>
      <w:pPr>
        <w:numPr>
          <w:ilvl w:val="0"/>
          <w:numId w:val="1098"/>
        </w:numPr>
        <w:pStyle w:val="Compact"/>
      </w:pPr>
      <w:r>
        <w:t xml:space="preserve">Phase 3 : arrêtés tarifaires conjoints 2024 et leur application réelle, coût de revient par source (hydro vs thermique), tarif social 90 kWh.</w:t>
      </w:r>
    </w:p>
    <w:bookmarkEnd w:id="189"/>
    <w:bookmarkStart w:id="190" w:name="inconnus-14"/>
    <w:p>
      <w:pPr>
        <w:pStyle w:val="Heading3"/>
      </w:pPr>
      <w:r>
        <w:t xml:space="preserve">7. Inconnus</w:t>
      </w:r>
    </w:p>
    <w:p>
      <w:pPr>
        <w:numPr>
          <w:ilvl w:val="0"/>
          <w:numId w:val="1099"/>
        </w:numPr>
        <w:pStyle w:val="Compact"/>
      </w:pPr>
      <w:r>
        <w:t xml:space="preserve">États financiers 2023-2025 d’EDG : [?].</w:t>
      </w:r>
    </w:p>
    <w:p>
      <w:pPr>
        <w:numPr>
          <w:ilvl w:val="0"/>
          <w:numId w:val="1099"/>
        </w:numPr>
        <w:pStyle w:val="Compact"/>
      </w:pPr>
      <w:r>
        <w:t xml:space="preserve">Contrat de performance État-EDG (prévu fin 2025) : signature [?].</w:t>
      </w:r>
    </w:p>
    <w:p>
      <w:pPr>
        <w:numPr>
          <w:ilvl w:val="0"/>
          <w:numId w:val="1099"/>
        </w:numPr>
        <w:pStyle w:val="Compact"/>
      </w:pPr>
      <w:r>
        <w:t xml:space="preserve">Montant actualisé (2025-2026) des arriérés IPP et de l’État : [?].</w:t>
      </w:r>
    </w:p>
    <w:p>
      <w:pPr>
        <w:numPr>
          <w:ilvl w:val="0"/>
          <w:numId w:val="1099"/>
        </w:numPr>
        <w:pStyle w:val="Compact"/>
      </w:pPr>
      <w:r>
        <w:t xml:space="preserve">Approbation et contenu final de la DPF P501272 : [?].</w:t>
      </w:r>
    </w:p>
    <w:p>
      <w:pPr>
        <w:numPr>
          <w:ilvl w:val="0"/>
          <w:numId w:val="1099"/>
        </w:numPr>
        <w:pStyle w:val="Compact"/>
      </w:pPr>
      <w:r>
        <w:t xml:space="preserve">Rapport FMI postérieur à mai 2024 : [?].</w:t>
      </w:r>
    </w:p>
    <w:p>
      <w:pPr>
        <w:numPr>
          <w:ilvl w:val="0"/>
          <w:numId w:val="1099"/>
        </w:numPr>
        <w:pStyle w:val="Compact"/>
      </w:pPr>
      <w:r>
        <w:t xml:space="preserve">Montants BAD (PAAEG, PER) : [?].</w:t>
      </w:r>
    </w:p>
    <w:bookmarkEnd w:id="190"/>
    <w:bookmarkStart w:id="191" w:name="sources-15"/>
    <w:p>
      <w:pPr>
        <w:pStyle w:val="Heading3"/>
      </w:pPr>
      <w:r>
        <w:t xml:space="preserve">Sources</w:t>
      </w:r>
    </w:p>
    <w:p>
      <w:pPr>
        <w:pStyle w:val="FirstParagraph"/>
      </w:pPr>
      <w:r>
        <w:t xml:space="preserve">[1] Fiche phase 1 GIN_guinee.md / Pacte national de l’énergie de la République de Guinée (Mission 300), s.d. (sept. 2025) — référence « (pacte) ».</w:t>
      </w:r>
      <w:r>
        <w:t xml:space="preserve"> </w:t>
      </w:r>
      <w:r>
        <w:t xml:space="preserve">[2] FMI, « Guinea: 2024 Article IV Consultation and Request for Disbursement under the Rapid Credit Facility », IMF Country Report No. 24/130, mai 2024 (§9 note 6, encadré 1). https://www.imf.org/-/media/files/publications/cr/2024/english/1ginea2024001.pdf</w:t>
      </w:r>
      <w:r>
        <w:t xml:space="preserve"> </w:t>
      </w:r>
      <w:r>
        <w:t xml:space="preserve">[3] Conseil national de la Transition (Guinée), « Rapport — Examen du volet dépenses de la Loi de Finances Initiale 2025 », n° 0079, 29/11/2024. https://lelynx.net/wp-content/uploads/2024/12/Rapport-volet-depenses_LFI-20225_VF_OK_F-1.pdf</w:t>
      </w:r>
      <w:r>
        <w:t xml:space="preserve"> </w:t>
      </w:r>
      <w:r>
        <w:t xml:space="preserve">[4] Guinéenews, « Une mission impossible pour Électricité de Guinée (EDG) » (B. C. Bah), 15/09/2026. https://guineenews.org/2026/09/15/une-mission-impossible-pour-electricite-de-guinee-edg-boubacar-caba-bah/</w:t>
      </w:r>
      <w:r>
        <w:t xml:space="preserve"> </w:t>
      </w:r>
      <w:r>
        <w:t xml:space="preserve">[5] Financial Afrik, « Guinée : Veolia remporte la gestion de l’électricité », 28/04/2015. https://www.financialafrik.com/2015/04/28/guinee-veolia-remporte-la-gestion-de-lelectricite/</w:t>
      </w:r>
      <w:r>
        <w:t xml:space="preserve"> </w:t>
      </w:r>
      <w:r>
        <w:t xml:space="preserve">[6] Ministère de l’Énergie / DNE, « Mesures d’économie d’énergie », dépôt RISE (ESMAP), 2024 (contenu vu via résultat de recherche). https://rise.esmap.org/data/files/library/guinea/Energy Efficiency/Guinea_Mesures d’Économie d’Énergie DNE STUDI.pdf</w:t>
      </w:r>
      <w:r>
        <w:t xml:space="preserve"> </w:t>
      </w:r>
      <w:r>
        <w:t xml:space="preserve">[7] Banque mondiale, ISR « Guinea Electricity Access Scale Up Project (P164225) », 23/12/2024. https://documents.worldbank.org/curated/en/099122324111017916/pdf/P1642251292d5b02a1b43615071a9d3b4e8.pdf</w:t>
      </w:r>
      <w:r>
        <w:t xml:space="preserve"> </w:t>
      </w:r>
      <w:r>
        <w:t xml:space="preserve">[8] Banque mondiale, API projets (countrycode GN), extraction du 18/10/2026.</w:t>
      </w:r>
      <w:r>
        <w:t xml:space="preserve"> </w:t>
      </w:r>
      <w:r>
        <w:t xml:space="preserve">[9] Banque mondiale, « Concept Program Information Document — Guinea Fiscal Sustainability and Effectiveness DPF (P501272) », 27/06/2024. https://documents.worldbank.org/curated/en/099062724164017481/pdf/P50127211fd8630b188051acf99129414d.pdf</w:t>
      </w:r>
      <w:r>
        <w:t xml:space="preserve"> </w:t>
      </w:r>
      <w:r>
        <w:t xml:space="preserve">[10] Résultats de recherche (fr.allafrica.com, déc. 2025 ; guineenews) sur le financement additionnel BAD Guinée-Mali et le PAAEG — non vérifiés en source BAD primaire ; l’attribution exacte de chaque information à l’un des deux articles n’a pas été vérifiée. https://fr.allafrica.com/stories/202512120428.html ; https://fr.allafrica.com/stories/202512150533.html</w:t>
      </w:r>
    </w:p>
    <w:p>
      <w:r>
        <w:br w:type="page"/>
      </w:r>
    </w:p>
    <w:bookmarkEnd w:id="191"/>
    <w:bookmarkEnd w:id="192"/>
    <w:bookmarkStart w:id="202" w:name="X4463ef7605f56c2b5a736d9ad413b34d1ab68f5"/>
    <w:p>
      <w:pPr>
        <w:pStyle w:val="Heading2"/>
      </w:pPr>
      <w:r>
        <w:t xml:space="preserve">Diagnostic opérateur — National Water and Electricity Company (NAWEC) (Gambie)</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../phase1/fiches/GMB_gambie.md.</w:t>
      </w:r>
    </w:p>
    <w:bookmarkStart w:id="193" w:name="identité-15"/>
    <w:p>
      <w:pPr>
        <w:pStyle w:val="Heading3"/>
      </w:pPr>
      <w:r>
        <w:t xml:space="preserve">0. Identité</w:t>
      </w:r>
    </w:p>
    <w:p>
      <w:pPr>
        <w:numPr>
          <w:ilvl w:val="0"/>
          <w:numId w:val="1100"/>
        </w:numPr>
        <w:pStyle w:val="Compact"/>
      </w:pPr>
      <w:r>
        <w:t xml:space="preserve">Opérateur : NAWEC, société publique intégrée eau + électricité (production HFO publique dont Kotu, solaire de Jambur 23 MWc + 8 MWh, transport et distribution en monopole) ; importations (Sénégal/Senelec, OMVG/Guinée) ; IPP (centrale flottante non renouvelée en 2025) [1] (pacte) ; [6] [S].</w:t>
      </w:r>
    </w:p>
    <w:p>
      <w:pPr>
        <w:numPr>
          <w:ilvl w:val="0"/>
          <w:numId w:val="1100"/>
        </w:numPr>
        <w:pStyle w:val="Compact"/>
      </w:pPr>
      <w:r>
        <w:t xml:space="preserve">Statut / tutelle : entreprise publique ; tutelle Ministry of Petroleum, Energy and Mines ; séparation eau/électricité décidée (pacte) [1].</w:t>
      </w:r>
    </w:p>
    <w:p>
      <w:pPr>
        <w:numPr>
          <w:ilvl w:val="0"/>
          <w:numId w:val="1100"/>
        </w:numPr>
        <w:pStyle w:val="Compact"/>
      </w:pPr>
      <w:r>
        <w:t xml:space="preserve">Régulateur : Public Utilities Regulatory Authority (PURA) [1].</w:t>
      </w:r>
    </w:p>
    <w:p>
      <w:pPr>
        <w:numPr>
          <w:ilvl w:val="0"/>
          <w:numId w:val="1100"/>
        </w:numPr>
        <w:pStyle w:val="Compact"/>
      </w:pPr>
      <w:r>
        <w:t xml:space="preserve">Dernier exercice publié : comptes audités « publiés mais en retard » (pacte) [1] ; résultat 2024 non audité (pacte). Comptes audités 2023-2025 en source primaire : [?] non trouvés.</w:t>
      </w:r>
    </w:p>
    <w:bookmarkEnd w:id="193"/>
    <w:bookmarkStart w:id="194" w:name="situation-financière-15"/>
    <w:p>
      <w:pPr>
        <w:pStyle w:val="Heading3"/>
      </w:pPr>
      <w:r>
        <w:t xml:space="preserve">1. Situation financière</w:t>
      </w:r>
    </w:p>
    <w:tbl>
      <w:tblPr>
        <w:tblStyle w:val="Table"/>
        <w:tblW w:type="dxa" w:w="14570"/>
        <w:tblLook w:firstRow="1" w:lastRow="0" w:firstColumn="0" w:lastColumn="0" w:noHBand="0" w:noVBand="0" w:val="0020"/>
        <w:jc w:val="start"/>
      </w:tblPr>
      <w:tblGrid>
        <w:gridCol w:w="3194"/>
        <w:gridCol w:w="7787"/>
        <w:gridCol w:w="1119"/>
        <w:gridCol w:w="1429"/>
        <w:gridCol w:w="1039"/>
      </w:tblGrid>
      <w:tr>
        <w:trPr>
          <w:tblHeader w:val="true"/>
        </w:trPr>
        <w:tc>
          <w:tcPr>
            <w:tcW w:w="3194" w:type="dxa"/>
          </w:tcPr>
          <w:tcPr/>
          <w:p>
            <w:pPr>
              <w:pStyle w:val="Compact"/>
              <w:jc w:val="left"/>
            </w:pPr>
            <w:r>
              <w:t xml:space="preserve">Indicateur</w:t>
            </w:r>
          </w:p>
        </w:tc>
        <w:tc>
          <w:tcPr>
            <w:tcW w:w="7787" w:type="dxa"/>
          </w:tcPr>
          <w:tcPr/>
          <w:p>
            <w:pPr>
              <w:pStyle w:val="Compact"/>
              <w:jc w:val="left"/>
            </w:pPr>
            <w:r>
              <w:t xml:space="preserve">Valeur</w:t>
            </w:r>
          </w:p>
        </w:tc>
        <w:tc>
          <w:tcPr>
            <w:tcW w:w="1119" w:type="dxa"/>
          </w:tcPr>
          <w:tcPr/>
          <w:p>
            <w:pPr>
              <w:pStyle w:val="Compact"/>
              <w:jc w:val="left"/>
            </w:pPr>
            <w:r>
              <w:t xml:space="preserve">Année</w:t>
            </w:r>
          </w:p>
        </w:tc>
        <w:tc>
          <w:tcPr>
            <w:tcW w:w="1429" w:type="dxa"/>
          </w:tcPr>
          <w:tcPr/>
          <w:p>
            <w:pPr>
              <w:pStyle w:val="Compact"/>
              <w:jc w:val="left"/>
            </w:pPr>
            <w:r>
              <w:t xml:space="preserve">Statut</w:t>
            </w:r>
          </w:p>
        </w:tc>
        <w:tc>
          <w:tcPr>
            <w:tcW w:w="1039" w:type="dxa"/>
          </w:tcPr>
          <w:tcPr/>
          <w:p>
            <w:pPr>
              <w:pStyle w:val="Compact"/>
              <w:jc w:val="left"/>
            </w:pPr>
            <w:r>
              <w:t xml:space="preserve">Source</w:t>
            </w:r>
          </w:p>
        </w:tc>
      </w:tr>
      <w:tr>
        <w:tc>
          <w:tcPr>
            <w:tcW w:w="3194" w:type="dxa"/>
          </w:tcPr>
          <w:tcPr/>
          <w:p>
            <w:pPr>
              <w:pStyle w:val="Compact"/>
              <w:jc w:val="left"/>
            </w:pPr>
            <w:r>
              <w:t xml:space="preserve">Résultat net</w:t>
            </w:r>
          </w:p>
        </w:tc>
        <w:tc>
          <w:tcPr>
            <w:tcW w:w="7787" w:type="dxa"/>
          </w:tcPr>
          <w:tcPr/>
          <w:p>
            <w:pPr>
              <w:pStyle w:val="Compact"/>
              <w:jc w:val="left"/>
            </w:pPr>
            <w:r>
              <w:t xml:space="preserve">−45 M USD (pertes nettes)</w:t>
            </w:r>
          </w:p>
        </w:tc>
        <w:tc>
          <w:tcPr>
            <w:tcW w:w="1119" w:type="dxa"/>
          </w:tcPr>
          <w:tcPr/>
          <w:p>
            <w:pPr>
              <w:pStyle w:val="Compact"/>
              <w:jc w:val="left"/>
            </w:pPr>
            <w:r>
              <w:t xml:space="preserve">2023</w:t>
            </w:r>
          </w:p>
        </w:tc>
        <w:tc>
          <w:tcPr>
            <w:tcW w:w="1429" w:type="dxa"/>
          </w:tcPr>
          <w:tcPr/>
          <w:p>
            <w:pPr>
              <w:pStyle w:val="Compact"/>
              <w:jc w:val="left"/>
            </w:pPr>
            <w:r>
              <w:t xml:space="preserve">[V]</w:t>
            </w:r>
          </w:p>
        </w:tc>
        <w:tc>
          <w:tcPr>
            <w:tcW w:w="1039" w:type="dxa"/>
          </w:tcPr>
          <w:tcPr/>
          <w:p>
            <w:pPr>
              <w:pStyle w:val="Compact"/>
              <w:jc w:val="left"/>
            </w:pPr>
            <w:r>
              <w:t xml:space="preserve">[2]</w:t>
            </w:r>
          </w:p>
        </w:tc>
      </w:tr>
      <w:tr>
        <w:tc>
          <w:tcPr>
            <w:tcW w:w="3194" w:type="dxa"/>
          </w:tcPr>
          <w:tcPr/>
          <w:p>
            <w:pPr>
              <w:pStyle w:val="Compact"/>
              <w:jc w:val="left"/>
            </w:pPr>
            <w:r>
              <w:t xml:space="preserve">Résultat net</w:t>
            </w:r>
          </w:p>
        </w:tc>
        <w:tc>
          <w:tcPr>
            <w:tcW w:w="7787" w:type="dxa"/>
          </w:tcPr>
          <w:tcPr/>
          <w:p>
            <w:pPr>
              <w:pStyle w:val="Compact"/>
              <w:jc w:val="left"/>
            </w:pPr>
            <w:r>
              <w:t xml:space="preserve">−33,6 M USD (non audité) ; marge nette −28 % ou −37 % (pacte, incohérent)</w:t>
            </w:r>
          </w:p>
        </w:tc>
        <w:tc>
          <w:tcPr>
            <w:tcW w:w="1119" w:type="dxa"/>
          </w:tcPr>
          <w:tcPr/>
          <w:p>
            <w:pPr>
              <w:pStyle w:val="Compact"/>
              <w:jc w:val="left"/>
            </w:pPr>
            <w:r>
              <w:t xml:space="preserve">2024</w:t>
            </w:r>
          </w:p>
        </w:tc>
        <w:tc>
          <w:tcPr>
            <w:tcW w:w="1429" w:type="dxa"/>
          </w:tcPr>
          <w:tcPr/>
          <w:p>
            <w:pPr>
              <w:pStyle w:val="Compact"/>
              <w:jc w:val="left"/>
            </w:pPr>
            <w:r>
              <w:t xml:space="preserve">(pacte)</w:t>
            </w:r>
          </w:p>
        </w:tc>
        <w:tc>
          <w:tcPr>
            <w:tcW w:w="1039" w:type="dxa"/>
          </w:tcPr>
          <w:tcPr/>
          <w:p>
            <w:pPr>
              <w:pStyle w:val="Compact"/>
              <w:jc w:val="left"/>
            </w:pPr>
            <w:r>
              <w:t xml:space="preserve">[1]</w:t>
            </w:r>
          </w:p>
        </w:tc>
      </w:tr>
      <w:tr>
        <w:tc>
          <w:tcPr>
            <w:tcW w:w="3194" w:type="dxa"/>
          </w:tcPr>
          <w:tcPr/>
          <w:p>
            <w:pPr>
              <w:pStyle w:val="Compact"/>
              <w:jc w:val="left"/>
            </w:pPr>
            <w:r>
              <w:t xml:space="preserve">Transferts de l’État</w:t>
            </w:r>
          </w:p>
        </w:tc>
        <w:tc>
          <w:tcPr>
            <w:tcW w:w="7787" w:type="dxa"/>
          </w:tcPr>
          <w:tcPr/>
          <w:p>
            <w:pPr>
              <w:pStyle w:val="Compact"/>
              <w:jc w:val="left"/>
            </w:pPr>
            <w:r>
              <w:t xml:space="preserve">20 M USD versés en 2024 au titre du mécanisme de compensation des recettes (RCM, écart tarif approuvé / revenu requis), pour payer deux fournisseurs et assurer la continuité</w:t>
            </w:r>
          </w:p>
        </w:tc>
        <w:tc>
          <w:tcPr>
            <w:tcW w:w="1119" w:type="dxa"/>
          </w:tcPr>
          <w:tcPr/>
          <w:p>
            <w:pPr>
              <w:pStyle w:val="Compact"/>
              <w:jc w:val="left"/>
            </w:pPr>
            <w:r>
              <w:t xml:space="preserve">2024</w:t>
            </w:r>
          </w:p>
        </w:tc>
        <w:tc>
          <w:tcPr>
            <w:tcW w:w="1429" w:type="dxa"/>
          </w:tcPr>
          <w:tcPr/>
          <w:p>
            <w:pPr>
              <w:pStyle w:val="Compact"/>
              <w:jc w:val="left"/>
            </w:pPr>
            <w:r>
              <w:t xml:space="preserve">[V]</w:t>
            </w:r>
          </w:p>
        </w:tc>
        <w:tc>
          <w:tcPr>
            <w:tcW w:w="1039" w:type="dxa"/>
          </w:tcPr>
          <w:tcPr/>
          <w:p>
            <w:pPr>
              <w:pStyle w:val="Compact"/>
              <w:jc w:val="left"/>
            </w:pPr>
            <w:r>
              <w:t xml:space="preserve">[2]</w:t>
            </w:r>
          </w:p>
        </w:tc>
      </w:tr>
      <w:tr>
        <w:tc>
          <w:tcPr>
            <w:tcW w:w="3194" w:type="dxa"/>
          </w:tcPr>
          <w:tcPr/>
          <w:p>
            <w:pPr>
              <w:pStyle w:val="Compact"/>
              <w:jc w:val="left"/>
            </w:pPr>
            <w:r>
              <w:t xml:space="preserve">Arriérés de l’État envers NAWEC (historique)</w:t>
            </w:r>
          </w:p>
        </w:tc>
        <w:tc>
          <w:tcPr>
            <w:tcW w:w="7787" w:type="dxa"/>
          </w:tcPr>
          <w:tcPr/>
          <w:p>
            <w:pPr>
              <w:pStyle w:val="Compact"/>
              <w:jc w:val="left"/>
            </w:pPr>
            <w:r>
              <w:t xml:space="preserve">&gt; 500 M GMD d’arriérés + ~750 M GMD d’arriérés de subvention ; ~7 mois de factures impayées</w:t>
            </w:r>
          </w:p>
        </w:tc>
        <w:tc>
          <w:tcPr>
            <w:tcW w:w="1119" w:type="dxa"/>
          </w:tcPr>
          <w:tcPr/>
          <w:p>
            <w:pPr>
              <w:pStyle w:val="Compact"/>
              <w:jc w:val="left"/>
            </w:pPr>
            <w:r>
              <w:t xml:space="preserve">2023</w:t>
            </w:r>
          </w:p>
        </w:tc>
        <w:tc>
          <w:tcPr>
            <w:tcW w:w="1429" w:type="dxa"/>
          </w:tcPr>
          <w:tcPr/>
          <w:p>
            <w:pPr>
              <w:pStyle w:val="Compact"/>
              <w:jc w:val="left"/>
            </w:pPr>
            <w:r>
              <w:t xml:space="preserve">[S]</w:t>
            </w:r>
          </w:p>
        </w:tc>
        <w:tc>
          <w:tcPr>
            <w:tcW w:w="1039" w:type="dxa"/>
          </w:tcPr>
          <w:tcPr/>
          <w:p>
            <w:pPr>
              <w:pStyle w:val="Compact"/>
              <w:jc w:val="left"/>
            </w:pPr>
            <w:r>
              <w:t xml:space="preserve">[3]</w:t>
            </w:r>
          </w:p>
        </w:tc>
      </w:tr>
      <w:tr>
        <w:tc>
          <w:tcPr>
            <w:tcW w:w="3194" w:type="dxa"/>
          </w:tcPr>
          <w:tcPr/>
          <w:p>
            <w:pPr>
              <w:pStyle w:val="Compact"/>
              <w:jc w:val="left"/>
            </w:pPr>
            <w:r>
              <w:t xml:space="preserve">Dette envers fournisseurs</w:t>
            </w:r>
          </w:p>
        </w:tc>
        <w:tc>
          <w:tcPr>
            <w:tcW w:w="7787" w:type="dxa"/>
          </w:tcPr>
          <w:tcPr/>
          <w:p>
            <w:pPr>
              <w:pStyle w:val="Compact"/>
              <w:jc w:val="left"/>
            </w:pPr>
            <w:r>
              <w:t xml:space="preserve">~900 M GMD envers Senelec (2023), qui a coupé ~95 % de son alimentation [S] ; 40 M USD (texte) ou 18,0 M USD envers IPP (annexe) selon le pacte</w:t>
            </w:r>
          </w:p>
        </w:tc>
        <w:tc>
          <w:tcPr>
            <w:tcW w:w="1119" w:type="dxa"/>
          </w:tcPr>
          <w:tcPr/>
          <w:p>
            <w:pPr>
              <w:pStyle w:val="Compact"/>
              <w:jc w:val="left"/>
            </w:pPr>
            <w:r>
              <w:t xml:space="preserve">2023-2024</w:t>
            </w:r>
          </w:p>
        </w:tc>
        <w:tc>
          <w:tcPr>
            <w:tcW w:w="1429" w:type="dxa"/>
          </w:tcPr>
          <w:tcPr/>
          <w:p>
            <w:pPr>
              <w:pStyle w:val="Compact"/>
              <w:jc w:val="left"/>
            </w:pPr>
            <w:r>
              <w:t xml:space="preserve">[S] / (pacte)</w:t>
            </w:r>
          </w:p>
        </w:tc>
        <w:tc>
          <w:tcPr>
            <w:tcW w:w="1039" w:type="dxa"/>
          </w:tcPr>
          <w:tcPr/>
          <w:p>
            <w:pPr>
              <w:pStyle w:val="Compact"/>
              <w:jc w:val="left"/>
            </w:pPr>
            <w:r>
              <w:t xml:space="preserve">[3][1]</w:t>
            </w:r>
          </w:p>
        </w:tc>
      </w:tr>
      <w:tr>
        <w:tc>
          <w:tcPr>
            <w:tcW w:w="3194" w:type="dxa"/>
          </w:tcPr>
          <w:tcPr/>
          <w:p>
            <w:pPr>
              <w:pStyle w:val="Compact"/>
              <w:jc w:val="left"/>
            </w:pPr>
            <w:r>
              <w:t xml:space="preserve">Reprise de dette</w:t>
            </w:r>
          </w:p>
        </w:tc>
        <w:tc>
          <w:tcPr>
            <w:tcW w:w="7787" w:type="dxa"/>
          </w:tcPr>
          <w:tcPr/>
          <w:p>
            <w:pPr>
              <w:pStyle w:val="Compact"/>
              <w:jc w:val="left"/>
            </w:pPr>
            <w:r>
              <w:t xml:space="preserve">75 % des dettes de NAWEC reprises par l’État en 2019 (pacte)</w:t>
            </w:r>
          </w:p>
        </w:tc>
        <w:tc>
          <w:tcPr>
            <w:tcW w:w="1119" w:type="dxa"/>
          </w:tcPr>
          <w:tcPr/>
          <w:p>
            <w:pPr>
              <w:pStyle w:val="Compact"/>
              <w:jc w:val="left"/>
            </w:pPr>
            <w:r>
              <w:t xml:space="preserve">2019</w:t>
            </w:r>
          </w:p>
        </w:tc>
        <w:tc>
          <w:tcPr>
            <w:tcW w:w="1429" w:type="dxa"/>
          </w:tcPr>
          <w:tcPr/>
          <w:p>
            <w:pPr>
              <w:pStyle w:val="Compact"/>
              <w:jc w:val="left"/>
            </w:pPr>
            <w:r>
              <w:t xml:space="preserve">(pacte)</w:t>
            </w:r>
          </w:p>
        </w:tc>
        <w:tc>
          <w:tcPr>
            <w:tcW w:w="1039" w:type="dxa"/>
          </w:tcPr>
          <w:tcPr/>
          <w:p>
            <w:pPr>
              <w:pStyle w:val="Compact"/>
              <w:jc w:val="left"/>
            </w:pPr>
            <w:r>
              <w:t xml:space="preserve">[1]</w:t>
            </w:r>
          </w:p>
        </w:tc>
      </w:tr>
      <w:tr>
        <w:tc>
          <w:tcPr>
            <w:tcW w:w="3194" w:type="dxa"/>
          </w:tcPr>
          <w:tcPr/>
          <w:p>
            <w:pPr>
              <w:pStyle w:val="Compact"/>
              <w:jc w:val="left"/>
            </w:pPr>
            <w:r>
              <w:t xml:space="preserve">Taux de recouvrement</w:t>
            </w:r>
          </w:p>
        </w:tc>
        <w:tc>
          <w:tcPr>
            <w:tcW w:w="7787" w:type="dxa"/>
          </w:tcPr>
          <w:tcPr/>
          <w:p>
            <w:pPr>
              <w:pStyle w:val="Compact"/>
              <w:jc w:val="left"/>
            </w:pPr>
            <w:r>
              <w:t xml:space="preserve">[?] non trouvé (prépaiement &gt; 97 % des clients selon le pacte)</w:t>
            </w:r>
          </w:p>
        </w:tc>
        <w:tc>
          <w:tcPr>
            <w:tcW w:w="1119" w:type="dxa"/>
          </w:tcPr>
          <w:tcPr/>
          <w:p>
            <w:pPr>
              <w:pStyle w:val="Compact"/>
              <w:jc w:val="left"/>
            </w:pPr>
            <w:r>
              <w:t xml:space="preserve">—</w:t>
            </w:r>
          </w:p>
        </w:tc>
        <w:tc>
          <w:tcPr>
            <w:tcW w:w="1429" w:type="dxa"/>
          </w:tcPr>
          <w:tcPr/>
          <w:p>
            <w:pPr>
              <w:pStyle w:val="Compact"/>
              <w:jc w:val="left"/>
            </w:pPr>
            <w:r>
              <w:t xml:space="preserve">[?]</w:t>
            </w:r>
          </w:p>
        </w:tc>
        <w:tc>
          <w:tcPr>
            <w:tcW w:w="1039" w:type="dxa"/>
          </w:tcPr>
          <w:tcPr/>
          <w:p>
            <w:pPr>
              <w:pStyle w:val="Compact"/>
              <w:jc w:val="left"/>
            </w:pPr>
            <w:r>
              <w:t xml:space="preserve">[1]</w:t>
            </w:r>
          </w:p>
        </w:tc>
      </w:tr>
      <w:tr>
        <w:tc>
          <w:tcPr>
            <w:tcW w:w="3194" w:type="dxa"/>
          </w:tcPr>
          <w:tcPr/>
          <w:p>
            <w:pPr>
              <w:pStyle w:val="Compact"/>
              <w:jc w:val="left"/>
            </w:pPr>
            <w:r>
              <w:t xml:space="preserve">Tarif moyen vs coût</w:t>
            </w:r>
          </w:p>
        </w:tc>
        <w:tc>
          <w:tcPr>
            <w:tcW w:w="7787" w:type="dxa"/>
          </w:tcPr>
          <w:tcPr/>
          <w:p>
            <w:pPr>
              <w:pStyle w:val="Compact"/>
              <w:jc w:val="left"/>
            </w:pPr>
            <w:r>
              <w:t xml:space="preserve">tarif moyen 0,22 USD/kWh (2023) [V] ; coût moyen de production 0,18 USD/kWh, importations 0,16 USD/kWh (pacte)</w:t>
            </w:r>
          </w:p>
        </w:tc>
        <w:tc>
          <w:tcPr>
            <w:tcW w:w="1119" w:type="dxa"/>
          </w:tcPr>
          <w:tcPr/>
          <w:p>
            <w:pPr>
              <w:pStyle w:val="Compact"/>
              <w:jc w:val="left"/>
            </w:pPr>
            <w:r>
              <w:t xml:space="preserve">2023-2024</w:t>
            </w:r>
          </w:p>
        </w:tc>
        <w:tc>
          <w:tcPr>
            <w:tcW w:w="1429" w:type="dxa"/>
          </w:tcPr>
          <w:tcPr/>
          <w:p>
            <w:pPr>
              <w:pStyle w:val="Compact"/>
              <w:jc w:val="left"/>
            </w:pPr>
            <w:r>
              <w:t xml:space="preserve">[V]/(pacte)</w:t>
            </w:r>
          </w:p>
        </w:tc>
        <w:tc>
          <w:tcPr>
            <w:tcW w:w="1039" w:type="dxa"/>
          </w:tcPr>
          <w:tcPr/>
          <w:p>
            <w:pPr>
              <w:pStyle w:val="Compact"/>
              <w:jc w:val="left"/>
            </w:pPr>
            <w:r>
              <w:t xml:space="preserve">[2][1]</w:t>
            </w:r>
          </w:p>
        </w:tc>
      </w:tr>
      <w:tr>
        <w:tc>
          <w:tcPr>
            <w:tcW w:w="3194" w:type="dxa"/>
          </w:tcPr>
          <w:tcPr/>
          <w:p>
            <w:pPr>
              <w:pStyle w:val="Compact"/>
              <w:jc w:val="left"/>
            </w:pPr>
            <w:r>
              <w:t xml:space="preserve">Notation de crédit</w:t>
            </w:r>
          </w:p>
        </w:tc>
        <w:tc>
          <w:tcPr>
            <w:tcW w:w="7787" w:type="dxa"/>
          </w:tcPr>
          <w:tcPr/>
          <w:p>
            <w:pPr>
              <w:pStyle w:val="Compact"/>
              <w:jc w:val="left"/>
            </w:pPr>
            <w:r>
              <w:t xml:space="preserve">aucune (fonds propres négatifs selon le pacte)</w:t>
            </w:r>
          </w:p>
        </w:tc>
        <w:tc>
          <w:tcPr>
            <w:tcW w:w="1119" w:type="dxa"/>
          </w:tcPr>
          <w:tcPr/>
          <w:p>
            <w:pPr>
              <w:pStyle w:val="Compact"/>
              <w:jc w:val="left"/>
            </w:pPr>
            <w:r>
              <w:t xml:space="preserve">—</w:t>
            </w:r>
          </w:p>
        </w:tc>
        <w:tc>
          <w:tcPr>
            <w:tcW w:w="1429" w:type="dxa"/>
          </w:tcPr>
          <w:tcPr/>
          <w:p>
            <w:pPr>
              <w:pStyle w:val="Compact"/>
              <w:jc w:val="left"/>
            </w:pPr>
            <w:r>
              <w:t xml:space="preserve">(pacte)</w:t>
            </w:r>
          </w:p>
        </w:tc>
        <w:tc>
          <w:tcPr>
            <w:tcW w:w="1039" w:type="dxa"/>
          </w:tcPr>
          <w:tcPr/>
          <w:p>
            <w:pPr>
              <w:pStyle w:val="Compact"/>
              <w:jc w:val="left"/>
            </w:pPr>
            <w:r>
              <w:t xml:space="preserve">[1]</w:t>
            </w:r>
          </w:p>
        </w:tc>
      </w:tr>
    </w:tbl>
    <w:bookmarkEnd w:id="194"/>
    <w:bookmarkStart w:id="195" w:name="situation-technique-15"/>
    <w:p>
      <w:pPr>
        <w:pStyle w:val="Heading3"/>
      </w:pPr>
      <w:r>
        <w:t xml:space="preserve">2. Situation technique</w:t>
      </w:r>
    </w:p>
    <w:tbl>
      <w:tblPr>
        <w:tblStyle w:val="Table"/>
        <w:tblW w:type="dxa" w:w="14570"/>
        <w:tblLook w:firstRow="1" w:lastRow="0" w:firstColumn="0" w:lastColumn="0" w:noHBand="0" w:noVBand="0" w:val="0020"/>
        <w:jc w:val="start"/>
      </w:tblPr>
      <w:tblGrid>
        <w:gridCol w:w="4015"/>
        <w:gridCol w:w="6246"/>
        <w:gridCol w:w="1556"/>
        <w:gridCol w:w="1530"/>
        <w:gridCol w:w="1221"/>
      </w:tblGrid>
      <w:tr>
        <w:trPr>
          <w:tblHeader w:val="true"/>
        </w:trPr>
        <w:tc>
          <w:tcPr>
            <w:tcW w:w="4015" w:type="dxa"/>
          </w:tcPr>
          <w:tcPr/>
          <w:p>
            <w:pPr>
              <w:pStyle w:val="Compact"/>
              <w:jc w:val="left"/>
            </w:pPr>
            <w:r>
              <w:t xml:space="preserve">Indicateur</w:t>
            </w:r>
          </w:p>
        </w:tc>
        <w:tc>
          <w:tcPr>
            <w:tcW w:w="6246" w:type="dxa"/>
          </w:tcPr>
          <w:tcPr/>
          <w:p>
            <w:pPr>
              <w:pStyle w:val="Compact"/>
              <w:jc w:val="left"/>
            </w:pPr>
            <w:r>
              <w:t xml:space="preserve">Valeur</w:t>
            </w:r>
          </w:p>
        </w:tc>
        <w:tc>
          <w:tcPr>
            <w:tcW w:w="1556" w:type="dxa"/>
          </w:tcPr>
          <w:tcPr/>
          <w:p>
            <w:pPr>
              <w:pStyle w:val="Compact"/>
              <w:jc w:val="left"/>
            </w:pPr>
            <w:r>
              <w:t xml:space="preserve">Année</w:t>
            </w:r>
          </w:p>
        </w:tc>
        <w:tc>
          <w:tcPr>
            <w:tcW w:w="1530" w:type="dxa"/>
          </w:tcPr>
          <w:tcPr/>
          <w:p>
            <w:pPr>
              <w:pStyle w:val="Compact"/>
              <w:jc w:val="left"/>
            </w:pPr>
            <w:r>
              <w:t xml:space="preserve">Statut</w:t>
            </w:r>
          </w:p>
        </w:tc>
        <w:tc>
          <w:tcPr>
            <w:tcW w:w="1221" w:type="dxa"/>
          </w:tcPr>
          <w:tcPr/>
          <w:p>
            <w:pPr>
              <w:pStyle w:val="Compact"/>
              <w:jc w:val="left"/>
            </w:pPr>
            <w:r>
              <w:t xml:space="preserve">Source</w:t>
            </w:r>
          </w:p>
        </w:tc>
      </w:tr>
      <w:tr>
        <w:tc>
          <w:tcPr>
            <w:tcW w:w="4015" w:type="dxa"/>
          </w:tcPr>
          <w:tcPr/>
          <w:p>
            <w:pPr>
              <w:pStyle w:val="Compact"/>
              <w:jc w:val="left"/>
            </w:pPr>
            <w:r>
              <w:t xml:space="preserve">Pertes transport + distribution (Grand Banjul)</w:t>
            </w:r>
          </w:p>
        </w:tc>
        <w:tc>
          <w:tcPr>
            <w:tcW w:w="6246" w:type="dxa"/>
          </w:tcPr>
          <w:tcPr/>
          <w:p>
            <w:pPr>
              <w:pStyle w:val="Compact"/>
              <w:jc w:val="left"/>
            </w:pPr>
            <w:r>
              <w:t xml:space="preserve">21 % (oct. 2024)</w:t>
            </w:r>
          </w:p>
        </w:tc>
        <w:tc>
          <w:tcPr>
            <w:tcW w:w="1556" w:type="dxa"/>
          </w:tcPr>
          <w:tcPr/>
          <w:p>
            <w:pPr>
              <w:pStyle w:val="Compact"/>
              <w:jc w:val="left"/>
            </w:pPr>
            <w:r>
              <w:t xml:space="preserve">2024</w:t>
            </w:r>
          </w:p>
        </w:tc>
        <w:tc>
          <w:tcPr>
            <w:tcW w:w="1530" w:type="dxa"/>
          </w:tcPr>
          <w:tcPr/>
          <w:p>
            <w:pPr>
              <w:pStyle w:val="Compact"/>
              <w:jc w:val="left"/>
            </w:pPr>
            <w:r>
              <w:t xml:space="preserve">[V]</w:t>
            </w:r>
          </w:p>
        </w:tc>
        <w:tc>
          <w:tcPr>
            <w:tcW w:w="1221" w:type="dxa"/>
          </w:tcPr>
          <w:tcPr/>
          <w:p>
            <w:pPr>
              <w:pStyle w:val="Compact"/>
              <w:jc w:val="left"/>
            </w:pPr>
            <w:r>
              <w:t xml:space="preserve">[4]</w:t>
            </w:r>
          </w:p>
        </w:tc>
      </w:tr>
      <w:tr>
        <w:tc>
          <w:tcPr>
            <w:tcW w:w="4015" w:type="dxa"/>
          </w:tcPr>
          <w:tcPr/>
          <w:p>
            <w:pPr>
              <w:pStyle w:val="Compact"/>
              <w:jc w:val="left"/>
            </w:pPr>
            <w:r>
              <w:t xml:space="preserve">Pertes système</w:t>
            </w:r>
          </w:p>
        </w:tc>
        <w:tc>
          <w:tcPr>
            <w:tcW w:w="6246" w:type="dxa"/>
          </w:tcPr>
          <w:tcPr/>
          <w:p>
            <w:pPr>
              <w:pStyle w:val="Compact"/>
              <w:jc w:val="left"/>
            </w:pPr>
            <w:r>
              <w:t xml:space="preserve">21,52 % (2024) vs plafond réglementaire 18 % (pacte)</w:t>
            </w:r>
          </w:p>
        </w:tc>
        <w:tc>
          <w:tcPr>
            <w:tcW w:w="1556" w:type="dxa"/>
          </w:tcPr>
          <w:tcPr/>
          <w:p>
            <w:pPr>
              <w:pStyle w:val="Compact"/>
              <w:jc w:val="left"/>
            </w:pPr>
            <w:r>
              <w:t xml:space="preserve">2024</w:t>
            </w:r>
          </w:p>
        </w:tc>
        <w:tc>
          <w:tcPr>
            <w:tcW w:w="1530" w:type="dxa"/>
          </w:tcPr>
          <w:tcPr/>
          <w:p>
            <w:pPr>
              <w:pStyle w:val="Compact"/>
              <w:jc w:val="left"/>
            </w:pPr>
            <w:r>
              <w:t xml:space="preserve">(pacte)</w:t>
            </w:r>
          </w:p>
        </w:tc>
        <w:tc>
          <w:tcPr>
            <w:tcW w:w="1221" w:type="dxa"/>
          </w:tcPr>
          <w:tcPr/>
          <w:p>
            <w:pPr>
              <w:pStyle w:val="Compact"/>
              <w:jc w:val="left"/>
            </w:pPr>
            <w:r>
              <w:t xml:space="preserve">[1]</w:t>
            </w:r>
          </w:p>
        </w:tc>
      </w:tr>
      <w:tr>
        <w:tc>
          <w:tcPr>
            <w:tcW w:w="4015" w:type="dxa"/>
          </w:tcPr>
          <w:tcPr/>
          <w:p>
            <w:pPr>
              <w:pStyle w:val="Compact"/>
              <w:jc w:val="left"/>
            </w:pPr>
            <w:r>
              <w:t xml:space="preserve">Coupures (Grand Banjul)</w:t>
            </w:r>
          </w:p>
        </w:tc>
        <w:tc>
          <w:tcPr>
            <w:tcW w:w="6246" w:type="dxa"/>
          </w:tcPr>
          <w:tcPr/>
          <w:p>
            <w:pPr>
              <w:pStyle w:val="Compact"/>
              <w:jc w:val="left"/>
            </w:pPr>
            <w:r>
              <w:t xml:space="preserve">45 coupures (2017, base) → 11 (oct. 2024)</w:t>
            </w:r>
          </w:p>
        </w:tc>
        <w:tc>
          <w:tcPr>
            <w:tcW w:w="1556" w:type="dxa"/>
          </w:tcPr>
          <w:tcPr/>
          <w:p>
            <w:pPr>
              <w:pStyle w:val="Compact"/>
              <w:jc w:val="left"/>
            </w:pPr>
            <w:r>
              <w:t xml:space="preserve">2017-2024</w:t>
            </w:r>
          </w:p>
        </w:tc>
        <w:tc>
          <w:tcPr>
            <w:tcW w:w="1530" w:type="dxa"/>
          </w:tcPr>
          <w:tcPr/>
          <w:p>
            <w:pPr>
              <w:pStyle w:val="Compact"/>
              <w:jc w:val="left"/>
            </w:pPr>
            <w:r>
              <w:t xml:space="preserve">[V]</w:t>
            </w:r>
          </w:p>
        </w:tc>
        <w:tc>
          <w:tcPr>
            <w:tcW w:w="1221" w:type="dxa"/>
          </w:tcPr>
          <w:tcPr/>
          <w:p>
            <w:pPr>
              <w:pStyle w:val="Compact"/>
              <w:jc w:val="left"/>
            </w:pPr>
            <w:r>
              <w:t xml:space="preserve">[4]</w:t>
            </w:r>
          </w:p>
        </w:tc>
      </w:tr>
      <w:tr>
        <w:tc>
          <w:tcPr>
            <w:tcW w:w="4015" w:type="dxa"/>
          </w:tcPr>
          <w:tcPr/>
          <w:p>
            <w:pPr>
              <w:pStyle w:val="Compact"/>
              <w:jc w:val="left"/>
            </w:pPr>
            <w:r>
              <w:t xml:space="preserve">Production solaire réseau (GERMP)</w:t>
            </w:r>
          </w:p>
        </w:tc>
        <w:tc>
          <w:tcPr>
            <w:tcW w:w="6246" w:type="dxa"/>
          </w:tcPr>
          <w:tcPr/>
          <w:p>
            <w:pPr>
              <w:pStyle w:val="Compact"/>
              <w:jc w:val="left"/>
            </w:pPr>
            <w:r>
              <w:t xml:space="preserve">27 GWh (sept. 2024) vs cible 26 GWh</w:t>
            </w:r>
          </w:p>
        </w:tc>
        <w:tc>
          <w:tcPr>
            <w:tcW w:w="1556" w:type="dxa"/>
          </w:tcPr>
          <w:tcPr/>
          <w:p>
            <w:pPr>
              <w:pStyle w:val="Compact"/>
              <w:jc w:val="left"/>
            </w:pPr>
            <w:r>
              <w:t xml:space="preserve">2024</w:t>
            </w:r>
          </w:p>
        </w:tc>
        <w:tc>
          <w:tcPr>
            <w:tcW w:w="1530" w:type="dxa"/>
          </w:tcPr>
          <w:tcPr/>
          <w:p>
            <w:pPr>
              <w:pStyle w:val="Compact"/>
              <w:jc w:val="left"/>
            </w:pPr>
            <w:r>
              <w:t xml:space="preserve">[V]</w:t>
            </w:r>
          </w:p>
        </w:tc>
        <w:tc>
          <w:tcPr>
            <w:tcW w:w="1221" w:type="dxa"/>
          </w:tcPr>
          <w:tcPr/>
          <w:p>
            <w:pPr>
              <w:pStyle w:val="Compact"/>
              <w:jc w:val="left"/>
            </w:pPr>
            <w:r>
              <w:t xml:space="preserve">[4]</w:t>
            </w:r>
          </w:p>
        </w:tc>
      </w:tr>
      <w:tr>
        <w:tc>
          <w:tcPr>
            <w:tcW w:w="4015" w:type="dxa"/>
          </w:tcPr>
          <w:tcPr/>
          <w:p>
            <w:pPr>
              <w:pStyle w:val="Compact"/>
              <w:jc w:val="left"/>
            </w:pPr>
            <w:r>
              <w:t xml:space="preserve">Capacité</w:t>
            </w:r>
          </w:p>
        </w:tc>
        <w:tc>
          <w:tcPr>
            <w:tcW w:w="6246" w:type="dxa"/>
          </w:tcPr>
          <w:tcPr/>
          <w:p>
            <w:pPr>
              <w:pStyle w:val="Compact"/>
              <w:jc w:val="left"/>
            </w:pPr>
            <w:r>
              <w:t xml:space="preserve">99 MW installés / 40 MW disponibles (pacte, 2025) ; dégradation de Kotu faute de maintenance (2026)</w:t>
            </w:r>
          </w:p>
        </w:tc>
        <w:tc>
          <w:tcPr>
            <w:tcW w:w="1556" w:type="dxa"/>
          </w:tcPr>
          <w:tcPr/>
          <w:p>
            <w:pPr>
              <w:pStyle w:val="Compact"/>
              <w:jc w:val="left"/>
            </w:pPr>
            <w:r>
              <w:t xml:space="preserve">2025-2026</w:t>
            </w:r>
          </w:p>
        </w:tc>
        <w:tc>
          <w:tcPr>
            <w:tcW w:w="1530" w:type="dxa"/>
          </w:tcPr>
          <w:tcPr/>
          <w:p>
            <w:pPr>
              <w:pStyle w:val="Compact"/>
              <w:jc w:val="left"/>
            </w:pPr>
            <w:r>
              <w:t xml:space="preserve">(pacte)/[S]</w:t>
            </w:r>
          </w:p>
        </w:tc>
        <w:tc>
          <w:tcPr>
            <w:tcW w:w="1221" w:type="dxa"/>
          </w:tcPr>
          <w:tcPr/>
          <w:p>
            <w:pPr>
              <w:pStyle w:val="Compact"/>
              <w:jc w:val="left"/>
            </w:pPr>
            <w:r>
              <w:t xml:space="preserve">[1][6]</w:t>
            </w:r>
          </w:p>
        </w:tc>
      </w:tr>
      <w:tr>
        <w:tc>
          <w:tcPr>
            <w:tcW w:w="4015" w:type="dxa"/>
          </w:tcPr>
          <w:tcPr/>
          <w:p>
            <w:pPr>
              <w:pStyle w:val="Compact"/>
              <w:jc w:val="left"/>
            </w:pPr>
            <w:r>
              <w:t xml:space="preserve">Délestages</w:t>
            </w:r>
          </w:p>
        </w:tc>
        <w:tc>
          <w:tcPr>
            <w:tcW w:w="6246" w:type="dxa"/>
          </w:tcPr>
          <w:tcPr/>
          <w:p>
            <w:pPr>
              <w:pStyle w:val="Compact"/>
              <w:jc w:val="left"/>
            </w:pPr>
            <w:r>
              <w:t xml:space="preserve">coupures quotidiennes rapportées (2026)</w:t>
            </w:r>
          </w:p>
        </w:tc>
        <w:tc>
          <w:tcPr>
            <w:tcW w:w="1556" w:type="dxa"/>
          </w:tcPr>
          <w:tcPr/>
          <w:p>
            <w:pPr>
              <w:pStyle w:val="Compact"/>
              <w:jc w:val="left"/>
            </w:pPr>
            <w:r>
              <w:t xml:space="preserve">2026</w:t>
            </w:r>
          </w:p>
        </w:tc>
        <w:tc>
          <w:tcPr>
            <w:tcW w:w="1530" w:type="dxa"/>
          </w:tcPr>
          <w:tcPr/>
          <w:p>
            <w:pPr>
              <w:pStyle w:val="Compact"/>
              <w:jc w:val="left"/>
            </w:pPr>
            <w:r>
              <w:t xml:space="preserve">[S]</w:t>
            </w:r>
          </w:p>
        </w:tc>
        <w:tc>
          <w:tcPr>
            <w:tcW w:w="1221" w:type="dxa"/>
          </w:tcPr>
          <w:tcPr/>
          <w:p>
            <w:pPr>
              <w:pStyle w:val="Compact"/>
              <w:jc w:val="left"/>
            </w:pPr>
            <w:r>
              <w:t xml:space="preserve">[6]</w:t>
            </w:r>
          </w:p>
        </w:tc>
      </w:tr>
      <w:tr>
        <w:tc>
          <w:tcPr>
            <w:tcW w:w="4015" w:type="dxa"/>
          </w:tcPr>
          <w:tcPr/>
          <w:p>
            <w:pPr>
              <w:pStyle w:val="Compact"/>
              <w:jc w:val="left"/>
            </w:pPr>
            <w:r>
              <w:t xml:space="preserve">SAIDI / SAIFI</w:t>
            </w:r>
          </w:p>
        </w:tc>
        <w:tc>
          <w:tcPr>
            <w:tcW w:w="6246" w:type="dxa"/>
          </w:tcPr>
          <w:tcPr/>
          <w:p>
            <w:pPr>
              <w:pStyle w:val="Compact"/>
              <w:jc w:val="left"/>
            </w:pPr>
            <w:r>
              <w:t xml:space="preserve">[?] non trouvé</w:t>
            </w:r>
          </w:p>
        </w:tc>
        <w:tc>
          <w:tcPr>
            <w:tcW w:w="1556" w:type="dxa"/>
          </w:tcPr>
          <w:tcPr/>
          <w:p>
            <w:pPr>
              <w:pStyle w:val="Compact"/>
              <w:jc w:val="left"/>
            </w:pPr>
            <w:r>
              <w:t xml:space="preserve">—</w:t>
            </w:r>
          </w:p>
        </w:tc>
        <w:tc>
          <w:tcPr>
            <w:tcW w:w="1530" w:type="dxa"/>
          </w:tcPr>
          <w:tcPr/>
          <w:p>
            <w:pPr>
              <w:pStyle w:val="Compact"/>
              <w:jc w:val="left"/>
            </w:pPr>
            <w:r>
              <w:t xml:space="preserve">[?]</w:t>
            </w:r>
          </w:p>
        </w:tc>
        <w:tc>
          <w:tcPr>
            <w:tcW w:w="1221" w:type="dxa"/>
          </w:tcPr>
          <w:tcPr/>
          <w:p>
            <w:pPr>
              <w:pStyle w:val="Compact"/>
              <w:jc w:val="left"/>
            </w:pPr>
            <w:r>
              <w:t xml:space="preserve">—</w:t>
            </w:r>
          </w:p>
        </w:tc>
      </w:tr>
    </w:tbl>
    <w:bookmarkEnd w:id="195"/>
    <w:bookmarkStart w:id="196" w:name="situation-économique-et-gouvernance-15"/>
    <w:p>
      <w:pPr>
        <w:pStyle w:val="Heading3"/>
      </w:pPr>
      <w:r>
        <w:t xml:space="preserve">3. Situation économique et gouvernance</w:t>
      </w:r>
    </w:p>
    <w:p>
      <w:pPr>
        <w:numPr>
          <w:ilvl w:val="0"/>
          <w:numId w:val="1101"/>
        </w:numPr>
        <w:pStyle w:val="Compact"/>
      </w:pPr>
      <w:r>
        <w:t xml:space="preserve">Contrats : forte dépendance aux importations (57 % de la production au T1 2025, jusqu’à 85 % attendus) et à leur paiement ponctuel (TSA OMVG, Senelec) [1] (pacte) ; épisode de coupure par Senelec pour arriérés en 2023 [3] [S].</w:t>
      </w:r>
    </w:p>
    <w:p>
      <w:pPr>
        <w:numPr>
          <w:ilvl w:val="0"/>
          <w:numId w:val="1101"/>
        </w:numPr>
        <w:pStyle w:val="Compact"/>
      </w:pPr>
      <w:r>
        <w:t xml:space="preserve">Change / combustible : HFO importé et dépréciation du dalasi ; la BM souligne la « double crise » prix du pétrole / dépréciation [2] [V] ; l’ancien DG impute les pertes aux obligations en devises (2026) [6] [S].</w:t>
      </w:r>
    </w:p>
    <w:p>
      <w:pPr>
        <w:numPr>
          <w:ilvl w:val="0"/>
          <w:numId w:val="1101"/>
        </w:numPr>
        <w:pStyle w:val="Compact"/>
      </w:pPr>
      <w:r>
        <w:t xml:space="preserve">Redressement : RCM (compensation tarifaire) soutenu par la série DPF précédente [2] ; cash waterfall, stratégie de réduction des coûts, séparation eau/électricité (pacte) [1].</w:t>
      </w:r>
    </w:p>
    <w:p>
      <w:pPr>
        <w:numPr>
          <w:ilvl w:val="0"/>
          <w:numId w:val="1101"/>
        </w:numPr>
        <w:pStyle w:val="Compact"/>
      </w:pPr>
      <w:r>
        <w:t xml:space="preserve">Gouvernance : audits de performance de NAWEC, GPA et SSHFC prévus dans le cadre des réformes de gouvernance des entreprises publiques (DPF BRUPP) [2] [V].</w:t>
      </w:r>
    </w:p>
    <w:bookmarkEnd w:id="196"/>
    <w:bookmarkStart w:id="197" w:name="X9f3daf62a2c4826cae8eb43494c0ecaf86066a6"/>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310"/>
        <w:gridCol w:w="767"/>
        <w:gridCol w:w="1832"/>
        <w:gridCol w:w="1185"/>
        <w:gridCol w:w="2622"/>
        <w:gridCol w:w="2511"/>
        <w:gridCol w:w="1568"/>
        <w:gridCol w:w="771"/>
      </w:tblGrid>
      <w:tr>
        <w:trPr>
          <w:tblHeader w:val="true"/>
        </w:trPr>
        <w:tc>
          <w:tcPr>
            <w:tcW w:w="3310" w:type="dxa"/>
          </w:tcPr>
          <w:tcPr/>
          <w:p>
            <w:pPr>
              <w:pStyle w:val="Compact"/>
              <w:jc w:val="left"/>
            </w:pPr>
            <w:r>
              <w:t xml:space="preserve">Programme / projet</w:t>
            </w:r>
          </w:p>
        </w:tc>
        <w:tc>
          <w:tcPr>
            <w:tcW w:w="767" w:type="dxa"/>
          </w:tcPr>
          <w:tcPr/>
          <w:p>
            <w:pPr>
              <w:pStyle w:val="Compact"/>
              <w:jc w:val="left"/>
            </w:pPr>
            <w:r>
              <w:t xml:space="preserve">Bailleur</w:t>
            </w:r>
          </w:p>
        </w:tc>
        <w:tc>
          <w:tcPr>
            <w:tcW w:w="1832" w:type="dxa"/>
          </w:tcPr>
          <w:tcPr/>
          <w:p>
            <w:pPr>
              <w:pStyle w:val="Compact"/>
              <w:jc w:val="left"/>
            </w:pPr>
            <w:r>
              <w:t xml:space="preserve">Montant</w:t>
            </w:r>
          </w:p>
        </w:tc>
        <w:tc>
          <w:tcPr>
            <w:tcW w:w="1185" w:type="dxa"/>
          </w:tcPr>
          <w:tcPr/>
          <w:p>
            <w:pPr>
              <w:pStyle w:val="Compact"/>
              <w:jc w:val="left"/>
            </w:pPr>
            <w:r>
              <w:t xml:space="preserve">Années</w:t>
            </w:r>
          </w:p>
        </w:tc>
        <w:tc>
          <w:tcPr>
            <w:tcW w:w="2622" w:type="dxa"/>
          </w:tcPr>
          <w:tcPr/>
          <w:p>
            <w:pPr>
              <w:pStyle w:val="Compact"/>
              <w:jc w:val="left"/>
            </w:pPr>
            <w:r>
              <w:t xml:space="preserve">Objectifs liés à l’opérateur</w:t>
            </w:r>
          </w:p>
        </w:tc>
        <w:tc>
          <w:tcPr>
            <w:tcW w:w="2511" w:type="dxa"/>
          </w:tcPr>
          <w:tcPr/>
          <w:p>
            <w:pPr>
              <w:pStyle w:val="Compact"/>
              <w:jc w:val="left"/>
            </w:pPr>
            <w:r>
              <w:t xml:space="preserve">Conditions / indicateurs</w:t>
            </w:r>
          </w:p>
        </w:tc>
        <w:tc>
          <w:tcPr>
            <w:tcW w:w="1568" w:type="dxa"/>
          </w:tcPr>
          <w:tcPr/>
          <w:p>
            <w:pPr>
              <w:pStyle w:val="Compact"/>
              <w:jc w:val="left"/>
            </w:pPr>
            <w:r>
              <w:t xml:space="preserve">Statut d’exécution</w:t>
            </w:r>
          </w:p>
        </w:tc>
        <w:tc>
          <w:tcPr>
            <w:tcW w:w="771" w:type="dxa"/>
          </w:tcPr>
          <w:tcPr/>
          <w:p>
            <w:pPr>
              <w:pStyle w:val="Compact"/>
              <w:jc w:val="left"/>
            </w:pPr>
            <w:r>
              <w:t xml:space="preserve">Source</w:t>
            </w:r>
          </w:p>
        </w:tc>
      </w:tr>
      <w:tr>
        <w:tc>
          <w:tcPr>
            <w:tcW w:w="3310" w:type="dxa"/>
          </w:tcPr>
          <w:tcPr/>
          <w:p>
            <w:pPr>
              <w:pStyle w:val="Compact"/>
              <w:jc w:val="left"/>
            </w:pPr>
            <w:r>
              <w:t xml:space="preserve">Gambia Electricity Restoration and Modernization Project (GERMP), P163568 + AF P173161</w:t>
            </w:r>
          </w:p>
        </w:tc>
        <w:tc>
          <w:tcPr>
            <w:tcW w:w="767" w:type="dxa"/>
          </w:tcPr>
          <w:tcPr/>
          <w:p>
            <w:pPr>
              <w:pStyle w:val="Compact"/>
              <w:jc w:val="left"/>
            </w:pPr>
            <w:r>
              <w:t xml:space="preserve">BM (IDA) (+ UE/BEI selon le pacte)</w:t>
            </w:r>
          </w:p>
        </w:tc>
        <w:tc>
          <w:tcPr>
            <w:tcW w:w="1832" w:type="dxa"/>
          </w:tcPr>
          <w:tcPr/>
          <w:p>
            <w:pPr>
              <w:pStyle w:val="Compact"/>
              <w:jc w:val="left"/>
            </w:pPr>
            <w:r>
              <w:t xml:space="preserve">41 M USD + 43 M USD (pacte : 165 M USD avec cofinancements)</w:t>
            </w:r>
          </w:p>
        </w:tc>
        <w:tc>
          <w:tcPr>
            <w:tcW w:w="1185" w:type="dxa"/>
          </w:tcPr>
          <w:tcPr/>
          <w:p>
            <w:pPr>
              <w:pStyle w:val="Compact"/>
              <w:jc w:val="left"/>
            </w:pPr>
            <w:r>
              <w:t xml:space="preserve">2018-2025 (clôture 30/06/2025)</w:t>
            </w:r>
          </w:p>
        </w:tc>
        <w:tc>
          <w:tcPr>
            <w:tcW w:w="2622" w:type="dxa"/>
          </w:tcPr>
          <w:tcPr/>
          <w:p>
            <w:pPr>
              <w:pStyle w:val="Compact"/>
              <w:jc w:val="left"/>
            </w:pPr>
            <w:r>
              <w:t xml:space="preserve">Réhabilitation réseau, solaire Jambur, réduction des pertes NAWEC</w:t>
            </w:r>
          </w:p>
        </w:tc>
        <w:tc>
          <w:tcPr>
            <w:tcW w:w="2511" w:type="dxa"/>
          </w:tcPr>
          <w:tcPr/>
          <w:p>
            <w:pPr>
              <w:pStyle w:val="Compact"/>
              <w:jc w:val="left"/>
            </w:pPr>
            <w:r>
              <w:t xml:space="preserve">Indicateurs : pertes T&amp;D Grand Banjul (21 %), coupures (11), GWh solaires</w:t>
            </w:r>
          </w:p>
        </w:tc>
        <w:tc>
          <w:tcPr>
            <w:tcW w:w="1568" w:type="dxa"/>
          </w:tcPr>
          <w:tcPr/>
          <w:p>
            <w:pPr>
              <w:pStyle w:val="Compact"/>
              <w:jc w:val="left"/>
            </w:pPr>
            <w:r>
              <w:t xml:space="preserve">PDO et exécution « Satisfactory » ; 97 % et 76 % décaissés (déc. 2024)</w:t>
            </w:r>
          </w:p>
        </w:tc>
        <w:tc>
          <w:tcPr>
            <w:tcW w:w="771" w:type="dxa"/>
          </w:tcPr>
          <w:tcPr/>
          <w:p>
            <w:pPr>
              <w:pStyle w:val="Compact"/>
              <w:jc w:val="left"/>
            </w:pPr>
            <w:r>
              <w:t xml:space="preserve">[4][5]</w:t>
            </w:r>
          </w:p>
        </w:tc>
      </w:tr>
      <w:tr>
        <w:tc>
          <w:tcPr>
            <w:tcW w:w="3310" w:type="dxa"/>
          </w:tcPr>
          <w:tcPr/>
          <w:p>
            <w:pPr>
              <w:pStyle w:val="Compact"/>
              <w:jc w:val="left"/>
            </w:pPr>
            <w:r>
              <w:t xml:space="preserve">The Gambia Second Boosting Resilience and Unlocking Productive Potential DPF (BRUPP 2), P502012</w:t>
            </w:r>
          </w:p>
        </w:tc>
        <w:tc>
          <w:tcPr>
            <w:tcW w:w="767" w:type="dxa"/>
          </w:tcPr>
          <w:tcPr/>
          <w:p>
            <w:pPr>
              <w:pStyle w:val="Compact"/>
              <w:jc w:val="left"/>
            </w:pPr>
            <w:r>
              <w:t xml:space="preserve">BM</w:t>
            </w:r>
          </w:p>
        </w:tc>
        <w:tc>
          <w:tcPr>
            <w:tcW w:w="1832" w:type="dxa"/>
          </w:tcPr>
          <w:tcPr/>
          <w:p>
            <w:pPr>
              <w:pStyle w:val="Compact"/>
              <w:jc w:val="left"/>
            </w:pPr>
            <w:r>
              <w:t xml:space="preserve">25 M USD</w:t>
            </w:r>
          </w:p>
        </w:tc>
        <w:tc>
          <w:tcPr>
            <w:tcW w:w="1185" w:type="dxa"/>
          </w:tcPr>
          <w:tcPr/>
          <w:p>
            <w:pPr>
              <w:pStyle w:val="Compact"/>
              <w:jc w:val="left"/>
            </w:pPr>
            <w:r>
              <w:t xml:space="preserve">approuvé 05/12/2024</w:t>
            </w:r>
          </w:p>
        </w:tc>
        <w:tc>
          <w:tcPr>
            <w:tcW w:w="2622" w:type="dxa"/>
          </w:tcPr>
          <w:tcPr/>
          <w:p>
            <w:pPr>
              <w:pStyle w:val="Compact"/>
              <w:jc w:val="left"/>
            </w:pPr>
            <w:r>
              <w:t xml:space="preserve">Participation privée et ENR</w:t>
            </w:r>
          </w:p>
        </w:tc>
        <w:tc>
          <w:tcPr>
            <w:tcW w:w="2511" w:type="dxa"/>
          </w:tcPr>
          <w:tcPr/>
          <w:p>
            <w:pPr>
              <w:pStyle w:val="Compact"/>
              <w:jc w:val="left"/>
            </w:pPr>
            <w:r>
              <w:t xml:space="preserve">Action préalable #1 : code de réseau publié au Journal officiel ; règles et lignes directrices feed-in publiées</w:t>
            </w:r>
          </w:p>
        </w:tc>
        <w:tc>
          <w:tcPr>
            <w:tcW w:w="1568" w:type="dxa"/>
          </w:tcPr>
          <w:tcPr/>
          <w:p>
            <w:pPr>
              <w:pStyle w:val="Compact"/>
              <w:jc w:val="left"/>
            </w:pPr>
            <w:r>
              <w:t xml:space="preserve">Actif (clôture 31/12/2025)</w:t>
            </w:r>
          </w:p>
        </w:tc>
        <w:tc>
          <w:tcPr>
            <w:tcW w:w="771" w:type="dxa"/>
          </w:tcPr>
          <w:tcPr/>
          <w:p>
            <w:pPr>
              <w:pStyle w:val="Compact"/>
              <w:jc w:val="left"/>
            </w:pPr>
            <w:r>
              <w:t xml:space="preserve">[2][5]</w:t>
            </w:r>
          </w:p>
        </w:tc>
      </w:tr>
      <w:tr>
        <w:tc>
          <w:tcPr>
            <w:tcW w:w="3310" w:type="dxa"/>
          </w:tcPr>
          <w:tcPr/>
          <w:p>
            <w:pPr>
              <w:pStyle w:val="Compact"/>
              <w:jc w:val="left"/>
            </w:pPr>
            <w:r>
              <w:t xml:space="preserve">Gambia First BRUPP DPF with Cat DDO, P177748</w:t>
            </w:r>
          </w:p>
        </w:tc>
        <w:tc>
          <w:tcPr>
            <w:tcW w:w="767" w:type="dxa"/>
          </w:tcPr>
          <w:tcPr/>
          <w:p>
            <w:pPr>
              <w:pStyle w:val="Compact"/>
              <w:jc w:val="left"/>
            </w:pPr>
            <w:r>
              <w:t xml:space="preserve">BM</w:t>
            </w:r>
          </w:p>
        </w:tc>
        <w:tc>
          <w:tcPr>
            <w:tcW w:w="1832" w:type="dxa"/>
          </w:tcPr>
          <w:tcPr/>
          <w:p>
            <w:pPr>
              <w:pStyle w:val="Compact"/>
              <w:jc w:val="left"/>
            </w:pPr>
            <w:r>
              <w:t xml:space="preserve">60 M USD</w:t>
            </w:r>
          </w:p>
        </w:tc>
        <w:tc>
          <w:tcPr>
            <w:tcW w:w="1185" w:type="dxa"/>
          </w:tcPr>
          <w:tcPr/>
          <w:p>
            <w:pPr>
              <w:pStyle w:val="Compact"/>
              <w:jc w:val="left"/>
            </w:pPr>
            <w:r>
              <w:t xml:space="preserve">2023</w:t>
            </w:r>
          </w:p>
        </w:tc>
        <w:tc>
          <w:tcPr>
            <w:tcW w:w="2622" w:type="dxa"/>
          </w:tcPr>
          <w:tcPr/>
          <w:p>
            <w:pPr>
              <w:pStyle w:val="Compact"/>
              <w:jc w:val="left"/>
            </w:pPr>
            <w:r>
              <w:t xml:space="preserve">[?] actions énergie non extraites</w:t>
            </w:r>
          </w:p>
        </w:tc>
        <w:tc>
          <w:tcPr>
            <w:tcW w:w="2511" w:type="dxa"/>
          </w:tcPr>
          <w:tcPr/>
          <w:p>
            <w:pPr>
              <w:pStyle w:val="Compact"/>
              <w:jc w:val="left"/>
            </w:pPr>
            <w:r>
              <w:t xml:space="preserve">—</w:t>
            </w:r>
          </w:p>
        </w:tc>
        <w:tc>
          <w:tcPr>
            <w:tcW w:w="1568" w:type="dxa"/>
          </w:tcPr>
          <w:tcPr/>
          <w:p>
            <w:pPr>
              <w:pStyle w:val="Compact"/>
              <w:jc w:val="left"/>
            </w:pPr>
            <w:r>
              <w:t xml:space="preserve">Actif</w:t>
            </w:r>
          </w:p>
        </w:tc>
        <w:tc>
          <w:tcPr>
            <w:tcW w:w="771" w:type="dxa"/>
          </w:tcPr>
          <w:tcPr/>
          <w:p>
            <w:pPr>
              <w:pStyle w:val="Compact"/>
              <w:jc w:val="left"/>
            </w:pPr>
            <w:r>
              <w:t xml:space="preserve">[5]</w:t>
            </w:r>
          </w:p>
        </w:tc>
      </w:tr>
      <w:tr>
        <w:tc>
          <w:tcPr>
            <w:tcW w:w="3310" w:type="dxa"/>
          </w:tcPr>
          <w:tcPr/>
          <w:p>
            <w:pPr>
              <w:pStyle w:val="Compact"/>
              <w:jc w:val="left"/>
            </w:pPr>
            <w:r>
              <w:t xml:space="preserve">The Gambia Second Fiscal Management, Energy and Telecom Reform DPF, P173150 (et DPF Fiscal Management P166695)</w:t>
            </w:r>
          </w:p>
        </w:tc>
        <w:tc>
          <w:tcPr>
            <w:tcW w:w="767" w:type="dxa"/>
          </w:tcPr>
          <w:tcPr/>
          <w:p>
            <w:pPr>
              <w:pStyle w:val="Compact"/>
              <w:jc w:val="left"/>
            </w:pPr>
            <w:r>
              <w:t xml:space="preserve">BM</w:t>
            </w:r>
          </w:p>
        </w:tc>
        <w:tc>
          <w:tcPr>
            <w:tcW w:w="1832" w:type="dxa"/>
          </w:tcPr>
          <w:tcPr/>
          <w:p>
            <w:pPr>
              <w:pStyle w:val="Compact"/>
              <w:jc w:val="left"/>
            </w:pPr>
            <w:r>
              <w:t xml:space="preserve">20 M USD (+ 35 M USD)</w:t>
            </w:r>
          </w:p>
        </w:tc>
        <w:tc>
          <w:tcPr>
            <w:tcW w:w="1185" w:type="dxa"/>
          </w:tcPr>
          <w:tcPr/>
          <w:p>
            <w:pPr>
              <w:pStyle w:val="Compact"/>
              <w:jc w:val="left"/>
            </w:pPr>
            <w:r>
              <w:t xml:space="preserve">2020-2023</w:t>
            </w:r>
          </w:p>
        </w:tc>
        <w:tc>
          <w:tcPr>
            <w:tcW w:w="2622" w:type="dxa"/>
          </w:tcPr>
          <w:tcPr/>
          <w:p>
            <w:pPr>
              <w:pStyle w:val="Compact"/>
              <w:jc w:val="left"/>
            </w:pPr>
            <w:r>
              <w:t xml:space="preserve">Série ayant soutenu le RCM tarifaire de NAWEC</w:t>
            </w:r>
          </w:p>
        </w:tc>
        <w:tc>
          <w:tcPr>
            <w:tcW w:w="2511" w:type="dxa"/>
          </w:tcPr>
          <w:tcPr/>
          <w:p>
            <w:pPr>
              <w:pStyle w:val="Compact"/>
              <w:jc w:val="left"/>
            </w:pPr>
            <w:r>
              <w:t xml:space="preserve">—</w:t>
            </w:r>
          </w:p>
        </w:tc>
        <w:tc>
          <w:tcPr>
            <w:tcW w:w="1568" w:type="dxa"/>
          </w:tcPr>
          <w:tcPr/>
          <w:p>
            <w:pPr>
              <w:pStyle w:val="Compact"/>
              <w:jc w:val="left"/>
            </w:pPr>
            <w:r>
              <w:t xml:space="preserve">Clos</w:t>
            </w:r>
          </w:p>
        </w:tc>
        <w:tc>
          <w:tcPr>
            <w:tcW w:w="771" w:type="dxa"/>
          </w:tcPr>
          <w:tcPr/>
          <w:p>
            <w:pPr>
              <w:pStyle w:val="Compact"/>
              <w:jc w:val="left"/>
            </w:pPr>
            <w:r>
              <w:t xml:space="preserve">[2][5]</w:t>
            </w:r>
          </w:p>
        </w:tc>
      </w:tr>
      <w:tr>
        <w:tc>
          <w:tcPr>
            <w:tcW w:w="3310" w:type="dxa"/>
          </w:tcPr>
          <w:tcPr/>
          <w:p>
            <w:pPr>
              <w:pStyle w:val="Compact"/>
              <w:jc w:val="left"/>
            </w:pPr>
            <w:r>
              <w:t xml:space="preserve">Regional Solar Park of The Gambia (RSPG), P504421</w:t>
            </w:r>
          </w:p>
        </w:tc>
        <w:tc>
          <w:tcPr>
            <w:tcW w:w="767" w:type="dxa"/>
          </w:tcPr>
          <w:tcPr/>
          <w:p>
            <w:pPr>
              <w:pStyle w:val="Compact"/>
              <w:jc w:val="left"/>
            </w:pPr>
            <w:r>
              <w:t xml:space="preserve">BM</w:t>
            </w:r>
          </w:p>
        </w:tc>
        <w:tc>
          <w:tcPr>
            <w:tcW w:w="1832" w:type="dxa"/>
          </w:tcPr>
          <w:tcPr/>
          <w:p>
            <w:pPr>
              <w:pStyle w:val="Compact"/>
              <w:jc w:val="left"/>
            </w:pPr>
            <w:r>
              <w:t xml:space="preserve">1,35 M USD (conseil transactionnel Soma)</w:t>
            </w:r>
          </w:p>
        </w:tc>
        <w:tc>
          <w:tcPr>
            <w:tcW w:w="1185" w:type="dxa"/>
          </w:tcPr>
          <w:tcPr/>
          <w:p>
            <w:pPr>
              <w:pStyle w:val="Compact"/>
              <w:jc w:val="left"/>
            </w:pPr>
            <w:r>
              <w:t xml:space="preserve">2024-2027</w:t>
            </w:r>
          </w:p>
        </w:tc>
        <w:tc>
          <w:tcPr>
            <w:tcW w:w="2622" w:type="dxa"/>
          </w:tcPr>
          <w:tcPr/>
          <w:p>
            <w:pPr>
              <w:pStyle w:val="Compact"/>
              <w:jc w:val="left"/>
            </w:pPr>
            <w:r>
              <w:t xml:space="preserve">IPP solaire Soma 50 MW + stockage</w:t>
            </w:r>
          </w:p>
        </w:tc>
        <w:tc>
          <w:tcPr>
            <w:tcW w:w="2511" w:type="dxa"/>
          </w:tcPr>
          <w:tcPr/>
          <w:p>
            <w:pPr>
              <w:pStyle w:val="Compact"/>
              <w:jc w:val="left"/>
            </w:pPr>
            <w:r>
              <w:t xml:space="preserve">Rehaussement de crédit BM / produits de garantie IFC-MIGA proposés aux soumissionnaires (selon la BM, avril 2025)</w:t>
            </w:r>
          </w:p>
        </w:tc>
        <w:tc>
          <w:tcPr>
            <w:tcW w:w="1568" w:type="dxa"/>
          </w:tcPr>
          <w:tcPr/>
          <w:p>
            <w:pPr>
              <w:pStyle w:val="Compact"/>
              <w:jc w:val="left"/>
            </w:pPr>
            <w:r>
              <w:t xml:space="preserve">Actif ; appel d’offres clos le 14/11/2024</w:t>
            </w:r>
          </w:p>
        </w:tc>
        <w:tc>
          <w:tcPr>
            <w:tcW w:w="771" w:type="dxa"/>
          </w:tcPr>
          <w:tcPr/>
          <w:p>
            <w:pPr>
              <w:pStyle w:val="Compact"/>
              <w:jc w:val="left"/>
            </w:pPr>
            <w:r>
              <w:t xml:space="preserve">[5][7] [S]</w:t>
            </w:r>
          </w:p>
        </w:tc>
      </w:tr>
      <w:tr>
        <w:tc>
          <w:tcPr>
            <w:tcW w:w="3310" w:type="dxa"/>
          </w:tcPr>
          <w:tcPr/>
          <w:p>
            <w:pPr>
              <w:pStyle w:val="Compact"/>
              <w:jc w:val="left"/>
            </w:pPr>
            <w:r>
              <w:t xml:space="preserve">Gambia Electricity Support Project, P152659</w:t>
            </w:r>
          </w:p>
        </w:tc>
        <w:tc>
          <w:tcPr>
            <w:tcW w:w="767" w:type="dxa"/>
          </w:tcPr>
          <w:tcPr/>
          <w:p>
            <w:pPr>
              <w:pStyle w:val="Compact"/>
              <w:jc w:val="left"/>
            </w:pPr>
            <w:r>
              <w:t xml:space="preserve">BM</w:t>
            </w:r>
          </w:p>
        </w:tc>
        <w:tc>
          <w:tcPr>
            <w:tcW w:w="1832" w:type="dxa"/>
          </w:tcPr>
          <w:tcPr/>
          <w:p>
            <w:pPr>
              <w:pStyle w:val="Compact"/>
              <w:jc w:val="left"/>
            </w:pPr>
            <w:r>
              <w:t xml:space="preserve">18,5 M USD</w:t>
            </w:r>
          </w:p>
        </w:tc>
        <w:tc>
          <w:tcPr>
            <w:tcW w:w="1185" w:type="dxa"/>
          </w:tcPr>
          <w:tcPr/>
          <w:p>
            <w:pPr>
              <w:pStyle w:val="Compact"/>
              <w:jc w:val="left"/>
            </w:pPr>
            <w:r>
              <w:t xml:space="preserve">2016-2020</w:t>
            </w:r>
          </w:p>
        </w:tc>
        <w:tc>
          <w:tcPr>
            <w:tcW w:w="2622" w:type="dxa"/>
          </w:tcPr>
          <w:tcPr/>
          <w:p>
            <w:pPr>
              <w:pStyle w:val="Compact"/>
              <w:jc w:val="left"/>
            </w:pPr>
            <w:r>
              <w:t xml:space="preserve">Redressement d’urgence NAWEC</w:t>
            </w:r>
          </w:p>
        </w:tc>
        <w:tc>
          <w:tcPr>
            <w:tcW w:w="2511" w:type="dxa"/>
          </w:tcPr>
          <w:tcPr/>
          <w:p>
            <w:pPr>
              <w:pStyle w:val="Compact"/>
              <w:jc w:val="left"/>
            </w:pPr>
            <w:r>
              <w:t xml:space="preserve">—</w:t>
            </w:r>
          </w:p>
        </w:tc>
        <w:tc>
          <w:tcPr>
            <w:tcW w:w="1568" w:type="dxa"/>
          </w:tcPr>
          <w:tcPr/>
          <w:p>
            <w:pPr>
              <w:pStyle w:val="Compact"/>
              <w:jc w:val="left"/>
            </w:pPr>
            <w:r>
              <w:t xml:space="preserve">Clos</w:t>
            </w:r>
          </w:p>
        </w:tc>
        <w:tc>
          <w:tcPr>
            <w:tcW w:w="771" w:type="dxa"/>
          </w:tcPr>
          <w:tcPr/>
          <w:p>
            <w:pPr>
              <w:pStyle w:val="Compact"/>
              <w:jc w:val="left"/>
            </w:pPr>
            <w:r>
              <w:t xml:space="preserve">[5]</w:t>
            </w:r>
          </w:p>
        </w:tc>
      </w:tr>
      <w:tr>
        <w:tc>
          <w:tcPr>
            <w:tcW w:w="3310" w:type="dxa"/>
          </w:tcPr>
          <w:tcPr/>
          <w:p>
            <w:pPr>
              <w:pStyle w:val="Compact"/>
              <w:jc w:val="left"/>
            </w:pPr>
            <w:r>
              <w:t xml:space="preserve">OMVG Interconnection Project, P146830</w:t>
            </w:r>
          </w:p>
        </w:tc>
        <w:tc>
          <w:tcPr>
            <w:tcW w:w="767" w:type="dxa"/>
          </w:tcPr>
          <w:tcPr/>
          <w:p>
            <w:pPr>
              <w:pStyle w:val="Compact"/>
              <w:jc w:val="left"/>
            </w:pPr>
            <w:r>
              <w:t xml:space="preserve">BM (régional)</w:t>
            </w:r>
          </w:p>
        </w:tc>
        <w:tc>
          <w:tcPr>
            <w:tcW w:w="1832" w:type="dxa"/>
          </w:tcPr>
          <w:tcPr/>
          <w:p>
            <w:pPr>
              <w:pStyle w:val="Compact"/>
              <w:jc w:val="left"/>
            </w:pPr>
            <w:r>
              <w:t xml:space="preserve">200 M USD</w:t>
            </w:r>
          </w:p>
        </w:tc>
        <w:tc>
          <w:tcPr>
            <w:tcW w:w="1185" w:type="dxa"/>
          </w:tcPr>
          <w:tcPr/>
          <w:p>
            <w:pPr>
              <w:pStyle w:val="Compact"/>
              <w:jc w:val="left"/>
            </w:pPr>
            <w:r>
              <w:t xml:space="preserve">2015-</w:t>
            </w:r>
          </w:p>
        </w:tc>
        <w:tc>
          <w:tcPr>
            <w:tcW w:w="2622" w:type="dxa"/>
          </w:tcPr>
          <w:tcPr/>
          <w:p>
            <w:pPr>
              <w:pStyle w:val="Compact"/>
              <w:jc w:val="left"/>
            </w:pPr>
            <w:r>
              <w:t xml:space="preserve">Importations hydro Guinée</w:t>
            </w:r>
          </w:p>
        </w:tc>
        <w:tc>
          <w:tcPr>
            <w:tcW w:w="2511" w:type="dxa"/>
          </w:tcPr>
          <w:tcPr/>
          <w:p>
            <w:pPr>
              <w:pStyle w:val="Compact"/>
              <w:jc w:val="left"/>
            </w:pPr>
            <w:r>
              <w:t xml:space="preserve">—</w:t>
            </w:r>
          </w:p>
        </w:tc>
        <w:tc>
          <w:tcPr>
            <w:tcW w:w="1568" w:type="dxa"/>
          </w:tcPr>
          <w:tcPr/>
          <w:p>
            <w:pPr>
              <w:pStyle w:val="Compact"/>
              <w:jc w:val="left"/>
            </w:pPr>
            <w:r>
              <w:t xml:space="preserve">Actif</w:t>
            </w:r>
          </w:p>
        </w:tc>
        <w:tc>
          <w:tcPr>
            <w:tcW w:w="771" w:type="dxa"/>
          </w:tcPr>
          <w:tcPr/>
          <w:p>
            <w:pPr>
              <w:pStyle w:val="Compact"/>
              <w:jc w:val="left"/>
            </w:pPr>
            <w:r>
              <w:t xml:space="preserve">[5]</w:t>
            </w:r>
          </w:p>
        </w:tc>
      </w:tr>
      <w:tr>
        <w:tc>
          <w:tcPr>
            <w:tcW w:w="3310" w:type="dxa"/>
          </w:tcPr>
          <w:tcPr/>
          <w:p>
            <w:pPr>
              <w:pStyle w:val="Compact"/>
              <w:jc w:val="left"/>
            </w:pPr>
            <w:r>
              <w:t xml:space="preserve">GEAP ; GESREP</w:t>
            </w:r>
          </w:p>
        </w:tc>
        <w:tc>
          <w:tcPr>
            <w:tcW w:w="767" w:type="dxa"/>
          </w:tcPr>
          <w:tcPr/>
          <w:p>
            <w:pPr>
              <w:pStyle w:val="Compact"/>
              <w:jc w:val="left"/>
            </w:pPr>
            <w:r>
              <w:t xml:space="preserve">BAD</w:t>
            </w:r>
          </w:p>
        </w:tc>
        <w:tc>
          <w:tcPr>
            <w:tcW w:w="1832" w:type="dxa"/>
          </w:tcPr>
          <w:tcPr/>
          <w:p>
            <w:pPr>
              <w:pStyle w:val="Compact"/>
              <w:jc w:val="left"/>
            </w:pPr>
            <w:r>
              <w:t xml:space="preserve">17 M USD ; 20 M USD (pacte)</w:t>
            </w:r>
          </w:p>
        </w:tc>
        <w:tc>
          <w:tcPr>
            <w:tcW w:w="1185" w:type="dxa"/>
          </w:tcPr>
          <w:tcPr/>
          <w:p>
            <w:pPr>
              <w:pStyle w:val="Compact"/>
              <w:jc w:val="left"/>
            </w:pPr>
            <w:r>
              <w:t xml:space="preserve">2019-2023 ; 2023-2028</w:t>
            </w:r>
          </w:p>
        </w:tc>
        <w:tc>
          <w:tcPr>
            <w:tcW w:w="2622" w:type="dxa"/>
          </w:tcPr>
          <w:tcPr/>
          <w:p>
            <w:pPr>
              <w:pStyle w:val="Compact"/>
              <w:jc w:val="left"/>
            </w:pPr>
            <w:r>
              <w:t xml:space="preserve">Accès / secteur</w:t>
            </w:r>
          </w:p>
        </w:tc>
        <w:tc>
          <w:tcPr>
            <w:tcW w:w="2511" w:type="dxa"/>
          </w:tcPr>
          <w:tcPr/>
          <w:p>
            <w:pPr>
              <w:pStyle w:val="Compact"/>
              <w:jc w:val="left"/>
            </w:pPr>
            <w:r>
              <w:t xml:space="preserve">[?]</w:t>
            </w:r>
          </w:p>
        </w:tc>
        <w:tc>
          <w:tcPr>
            <w:tcW w:w="1568" w:type="dxa"/>
          </w:tcPr>
          <w:tcPr/>
          <w:p>
            <w:pPr>
              <w:pStyle w:val="Compact"/>
              <w:jc w:val="left"/>
            </w:pPr>
            <w:r>
              <w:t xml:space="preserve">[?]</w:t>
            </w:r>
          </w:p>
        </w:tc>
        <w:tc>
          <w:tcPr>
            <w:tcW w:w="771" w:type="dxa"/>
          </w:tcPr>
          <w:tcPr/>
          <w:p>
            <w:pPr>
              <w:pStyle w:val="Compact"/>
              <w:jc w:val="left"/>
            </w:pPr>
            <w:r>
              <w:t xml:space="preserve">[1] (pacte)</w:t>
            </w:r>
          </w:p>
        </w:tc>
      </w:tr>
      <w:tr>
        <w:tc>
          <w:tcPr>
            <w:tcW w:w="3310" w:type="dxa"/>
          </w:tcPr>
          <w:tcPr/>
          <w:p>
            <w:pPr>
              <w:pStyle w:val="Compact"/>
              <w:jc w:val="left"/>
            </w:pPr>
            <w:r>
              <w:t xml:space="preserve">ECF + RSF FMI</w:t>
            </w:r>
          </w:p>
        </w:tc>
        <w:tc>
          <w:tcPr>
            <w:tcW w:w="767" w:type="dxa"/>
          </w:tcPr>
          <w:tcPr/>
          <w:p>
            <w:pPr>
              <w:pStyle w:val="Compact"/>
              <w:jc w:val="left"/>
            </w:pPr>
            <w:r>
              <w:t xml:space="preserve">FMI</w:t>
            </w:r>
          </w:p>
        </w:tc>
        <w:tc>
          <w:tcPr>
            <w:tcW w:w="1832" w:type="dxa"/>
          </w:tcPr>
          <w:tcPr/>
          <w:p>
            <w:pPr>
              <w:pStyle w:val="Compact"/>
              <w:jc w:val="left"/>
            </w:pPr>
            <w:r>
              <w:t xml:space="preserve">ECF ~99 M USD ; RSF ~63,55 M USD</w:t>
            </w:r>
          </w:p>
        </w:tc>
        <w:tc>
          <w:tcPr>
            <w:tcW w:w="1185" w:type="dxa"/>
          </w:tcPr>
          <w:tcPr/>
          <w:p>
            <w:pPr>
              <w:pStyle w:val="Compact"/>
              <w:jc w:val="left"/>
            </w:pPr>
            <w:r>
              <w:t xml:space="preserve">2024-</w:t>
            </w:r>
          </w:p>
        </w:tc>
        <w:tc>
          <w:tcPr>
            <w:tcW w:w="2622" w:type="dxa"/>
          </w:tcPr>
          <w:tcPr/>
          <w:p>
            <w:pPr>
              <w:pStyle w:val="Compact"/>
              <w:jc w:val="left"/>
            </w:pPr>
            <w:r>
              <w:t xml:space="preserve">Contenir les dépenses non budgétées liées à NAWEC</w:t>
            </w:r>
          </w:p>
        </w:tc>
        <w:tc>
          <w:tcPr>
            <w:tcW w:w="2511" w:type="dxa"/>
          </w:tcPr>
          <w:tcPr/>
          <w:p>
            <w:pPr>
              <w:pStyle w:val="Compact"/>
              <w:jc w:val="left"/>
            </w:pPr>
            <w:r>
              <w:t xml:space="preserve">Le FMI cite NAWEC parmi les pressions de dépenses non budgétées (3e revue, juin 2025)</w:t>
            </w:r>
          </w:p>
        </w:tc>
        <w:tc>
          <w:tcPr>
            <w:tcW w:w="1568" w:type="dxa"/>
          </w:tcPr>
          <w:tcPr/>
          <w:p>
            <w:pPr>
              <w:pStyle w:val="Compact"/>
              <w:jc w:val="left"/>
            </w:pPr>
            <w:r>
              <w:t xml:space="preserve">Revues en cours</w:t>
            </w:r>
          </w:p>
        </w:tc>
        <w:tc>
          <w:tcPr>
            <w:tcW w:w="771" w:type="dxa"/>
          </w:tcPr>
          <w:tcPr/>
          <w:p>
            <w:pPr>
              <w:pStyle w:val="Compact"/>
              <w:jc w:val="left"/>
            </w:pPr>
            <w:r>
              <w:t xml:space="preserve">[8] [S]</w:t>
            </w:r>
          </w:p>
        </w:tc>
      </w:tr>
    </w:tbl>
    <w:bookmarkEnd w:id="197"/>
    <w:bookmarkStart w:id="198" w:name="écart-pacte-réalité-15"/>
    <w:p>
      <w:pPr>
        <w:pStyle w:val="Heading3"/>
      </w:pPr>
      <w:r>
        <w:t xml:space="preserve">5. Écart pacte ↔ réalité</w:t>
      </w:r>
    </w:p>
    <w:p>
      <w:pPr>
        <w:numPr>
          <w:ilvl w:val="0"/>
          <w:numId w:val="1102"/>
        </w:numPr>
        <w:pStyle w:val="Compact"/>
      </w:pPr>
      <w:r>
        <w:rPr>
          <w:bCs/>
          <w:b/>
        </w:rPr>
        <w:t xml:space="preserve">Pertes financières</w:t>
      </w:r>
      <w:r>
        <w:t xml:space="preserve"> </w:t>
      </w:r>
      <w:r>
        <w:t xml:space="preserve">: le pacte donne −33,6 M USD en 2024 (non audité) ; la BM chiffre les pertes nettes à 45 M USD en 2023 [2] [V] — une perte structurelle de 30-45 M USD/an, pour un pays de 2,4 M d’habitants.</w:t>
      </w:r>
    </w:p>
    <w:p>
      <w:pPr>
        <w:numPr>
          <w:ilvl w:val="0"/>
          <w:numId w:val="1102"/>
        </w:numPr>
        <w:pStyle w:val="Compact"/>
      </w:pPr>
      <w:r>
        <w:rPr>
          <w:bCs/>
          <w:b/>
        </w:rPr>
        <w:t xml:space="preserve">Arriérés</w:t>
      </w:r>
      <w:r>
        <w:t xml:space="preserve"> </w:t>
      </w:r>
      <w:r>
        <w:t xml:space="preserve">: le pacte se contredit (40 M USD vs 18 M USD) ; aucune source primaire récente trouvée ; les épisodes de 2023 (coupure Senelec, arriérés publics &gt; 1,25 Md GMD) montrent que l’apurement des arriérés « hérités » est récurrent [3] [S].</w:t>
      </w:r>
    </w:p>
    <w:p>
      <w:pPr>
        <w:numPr>
          <w:ilvl w:val="0"/>
          <w:numId w:val="1102"/>
        </w:numPr>
        <w:pStyle w:val="Compact"/>
      </w:pPr>
      <w:r>
        <w:rPr>
          <w:bCs/>
          <w:b/>
        </w:rPr>
        <w:t xml:space="preserve">Pertes</w:t>
      </w:r>
      <w:r>
        <w:t xml:space="preserve"> </w:t>
      </w:r>
      <w:r>
        <w:t xml:space="preserve">: 21 % confirmés par l’ISR GERMP (oct. 2024) [4] [V] — cohérent avec le pacte.</w:t>
      </w:r>
    </w:p>
    <w:p>
      <w:pPr>
        <w:numPr>
          <w:ilvl w:val="0"/>
          <w:numId w:val="1102"/>
        </w:numPr>
        <w:pStyle w:val="Compact"/>
      </w:pPr>
      <w:r>
        <w:rPr>
          <w:bCs/>
          <w:b/>
        </w:rPr>
        <w:t xml:space="preserve">Subvention</w:t>
      </w:r>
      <w:r>
        <w:t xml:space="preserve"> </w:t>
      </w:r>
      <w:r>
        <w:t xml:space="preserve">: le pacte cite 20 M USD (annexe) ; la BM confirme un transfert de 20 M USD en 2024 via le RCM [2] [V] — cohérent, mais le pacte ne dit pas que ce transfert compense l’écart tarifaire structurel.</w:t>
      </w:r>
    </w:p>
    <w:p>
      <w:pPr>
        <w:numPr>
          <w:ilvl w:val="0"/>
          <w:numId w:val="1102"/>
        </w:numPr>
        <w:pStyle w:val="Compact"/>
      </w:pPr>
      <w:r>
        <w:t xml:space="preserve">La situation 2026 (coupures quotidiennes, dégradation de Kotu) [6] [S] n’est pas anticipée par le pacte.</w:t>
      </w:r>
    </w:p>
    <w:bookmarkEnd w:id="198"/>
    <w:bookmarkStart w:id="199" w:name="diagnostic-synthétique-15"/>
    <w:p>
      <w:pPr>
        <w:pStyle w:val="Heading3"/>
      </w:pPr>
      <w:r>
        <w:t xml:space="preserve">6. Diagnostic synthétique</w:t>
      </w:r>
    </w:p>
    <w:p>
      <w:pPr>
        <w:numPr>
          <w:ilvl w:val="0"/>
          <w:numId w:val="1103"/>
        </w:numPr>
        <w:pStyle w:val="Compact"/>
      </w:pPr>
      <w:r>
        <w:t xml:space="preserve">Financière :</w:t>
      </w:r>
      <w:r>
        <w:t xml:space="preserve"> </w:t>
      </w:r>
      <w:r>
        <w:rPr>
          <w:bCs/>
          <w:b/>
        </w:rPr>
        <w:t xml:space="preserve">très faible</w:t>
      </w:r>
      <w:r>
        <w:t xml:space="preserve"> </w:t>
      </w:r>
      <w:r>
        <w:t xml:space="preserve">— pertes de 30-45 M USD/an, fonds propres négatifs, dépendance au RCM budgétaire.</w:t>
      </w:r>
    </w:p>
    <w:p>
      <w:pPr>
        <w:numPr>
          <w:ilvl w:val="0"/>
          <w:numId w:val="1103"/>
        </w:numPr>
        <w:pStyle w:val="Compact"/>
      </w:pPr>
      <w:r>
        <w:t xml:space="preserve">Technique :</w:t>
      </w:r>
      <w:r>
        <w:t xml:space="preserve"> </w:t>
      </w:r>
      <w:r>
        <w:rPr>
          <w:bCs/>
          <w:b/>
        </w:rPr>
        <w:t xml:space="preserve">moyenne/faible</w:t>
      </w:r>
      <w:r>
        <w:t xml:space="preserve"> </w:t>
      </w:r>
      <w:r>
        <w:t xml:space="preserve">— pertes ~21 % (proches de la cible 18 %), prépaiement généralisé, mais capacité disponible insuffisante et dépendance aux importations.</w:t>
      </w:r>
    </w:p>
    <w:p>
      <w:pPr>
        <w:numPr>
          <w:ilvl w:val="0"/>
          <w:numId w:val="1103"/>
        </w:numPr>
        <w:pStyle w:val="Compact"/>
      </w:pPr>
      <w:r>
        <w:t xml:space="preserve">Gouvernance :</w:t>
      </w:r>
      <w:r>
        <w:t xml:space="preserve"> </w:t>
      </w:r>
      <w:r>
        <w:rPr>
          <w:bCs/>
          <w:b/>
        </w:rPr>
        <w:t xml:space="preserve">faible</w:t>
      </w:r>
      <w:r>
        <w:t xml:space="preserve"> </w:t>
      </w:r>
      <w:r>
        <w:t xml:space="preserve">— comptes en retard, pass-through tarifaire irrégulier (reconnu par le pacte), arriérés croisés État/NAWEC/fournisseurs.</w:t>
      </w:r>
    </w:p>
    <w:p>
      <w:pPr>
        <w:numPr>
          <w:ilvl w:val="0"/>
          <w:numId w:val="1103"/>
        </w:numPr>
        <w:pStyle w:val="Compact"/>
      </w:pPr>
      <w:r>
        <w:t xml:space="preserve">Causes racines : (1) production HFO coûteuse et exposition au dalasi ; (2) tarifs non ajustés automatiquement ; (3) arriérés publics et sous-capitalisation.</w:t>
      </w:r>
    </w:p>
    <w:p>
      <w:pPr>
        <w:numPr>
          <w:ilvl w:val="0"/>
          <w:numId w:val="1103"/>
        </w:numPr>
        <w:pStyle w:val="Compact"/>
      </w:pPr>
      <w:r>
        <w:t xml:space="preserve">Phase 3 : étude de coût de service PURA, RCM (montants annuels), péréquation tarifaire mini-réseaux.</w:t>
      </w:r>
    </w:p>
    <w:bookmarkEnd w:id="199"/>
    <w:bookmarkStart w:id="200" w:name="inconnus-15"/>
    <w:p>
      <w:pPr>
        <w:pStyle w:val="Heading3"/>
      </w:pPr>
      <w:r>
        <w:t xml:space="preserve">7. Inconnus</w:t>
      </w:r>
    </w:p>
    <w:p>
      <w:pPr>
        <w:numPr>
          <w:ilvl w:val="0"/>
          <w:numId w:val="1104"/>
        </w:numPr>
        <w:pStyle w:val="Compact"/>
      </w:pPr>
      <w:r>
        <w:t xml:space="preserve">États financiers audités 2023-2025 de NAWEC : [?].</w:t>
      </w:r>
    </w:p>
    <w:p>
      <w:pPr>
        <w:numPr>
          <w:ilvl w:val="0"/>
          <w:numId w:val="1104"/>
        </w:numPr>
        <w:pStyle w:val="Compact"/>
      </w:pPr>
      <w:r>
        <w:t xml:space="preserve">Arriérés actuels (2025-2026) envers Senelec, OMVG, IPP : [?].</w:t>
      </w:r>
    </w:p>
    <w:p>
      <w:pPr>
        <w:numPr>
          <w:ilvl w:val="0"/>
          <w:numId w:val="1104"/>
        </w:numPr>
        <w:pStyle w:val="Compact"/>
      </w:pPr>
      <w:r>
        <w:t xml:space="preserve">Recouvrement, chiffre d’affaires : [?].</w:t>
      </w:r>
    </w:p>
    <w:p>
      <w:pPr>
        <w:numPr>
          <w:ilvl w:val="0"/>
          <w:numId w:val="1104"/>
        </w:numPr>
        <w:pStyle w:val="Compact"/>
      </w:pPr>
      <w:r>
        <w:t xml:space="preserve">Rapports FMI 2025-2026 (PDF inaccessibles, HTTP 403/404) : [?].</w:t>
      </w:r>
    </w:p>
    <w:p>
      <w:pPr>
        <w:numPr>
          <w:ilvl w:val="0"/>
          <w:numId w:val="1104"/>
        </w:numPr>
        <w:pStyle w:val="Compact"/>
      </w:pPr>
      <w:r>
        <w:t xml:space="preserve">Statut de clôture financière de Soma I : [?].</w:t>
      </w:r>
    </w:p>
    <w:bookmarkEnd w:id="200"/>
    <w:bookmarkStart w:id="201" w:name="sources-16"/>
    <w:p>
      <w:pPr>
        <w:pStyle w:val="Heading3"/>
      </w:pPr>
      <w:r>
        <w:t xml:space="preserve">Sources</w:t>
      </w:r>
    </w:p>
    <w:p>
      <w:pPr>
        <w:pStyle w:val="FirstParagraph"/>
      </w:pPr>
      <w:r>
        <w:t xml:space="preserve">[1] Fiche phase 1 GMB_gambie.md / pacte national de la Gambie (Mission 300), s.d. (base 2024-2025) — référence « (pacte) ».</w:t>
      </w:r>
      <w:r>
        <w:t xml:space="preserve"> </w:t>
      </w:r>
      <w:r>
        <w:t xml:space="preserve">[2] Banque mondiale, Program Document « The Gambia Second Boosting Resilience and Unlocking Productive Potential DPF (P502012) », nov. 2024 (§21-22, notes 6 et 23). https://documents.worldbank.org/curated/en/099111224180038021/pdf/BOSIB1e21850b40b21828218be2ee21d3ba.pdf</w:t>
      </w:r>
      <w:r>
        <w:t xml:space="preserve"> </w:t>
      </w:r>
      <w:r>
        <w:t xml:space="preserve">[3] The Point (Banjul), « Govt unpaid arrears force NAWEC massive power cuts », 03/04/2023. https://thepoint.gm/africa/gambia/headlines/govt-unpaid-arrears-force-nawec-massive-power-cuts</w:t>
      </w:r>
      <w:r>
        <w:t xml:space="preserve"> </w:t>
      </w:r>
      <w:r>
        <w:t xml:space="preserve">[4] Banque mondiale, ISR « Gambia Electricity Restoration and Modernization Project (P163568) », Seq. 14, 24/12/2024. https://documents.worldbank.org/curated/en/099122424102040602/pdf/P1635681314e060ec1b2ee18e27af19c50c.pdf</w:t>
      </w:r>
      <w:r>
        <w:t xml:space="preserve"> </w:t>
      </w:r>
      <w:r>
        <w:t xml:space="preserve">[5] Banque mondiale, API projets (countrycode GM) et recherche « OMVG », extraction du 18/10/2026.</w:t>
      </w:r>
      <w:r>
        <w:t xml:space="preserve"> </w:t>
      </w:r>
      <w:r>
        <w:t xml:space="preserve">[6] The Point via AllAfrica, « Gambia: Former Nawec Director Speaks Out On Electricity Crisis », 30/06/2026. https://allafrica.com/stories/202606300370.html</w:t>
      </w:r>
      <w:r>
        <w:t xml:space="preserve"> </w:t>
      </w:r>
      <w:r>
        <w:t xml:space="preserve">[7] TaiyangNews, « Gambia’s NAWEC Seeking Bidders For 50 MW Solar Power Project », 2024 ; The Point, « World Bank committed to transformation of Gambia’s energy sector », avril 2025 (résultats de recherche). https://taiyangnews.info/tenders/gambias-nawec-seeking-bidders-for-50-mw-solar-power-project</w:t>
      </w:r>
      <w:r>
        <w:t xml:space="preserve"> </w:t>
      </w:r>
      <w:r>
        <w:t xml:space="preserve">[8] The Point, « IMF approves $63m for Gambia’s … arrangement » (3e revue ECF et RSF, juin 2025 ; contenu vu via résultat de recherche, communiqué FMI non consulté directement). https://thepoint.gm/africa/gambia/headlines/imf-approves-63m-for-gambias-extended-credit-facility-arrangement</w:t>
      </w:r>
    </w:p>
    <w:p>
      <w:r>
        <w:br w:type="page"/>
      </w:r>
    </w:p>
    <w:bookmarkEnd w:id="201"/>
    <w:bookmarkEnd w:id="202"/>
    <w:bookmarkStart w:id="212" w:name="X1f469549ee3cbf11806cfd49c220b014035e545"/>
    <w:p>
      <w:pPr>
        <w:pStyle w:val="Heading2"/>
      </w:pPr>
      <w:r>
        <w:t xml:space="preserve">Diagnostic opérateur — KPLC (Kenya), avec KenGen / KETRACO en contexte</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Point de départ : fiche phase 1</w:t>
      </w:r>
      <w:r>
        <w:t xml:space="preserve"> </w:t>
      </w:r>
      <w:r>
        <w:rPr>
          <w:rStyle w:val="VerbatimChar"/>
        </w:rPr>
        <w:t xml:space="preserve">../../phase1/fiches/KEN_kenya.md</w:t>
      </w:r>
      <w:r>
        <w:t xml:space="preserve">. Recherche documentaire au 18/10/2026.</w:t>
      </w:r>
    </w:p>
    <w:bookmarkStart w:id="203" w:name="identité-16"/>
    <w:p>
      <w:pPr>
        <w:pStyle w:val="Heading3"/>
      </w:pPr>
      <w:r>
        <w:t xml:space="preserve">0. Identité</w:t>
      </w:r>
    </w:p>
    <w:p>
      <w:pPr>
        <w:numPr>
          <w:ilvl w:val="0"/>
          <w:numId w:val="1105"/>
        </w:numPr>
        <w:pStyle w:val="Compact"/>
      </w:pPr>
      <w:r>
        <w:rPr>
          <w:bCs/>
          <w:b/>
        </w:rPr>
        <w:t xml:space="preserve">Opérateur</w:t>
      </w:r>
      <w:r>
        <w:t xml:space="preserve"> </w:t>
      </w:r>
      <w:r>
        <w:t xml:space="preserve">: The Kenya Power and Lighting Company Plc (KPLC) — acheteur unique, distribution et vente au détail, actifs de transport hérités (&lt; 220 kV d’avant 2006) ; société cotée à la NSE depuis 1954 [1] [V].</w:t>
      </w:r>
      <w:r>
        <w:t xml:space="preserve"> </w:t>
      </w:r>
      <w:r>
        <w:rPr>
          <w:bCs/>
          <w:b/>
        </w:rPr>
        <w:t xml:space="preserve">KenGen</w:t>
      </w:r>
      <w:r>
        <w:t xml:space="preserve"> </w:t>
      </w:r>
      <w:r>
        <w:t xml:space="preserve">(production publique, 1 779 MW installés / 1 680 MW effectifs au 30/06/2025) et</w:t>
      </w:r>
      <w:r>
        <w:t xml:space="preserve"> </w:t>
      </w:r>
      <w:r>
        <w:rPr>
          <w:bCs/>
          <w:b/>
        </w:rPr>
        <w:t xml:space="preserve">KETRACO</w:t>
      </w:r>
      <w:r>
        <w:t xml:space="preserve"> </w:t>
      </w:r>
      <w:r>
        <w:t xml:space="preserve">(transport HT) sont liés à KPLC par contrôle commun de l’État (Trésor : 70 % de KenGen, 100 % de KETRACO) [1] [V].</w:t>
      </w:r>
    </w:p>
    <w:p>
      <w:pPr>
        <w:numPr>
          <w:ilvl w:val="0"/>
          <w:numId w:val="1105"/>
        </w:numPr>
        <w:pStyle w:val="Compact"/>
      </w:pPr>
      <w:r>
        <w:rPr>
          <w:bCs/>
          <w:b/>
        </w:rPr>
        <w:t xml:space="preserve">Actionnariat / tutelle</w:t>
      </w:r>
      <w:r>
        <w:t xml:space="preserve"> </w:t>
      </w:r>
      <w:r>
        <w:t xml:space="preserve">: État majoritaire (Trésor national) ; Ministry of Energy and Petroleum (MoEP) [1] [V].</w:t>
      </w:r>
    </w:p>
    <w:p>
      <w:pPr>
        <w:numPr>
          <w:ilvl w:val="0"/>
          <w:numId w:val="1105"/>
        </w:numPr>
        <w:pStyle w:val="Compact"/>
      </w:pPr>
      <w:r>
        <w:rPr>
          <w:bCs/>
          <w:b/>
        </w:rPr>
        <w:t xml:space="preserve">Régulateur</w:t>
      </w:r>
      <w:r>
        <w:t xml:space="preserve"> </w:t>
      </w:r>
      <w:r>
        <w:t xml:space="preserve">: EPRA (tarifs, pass-through mensuels combustible/change/inflation) ; Energy and Petroleum Tribunal [1] [V]. Indépendance limitée : la demande tarifaire 2026-2029 déposée le 31/03/2026 a été</w:t>
      </w:r>
      <w:r>
        <w:t xml:space="preserve"> </w:t>
      </w:r>
      <w:r>
        <w:rPr>
          <w:bCs/>
          <w:b/>
        </w:rPr>
        <w:t xml:space="preserve">retirée le 03/06/2026 sur décision du ministre</w:t>
      </w:r>
      <w:r>
        <w:t xml:space="preserve"> </w:t>
      </w:r>
      <w:r>
        <w:t xml:space="preserve">; EPRA a annulé les consultations publiques [6][7] [V/S].</w:t>
      </w:r>
    </w:p>
    <w:p>
      <w:pPr>
        <w:numPr>
          <w:ilvl w:val="0"/>
          <w:numId w:val="1105"/>
        </w:numPr>
        <w:pStyle w:val="Compact"/>
      </w:pPr>
      <w:r>
        <w:rPr>
          <w:bCs/>
          <w:b/>
        </w:rPr>
        <w:t xml:space="preserve">Derniers comptes</w:t>
      </w:r>
      <w:r>
        <w:t xml:space="preserve"> </w:t>
      </w:r>
      <w:r>
        <w:t xml:space="preserve">: FY clos le</w:t>
      </w:r>
      <w:r>
        <w:t xml:space="preserve"> </w:t>
      </w:r>
      <w:r>
        <w:rPr>
          <w:bCs/>
          <w:b/>
        </w:rPr>
        <w:t xml:space="preserve">30/06/2025</w:t>
      </w:r>
      <w:r>
        <w:t xml:space="preserve">, audités (rapport annuel intégré 2025 ; résultats publiés le 06/10/2025) [1][2] [V]. Rapport de l’Auditor-General : points récurrents (créances publiques anciennes, pénalités de retard sur factures IPP, comparaison des coûts KenGen/IPP) [1] [V].</w:t>
      </w:r>
    </w:p>
    <w:bookmarkEnd w:id="203"/>
    <w:bookmarkStart w:id="204" w:name="situation-financière-16"/>
    <w:p>
      <w:pPr>
        <w:pStyle w:val="Heading3"/>
      </w:pPr>
      <w:r>
        <w:t xml:space="preserve">1. Situation financière</w:t>
      </w:r>
    </w:p>
    <w:tbl>
      <w:tblPr>
        <w:tblStyle w:val="Table"/>
        <w:tblW w:type="dxa" w:w="14570"/>
        <w:tblLook w:firstRow="1" w:lastRow="0" w:firstColumn="0" w:lastColumn="0" w:noHBand="0" w:noVBand="0" w:val="0020"/>
        <w:jc w:val="start"/>
      </w:tblPr>
      <w:tblGrid>
        <w:gridCol w:w="3076"/>
        <w:gridCol w:w="7842"/>
        <w:gridCol w:w="1478"/>
        <w:gridCol w:w="1044"/>
        <w:gridCol w:w="1129"/>
      </w:tblGrid>
      <w:tr>
        <w:trPr>
          <w:tblHeader w:val="true"/>
        </w:trPr>
        <w:tc>
          <w:tcPr>
            <w:tcW w:w="3076" w:type="dxa"/>
          </w:tcPr>
          <w:tcPr/>
          <w:p>
            <w:pPr>
              <w:pStyle w:val="Compact"/>
              <w:jc w:val="left"/>
            </w:pPr>
            <w:r>
              <w:t xml:space="preserve">Indicateur</w:t>
            </w:r>
          </w:p>
        </w:tc>
        <w:tc>
          <w:tcPr>
            <w:tcW w:w="7842" w:type="dxa"/>
          </w:tcPr>
          <w:tcPr/>
          <w:p>
            <w:pPr>
              <w:pStyle w:val="Compact"/>
              <w:jc w:val="left"/>
            </w:pPr>
            <w:r>
              <w:t xml:space="preserve">Valeur</w:t>
            </w:r>
          </w:p>
        </w:tc>
        <w:tc>
          <w:tcPr>
            <w:tcW w:w="1478" w:type="dxa"/>
          </w:tcPr>
          <w:tcPr/>
          <w:p>
            <w:pPr>
              <w:pStyle w:val="Compact"/>
              <w:jc w:val="left"/>
            </w:pPr>
            <w:r>
              <w:t xml:space="preserve">Année</w:t>
            </w:r>
          </w:p>
        </w:tc>
        <w:tc>
          <w:tcPr>
            <w:tcW w:w="1044" w:type="dxa"/>
          </w:tcPr>
          <w:tcPr/>
          <w:p>
            <w:pPr>
              <w:pStyle w:val="Compact"/>
              <w:jc w:val="left"/>
            </w:pPr>
            <w:r>
              <w:t xml:space="preserve">Statut</w:t>
            </w:r>
          </w:p>
        </w:tc>
        <w:tc>
          <w:tcPr>
            <w:tcW w:w="1129" w:type="dxa"/>
          </w:tcPr>
          <w:tcPr/>
          <w:p>
            <w:pPr>
              <w:pStyle w:val="Compact"/>
              <w:jc w:val="left"/>
            </w:pPr>
            <w:r>
              <w:t xml:space="preserve">Source</w:t>
            </w:r>
          </w:p>
        </w:tc>
      </w:tr>
      <w:tr>
        <w:tc>
          <w:tcPr>
            <w:tcW w:w="3076" w:type="dxa"/>
          </w:tcPr>
          <w:tcPr/>
          <w:p>
            <w:pPr>
              <w:pStyle w:val="Compact"/>
              <w:jc w:val="left"/>
            </w:pPr>
            <w:r>
              <w:t xml:space="preserve">Chiffre d’affaires (ventes)</w:t>
            </w:r>
          </w:p>
        </w:tc>
        <w:tc>
          <w:tcPr>
            <w:tcW w:w="7842" w:type="dxa"/>
          </w:tcPr>
          <w:tcPr/>
          <w:p>
            <w:pPr>
              <w:pStyle w:val="Compact"/>
              <w:jc w:val="left"/>
            </w:pPr>
            <w:r>
              <w:rPr>
                <w:bCs/>
                <w:b/>
              </w:rPr>
              <w:t xml:space="preserve">219,3 Md KES</w:t>
            </w:r>
            <w:r>
              <w:t xml:space="preserve"> </w:t>
            </w:r>
            <w:r>
              <w:t xml:space="preserve">(231,1 Md en FY24) — baisse liée à un shilling stable (moins de recettes de change) et à un tarif de base réduit</w:t>
            </w:r>
          </w:p>
        </w:tc>
        <w:tc>
          <w:tcPr>
            <w:tcW w:w="1478" w:type="dxa"/>
          </w:tcPr>
          <w:tcPr/>
          <w:p>
            <w:pPr>
              <w:pStyle w:val="Compact"/>
              <w:jc w:val="left"/>
            </w:pPr>
            <w:r>
              <w:t xml:space="preserve">FY2024/25</w:t>
            </w:r>
          </w:p>
        </w:tc>
        <w:tc>
          <w:tcPr>
            <w:tcW w:w="1044" w:type="dxa"/>
          </w:tcPr>
          <w:tcPr/>
          <w:p>
            <w:pPr>
              <w:pStyle w:val="Compact"/>
              <w:jc w:val="left"/>
            </w:pPr>
            <w:r>
              <w:t xml:space="preserve">[V]</w:t>
            </w:r>
          </w:p>
        </w:tc>
        <w:tc>
          <w:tcPr>
            <w:tcW w:w="1129" w:type="dxa"/>
          </w:tcPr>
          <w:tcPr/>
          <w:p>
            <w:pPr>
              <w:pStyle w:val="Compact"/>
              <w:jc w:val="left"/>
            </w:pPr>
            <w:r>
              <w:t xml:space="preserve">[2]</w:t>
            </w:r>
          </w:p>
        </w:tc>
      </w:tr>
      <w:tr>
        <w:tc>
          <w:tcPr>
            <w:tcW w:w="3076" w:type="dxa"/>
          </w:tcPr>
          <w:tcPr/>
          <w:p>
            <w:pPr>
              <w:pStyle w:val="Compact"/>
              <w:jc w:val="left"/>
            </w:pPr>
            <w:r>
              <w:t xml:space="preserve">Résultat net</w:t>
            </w:r>
          </w:p>
        </w:tc>
        <w:tc>
          <w:tcPr>
            <w:tcW w:w="7842" w:type="dxa"/>
          </w:tcPr>
          <w:tcPr/>
          <w:p>
            <w:pPr>
              <w:pStyle w:val="Compact"/>
              <w:jc w:val="left"/>
            </w:pPr>
            <w:r>
              <w:rPr>
                <w:bCs/>
                <w:b/>
              </w:rPr>
              <w:t xml:space="preserve">24,47 Md KES</w:t>
            </w:r>
            <w:r>
              <w:t xml:space="preserve"> </w:t>
            </w:r>
            <w:r>
              <w:t xml:space="preserve">(30,08 Md en FY24) ; résultat avant impôt 35,4 Md ; marge nette ≈ 11 %</w:t>
            </w:r>
          </w:p>
        </w:tc>
        <w:tc>
          <w:tcPr>
            <w:tcW w:w="1478" w:type="dxa"/>
          </w:tcPr>
          <w:tcPr/>
          <w:p>
            <w:pPr>
              <w:pStyle w:val="Compact"/>
              <w:jc w:val="left"/>
            </w:pPr>
            <w:r>
              <w:t xml:space="preserve">FY2024/25</w:t>
            </w:r>
          </w:p>
        </w:tc>
        <w:tc>
          <w:tcPr>
            <w:tcW w:w="1044" w:type="dxa"/>
          </w:tcPr>
          <w:tcPr/>
          <w:p>
            <w:pPr>
              <w:pStyle w:val="Compact"/>
              <w:jc w:val="left"/>
            </w:pPr>
            <w:r>
              <w:t xml:space="preserve">[V] / [E]</w:t>
            </w:r>
          </w:p>
        </w:tc>
        <w:tc>
          <w:tcPr>
            <w:tcW w:w="1129" w:type="dxa"/>
          </w:tcPr>
          <w:tcPr/>
          <w:p>
            <w:pPr>
              <w:pStyle w:val="Compact"/>
              <w:jc w:val="left"/>
            </w:pPr>
            <w:r>
              <w:t xml:space="preserve">[2]</w:t>
            </w:r>
          </w:p>
        </w:tc>
      </w:tr>
      <w:tr>
        <w:tc>
          <w:tcPr>
            <w:tcW w:w="3076" w:type="dxa"/>
          </w:tcPr>
          <w:tcPr/>
          <w:p>
            <w:pPr>
              <w:pStyle w:val="Compact"/>
              <w:jc w:val="left"/>
            </w:pPr>
            <w:r>
              <w:t xml:space="preserve">Résultat d’exploitation</w:t>
            </w:r>
          </w:p>
        </w:tc>
        <w:tc>
          <w:tcPr>
            <w:tcW w:w="7842" w:type="dxa"/>
          </w:tcPr>
          <w:tcPr/>
          <w:p>
            <w:pPr>
              <w:pStyle w:val="Compact"/>
              <w:jc w:val="left"/>
            </w:pPr>
            <w:r>
              <w:t xml:space="preserve">39,5 Md KES (41,5 Md)</w:t>
            </w:r>
          </w:p>
        </w:tc>
        <w:tc>
          <w:tcPr>
            <w:tcW w:w="1478" w:type="dxa"/>
          </w:tcPr>
          <w:tcPr/>
          <w:p>
            <w:pPr>
              <w:pStyle w:val="Compact"/>
              <w:jc w:val="left"/>
            </w:pPr>
            <w:r>
              <w:t xml:space="preserve">FY2024/25</w:t>
            </w:r>
          </w:p>
        </w:tc>
        <w:tc>
          <w:tcPr>
            <w:tcW w:w="1044" w:type="dxa"/>
          </w:tcPr>
          <w:tcPr/>
          <w:p>
            <w:pPr>
              <w:pStyle w:val="Compact"/>
              <w:jc w:val="left"/>
            </w:pPr>
            <w:r>
              <w:t xml:space="preserve">[V]</w:t>
            </w:r>
          </w:p>
        </w:tc>
        <w:tc>
          <w:tcPr>
            <w:tcW w:w="1129" w:type="dxa"/>
          </w:tcPr>
          <w:tcPr/>
          <w:p>
            <w:pPr>
              <w:pStyle w:val="Compact"/>
              <w:jc w:val="left"/>
            </w:pPr>
            <w:r>
              <w:t xml:space="preserve">[2]</w:t>
            </w:r>
          </w:p>
        </w:tc>
      </w:tr>
      <w:tr>
        <w:tc>
          <w:tcPr>
            <w:tcW w:w="3076" w:type="dxa"/>
          </w:tcPr>
          <w:tcPr/>
          <w:p>
            <w:pPr>
              <w:pStyle w:val="Compact"/>
              <w:jc w:val="left"/>
            </w:pPr>
            <w:r>
              <w:t xml:space="preserve">EBITDA</w:t>
            </w:r>
          </w:p>
        </w:tc>
        <w:tc>
          <w:tcPr>
            <w:tcW w:w="7842" w:type="dxa"/>
          </w:tcPr>
          <w:tcPr/>
          <w:p>
            <w:pPr>
              <w:pStyle w:val="Compact"/>
              <w:jc w:val="left"/>
            </w:pPr>
            <w:r>
              <w:t xml:space="preserve">[?] non publié dans le résumé ; flux d’exploitation 39,8 Md KES</w:t>
            </w:r>
          </w:p>
        </w:tc>
        <w:tc>
          <w:tcPr>
            <w:tcW w:w="1478" w:type="dxa"/>
          </w:tcPr>
          <w:tcPr/>
          <w:p>
            <w:pPr>
              <w:pStyle w:val="Compact"/>
              <w:jc w:val="left"/>
            </w:pPr>
            <w:r>
              <w:t xml:space="preserve">FY2024/25</w:t>
            </w:r>
          </w:p>
        </w:tc>
        <w:tc>
          <w:tcPr>
            <w:tcW w:w="1044" w:type="dxa"/>
          </w:tcPr>
          <w:tcPr/>
          <w:p>
            <w:pPr>
              <w:pStyle w:val="Compact"/>
              <w:jc w:val="left"/>
            </w:pPr>
            <w:r>
              <w:t xml:space="preserve">[V]</w:t>
            </w:r>
          </w:p>
        </w:tc>
        <w:tc>
          <w:tcPr>
            <w:tcW w:w="1129" w:type="dxa"/>
          </w:tcPr>
          <w:tcPr/>
          <w:p>
            <w:pPr>
              <w:pStyle w:val="Compact"/>
              <w:jc w:val="left"/>
            </w:pPr>
            <w:r>
              <w:t xml:space="preserve">[2]</w:t>
            </w:r>
          </w:p>
        </w:tc>
      </w:tr>
      <w:tr>
        <w:tc>
          <w:tcPr>
            <w:tcW w:w="3076" w:type="dxa"/>
          </w:tcPr>
          <w:tcPr/>
          <w:p>
            <w:pPr>
              <w:pStyle w:val="Compact"/>
              <w:jc w:val="left"/>
            </w:pPr>
            <w:r>
              <w:t xml:space="preserve">Dette financière</w:t>
            </w:r>
          </w:p>
        </w:tc>
        <w:tc>
          <w:tcPr>
            <w:tcW w:w="7842" w:type="dxa"/>
          </w:tcPr>
          <w:tcPr/>
          <w:p>
            <w:pPr>
              <w:pStyle w:val="Compact"/>
              <w:jc w:val="left"/>
            </w:pPr>
            <w:r>
              <w:rPr>
                <w:bCs/>
                <w:b/>
              </w:rPr>
              <w:t xml:space="preserve">87,6 Md KES</w:t>
            </w:r>
            <w:r>
              <w:t xml:space="preserve"> </w:t>
            </w:r>
            <w:r>
              <w:t xml:space="preserve">(98,5 Md) ; coût moyen pondéré 3,84 %</w:t>
            </w:r>
          </w:p>
        </w:tc>
        <w:tc>
          <w:tcPr>
            <w:tcW w:w="1478" w:type="dxa"/>
          </w:tcPr>
          <w:tcPr/>
          <w:p>
            <w:pPr>
              <w:pStyle w:val="Compact"/>
              <w:jc w:val="left"/>
            </w:pPr>
            <w:r>
              <w:t xml:space="preserve">30/06/2025</w:t>
            </w:r>
          </w:p>
        </w:tc>
        <w:tc>
          <w:tcPr>
            <w:tcW w:w="1044" w:type="dxa"/>
          </w:tcPr>
          <w:tcPr/>
          <w:p>
            <w:pPr>
              <w:pStyle w:val="Compact"/>
              <w:jc w:val="left"/>
            </w:pPr>
            <w:r>
              <w:t xml:space="preserve">[V]</w:t>
            </w:r>
          </w:p>
        </w:tc>
        <w:tc>
          <w:tcPr>
            <w:tcW w:w="1129" w:type="dxa"/>
          </w:tcPr>
          <w:tcPr/>
          <w:p>
            <w:pPr>
              <w:pStyle w:val="Compact"/>
              <w:jc w:val="left"/>
            </w:pPr>
            <w:r>
              <w:t xml:space="preserve">[1][2]</w:t>
            </w:r>
          </w:p>
        </w:tc>
      </w:tr>
      <w:tr>
        <w:tc>
          <w:tcPr>
            <w:tcW w:w="3076" w:type="dxa"/>
          </w:tcPr>
          <w:tcPr/>
          <w:p>
            <w:pPr>
              <w:pStyle w:val="Compact"/>
              <w:jc w:val="left"/>
            </w:pPr>
            <w:r>
              <w:t xml:space="preserve">Fonds de roulement</w:t>
            </w:r>
          </w:p>
        </w:tc>
        <w:tc>
          <w:tcPr>
            <w:tcW w:w="7842" w:type="dxa"/>
          </w:tcPr>
          <w:tcPr/>
          <w:p>
            <w:pPr>
              <w:pStyle w:val="Compact"/>
              <w:jc w:val="left"/>
            </w:pPr>
            <w:r>
              <w:t xml:space="preserve">–19,2 Md KES (–27,4 Md)</w:t>
            </w:r>
          </w:p>
        </w:tc>
        <w:tc>
          <w:tcPr>
            <w:tcW w:w="1478" w:type="dxa"/>
          </w:tcPr>
          <w:tcPr/>
          <w:p>
            <w:pPr>
              <w:pStyle w:val="Compact"/>
              <w:jc w:val="left"/>
            </w:pPr>
            <w:r>
              <w:t xml:space="preserve">30/06/2025</w:t>
            </w:r>
          </w:p>
        </w:tc>
        <w:tc>
          <w:tcPr>
            <w:tcW w:w="1044" w:type="dxa"/>
          </w:tcPr>
          <w:tcPr/>
          <w:p>
            <w:pPr>
              <w:pStyle w:val="Compact"/>
              <w:jc w:val="left"/>
            </w:pPr>
            <w:r>
              <w:t xml:space="preserve">[V]</w:t>
            </w:r>
          </w:p>
        </w:tc>
        <w:tc>
          <w:tcPr>
            <w:tcW w:w="1129" w:type="dxa"/>
          </w:tcPr>
          <w:tcPr/>
          <w:p>
            <w:pPr>
              <w:pStyle w:val="Compact"/>
              <w:jc w:val="left"/>
            </w:pPr>
            <w:r>
              <w:t xml:space="preserve">[2]</w:t>
            </w:r>
          </w:p>
        </w:tc>
      </w:tr>
      <w:tr>
        <w:tc>
          <w:tcPr>
            <w:tcW w:w="3076" w:type="dxa"/>
          </w:tcPr>
          <w:tcPr/>
          <w:p>
            <w:pPr>
              <w:pStyle w:val="Compact"/>
              <w:jc w:val="left"/>
            </w:pPr>
            <w:r>
              <w:t xml:space="preserve">Dettes envers producteurs</w:t>
            </w:r>
          </w:p>
        </w:tc>
        <w:tc>
          <w:tcPr>
            <w:tcW w:w="7842" w:type="dxa"/>
          </w:tcPr>
          <w:tcPr/>
          <w:p>
            <w:pPr>
              <w:pStyle w:val="Compact"/>
              <w:jc w:val="left"/>
            </w:pPr>
            <w:r>
              <w:t xml:space="preserve">KenGen 17,7 Md + autres producteurs 32,6 Md =</w:t>
            </w:r>
            <w:r>
              <w:t xml:space="preserve"> </w:t>
            </w:r>
            <w:r>
              <w:rPr>
                <w:bCs/>
                <w:b/>
              </w:rPr>
              <w:t xml:space="preserve">≈ 50,3 Md KES</w:t>
            </w:r>
            <w:r>
              <w:t xml:space="preserve"> </w:t>
            </w:r>
            <w:r>
              <w:t xml:space="preserve">; dettes fournisseurs &gt; 90 jours : 23 % (11,5 Md KES)</w:t>
            </w:r>
          </w:p>
        </w:tc>
        <w:tc>
          <w:tcPr>
            <w:tcW w:w="1478" w:type="dxa"/>
          </w:tcPr>
          <w:tcPr/>
          <w:p>
            <w:pPr>
              <w:pStyle w:val="Compact"/>
              <w:jc w:val="left"/>
            </w:pPr>
            <w:r>
              <w:t xml:space="preserve">30/06/2025</w:t>
            </w:r>
          </w:p>
        </w:tc>
        <w:tc>
          <w:tcPr>
            <w:tcW w:w="1044" w:type="dxa"/>
          </w:tcPr>
          <w:tcPr/>
          <w:p>
            <w:pPr>
              <w:pStyle w:val="Compact"/>
              <w:jc w:val="left"/>
            </w:pPr>
            <w:r>
              <w:t xml:space="preserve">[V] / [E]</w:t>
            </w:r>
          </w:p>
        </w:tc>
        <w:tc>
          <w:tcPr>
            <w:tcW w:w="1129" w:type="dxa"/>
          </w:tcPr>
          <w:tcPr/>
          <w:p>
            <w:pPr>
              <w:pStyle w:val="Compact"/>
              <w:jc w:val="left"/>
            </w:pPr>
            <w:r>
              <w:t xml:space="preserve">[1] note 29</w:t>
            </w:r>
          </w:p>
        </w:tc>
      </w:tr>
      <w:tr>
        <w:tc>
          <w:tcPr>
            <w:tcW w:w="3076" w:type="dxa"/>
          </w:tcPr>
          <w:tcPr/>
          <w:p>
            <w:pPr>
              <w:pStyle w:val="Compact"/>
              <w:jc w:val="left"/>
            </w:pPr>
            <w:r>
              <w:t xml:space="preserve">Jours de dettes (DLI 4 BM)</w:t>
            </w:r>
          </w:p>
        </w:tc>
        <w:tc>
          <w:tcPr>
            <w:tcW w:w="7842" w:type="dxa"/>
          </w:tcPr>
          <w:tcPr/>
          <w:p>
            <w:pPr>
              <w:pStyle w:val="Compact"/>
              <w:jc w:val="left"/>
            </w:pPr>
            <w:r>
              <w:t xml:space="preserve">KenGen : &gt; 155 j (2023) → 60 j déclarés FY25 (non vérifié) ; IPP : &gt; 115 j → 79 j (non vérifié)</w:t>
            </w:r>
          </w:p>
        </w:tc>
        <w:tc>
          <w:tcPr>
            <w:tcW w:w="1478" w:type="dxa"/>
          </w:tcPr>
          <w:tcPr/>
          <w:p>
            <w:pPr>
              <w:pStyle w:val="Compact"/>
              <w:jc w:val="left"/>
            </w:pPr>
            <w:r>
              <w:t xml:space="preserve">FY2025</w:t>
            </w:r>
          </w:p>
        </w:tc>
        <w:tc>
          <w:tcPr>
            <w:tcW w:w="1044" w:type="dxa"/>
          </w:tcPr>
          <w:tcPr/>
          <w:p>
            <w:pPr>
              <w:pStyle w:val="Compact"/>
              <w:jc w:val="left"/>
            </w:pPr>
            <w:r>
              <w:t xml:space="preserve">[V]</w:t>
            </w:r>
          </w:p>
        </w:tc>
        <w:tc>
          <w:tcPr>
            <w:tcW w:w="1129" w:type="dxa"/>
          </w:tcPr>
          <w:tcPr/>
          <w:p>
            <w:pPr>
              <w:pStyle w:val="Compact"/>
              <w:jc w:val="left"/>
            </w:pPr>
            <w:r>
              <w:t xml:space="preserve">[4]</w:t>
            </w:r>
          </w:p>
        </w:tc>
      </w:tr>
      <w:tr>
        <w:tc>
          <w:tcPr>
            <w:tcW w:w="3076" w:type="dxa"/>
          </w:tcPr>
          <w:tcPr/>
          <w:p>
            <w:pPr>
              <w:pStyle w:val="Compact"/>
              <w:jc w:val="left"/>
            </w:pPr>
            <w:r>
              <w:t xml:space="preserve">Créances sur l’État et entités publiques</w:t>
            </w:r>
          </w:p>
        </w:tc>
        <w:tc>
          <w:tcPr>
            <w:tcW w:w="7842" w:type="dxa"/>
          </w:tcPr>
          <w:tcPr/>
          <w:p>
            <w:pPr>
              <w:pStyle w:val="Compact"/>
              <w:jc w:val="left"/>
            </w:pPr>
            <w:r>
              <w:rPr>
                <w:bCs/>
                <w:b/>
              </w:rPr>
              <w:t xml:space="preserve">55,0 Md KES</w:t>
            </w:r>
            <w:r>
              <w:t xml:space="preserve"> </w:t>
            </w:r>
            <w:r>
              <w:t xml:space="preserve">dont : déficit du Rural Electrification Scheme (RES) dû par l’État 34,8 Md ; ministères &amp; comtés 6,7 Md ; RES intra-groupe 8,1 Md ; KETRACO 1,7 Md. Les 19,4 Md KES budgétés par le MoEP pour le RES</w:t>
            </w:r>
            <w:r>
              <w:t xml:space="preserve"> </w:t>
            </w:r>
            <w:r>
              <w:rPr>
                <w:bCs/>
                <w:b/>
              </w:rPr>
              <w:t xml:space="preserve">non décaissés</w:t>
            </w:r>
          </w:p>
        </w:tc>
        <w:tc>
          <w:tcPr>
            <w:tcW w:w="1478" w:type="dxa"/>
          </w:tcPr>
          <w:tcPr/>
          <w:p>
            <w:pPr>
              <w:pStyle w:val="Compact"/>
              <w:jc w:val="left"/>
            </w:pPr>
            <w:r>
              <w:t xml:space="preserve">30/06/2025</w:t>
            </w:r>
          </w:p>
        </w:tc>
        <w:tc>
          <w:tcPr>
            <w:tcW w:w="1044" w:type="dxa"/>
          </w:tcPr>
          <w:tcPr/>
          <w:p>
            <w:pPr>
              <w:pStyle w:val="Compact"/>
              <w:jc w:val="left"/>
            </w:pPr>
            <w:r>
              <w:t xml:space="preserve">[V]</w:t>
            </w:r>
          </w:p>
        </w:tc>
        <w:tc>
          <w:tcPr>
            <w:tcW w:w="1129" w:type="dxa"/>
          </w:tcPr>
          <w:tcPr/>
          <w:p>
            <w:pPr>
              <w:pStyle w:val="Compact"/>
              <w:jc w:val="left"/>
            </w:pPr>
            <w:r>
              <w:t xml:space="preserve">[1] note 38, annexe I</w:t>
            </w:r>
          </w:p>
        </w:tc>
      </w:tr>
      <w:tr>
        <w:tc>
          <w:tcPr>
            <w:tcW w:w="3076" w:type="dxa"/>
          </w:tcPr>
          <w:tcPr/>
          <w:p>
            <w:pPr>
              <w:pStyle w:val="Compact"/>
              <w:jc w:val="left"/>
            </w:pPr>
            <w:r>
              <w:t xml:space="preserve">Transferts de l’État</w:t>
            </w:r>
          </w:p>
        </w:tc>
        <w:tc>
          <w:tcPr>
            <w:tcW w:w="7842" w:type="dxa"/>
          </w:tcPr>
          <w:tcPr/>
          <w:p>
            <w:pPr>
              <w:pStyle w:val="Compact"/>
              <w:jc w:val="left"/>
            </w:pPr>
            <w:r>
              <w:t xml:space="preserve">rétrocession partielle des fonds du PforR GREEN : la BM a décaissé à l’État mais « only a portion » a été transférée à KPLC faute d’allocation budgétaire</w:t>
            </w:r>
          </w:p>
        </w:tc>
        <w:tc>
          <w:tcPr>
            <w:tcW w:w="1478" w:type="dxa"/>
          </w:tcPr>
          <w:tcPr/>
          <w:p>
            <w:pPr>
              <w:pStyle w:val="Compact"/>
              <w:jc w:val="left"/>
            </w:pPr>
            <w:r>
              <w:t xml:space="preserve">2026</w:t>
            </w:r>
          </w:p>
        </w:tc>
        <w:tc>
          <w:tcPr>
            <w:tcW w:w="1044" w:type="dxa"/>
          </w:tcPr>
          <w:tcPr/>
          <w:p>
            <w:pPr>
              <w:pStyle w:val="Compact"/>
              <w:jc w:val="left"/>
            </w:pPr>
            <w:r>
              <w:t xml:space="preserve">[V]</w:t>
            </w:r>
          </w:p>
        </w:tc>
        <w:tc>
          <w:tcPr>
            <w:tcW w:w="1129" w:type="dxa"/>
          </w:tcPr>
          <w:tcPr/>
          <w:p>
            <w:pPr>
              <w:pStyle w:val="Compact"/>
              <w:jc w:val="left"/>
            </w:pPr>
            <w:r>
              <w:t xml:space="preserve">[4]</w:t>
            </w:r>
          </w:p>
        </w:tc>
      </w:tr>
      <w:tr>
        <w:tc>
          <w:tcPr>
            <w:tcW w:w="3076" w:type="dxa"/>
          </w:tcPr>
          <w:tcPr/>
          <w:p>
            <w:pPr>
              <w:pStyle w:val="Compact"/>
              <w:jc w:val="left"/>
            </w:pPr>
            <w:r>
              <w:t xml:space="preserve">Taux de recouvrement</w:t>
            </w:r>
          </w:p>
        </w:tc>
        <w:tc>
          <w:tcPr>
            <w:tcW w:w="7842" w:type="dxa"/>
          </w:tcPr>
          <w:tcPr/>
          <w:p>
            <w:pPr>
              <w:pStyle w:val="Compact"/>
              <w:jc w:val="left"/>
            </w:pPr>
            <w:r>
              <w:t xml:space="preserve">[?] non publié ; retards de paiement de grands clients et d’entités nationales/comtés cités comme principal défi</w:t>
            </w:r>
          </w:p>
        </w:tc>
        <w:tc>
          <w:tcPr>
            <w:tcW w:w="1478" w:type="dxa"/>
          </w:tcPr>
          <w:tcPr/>
          <w:p>
            <w:pPr>
              <w:pStyle w:val="Compact"/>
              <w:jc w:val="left"/>
            </w:pPr>
            <w:r>
              <w:t xml:space="preserve">FY2024/25</w:t>
            </w:r>
          </w:p>
        </w:tc>
        <w:tc>
          <w:tcPr>
            <w:tcW w:w="1044" w:type="dxa"/>
          </w:tcPr>
          <w:tcPr/>
          <w:p>
            <w:pPr>
              <w:pStyle w:val="Compact"/>
              <w:jc w:val="left"/>
            </w:pPr>
            <w:r>
              <w:t xml:space="preserve">[V]</w:t>
            </w:r>
          </w:p>
        </w:tc>
        <w:tc>
          <w:tcPr>
            <w:tcW w:w="1129" w:type="dxa"/>
          </w:tcPr>
          <w:tcPr/>
          <w:p>
            <w:pPr>
              <w:pStyle w:val="Compact"/>
              <w:jc w:val="left"/>
            </w:pPr>
            <w:r>
              <w:t xml:space="preserve">[1]</w:t>
            </w:r>
          </w:p>
        </w:tc>
      </w:tr>
      <w:tr>
        <w:tc>
          <w:tcPr>
            <w:tcW w:w="3076" w:type="dxa"/>
          </w:tcPr>
          <w:tcPr/>
          <w:p>
            <w:pPr>
              <w:pStyle w:val="Compact"/>
              <w:jc w:val="left"/>
            </w:pPr>
            <w:r>
              <w:t xml:space="preserve">Recette moyenne vs coût</w:t>
            </w:r>
          </w:p>
        </w:tc>
        <w:tc>
          <w:tcPr>
            <w:tcW w:w="7842" w:type="dxa"/>
          </w:tcPr>
          <w:tcPr/>
          <w:p>
            <w:pPr>
              <w:pStyle w:val="Compact"/>
              <w:jc w:val="left"/>
            </w:pPr>
            <w:r>
              <w:rPr>
                <w:bCs/>
                <w:b/>
              </w:rPr>
              <w:t xml:space="preserve">≈ 19,2 KES/kWh vendu</w:t>
            </w:r>
            <w:r>
              <w:t xml:space="preserve"> </w:t>
            </w:r>
            <w:r>
              <w:t xml:space="preserve">vs coût total (achats + exploitation + financier)</w:t>
            </w:r>
            <w:r>
              <w:t xml:space="preserve"> </w:t>
            </w:r>
            <w:r>
              <w:rPr>
                <w:bCs/>
                <w:b/>
              </w:rPr>
              <w:t xml:space="preserve">≈ 16,8 KES/kWh</w:t>
            </w:r>
            <w:r>
              <w:t xml:space="preserve"> </w:t>
            </w:r>
            <w:r>
              <w:t xml:space="preserve">; achats d’électricité ≈ 12,7 KES/kWh vendu</w:t>
            </w:r>
          </w:p>
        </w:tc>
        <w:tc>
          <w:tcPr>
            <w:tcW w:w="1478" w:type="dxa"/>
          </w:tcPr>
          <w:tcPr/>
          <w:p>
            <w:pPr>
              <w:pStyle w:val="Compact"/>
              <w:jc w:val="left"/>
            </w:pPr>
            <w:r>
              <w:t xml:space="preserve">FY2024/25</w:t>
            </w:r>
          </w:p>
        </w:tc>
        <w:tc>
          <w:tcPr>
            <w:tcW w:w="1044" w:type="dxa"/>
          </w:tcPr>
          <w:tcPr/>
          <w:p>
            <w:pPr>
              <w:pStyle w:val="Compact"/>
              <w:jc w:val="left"/>
            </w:pPr>
            <w:r>
              <w:t xml:space="preserve">[E] (sur [V])</w:t>
            </w:r>
          </w:p>
        </w:tc>
        <w:tc>
          <w:tcPr>
            <w:tcW w:w="1129" w:type="dxa"/>
          </w:tcPr>
          <w:tcPr/>
          <w:p>
            <w:pPr>
              <w:pStyle w:val="Compact"/>
              <w:jc w:val="left"/>
            </w:pPr>
            <w:r>
              <w:t xml:space="preserve">[1][2]</w:t>
            </w:r>
          </w:p>
        </w:tc>
      </w:tr>
      <w:tr>
        <w:tc>
          <w:tcPr>
            <w:tcW w:w="3076" w:type="dxa"/>
          </w:tcPr>
          <w:tcPr/>
          <w:p>
            <w:pPr>
              <w:pStyle w:val="Compact"/>
              <w:jc w:val="left"/>
            </w:pPr>
            <w:r>
              <w:t xml:space="preserve">Déficit quasi-budgétaire</w:t>
            </w:r>
          </w:p>
        </w:tc>
        <w:tc>
          <w:tcPr>
            <w:tcW w:w="7842" w:type="dxa"/>
          </w:tcPr>
          <w:tcPr/>
          <w:p>
            <w:pPr>
              <w:pStyle w:val="Compact"/>
              <w:jc w:val="left"/>
            </w:pPr>
            <w:r>
              <w:t xml:space="preserve">non estimé ; le déficit RES (raccordements ruraux sous-tarifés) est la principale composante identifiable</w:t>
            </w:r>
          </w:p>
        </w:tc>
        <w:tc>
          <w:tcPr>
            <w:tcW w:w="1478" w:type="dxa"/>
          </w:tcPr>
          <w:tcPr/>
          <w:p>
            <w:pPr>
              <w:pStyle w:val="Compact"/>
            </w:pPr>
          </w:p>
        </w:tc>
        <w:tc>
          <w:tcPr>
            <w:tcW w:w="1044" w:type="dxa"/>
          </w:tcPr>
          <w:tcPr/>
          <w:p>
            <w:pPr>
              <w:pStyle w:val="Compact"/>
              <w:jc w:val="left"/>
            </w:pPr>
            <w:r>
              <w:t xml:space="preserve">[E]</w:t>
            </w:r>
          </w:p>
        </w:tc>
        <w:tc>
          <w:tcPr>
            <w:tcW w:w="1129" w:type="dxa"/>
          </w:tcPr>
          <w:tcPr/>
          <w:p>
            <w:pPr>
              <w:pStyle w:val="Compact"/>
              <w:jc w:val="left"/>
            </w:pPr>
            <w:r>
              <w:t xml:space="preserve">[1]</w:t>
            </w:r>
          </w:p>
        </w:tc>
      </w:tr>
      <w:tr>
        <w:tc>
          <w:tcPr>
            <w:tcW w:w="3076" w:type="dxa"/>
          </w:tcPr>
          <w:tcPr/>
          <w:p>
            <w:pPr>
              <w:pStyle w:val="Compact"/>
              <w:jc w:val="left"/>
            </w:pPr>
            <w:r>
              <w:t xml:space="preserve">Notation</w:t>
            </w:r>
          </w:p>
        </w:tc>
        <w:tc>
          <w:tcPr>
            <w:tcW w:w="7842" w:type="dxa"/>
          </w:tcPr>
          <w:tcPr/>
          <w:p>
            <w:pPr>
              <w:pStyle w:val="Compact"/>
              <w:jc w:val="left"/>
            </w:pPr>
            <w:r>
              <w:t xml:space="preserve">[?] non trouvée</w:t>
            </w:r>
          </w:p>
        </w:tc>
        <w:tc>
          <w:tcPr>
            <w:tcW w:w="1478" w:type="dxa"/>
          </w:tcPr>
          <w:tcPr/>
          <w:p>
            <w:pPr>
              <w:pStyle w:val="Compact"/>
            </w:pPr>
          </w:p>
        </w:tc>
        <w:tc>
          <w:tcPr>
            <w:tcW w:w="1044" w:type="dxa"/>
          </w:tcPr>
          <w:tcPr/>
          <w:p>
            <w:pPr>
              <w:pStyle w:val="Compact"/>
            </w:pPr>
          </w:p>
        </w:tc>
        <w:tc>
          <w:tcPr>
            <w:tcW w:w="1129" w:type="dxa"/>
          </w:tcPr>
          <w:tcPr/>
          <w:p>
            <w:pPr>
              <w:pStyle w:val="Compact"/>
            </w:pPr>
          </w:p>
        </w:tc>
      </w:tr>
    </w:tbl>
    <w:bookmarkEnd w:id="204"/>
    <w:bookmarkStart w:id="205" w:name="situation-technique-16"/>
    <w:p>
      <w:pPr>
        <w:pStyle w:val="Heading3"/>
      </w:pPr>
      <w:r>
        <w:t xml:space="preserve">2. Situation technique</w:t>
      </w:r>
    </w:p>
    <w:tbl>
      <w:tblPr>
        <w:tblStyle w:val="Table"/>
        <w:tblW w:type="dxa" w:w="14570"/>
        <w:tblLook w:firstRow="1" w:lastRow="0" w:firstColumn="0" w:lastColumn="0" w:noHBand="0" w:noVBand="0" w:val="0020"/>
        <w:jc w:val="start"/>
      </w:tblPr>
      <w:tblGrid>
        <w:gridCol w:w="2512"/>
        <w:gridCol w:w="7417"/>
        <w:gridCol w:w="2139"/>
        <w:gridCol w:w="1109"/>
        <w:gridCol w:w="1392"/>
      </w:tblGrid>
      <w:tr>
        <w:trPr>
          <w:tblHeader w:val="true"/>
        </w:trPr>
        <w:tc>
          <w:tcPr>
            <w:tcW w:w="2512" w:type="dxa"/>
          </w:tcPr>
          <w:tcPr/>
          <w:p>
            <w:pPr>
              <w:pStyle w:val="Compact"/>
              <w:jc w:val="left"/>
            </w:pPr>
            <w:r>
              <w:t xml:space="preserve">Indicateur</w:t>
            </w:r>
          </w:p>
        </w:tc>
        <w:tc>
          <w:tcPr>
            <w:tcW w:w="7417" w:type="dxa"/>
          </w:tcPr>
          <w:tcPr/>
          <w:p>
            <w:pPr>
              <w:pStyle w:val="Compact"/>
              <w:jc w:val="left"/>
            </w:pPr>
            <w:r>
              <w:t xml:space="preserve">Valeur</w:t>
            </w:r>
          </w:p>
        </w:tc>
        <w:tc>
          <w:tcPr>
            <w:tcW w:w="2139" w:type="dxa"/>
          </w:tcPr>
          <w:tcPr/>
          <w:p>
            <w:pPr>
              <w:pStyle w:val="Compact"/>
              <w:jc w:val="left"/>
            </w:pPr>
            <w:r>
              <w:t xml:space="preserve">Année</w:t>
            </w:r>
          </w:p>
        </w:tc>
        <w:tc>
          <w:tcPr>
            <w:tcW w:w="1109" w:type="dxa"/>
          </w:tcPr>
          <w:tcPr/>
          <w:p>
            <w:pPr>
              <w:pStyle w:val="Compact"/>
              <w:jc w:val="left"/>
            </w:pPr>
            <w:r>
              <w:t xml:space="preserve">Statut</w:t>
            </w:r>
          </w:p>
        </w:tc>
        <w:tc>
          <w:tcPr>
            <w:tcW w:w="1392" w:type="dxa"/>
          </w:tcPr>
          <w:tcPr/>
          <w:p>
            <w:pPr>
              <w:pStyle w:val="Compact"/>
              <w:jc w:val="left"/>
            </w:pPr>
            <w:r>
              <w:t xml:space="preserve">Source</w:t>
            </w:r>
          </w:p>
        </w:tc>
      </w:tr>
      <w:tr>
        <w:tc>
          <w:tcPr>
            <w:tcW w:w="2512" w:type="dxa"/>
          </w:tcPr>
          <w:tcPr/>
          <w:p>
            <w:pPr>
              <w:pStyle w:val="Compact"/>
              <w:jc w:val="left"/>
            </w:pPr>
            <w:r>
              <w:t xml:space="preserve">Ventes</w:t>
            </w:r>
          </w:p>
        </w:tc>
        <w:tc>
          <w:tcPr>
            <w:tcW w:w="7417" w:type="dxa"/>
          </w:tcPr>
          <w:tcPr/>
          <w:p>
            <w:pPr>
              <w:pStyle w:val="Compact"/>
              <w:jc w:val="left"/>
            </w:pPr>
            <w:r>
              <w:t xml:space="preserve">11 403 GWh (+887 GWh)</w:t>
            </w:r>
          </w:p>
        </w:tc>
        <w:tc>
          <w:tcPr>
            <w:tcW w:w="2139" w:type="dxa"/>
          </w:tcPr>
          <w:tcPr/>
          <w:p>
            <w:pPr>
              <w:pStyle w:val="Compact"/>
              <w:jc w:val="left"/>
            </w:pPr>
            <w:r>
              <w:t xml:space="preserve">FY2024/25</w:t>
            </w:r>
          </w:p>
        </w:tc>
        <w:tc>
          <w:tcPr>
            <w:tcW w:w="1109" w:type="dxa"/>
          </w:tcPr>
          <w:tcPr/>
          <w:p>
            <w:pPr>
              <w:pStyle w:val="Compact"/>
              <w:jc w:val="left"/>
            </w:pPr>
            <w:r>
              <w:t xml:space="preserve">[V]</w:t>
            </w:r>
          </w:p>
        </w:tc>
        <w:tc>
          <w:tcPr>
            <w:tcW w:w="1392" w:type="dxa"/>
          </w:tcPr>
          <w:tcPr/>
          <w:p>
            <w:pPr>
              <w:pStyle w:val="Compact"/>
              <w:jc w:val="left"/>
            </w:pPr>
            <w:r>
              <w:t xml:space="preserve">[1]</w:t>
            </w:r>
          </w:p>
        </w:tc>
      </w:tr>
      <w:tr>
        <w:tc>
          <w:tcPr>
            <w:tcW w:w="2512" w:type="dxa"/>
          </w:tcPr>
          <w:tcPr/>
          <w:p>
            <w:pPr>
              <w:pStyle w:val="Compact"/>
              <w:jc w:val="left"/>
            </w:pPr>
            <w:r>
              <w:t xml:space="preserve">Pertes totales du système</w:t>
            </w:r>
          </w:p>
        </w:tc>
        <w:tc>
          <w:tcPr>
            <w:tcW w:w="7417" w:type="dxa"/>
          </w:tcPr>
          <w:tcPr/>
          <w:p>
            <w:pPr>
              <w:pStyle w:val="Compact"/>
              <w:jc w:val="left"/>
            </w:pPr>
            <w:r>
              <w:rPr>
                <w:bCs/>
                <w:b/>
              </w:rPr>
              <w:t xml:space="preserve">21,21 %</w:t>
            </w:r>
            <w:r>
              <w:t xml:space="preserve"> </w:t>
            </w:r>
            <w:r>
              <w:t xml:space="preserve">(23,16 % en FY24) ; efficacité distribution+transport 78,79 %</w:t>
            </w:r>
          </w:p>
        </w:tc>
        <w:tc>
          <w:tcPr>
            <w:tcW w:w="2139" w:type="dxa"/>
          </w:tcPr>
          <w:tcPr/>
          <w:p>
            <w:pPr>
              <w:pStyle w:val="Compact"/>
              <w:jc w:val="left"/>
            </w:pPr>
            <w:r>
              <w:t xml:space="preserve">30/06/2025</w:t>
            </w:r>
          </w:p>
        </w:tc>
        <w:tc>
          <w:tcPr>
            <w:tcW w:w="1109" w:type="dxa"/>
          </w:tcPr>
          <w:tcPr/>
          <w:p>
            <w:pPr>
              <w:pStyle w:val="Compact"/>
              <w:jc w:val="left"/>
            </w:pPr>
            <w:r>
              <w:t xml:space="preserve">[V]</w:t>
            </w:r>
          </w:p>
        </w:tc>
        <w:tc>
          <w:tcPr>
            <w:tcW w:w="1392" w:type="dxa"/>
          </w:tcPr>
          <w:tcPr/>
          <w:p>
            <w:pPr>
              <w:pStyle w:val="Compact"/>
              <w:jc w:val="left"/>
            </w:pPr>
            <w:r>
              <w:t xml:space="preserve">[1][2]</w:t>
            </w:r>
          </w:p>
        </w:tc>
      </w:tr>
      <w:tr>
        <w:tc>
          <w:tcPr>
            <w:tcW w:w="2512" w:type="dxa"/>
          </w:tcPr>
          <w:tcPr/>
          <w:p>
            <w:pPr>
              <w:pStyle w:val="Compact"/>
              <w:jc w:val="left"/>
            </w:pPr>
            <w:r>
              <w:t xml:space="preserve">SAIDI / SAIFI</w:t>
            </w:r>
          </w:p>
        </w:tc>
        <w:tc>
          <w:tcPr>
            <w:tcW w:w="7417" w:type="dxa"/>
          </w:tcPr>
          <w:tcPr/>
          <w:p>
            <w:pPr>
              <w:pStyle w:val="Compact"/>
              <w:jc w:val="left"/>
            </w:pPr>
            <w:r>
              <w:t xml:space="preserve">113 h (120,6 h) ; 44,07 (47) — cible interne SAIFI 30</w:t>
            </w:r>
          </w:p>
        </w:tc>
        <w:tc>
          <w:tcPr>
            <w:tcW w:w="2139" w:type="dxa"/>
          </w:tcPr>
          <w:tcPr/>
          <w:p>
            <w:pPr>
              <w:pStyle w:val="Compact"/>
              <w:jc w:val="left"/>
            </w:pPr>
            <w:r>
              <w:t xml:space="preserve">FY2024/25</w:t>
            </w:r>
          </w:p>
        </w:tc>
        <w:tc>
          <w:tcPr>
            <w:tcW w:w="1109" w:type="dxa"/>
          </w:tcPr>
          <w:tcPr/>
          <w:p>
            <w:pPr>
              <w:pStyle w:val="Compact"/>
              <w:jc w:val="left"/>
            </w:pPr>
            <w:r>
              <w:t xml:space="preserve">[V]</w:t>
            </w:r>
          </w:p>
        </w:tc>
        <w:tc>
          <w:tcPr>
            <w:tcW w:w="1392" w:type="dxa"/>
          </w:tcPr>
          <w:tcPr/>
          <w:p>
            <w:pPr>
              <w:pStyle w:val="Compact"/>
              <w:jc w:val="left"/>
            </w:pPr>
            <w:r>
              <w:t xml:space="preserve">[1]</w:t>
            </w:r>
          </w:p>
        </w:tc>
      </w:tr>
      <w:tr>
        <w:tc>
          <w:tcPr>
            <w:tcW w:w="2512" w:type="dxa"/>
          </w:tcPr>
          <w:tcPr/>
          <w:p>
            <w:pPr>
              <w:pStyle w:val="Compact"/>
              <w:jc w:val="left"/>
            </w:pPr>
            <w:r>
              <w:t xml:space="preserve">Clients</w:t>
            </w:r>
          </w:p>
        </w:tc>
        <w:tc>
          <w:tcPr>
            <w:tcW w:w="7417" w:type="dxa"/>
          </w:tcPr>
          <w:tcPr/>
          <w:p>
            <w:pPr>
              <w:pStyle w:val="Compact"/>
              <w:jc w:val="left"/>
            </w:pPr>
            <w:r>
              <w:t xml:space="preserve">&gt; 10 M ; 401 848 nouveaux raccordements (dont 163 092 Last Mile)</w:t>
            </w:r>
          </w:p>
        </w:tc>
        <w:tc>
          <w:tcPr>
            <w:tcW w:w="2139" w:type="dxa"/>
          </w:tcPr>
          <w:tcPr/>
          <w:p>
            <w:pPr>
              <w:pStyle w:val="Compact"/>
              <w:jc w:val="left"/>
            </w:pPr>
            <w:r>
              <w:t xml:space="preserve">FY2024/25</w:t>
            </w:r>
          </w:p>
        </w:tc>
        <w:tc>
          <w:tcPr>
            <w:tcW w:w="1109" w:type="dxa"/>
          </w:tcPr>
          <w:tcPr/>
          <w:p>
            <w:pPr>
              <w:pStyle w:val="Compact"/>
              <w:jc w:val="left"/>
            </w:pPr>
            <w:r>
              <w:t xml:space="preserve">[V]</w:t>
            </w:r>
          </w:p>
        </w:tc>
        <w:tc>
          <w:tcPr>
            <w:tcW w:w="1392" w:type="dxa"/>
          </w:tcPr>
          <w:tcPr/>
          <w:p>
            <w:pPr>
              <w:pStyle w:val="Compact"/>
              <w:jc w:val="left"/>
            </w:pPr>
            <w:r>
              <w:t xml:space="preserve">[1]</w:t>
            </w:r>
          </w:p>
        </w:tc>
      </w:tr>
      <w:tr>
        <w:tc>
          <w:tcPr>
            <w:tcW w:w="2512" w:type="dxa"/>
          </w:tcPr>
          <w:tcPr/>
          <w:p>
            <w:pPr>
              <w:pStyle w:val="Compact"/>
              <w:jc w:val="left"/>
            </w:pPr>
            <w:r>
              <w:t xml:space="preserve">Capacité</w:t>
            </w:r>
          </w:p>
        </w:tc>
        <w:tc>
          <w:tcPr>
            <w:tcW w:w="7417" w:type="dxa"/>
          </w:tcPr>
          <w:tcPr/>
          <w:p>
            <w:pPr>
              <w:pStyle w:val="Compact"/>
              <w:jc w:val="left"/>
            </w:pPr>
            <w:r>
              <w:t xml:space="preserve">KenGen 1 779 MW installés ; IPP thermiques 393 MW ; IPP géothermiques 185 MW (+ éolien/solaire/imports)</w:t>
            </w:r>
          </w:p>
        </w:tc>
        <w:tc>
          <w:tcPr>
            <w:tcW w:w="2139" w:type="dxa"/>
          </w:tcPr>
          <w:tcPr/>
          <w:p>
            <w:pPr>
              <w:pStyle w:val="Compact"/>
              <w:jc w:val="left"/>
            </w:pPr>
            <w:r>
              <w:t xml:space="preserve">30/06/2025</w:t>
            </w:r>
          </w:p>
        </w:tc>
        <w:tc>
          <w:tcPr>
            <w:tcW w:w="1109" w:type="dxa"/>
          </w:tcPr>
          <w:tcPr/>
          <w:p>
            <w:pPr>
              <w:pStyle w:val="Compact"/>
              <w:jc w:val="left"/>
            </w:pPr>
            <w:r>
              <w:t xml:space="preserve">[V]</w:t>
            </w:r>
          </w:p>
        </w:tc>
        <w:tc>
          <w:tcPr>
            <w:tcW w:w="1392" w:type="dxa"/>
          </w:tcPr>
          <w:tcPr/>
          <w:p>
            <w:pPr>
              <w:pStyle w:val="Compact"/>
              <w:jc w:val="left"/>
            </w:pPr>
            <w:r>
              <w:t xml:space="preserve">[1] annexe</w:t>
            </w:r>
          </w:p>
        </w:tc>
      </w:tr>
      <w:tr>
        <w:tc>
          <w:tcPr>
            <w:tcW w:w="2512" w:type="dxa"/>
          </w:tcPr>
          <w:tcPr/>
          <w:p>
            <w:pPr>
              <w:pStyle w:val="Compact"/>
              <w:jc w:val="left"/>
            </w:pPr>
            <w:r>
              <w:t xml:space="preserve">Délestages</w:t>
            </w:r>
          </w:p>
        </w:tc>
        <w:tc>
          <w:tcPr>
            <w:tcW w:w="7417" w:type="dxa"/>
          </w:tcPr>
          <w:tcPr/>
          <w:p>
            <w:pPr>
              <w:pStyle w:val="Compact"/>
              <w:jc w:val="left"/>
            </w:pPr>
            <w:r>
              <w:t xml:space="preserve">« isolated load shedding during peak hours » faute de capacité</w:t>
            </w:r>
          </w:p>
        </w:tc>
        <w:tc>
          <w:tcPr>
            <w:tcW w:w="2139" w:type="dxa"/>
          </w:tcPr>
          <w:tcPr/>
          <w:p>
            <w:pPr>
              <w:pStyle w:val="Compact"/>
              <w:jc w:val="left"/>
            </w:pPr>
            <w:r>
              <w:t xml:space="preserve">FY2024/25</w:t>
            </w:r>
          </w:p>
        </w:tc>
        <w:tc>
          <w:tcPr>
            <w:tcW w:w="1109" w:type="dxa"/>
          </w:tcPr>
          <w:tcPr/>
          <w:p>
            <w:pPr>
              <w:pStyle w:val="Compact"/>
              <w:jc w:val="left"/>
            </w:pPr>
            <w:r>
              <w:t xml:space="preserve">[V]</w:t>
            </w:r>
          </w:p>
        </w:tc>
        <w:tc>
          <w:tcPr>
            <w:tcW w:w="1392" w:type="dxa"/>
          </w:tcPr>
          <w:tcPr/>
          <w:p>
            <w:pPr>
              <w:pStyle w:val="Compact"/>
              <w:jc w:val="left"/>
            </w:pPr>
            <w:r>
              <w:t xml:space="preserve">[2]</w:t>
            </w:r>
          </w:p>
        </w:tc>
      </w:tr>
    </w:tbl>
    <w:bookmarkEnd w:id="205"/>
    <w:bookmarkStart w:id="206" w:name="situation-économique-et-gouvernance-16"/>
    <w:p>
      <w:pPr>
        <w:pStyle w:val="Heading3"/>
      </w:pPr>
      <w:r>
        <w:t xml:space="preserve">3. Situation économique et gouvernance</w:t>
      </w:r>
    </w:p>
    <w:p>
      <w:pPr>
        <w:numPr>
          <w:ilvl w:val="0"/>
          <w:numId w:val="1106"/>
        </w:numPr>
        <w:pStyle w:val="Compact"/>
      </w:pPr>
      <w:r>
        <w:rPr>
          <w:bCs/>
          <w:b/>
        </w:rPr>
        <w:t xml:space="preserve">PPA</w:t>
      </w:r>
      <w:r>
        <w:t xml:space="preserve"> </w:t>
      </w:r>
      <w:r>
        <w:t xml:space="preserve">: achats = 144,7 Md KES (≈ 66 % des produits) ; « a significant part of power purchase is denominated in foreign currency » ; la pénurie de devises 2023-2024 a gonflé les arriérés et des intérêts de retard IPP ont été payés ; en FY25 KPLC a versé 24 Md KES au-delà des factures annuelles (KenGen 5,2 ; IPP 18,3 ; KETRACO 0,9) pour résorber les retards [1] [V].</w:t>
      </w:r>
    </w:p>
    <w:p>
      <w:pPr>
        <w:numPr>
          <w:ilvl w:val="0"/>
          <w:numId w:val="1106"/>
        </w:numPr>
        <w:pStyle w:val="Compact"/>
      </w:pPr>
      <w:r>
        <w:rPr>
          <w:bCs/>
          <w:b/>
        </w:rPr>
        <w:t xml:space="preserve">Change</w:t>
      </w:r>
      <w:r>
        <w:t xml:space="preserve"> </w:t>
      </w:r>
      <w:r>
        <w:t xml:space="preserve">: pass-through mensuel du change et du combustible via EPRA, ce qui transfère le risque au consommateur ; la stabilité du shilling a réduit les recettes et les coûts [2] [V].</w:t>
      </w:r>
    </w:p>
    <w:p>
      <w:pPr>
        <w:numPr>
          <w:ilvl w:val="0"/>
          <w:numId w:val="1106"/>
        </w:numPr>
        <w:pStyle w:val="Compact"/>
      </w:pPr>
      <w:r>
        <w:rPr>
          <w:bCs/>
          <w:b/>
        </w:rPr>
        <w:t xml:space="preserve">Redressement</w:t>
      </w:r>
      <w:r>
        <w:t xml:space="preserve"> </w:t>
      </w:r>
      <w:r>
        <w:t xml:space="preserve">: PforR GREEN (BM) structuré autour de la viabilité de KPLC (gouvernance, recouvrement des coûts, arriérés, pertes) [3] ; pertes cibles 18 % fin FY27/28 (DLI 5) [3] [V].</w:t>
      </w:r>
    </w:p>
    <w:p>
      <w:pPr>
        <w:numPr>
          <w:ilvl w:val="0"/>
          <w:numId w:val="1106"/>
        </w:numPr>
        <w:pStyle w:val="Compact"/>
      </w:pPr>
      <w:r>
        <w:rPr>
          <w:bCs/>
          <w:b/>
        </w:rPr>
        <w:t xml:space="preserve">Gouvernance</w:t>
      </w:r>
      <w:r>
        <w:t xml:space="preserve"> </w:t>
      </w:r>
      <w:r>
        <w:t xml:space="preserve">: nouveau DG recruté par concours ; statuts modifiés (AGM du 08/12/2023 : candidats administrateurs déposés ≥ 14 jours avant l’AG), vérifiés par l’agent indépendant [4] [V].</w:t>
      </w:r>
    </w:p>
    <w:bookmarkEnd w:id="206"/>
    <w:bookmarkStart w:id="207" w:name="X86318987bdbcde844d3f7a867a6115664286da7"/>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381"/>
        <w:gridCol w:w="827"/>
        <w:gridCol w:w="1719"/>
        <w:gridCol w:w="1221"/>
        <w:gridCol w:w="3507"/>
        <w:gridCol w:w="1395"/>
        <w:gridCol w:w="1504"/>
        <w:gridCol w:w="1013"/>
      </w:tblGrid>
      <w:tr>
        <w:trPr>
          <w:tblHeader w:val="true"/>
        </w:trPr>
        <w:tc>
          <w:tcPr>
            <w:tcW w:w="3381" w:type="dxa"/>
          </w:tcPr>
          <w:tcPr/>
          <w:p>
            <w:pPr>
              <w:pStyle w:val="Compact"/>
              <w:jc w:val="left"/>
            </w:pPr>
            <w:r>
              <w:t xml:space="preserve">Programme / projet</w:t>
            </w:r>
          </w:p>
        </w:tc>
        <w:tc>
          <w:tcPr>
            <w:tcW w:w="827" w:type="dxa"/>
          </w:tcPr>
          <w:tcPr/>
          <w:p>
            <w:pPr>
              <w:pStyle w:val="Compact"/>
              <w:jc w:val="left"/>
            </w:pPr>
            <w:r>
              <w:t xml:space="preserve">Bailleur</w:t>
            </w:r>
          </w:p>
        </w:tc>
        <w:tc>
          <w:tcPr>
            <w:tcW w:w="1719" w:type="dxa"/>
          </w:tcPr>
          <w:tcPr/>
          <w:p>
            <w:pPr>
              <w:pStyle w:val="Compact"/>
              <w:jc w:val="left"/>
            </w:pPr>
            <w:r>
              <w:t xml:space="preserve">Montant</w:t>
            </w:r>
          </w:p>
        </w:tc>
        <w:tc>
          <w:tcPr>
            <w:tcW w:w="1221" w:type="dxa"/>
          </w:tcPr>
          <w:tcPr/>
          <w:p>
            <w:pPr>
              <w:pStyle w:val="Compact"/>
              <w:jc w:val="left"/>
            </w:pPr>
            <w:r>
              <w:t xml:space="preserve">Années</w:t>
            </w:r>
          </w:p>
        </w:tc>
        <w:tc>
          <w:tcPr>
            <w:tcW w:w="3507" w:type="dxa"/>
          </w:tcPr>
          <w:tcPr/>
          <w:p>
            <w:pPr>
              <w:pStyle w:val="Compact"/>
              <w:jc w:val="left"/>
            </w:pPr>
            <w:r>
              <w:t xml:space="preserve">Objectifs liés à l’opérateur</w:t>
            </w:r>
          </w:p>
        </w:tc>
        <w:tc>
          <w:tcPr>
            <w:tcW w:w="1395" w:type="dxa"/>
          </w:tcPr>
          <w:tcPr/>
          <w:p>
            <w:pPr>
              <w:pStyle w:val="Compact"/>
              <w:jc w:val="left"/>
            </w:pPr>
            <w:r>
              <w:t xml:space="preserve">Conditions / indicateurs</w:t>
            </w:r>
          </w:p>
        </w:tc>
        <w:tc>
          <w:tcPr>
            <w:tcW w:w="1504" w:type="dxa"/>
          </w:tcPr>
          <w:tcPr/>
          <w:p>
            <w:pPr>
              <w:pStyle w:val="Compact"/>
              <w:jc w:val="left"/>
            </w:pPr>
            <w:r>
              <w:t xml:space="preserve">Statut</w:t>
            </w:r>
          </w:p>
        </w:tc>
        <w:tc>
          <w:tcPr>
            <w:tcW w:w="1013" w:type="dxa"/>
          </w:tcPr>
          <w:tcPr/>
          <w:p>
            <w:pPr>
              <w:pStyle w:val="Compact"/>
              <w:jc w:val="left"/>
            </w:pPr>
            <w:r>
              <w:t xml:space="preserve">Source</w:t>
            </w:r>
          </w:p>
        </w:tc>
      </w:tr>
      <w:tr>
        <w:tc>
          <w:tcPr>
            <w:tcW w:w="3381" w:type="dxa"/>
          </w:tcPr>
          <w:tcPr/>
          <w:p>
            <w:pPr>
              <w:pStyle w:val="Compact"/>
              <w:jc w:val="left"/>
            </w:pPr>
            <w:r>
              <w:rPr>
                <w:bCs/>
                <w:b/>
              </w:rPr>
              <w:t xml:space="preserve">Kenya Green and Resilient Expansion of Energy (GREEN) Program (P176698)</w:t>
            </w:r>
          </w:p>
        </w:tc>
        <w:tc>
          <w:tcPr>
            <w:tcW w:w="827" w:type="dxa"/>
          </w:tcPr>
          <w:tcPr/>
          <w:p>
            <w:pPr>
              <w:pStyle w:val="Compact"/>
              <w:jc w:val="left"/>
            </w:pPr>
            <w:r>
              <w:t xml:space="preserve">BM (PforR)</w:t>
            </w:r>
          </w:p>
        </w:tc>
        <w:tc>
          <w:tcPr>
            <w:tcW w:w="1719" w:type="dxa"/>
          </w:tcPr>
          <w:tcPr/>
          <w:p>
            <w:pPr>
              <w:pStyle w:val="Compact"/>
              <w:jc w:val="left"/>
            </w:pPr>
            <w:r>
              <w:t xml:space="preserve">400 M USD (2 crédits de 200 M)</w:t>
            </w:r>
          </w:p>
        </w:tc>
        <w:tc>
          <w:tcPr>
            <w:tcW w:w="1221" w:type="dxa"/>
          </w:tcPr>
          <w:tcPr/>
          <w:p>
            <w:pPr>
              <w:pStyle w:val="Compact"/>
              <w:jc w:val="left"/>
            </w:pPr>
            <w:r>
              <w:t xml:space="preserve">2023–2028</w:t>
            </w:r>
          </w:p>
        </w:tc>
        <w:tc>
          <w:tcPr>
            <w:tcW w:w="3507" w:type="dxa"/>
          </w:tcPr>
          <w:tcPr/>
          <w:p>
            <w:pPr>
              <w:pStyle w:val="Compact"/>
              <w:jc w:val="left"/>
            </w:pPr>
            <w:r>
              <w:t xml:space="preserve">« améliorer la viabilité financière de KPLC et l’accès »</w:t>
            </w:r>
          </w:p>
        </w:tc>
        <w:tc>
          <w:tcPr>
            <w:tcW w:w="1395" w:type="dxa"/>
          </w:tcPr>
          <w:tcPr/>
          <w:p>
            <w:pPr>
              <w:pStyle w:val="Compact"/>
              <w:jc w:val="left"/>
            </w:pPr>
            <w:r>
              <w:t xml:space="preserve">DLI 1 gouvernance KPLC ; DLI 2 recouvrement des coûts (revue tarifaire EPRA, gazette des pass-through) ; DLI 3 apurement des créances Last Mile de l’État ; DLI 4 dettes envers KenGen ≤ 100 j et IPP ≤ 80 j d’ici FY28 ; DLI 5 pertes 23 % → 18 % ; DLI 6 1,6 M raccordements. Juin 2026 : DLI 3.2 « off-track », DLI 2.1 (revue tarifaire) non atteinte ; décaissé 36 % et 45 %</w:t>
            </w:r>
          </w:p>
        </w:tc>
        <w:tc>
          <w:tcPr>
            <w:tcW w:w="1504" w:type="dxa"/>
          </w:tcPr>
          <w:tcPr/>
          <w:p>
            <w:pPr>
              <w:pStyle w:val="Compact"/>
              <w:jc w:val="left"/>
            </w:pPr>
            <w:r>
              <w:t xml:space="preserve">Actif, MS</w:t>
            </w:r>
          </w:p>
        </w:tc>
        <w:tc>
          <w:tcPr>
            <w:tcW w:w="1013" w:type="dxa"/>
          </w:tcPr>
          <w:tcPr/>
          <w:p>
            <w:pPr>
              <w:pStyle w:val="Compact"/>
              <w:jc w:val="left"/>
            </w:pPr>
            <w:r>
              <w:t xml:space="preserve">[3][4]</w:t>
            </w:r>
          </w:p>
        </w:tc>
      </w:tr>
      <w:tr>
        <w:tc>
          <w:tcPr>
            <w:tcW w:w="3381" w:type="dxa"/>
          </w:tcPr>
          <w:tcPr/>
          <w:p>
            <w:pPr>
              <w:pStyle w:val="Compact"/>
              <w:jc w:val="left"/>
            </w:pPr>
            <w:r>
              <w:t xml:space="preserve">GREEN Phase 2 (P180465)</w:t>
            </w:r>
          </w:p>
        </w:tc>
        <w:tc>
          <w:tcPr>
            <w:tcW w:w="827" w:type="dxa"/>
          </w:tcPr>
          <w:tcPr/>
          <w:p>
            <w:pPr>
              <w:pStyle w:val="Compact"/>
              <w:jc w:val="left"/>
            </w:pPr>
            <w:r>
              <w:t xml:space="preserve">BM</w:t>
            </w:r>
          </w:p>
        </w:tc>
        <w:tc>
          <w:tcPr>
            <w:tcW w:w="1719" w:type="dxa"/>
          </w:tcPr>
          <w:tcPr/>
          <w:p>
            <w:pPr>
              <w:pStyle w:val="Compact"/>
              <w:jc w:val="left"/>
            </w:pPr>
            <w:r>
              <w:t xml:space="preserve">153,5 M + 48,5 M USD don</w:t>
            </w:r>
          </w:p>
        </w:tc>
        <w:tc>
          <w:tcPr>
            <w:tcW w:w="1221" w:type="dxa"/>
          </w:tcPr>
          <w:tcPr/>
          <w:p>
            <w:pPr>
              <w:pStyle w:val="Compact"/>
              <w:jc w:val="left"/>
            </w:pPr>
            <w:r>
              <w:t xml:space="preserve">2023–2029</w:t>
            </w:r>
          </w:p>
        </w:tc>
        <w:tc>
          <w:tcPr>
            <w:tcW w:w="3507" w:type="dxa"/>
          </w:tcPr>
          <w:tcPr/>
          <w:p>
            <w:pPr>
              <w:pStyle w:val="Compact"/>
              <w:jc w:val="left"/>
            </w:pPr>
            <w:r>
              <w:t xml:space="preserve">KenGen, KETRACO (transport, géothermie)</w:t>
            </w:r>
          </w:p>
        </w:tc>
        <w:tc>
          <w:tcPr>
            <w:tcW w:w="1395" w:type="dxa"/>
          </w:tcPr>
          <w:tcPr/>
          <w:p>
            <w:pPr>
              <w:pStyle w:val="Compact"/>
              <w:jc w:val="left"/>
            </w:pPr>
            <w:r>
              <w:t xml:space="preserve">—</w:t>
            </w:r>
          </w:p>
        </w:tc>
        <w:tc>
          <w:tcPr>
            <w:tcW w:w="1504" w:type="dxa"/>
          </w:tcPr>
          <w:tcPr/>
          <w:p>
            <w:pPr>
              <w:pStyle w:val="Compact"/>
              <w:jc w:val="left"/>
            </w:pPr>
            <w:r>
              <w:t xml:space="preserve">Actif</w:t>
            </w:r>
          </w:p>
        </w:tc>
        <w:tc>
          <w:tcPr>
            <w:tcW w:w="1013" w:type="dxa"/>
          </w:tcPr>
          <w:tcPr/>
          <w:p>
            <w:pPr>
              <w:pStyle w:val="Compact"/>
              <w:jc w:val="left"/>
            </w:pPr>
            <w:r>
              <w:t xml:space="preserve">[5]</w:t>
            </w:r>
          </w:p>
        </w:tc>
      </w:tr>
      <w:tr>
        <w:tc>
          <w:tcPr>
            <w:tcW w:w="3381" w:type="dxa"/>
          </w:tcPr>
          <w:tcPr/>
          <w:p>
            <w:pPr>
              <w:pStyle w:val="Compact"/>
              <w:jc w:val="left"/>
            </w:pPr>
            <w:r>
              <w:t xml:space="preserve">Kenya Off-grid Solar Access Project (KOSAP, P160009)</w:t>
            </w:r>
          </w:p>
        </w:tc>
        <w:tc>
          <w:tcPr>
            <w:tcW w:w="827" w:type="dxa"/>
          </w:tcPr>
          <w:tcPr/>
          <w:p>
            <w:pPr>
              <w:pStyle w:val="Compact"/>
              <w:jc w:val="left"/>
            </w:pPr>
            <w:r>
              <w:t xml:space="preserve">BM</w:t>
            </w:r>
          </w:p>
        </w:tc>
        <w:tc>
          <w:tcPr>
            <w:tcW w:w="1719" w:type="dxa"/>
          </w:tcPr>
          <w:tcPr/>
          <w:p>
            <w:pPr>
              <w:pStyle w:val="Compact"/>
              <w:jc w:val="left"/>
            </w:pPr>
            <w:r>
              <w:t xml:space="preserve">150 M USD</w:t>
            </w:r>
          </w:p>
        </w:tc>
        <w:tc>
          <w:tcPr>
            <w:tcW w:w="1221" w:type="dxa"/>
          </w:tcPr>
          <w:tcPr/>
          <w:p>
            <w:pPr>
              <w:pStyle w:val="Compact"/>
              <w:jc w:val="left"/>
            </w:pPr>
            <w:r>
              <w:t xml:space="preserve">2017–2027</w:t>
            </w:r>
          </w:p>
        </w:tc>
        <w:tc>
          <w:tcPr>
            <w:tcW w:w="3507" w:type="dxa"/>
          </w:tcPr>
          <w:tcPr/>
          <w:p>
            <w:pPr>
              <w:pStyle w:val="Compact"/>
              <w:jc w:val="left"/>
            </w:pPr>
            <w:r>
              <w:t xml:space="preserve">hors réseau (REREC/MoEP)</w:t>
            </w:r>
          </w:p>
        </w:tc>
        <w:tc>
          <w:tcPr>
            <w:tcW w:w="1395" w:type="dxa"/>
          </w:tcPr>
          <w:tcPr/>
          <w:p>
            <w:pPr>
              <w:pStyle w:val="Compact"/>
              <w:jc w:val="left"/>
            </w:pPr>
            <w:r>
              <w:t xml:space="preserve">—</w:t>
            </w:r>
          </w:p>
        </w:tc>
        <w:tc>
          <w:tcPr>
            <w:tcW w:w="1504" w:type="dxa"/>
          </w:tcPr>
          <w:tcPr/>
          <w:p>
            <w:pPr>
              <w:pStyle w:val="Compact"/>
              <w:jc w:val="left"/>
            </w:pPr>
            <w:r>
              <w:t xml:space="preserve">Actif</w:t>
            </w:r>
          </w:p>
        </w:tc>
        <w:tc>
          <w:tcPr>
            <w:tcW w:w="1013" w:type="dxa"/>
          </w:tcPr>
          <w:tcPr/>
          <w:p>
            <w:pPr>
              <w:pStyle w:val="Compact"/>
              <w:jc w:val="left"/>
            </w:pPr>
            <w:r>
              <w:t xml:space="preserve">[5]</w:t>
            </w:r>
          </w:p>
        </w:tc>
      </w:tr>
      <w:tr>
        <w:tc>
          <w:tcPr>
            <w:tcW w:w="3381" w:type="dxa"/>
          </w:tcPr>
          <w:tcPr/>
          <w:p>
            <w:pPr>
              <w:pStyle w:val="Compact"/>
              <w:jc w:val="left"/>
            </w:pPr>
            <w:r>
              <w:t xml:space="preserve">ASCENT Kenya (P515398)</w:t>
            </w:r>
          </w:p>
        </w:tc>
        <w:tc>
          <w:tcPr>
            <w:tcW w:w="827" w:type="dxa"/>
          </w:tcPr>
          <w:tcPr/>
          <w:p>
            <w:pPr>
              <w:pStyle w:val="Compact"/>
              <w:jc w:val="left"/>
            </w:pPr>
            <w:r>
              <w:t xml:space="preserve">BM</w:t>
            </w:r>
          </w:p>
        </w:tc>
        <w:tc>
          <w:tcPr>
            <w:tcW w:w="1719" w:type="dxa"/>
          </w:tcPr>
          <w:tcPr/>
          <w:p>
            <w:pPr>
              <w:pStyle w:val="Compact"/>
              <w:jc w:val="left"/>
            </w:pPr>
            <w:r>
              <w:t xml:space="preserve">250 M + 205 M USD don</w:t>
            </w:r>
          </w:p>
        </w:tc>
        <w:tc>
          <w:tcPr>
            <w:tcW w:w="1221" w:type="dxa"/>
          </w:tcPr>
          <w:tcPr/>
          <w:p>
            <w:pPr>
              <w:pStyle w:val="Compact"/>
              <w:jc w:val="left"/>
            </w:pPr>
            <w:r>
              <w:t xml:space="preserve">approbation prévue 15/09/2027</w:t>
            </w:r>
          </w:p>
        </w:tc>
        <w:tc>
          <w:tcPr>
            <w:tcW w:w="3507" w:type="dxa"/>
          </w:tcPr>
          <w:tcPr/>
          <w:p>
            <w:pPr>
              <w:pStyle w:val="Compact"/>
              <w:jc w:val="left"/>
            </w:pPr>
            <w:r>
              <w:t xml:space="preserve">accès (REREC, MoEP)</w:t>
            </w:r>
          </w:p>
        </w:tc>
        <w:tc>
          <w:tcPr>
            <w:tcW w:w="1395" w:type="dxa"/>
          </w:tcPr>
          <w:tcPr/>
          <w:p>
            <w:pPr>
              <w:pStyle w:val="Compact"/>
              <w:jc w:val="left"/>
            </w:pPr>
            <w:r>
              <w:t xml:space="preserve">—</w:t>
            </w:r>
          </w:p>
        </w:tc>
        <w:tc>
          <w:tcPr>
            <w:tcW w:w="1504" w:type="dxa"/>
          </w:tcPr>
          <w:tcPr/>
          <w:p>
            <w:pPr>
              <w:pStyle w:val="Compact"/>
              <w:jc w:val="left"/>
            </w:pPr>
            <w:r>
              <w:t xml:space="preserve">Pipeline</w:t>
            </w:r>
          </w:p>
        </w:tc>
        <w:tc>
          <w:tcPr>
            <w:tcW w:w="1013" w:type="dxa"/>
          </w:tcPr>
          <w:tcPr/>
          <w:p>
            <w:pPr>
              <w:pStyle w:val="Compact"/>
              <w:jc w:val="left"/>
            </w:pPr>
            <w:r>
              <w:t xml:space="preserve">[5]</w:t>
            </w:r>
          </w:p>
        </w:tc>
      </w:tr>
      <w:tr>
        <w:tc>
          <w:tcPr>
            <w:tcW w:w="3381" w:type="dxa"/>
          </w:tcPr>
          <w:tcPr/>
          <w:p>
            <w:pPr>
              <w:pStyle w:val="Compact"/>
              <w:jc w:val="left"/>
            </w:pPr>
            <w:r>
              <w:t xml:space="preserve">DPO FIGG (P180339) ; 1st et 2nd Fiscal Sustainability and Resilient Growth (P500912 ; P508021)</w:t>
            </w:r>
          </w:p>
        </w:tc>
        <w:tc>
          <w:tcPr>
            <w:tcW w:w="827" w:type="dxa"/>
          </w:tcPr>
          <w:tcPr/>
          <w:p>
            <w:pPr>
              <w:pStyle w:val="Compact"/>
              <w:jc w:val="left"/>
            </w:pPr>
            <w:r>
              <w:t xml:space="preserve">BM (DPF)</w:t>
            </w:r>
          </w:p>
        </w:tc>
        <w:tc>
          <w:tcPr>
            <w:tcW w:w="1719" w:type="dxa"/>
          </w:tcPr>
          <w:tcPr/>
          <w:p>
            <w:pPr>
              <w:pStyle w:val="Compact"/>
              <w:jc w:val="left"/>
            </w:pPr>
            <w:r>
              <w:t xml:space="preserve">1 000 M ; 1 200 M ; 750 M USD</w:t>
            </w:r>
          </w:p>
        </w:tc>
        <w:tc>
          <w:tcPr>
            <w:tcW w:w="1221" w:type="dxa"/>
          </w:tcPr>
          <w:tcPr/>
          <w:p>
            <w:pPr>
              <w:pStyle w:val="Compact"/>
              <w:jc w:val="left"/>
            </w:pPr>
            <w:r>
              <w:t xml:space="preserve">2023–2027</w:t>
            </w:r>
          </w:p>
        </w:tc>
        <w:tc>
          <w:tcPr>
            <w:tcW w:w="3507" w:type="dxa"/>
          </w:tcPr>
          <w:tcPr/>
          <w:p>
            <w:pPr>
              <w:pStyle w:val="Compact"/>
              <w:jc w:val="left"/>
            </w:pPr>
            <w:r>
              <w:rPr>
                <w:bCs/>
                <w:b/>
              </w:rPr>
              <w:t xml:space="preserve">aucune action préalable sur KPLC/électricité</w:t>
            </w:r>
            <w:r>
              <w:t xml:space="preserve"> </w:t>
            </w:r>
            <w:r>
              <w:t xml:space="preserve">dans les DPO 2024 et 2026 (seul un tarif e-mobilité est mentionné en 2024)</w:t>
            </w:r>
          </w:p>
        </w:tc>
        <w:tc>
          <w:tcPr>
            <w:tcW w:w="1395" w:type="dxa"/>
          </w:tcPr>
          <w:tcPr/>
          <w:p>
            <w:pPr>
              <w:pStyle w:val="Compact"/>
              <w:jc w:val="left"/>
            </w:pPr>
            <w:r>
              <w:t xml:space="preserve">—</w:t>
            </w:r>
          </w:p>
        </w:tc>
        <w:tc>
          <w:tcPr>
            <w:tcW w:w="1504" w:type="dxa"/>
          </w:tcPr>
          <w:tcPr/>
          <w:p>
            <w:pPr>
              <w:pStyle w:val="Compact"/>
              <w:jc w:val="left"/>
            </w:pPr>
            <w:r>
              <w:t xml:space="preserve">Clos / actif (P508021 approuvé 29/06/2026)</w:t>
            </w:r>
          </w:p>
        </w:tc>
        <w:tc>
          <w:tcPr>
            <w:tcW w:w="1013" w:type="dxa"/>
          </w:tcPr>
          <w:tcPr/>
          <w:p>
            <w:pPr>
              <w:pStyle w:val="Compact"/>
              <w:jc w:val="left"/>
            </w:pPr>
            <w:r>
              <w:t xml:space="preserve">[5][8]</w:t>
            </w:r>
          </w:p>
        </w:tc>
      </w:tr>
      <w:tr>
        <w:tc>
          <w:tcPr>
            <w:tcW w:w="3381" w:type="dxa"/>
          </w:tcPr>
          <w:tcPr/>
          <w:p>
            <w:pPr>
              <w:pStyle w:val="Compact"/>
              <w:jc w:val="left"/>
            </w:pPr>
            <w:r>
              <w:t xml:space="preserve">Last Mile Connectivity Phase VI</w:t>
            </w:r>
          </w:p>
        </w:tc>
        <w:tc>
          <w:tcPr>
            <w:tcW w:w="827" w:type="dxa"/>
          </w:tcPr>
          <w:tcPr/>
          <w:p>
            <w:pPr>
              <w:pStyle w:val="Compact"/>
              <w:jc w:val="left"/>
            </w:pPr>
            <w:r>
              <w:t xml:space="preserve">BAD (+ GoK)</w:t>
            </w:r>
          </w:p>
        </w:tc>
        <w:tc>
          <w:tcPr>
            <w:tcW w:w="1719" w:type="dxa"/>
          </w:tcPr>
          <w:tcPr/>
          <w:p>
            <w:pPr>
              <w:pStyle w:val="Compact"/>
              <w:jc w:val="left"/>
            </w:pPr>
            <w:r>
              <w:t xml:space="preserve">124,5 M USD</w:t>
            </w:r>
          </w:p>
        </w:tc>
        <w:tc>
          <w:tcPr>
            <w:tcW w:w="1221" w:type="dxa"/>
          </w:tcPr>
          <w:tcPr/>
          <w:p>
            <w:pPr>
              <w:pStyle w:val="Compact"/>
              <w:jc w:val="left"/>
            </w:pPr>
            <w:r>
              <w:t xml:space="preserve">—</w:t>
            </w:r>
          </w:p>
        </w:tc>
        <w:tc>
          <w:tcPr>
            <w:tcW w:w="3507" w:type="dxa"/>
          </w:tcPr>
          <w:tcPr/>
          <w:p>
            <w:pPr>
              <w:pStyle w:val="Compact"/>
              <w:jc w:val="left"/>
            </w:pPr>
            <w:r>
              <w:t xml:space="preserve">raccordements KPLC</w:t>
            </w:r>
          </w:p>
        </w:tc>
        <w:tc>
          <w:tcPr>
            <w:tcW w:w="1395" w:type="dxa"/>
          </w:tcPr>
          <w:tcPr/>
          <w:p>
            <w:pPr>
              <w:pStyle w:val="Compact"/>
              <w:jc w:val="left"/>
            </w:pPr>
            <w:r>
              <w:t xml:space="preserve">—</w:t>
            </w:r>
          </w:p>
        </w:tc>
        <w:tc>
          <w:tcPr>
            <w:tcW w:w="1504" w:type="dxa"/>
          </w:tcPr>
          <w:tcPr/>
          <w:p>
            <w:pPr>
              <w:pStyle w:val="Compact"/>
              <w:jc w:val="left"/>
            </w:pPr>
            <w:r>
              <w:t xml:space="preserve">[?]</w:t>
            </w:r>
          </w:p>
        </w:tc>
        <w:tc>
          <w:tcPr>
            <w:tcW w:w="1013" w:type="dxa"/>
          </w:tcPr>
          <w:tcPr/>
          <w:p>
            <w:pPr>
              <w:pStyle w:val="Compact"/>
              <w:jc w:val="left"/>
            </w:pPr>
            <w:r>
              <w:t xml:space="preserve">pacte (fiche ph. 1)</w:t>
            </w:r>
          </w:p>
        </w:tc>
      </w:tr>
      <w:tr>
        <w:tc>
          <w:tcPr>
            <w:tcW w:w="3381" w:type="dxa"/>
          </w:tcPr>
          <w:tcPr/>
          <w:p>
            <w:pPr>
              <w:pStyle w:val="Compact"/>
              <w:jc w:val="left"/>
            </w:pPr>
            <w:r>
              <w:t xml:space="preserve">Programme FMI EFF/ECF + RSF</w:t>
            </w:r>
          </w:p>
        </w:tc>
        <w:tc>
          <w:tcPr>
            <w:tcW w:w="827" w:type="dxa"/>
          </w:tcPr>
          <w:tcPr/>
          <w:p>
            <w:pPr>
              <w:pStyle w:val="Compact"/>
              <w:jc w:val="left"/>
            </w:pPr>
            <w:r>
              <w:t xml:space="preserve">FMI</w:t>
            </w:r>
          </w:p>
        </w:tc>
        <w:tc>
          <w:tcPr>
            <w:tcW w:w="1719" w:type="dxa"/>
          </w:tcPr>
          <w:tcPr/>
          <w:p>
            <w:pPr>
              <w:pStyle w:val="Compact"/>
              <w:jc w:val="left"/>
            </w:pPr>
            <w:r>
              <w:t xml:space="preserve">—</w:t>
            </w:r>
          </w:p>
        </w:tc>
        <w:tc>
          <w:tcPr>
            <w:tcW w:w="1221" w:type="dxa"/>
          </w:tcPr>
          <w:tcPr/>
          <w:p>
            <w:pPr>
              <w:pStyle w:val="Compact"/>
              <w:jc w:val="left"/>
            </w:pPr>
            <w:r>
              <w:t xml:space="preserve">2021–2025</w:t>
            </w:r>
          </w:p>
        </w:tc>
        <w:tc>
          <w:tcPr>
            <w:tcW w:w="3507" w:type="dxa"/>
          </w:tcPr>
          <w:tcPr/>
          <w:p>
            <w:pPr>
              <w:pStyle w:val="Compact"/>
              <w:jc w:val="left"/>
            </w:pPr>
            <w:r>
              <w:t xml:space="preserve">conditions sur les pertes KPLC (rapportées par la presse)</w:t>
            </w:r>
          </w:p>
        </w:tc>
        <w:tc>
          <w:tcPr>
            <w:tcW w:w="1395" w:type="dxa"/>
          </w:tcPr>
          <w:tcPr/>
          <w:p>
            <w:pPr>
              <w:pStyle w:val="Compact"/>
              <w:jc w:val="left"/>
            </w:pPr>
            <w:r>
              <w:t xml:space="preserve">—</w:t>
            </w:r>
          </w:p>
        </w:tc>
        <w:tc>
          <w:tcPr>
            <w:tcW w:w="1504" w:type="dxa"/>
          </w:tcPr>
          <w:tcPr/>
          <w:p>
            <w:pPr>
              <w:pStyle w:val="Compact"/>
              <w:jc w:val="left"/>
            </w:pPr>
            <w:r>
              <w:rPr>
                <w:bCs/>
                <w:b/>
              </w:rPr>
              <w:t xml:space="preserve">expiré d’un commun accord en mars 2025</w:t>
            </w:r>
          </w:p>
        </w:tc>
        <w:tc>
          <w:tcPr>
            <w:tcW w:w="1013" w:type="dxa"/>
          </w:tcPr>
          <w:tcPr/>
          <w:p>
            <w:pPr>
              <w:pStyle w:val="Compact"/>
              <w:jc w:val="left"/>
            </w:pPr>
            <w:r>
              <w:t xml:space="preserve">[8] (DPO 2026 §)</w:t>
            </w:r>
          </w:p>
        </w:tc>
      </w:tr>
    </w:tbl>
    <w:bookmarkEnd w:id="207"/>
    <w:bookmarkStart w:id="208" w:name="écart-pacte-réalité-16"/>
    <w:p>
      <w:pPr>
        <w:pStyle w:val="Heading3"/>
      </w:pPr>
      <w:r>
        <w:t xml:space="preserve">5. Écart pacte ↔ réalité</w:t>
      </w:r>
    </w:p>
    <w:p>
      <w:pPr>
        <w:numPr>
          <w:ilvl w:val="0"/>
          <w:numId w:val="1107"/>
        </w:numPr>
        <w:pStyle w:val="Compact"/>
      </w:pPr>
      <w:r>
        <w:rPr>
          <w:bCs/>
          <w:b/>
        </w:rPr>
        <w:t xml:space="preserve">Pertes</w:t>
      </w:r>
      <w:r>
        <w:t xml:space="preserve"> </w:t>
      </w:r>
      <w:r>
        <w:t xml:space="preserve">: le pacte part de 23,16 % (juin 2024) ; les comptes FY25 donnent déjà</w:t>
      </w:r>
      <w:r>
        <w:t xml:space="preserve"> </w:t>
      </w:r>
      <w:r>
        <w:rPr>
          <w:bCs/>
          <w:b/>
        </w:rPr>
        <w:t xml:space="preserve">21,21 %</w:t>
      </w:r>
      <w:r>
        <w:t xml:space="preserve"> </w:t>
      </w:r>
      <w:r>
        <w:t xml:space="preserve">[1] — base dépassée, mais la cible pacte (15 % en 2030) est plus ambitieuse que celle du PforR BM (18 % en FY28).</w:t>
      </w:r>
    </w:p>
    <w:p>
      <w:pPr>
        <w:numPr>
          <w:ilvl w:val="0"/>
          <w:numId w:val="1107"/>
        </w:numPr>
        <w:pStyle w:val="Compact"/>
      </w:pPr>
      <w:r>
        <w:rPr>
          <w:bCs/>
          <w:b/>
        </w:rPr>
        <w:t xml:space="preserve">Santé financière</w:t>
      </w:r>
      <w:r>
        <w:t xml:space="preserve"> </w:t>
      </w:r>
      <w:r>
        <w:t xml:space="preserve">: le pacte cite « la viabilité financière de l’acheteur » comme frein, sans chiffres. Les comptes montrent une entreprise</w:t>
      </w:r>
      <w:r>
        <w:t xml:space="preserve"> </w:t>
      </w:r>
      <w:r>
        <w:rPr>
          <w:bCs/>
          <w:b/>
        </w:rPr>
        <w:t xml:space="preserve">bénéficiaire</w:t>
      </w:r>
      <w:r>
        <w:t xml:space="preserve"> </w:t>
      </w:r>
      <w:r>
        <w:t xml:space="preserve">(24,5 Md KES), qui se désendette, mais dont la trésorerie est minée par</w:t>
      </w:r>
      <w:r>
        <w:t xml:space="preserve"> </w:t>
      </w:r>
      <w:r>
        <w:rPr>
          <w:bCs/>
          <w:b/>
        </w:rPr>
        <w:t xml:space="preserve">55 Md KES de créances publiques</w:t>
      </w:r>
      <w:r>
        <w:t xml:space="preserve"> </w:t>
      </w:r>
      <w:r>
        <w:t xml:space="preserve">(dont un déficit RES de 34,8 Md non remboursé) — le problème est moins tarifaire que budgétaire.</w:t>
      </w:r>
    </w:p>
    <w:p>
      <w:pPr>
        <w:numPr>
          <w:ilvl w:val="0"/>
          <w:numId w:val="1107"/>
        </w:numPr>
        <w:pStyle w:val="Compact"/>
      </w:pPr>
      <w:r>
        <w:rPr>
          <w:bCs/>
          <w:b/>
        </w:rPr>
        <w:t xml:space="preserve">Tarifs</w:t>
      </w:r>
      <w:r>
        <w:t xml:space="preserve"> </w:t>
      </w:r>
      <w:r>
        <w:t xml:space="preserve">: le pacte promettait une ordonnance tarifaire 2026-2029 d’ici avril 2026 ; la demande a été</w:t>
      </w:r>
      <w:r>
        <w:t xml:space="preserve"> </w:t>
      </w:r>
      <w:r>
        <w:rPr>
          <w:bCs/>
          <w:b/>
        </w:rPr>
        <w:t xml:space="preserve">retirée politiquement le 03/06/2026</w:t>
      </w:r>
      <w:r>
        <w:t xml:space="preserve"> </w:t>
      </w:r>
      <w:r>
        <w:t xml:space="preserve">[6][7] ; la DLI 2.1 (revue tarifaire EPRA) n’est pas atteinte [4].</w:t>
      </w:r>
    </w:p>
    <w:p>
      <w:pPr>
        <w:numPr>
          <w:ilvl w:val="0"/>
          <w:numId w:val="1107"/>
        </w:numPr>
        <w:pStyle w:val="Compact"/>
      </w:pPr>
      <w:r>
        <w:rPr>
          <w:bCs/>
          <w:b/>
        </w:rPr>
        <w:t xml:space="preserve">Conditionnalité</w:t>
      </w:r>
      <w:r>
        <w:t xml:space="preserve"> </w:t>
      </w:r>
      <w:r>
        <w:t xml:space="preserve">: contrairement au pacte, aucun DPO récent ne comporte d’action préalable énergétique et le programme FMI a expiré (mars 2025) : le seul levier bailleur sur KPLC est le PforR GREEN.</w:t>
      </w:r>
    </w:p>
    <w:bookmarkEnd w:id="208"/>
    <w:bookmarkStart w:id="209" w:name="diagnostic-synthétique-16"/>
    <w:p>
      <w:pPr>
        <w:pStyle w:val="Heading3"/>
      </w:pPr>
      <w:r>
        <w:t xml:space="preserve">6. Diagnostic synthétique</w:t>
      </w:r>
    </w:p>
    <w:p>
      <w:pPr>
        <w:numPr>
          <w:ilvl w:val="0"/>
          <w:numId w:val="1108"/>
        </w:numPr>
        <w:pStyle w:val="Compact"/>
      </w:pPr>
      <w:r>
        <w:rPr>
          <w:bCs/>
          <w:b/>
        </w:rPr>
        <w:t xml:space="preserve">Financier : moyen</w:t>
      </w:r>
      <w:r>
        <w:t xml:space="preserve"> </w:t>
      </w:r>
      <w:r>
        <w:t xml:space="preserve">(rentable, dette en baisse, mais fonds de roulement négatif et créances publiques élevées).</w:t>
      </w:r>
      <w:r>
        <w:t xml:space="preserve"> </w:t>
      </w:r>
      <w:r>
        <w:rPr>
          <w:bCs/>
          <w:b/>
        </w:rPr>
        <w:t xml:space="preserve">Technique : moyen</w:t>
      </w:r>
      <w:r>
        <w:t xml:space="preserve"> </w:t>
      </w:r>
      <w:r>
        <w:t xml:space="preserve">(pertes 21 %, SAIFI 44, délestages ponctuels).</w:t>
      </w:r>
      <w:r>
        <w:t xml:space="preserve"> </w:t>
      </w:r>
      <w:r>
        <w:rPr>
          <w:bCs/>
          <w:b/>
        </w:rPr>
        <w:t xml:space="preserve">Gouvernance : moyenne</w:t>
      </w:r>
      <w:r>
        <w:t xml:space="preserve"> </w:t>
      </w:r>
      <w:r>
        <w:t xml:space="preserve">(société cotée, comptes audités publiés dans les délais, mais interférence politique sur les tarifs).</w:t>
      </w:r>
    </w:p>
    <w:p>
      <w:pPr>
        <w:numPr>
          <w:ilvl w:val="0"/>
          <w:numId w:val="1108"/>
        </w:numPr>
        <w:pStyle w:val="Compact"/>
      </w:pPr>
      <w:r>
        <w:rPr>
          <w:bCs/>
          <w:b/>
        </w:rPr>
        <w:t xml:space="preserve">Causes racines</w:t>
      </w:r>
      <w:r>
        <w:t xml:space="preserve"> </w:t>
      </w:r>
      <w:r>
        <w:t xml:space="preserve">: (1) non-paiement par l’État des obligations de service public (déficit RES, Last Mile, éclairage public des comtés) ; (2) PPA en devises et pass-through qui exposent le système au change ; (3) pertes encore élevées et décisions tarifaires politisées.</w:t>
      </w:r>
    </w:p>
    <w:p>
      <w:pPr>
        <w:numPr>
          <w:ilvl w:val="0"/>
          <w:numId w:val="1108"/>
        </w:numPr>
        <w:pStyle w:val="Compact"/>
      </w:pPr>
      <w:r>
        <w:rPr>
          <w:bCs/>
          <w:b/>
        </w:rPr>
        <w:t xml:space="preserve">Phase 3</w:t>
      </w:r>
      <w:r>
        <w:t xml:space="preserve"> </w:t>
      </w:r>
      <w:r>
        <w:t xml:space="preserve">: décomposition du tarif (base + prélèvements + pass-through), coût du RES, coût KenGen vs IPP (point de l’Auditor-General).</w:t>
      </w:r>
    </w:p>
    <w:bookmarkEnd w:id="209"/>
    <w:bookmarkStart w:id="210" w:name="inconnus-16"/>
    <w:p>
      <w:pPr>
        <w:pStyle w:val="Heading3"/>
      </w:pPr>
      <w:r>
        <w:t xml:space="preserve">7. Inconnus</w:t>
      </w:r>
    </w:p>
    <w:p>
      <w:pPr>
        <w:numPr>
          <w:ilvl w:val="0"/>
          <w:numId w:val="1109"/>
        </w:numPr>
        <w:pStyle w:val="Compact"/>
      </w:pPr>
      <w:r>
        <w:t xml:space="preserve">Taux de recouvrement et part de prépayé [?].</w:t>
      </w:r>
    </w:p>
    <w:p>
      <w:pPr>
        <w:numPr>
          <w:ilvl w:val="0"/>
          <w:numId w:val="1109"/>
        </w:numPr>
        <w:pStyle w:val="Compact"/>
      </w:pPr>
      <w:r>
        <w:t xml:space="preserve">Comptes KenGen/KETRACO FY2025 non analysés [?].</w:t>
      </w:r>
    </w:p>
    <w:p>
      <w:pPr>
        <w:numPr>
          <w:ilvl w:val="0"/>
          <w:numId w:val="1109"/>
        </w:numPr>
        <w:pStyle w:val="Compact"/>
      </w:pPr>
      <w:r>
        <w:t xml:space="preserve">Dépôt d’une nouvelle demande tarifaire après juin 2026 [?].</w:t>
      </w:r>
    </w:p>
    <w:p>
      <w:pPr>
        <w:numPr>
          <w:ilvl w:val="0"/>
          <w:numId w:val="1109"/>
        </w:numPr>
        <w:pStyle w:val="Compact"/>
      </w:pPr>
      <w:r>
        <w:t xml:space="preserve">Montants et statut des projets BAD en cours [?] (afdb.org inaccessible).</w:t>
      </w:r>
    </w:p>
    <w:bookmarkEnd w:id="210"/>
    <w:bookmarkStart w:id="211" w:name="sources-17"/>
    <w:p>
      <w:pPr>
        <w:pStyle w:val="Heading3"/>
      </w:pPr>
      <w:r>
        <w:t xml:space="preserve">Sources</w:t>
      </w:r>
    </w:p>
    <w:p>
      <w:pPr>
        <w:pStyle w:val="FirstParagraph"/>
      </w:pPr>
      <w:r>
        <w:t xml:space="preserve">[1] KPLC,</w:t>
      </w:r>
      <w:r>
        <w:t xml:space="preserve"> </w:t>
      </w:r>
      <w:r>
        <w:rPr>
          <w:iCs/>
          <w:i/>
        </w:rPr>
        <w:t xml:space="preserve">Integrated Annual Report and Financial Statements for the year ended 30 June 2025</w:t>
      </w:r>
      <w:r>
        <w:t xml:space="preserve">. https://kplc.co.ke/storage/01KATPZ3WG7J4DM2Q39BME5CBH.pdf</w:t>
      </w:r>
      <w:r>
        <w:t xml:space="preserve"> </w:t>
      </w:r>
      <w:r>
        <w:t xml:space="preserve">[2] KPLC,</w:t>
      </w:r>
      <w:r>
        <w:t xml:space="preserve"> </w:t>
      </w:r>
      <w:r>
        <w:rPr>
          <w:iCs/>
          <w:i/>
        </w:rPr>
        <w:t xml:space="preserve">Audited Financial Results for the year ended 30 June 2025</w:t>
      </w:r>
      <w:r>
        <w:t xml:space="preserve">, 06/10/2025. https://www.kplc.co.ke/storage/01K6Z8XAY9BAVJP0EQY2RYRS13.pdf</w:t>
      </w:r>
      <w:r>
        <w:t xml:space="preserve"> </w:t>
      </w:r>
      <w:r>
        <w:t xml:space="preserve">[3] Banque mondiale,</w:t>
      </w:r>
      <w:r>
        <w:t xml:space="preserve"> </w:t>
      </w:r>
      <w:r>
        <w:rPr>
          <w:iCs/>
          <w:i/>
        </w:rPr>
        <w:t xml:space="preserve">Kenya Green and Resilient Expansion of Energy Program</w:t>
      </w:r>
      <w:r>
        <w:t xml:space="preserve">, Program Appraisal Document, 23/05/2023 (P176698). https://documents1.worldbank.org/curated/en/099052623095525502/text/BOSIB-08151b58-ae2b-4e10-babb-cdc008ea0775.txt</w:t>
      </w:r>
      <w:r>
        <w:t xml:space="preserve"> </w:t>
      </w:r>
      <w:r>
        <w:t xml:space="preserve">[4] Banque mondiale, ISR n° 6 du programme GREEN (P176698), archivé le 16/06/2026. https://documents.worldbank.org/curated/en/099061626044020795/text/P176698-31705dea-73a6-4190-85c8-267cc5892dc7.txt</w:t>
      </w:r>
      <w:r>
        <w:t xml:space="preserve"> </w:t>
      </w:r>
      <w:r>
        <w:t xml:space="preserve">[5] Banque mondiale, base de données des projets (API v3, 18/10/2026) — P176698, P180465, P160009, P515398, P180339, P500912, P508021.</w:t>
      </w:r>
      <w:r>
        <w:t xml:space="preserve"> </w:t>
      </w:r>
      <w:r>
        <w:t xml:space="preserve">[6] EPRA,</w:t>
      </w:r>
      <w:r>
        <w:t xml:space="preserve"> </w:t>
      </w:r>
      <w:r>
        <w:rPr>
          <w:iCs/>
          <w:i/>
        </w:rPr>
        <w:t xml:space="preserve">Public notice — cancellation</w:t>
      </w:r>
      <w:r>
        <w:t xml:space="preserve"> </w:t>
      </w:r>
      <w:r>
        <w:t xml:space="preserve">(consultations sur la demande tarifaire), juin 2026. https://epra.go.ke/sites/default/files/2026-06/PUBLIC%20NOTICE%20CANCELLATION%20.pdf (vu via résultats de recherche)</w:t>
      </w:r>
      <w:r>
        <w:t xml:space="preserve"> </w:t>
      </w:r>
      <w:r>
        <w:t xml:space="preserve">[7] Business Today, « Govt withdraws proposed electricity tariff review », 03/06/2026. https://businesstoday.co.ke/govt-withdraws-proposed-electricity-tariff-review/</w:t>
      </w:r>
      <w:r>
        <w:t xml:space="preserve"> </w:t>
      </w:r>
      <w:r>
        <w:t xml:space="preserve">[8] Banque mondiale,</w:t>
      </w:r>
      <w:r>
        <w:t xml:space="preserve"> </w:t>
      </w:r>
      <w:r>
        <w:rPr>
          <w:iCs/>
          <w:i/>
        </w:rPr>
        <w:t xml:space="preserve">Second Kenya Fiscal Sustainability and Resilient Growth DPO</w:t>
      </w:r>
      <w:r>
        <w:t xml:space="preserve">, Program Document, 26/06/2026 (P508021) ; et</w:t>
      </w:r>
      <w:r>
        <w:t xml:space="preserve"> </w:t>
      </w:r>
      <w:r>
        <w:rPr>
          <w:iCs/>
          <w:i/>
        </w:rPr>
        <w:t xml:space="preserve">First … DPO</w:t>
      </w:r>
      <w:r>
        <w:t xml:space="preserve">, 02/05/2024 (P500912).</w:t>
      </w:r>
    </w:p>
    <w:p>
      <w:r>
        <w:br w:type="page"/>
      </w:r>
    </w:p>
    <w:bookmarkEnd w:id="211"/>
    <w:bookmarkEnd w:id="212"/>
    <w:bookmarkStart w:id="222" w:name="X95a2f64f97bc62eee6208fbd60034b6e32b66ef"/>
    <w:p>
      <w:pPr>
        <w:pStyle w:val="Heading2"/>
      </w:pPr>
      <w:r>
        <w:t xml:space="preserve">Diagnostic opérateur — Liberia Electricity Corporation (LEC) (Liberia)</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../phase1/fiches/LBR_liberia.md.</w:t>
      </w:r>
    </w:p>
    <w:bookmarkStart w:id="213" w:name="identité-17"/>
    <w:p>
      <w:pPr>
        <w:pStyle w:val="Heading3"/>
      </w:pPr>
      <w:r>
        <w:t xml:space="preserve">0. Identité</w:t>
      </w:r>
    </w:p>
    <w:p>
      <w:pPr>
        <w:numPr>
          <w:ilvl w:val="0"/>
          <w:numId w:val="1110"/>
        </w:numPr>
        <w:pStyle w:val="Compact"/>
      </w:pPr>
      <w:r>
        <w:t xml:space="preserve">Opérateur : LEC, entreprise publique intégrée (production — Mount Coffee 88 MW hydro, ~38 MW HFO à Bushrod —, transport, distribution, essentiellement Monrovia) ; importations CLSG depuis la Côte d’Ivoire ; RREA pour le rural [1] (pacte) ; [3] [V].</w:t>
      </w:r>
    </w:p>
    <w:p>
      <w:pPr>
        <w:numPr>
          <w:ilvl w:val="0"/>
          <w:numId w:val="1110"/>
        </w:numPr>
        <w:pStyle w:val="Compact"/>
      </w:pPr>
      <w:r>
        <w:t xml:space="preserve">Statut / tutelle : société publique ; conseil d’administration composé d’un président, des ministres des Finances, de la Justice et du Plan et cinq membres du secteur privé nommés par le Président [3] [V]. Tutelle Ministry of Mines and Energy (MME).</w:t>
      </w:r>
    </w:p>
    <w:p>
      <w:pPr>
        <w:numPr>
          <w:ilvl w:val="0"/>
          <w:numId w:val="1110"/>
        </w:numPr>
        <w:pStyle w:val="Compact"/>
      </w:pPr>
      <w:r>
        <w:t xml:space="preserve">Historique de gestion : contrat de gestion (Management Service Contract) remplacé par une équipe de direction locale (Local Management Team) — transition saluée par la BM dans l’ISR LESSAP [4] [V]. Une direction intérimaire a été suspendue en 2025 pour non-déclaration de patrimoine ; nouveau directeur général désigné en juin 2025 [5][6] [S].</w:t>
      </w:r>
    </w:p>
    <w:p>
      <w:pPr>
        <w:numPr>
          <w:ilvl w:val="0"/>
          <w:numId w:val="1110"/>
        </w:numPr>
        <w:pStyle w:val="Compact"/>
      </w:pPr>
      <w:r>
        <w:t xml:space="preserve">Régulateur : Liberia Electricity Regulatory Commission (LERC), créée par l’Electricity Law 2015 [1] (pacte).</w:t>
      </w:r>
    </w:p>
    <w:p>
      <w:pPr>
        <w:numPr>
          <w:ilvl w:val="0"/>
          <w:numId w:val="1110"/>
        </w:numPr>
        <w:pStyle w:val="Compact"/>
      </w:pPr>
      <w:r>
        <w:t xml:space="preserve">Dernier exercice publié : FY2023 (perte d’exploitation 18,3 M USD citée par la BM [3]) ; publication des comptes audités FY2024 « d’ici juin 2025 » = déclencheur indicatif de la DPF 2 de la BM [3] [V] — publication effective : [?] non vérifiée.</w:t>
      </w:r>
    </w:p>
    <w:bookmarkEnd w:id="213"/>
    <w:bookmarkStart w:id="214" w:name="situation-financière-17"/>
    <w:p>
      <w:pPr>
        <w:pStyle w:val="Heading3"/>
      </w:pPr>
      <w:r>
        <w:t xml:space="preserve">1. Situation financière</w:t>
      </w:r>
    </w:p>
    <w:tbl>
      <w:tblPr>
        <w:tblStyle w:val="Table"/>
        <w:tblW w:type="dxa" w:w="14570"/>
        <w:tblLook w:firstRow="1" w:lastRow="0" w:firstColumn="0" w:lastColumn="0" w:noHBand="0" w:noVBand="0" w:val="0020"/>
        <w:jc w:val="start"/>
      </w:tblPr>
      <w:tblGrid>
        <w:gridCol w:w="3674"/>
        <w:gridCol w:w="7364"/>
        <w:gridCol w:w="1202"/>
        <w:gridCol w:w="1385"/>
        <w:gridCol w:w="943"/>
      </w:tblGrid>
      <w:tr>
        <w:trPr>
          <w:tblHeader w:val="true"/>
        </w:trPr>
        <w:tc>
          <w:tcPr>
            <w:tcW w:w="3674" w:type="dxa"/>
          </w:tcPr>
          <w:tcPr/>
          <w:p>
            <w:pPr>
              <w:pStyle w:val="Compact"/>
              <w:jc w:val="left"/>
            </w:pPr>
            <w:r>
              <w:t xml:space="preserve">Indicateur</w:t>
            </w:r>
          </w:p>
        </w:tc>
        <w:tc>
          <w:tcPr>
            <w:tcW w:w="7364" w:type="dxa"/>
          </w:tcPr>
          <w:tcPr/>
          <w:p>
            <w:pPr>
              <w:pStyle w:val="Compact"/>
              <w:jc w:val="left"/>
            </w:pPr>
            <w:r>
              <w:t xml:space="preserve">Valeur</w:t>
            </w:r>
          </w:p>
        </w:tc>
        <w:tc>
          <w:tcPr>
            <w:tcW w:w="1202" w:type="dxa"/>
          </w:tcPr>
          <w:tcPr/>
          <w:p>
            <w:pPr>
              <w:pStyle w:val="Compact"/>
              <w:jc w:val="left"/>
            </w:pPr>
            <w:r>
              <w:t xml:space="preserve">Année</w:t>
            </w:r>
          </w:p>
        </w:tc>
        <w:tc>
          <w:tcPr>
            <w:tcW w:w="1385" w:type="dxa"/>
          </w:tcPr>
          <w:tcPr/>
          <w:p>
            <w:pPr>
              <w:pStyle w:val="Compact"/>
              <w:jc w:val="left"/>
            </w:pPr>
            <w:r>
              <w:t xml:space="preserve">Statut</w:t>
            </w:r>
          </w:p>
        </w:tc>
        <w:tc>
          <w:tcPr>
            <w:tcW w:w="943" w:type="dxa"/>
          </w:tcPr>
          <w:tcPr/>
          <w:p>
            <w:pPr>
              <w:pStyle w:val="Compact"/>
              <w:jc w:val="left"/>
            </w:pPr>
            <w:r>
              <w:t xml:space="preserve">Source</w:t>
            </w:r>
          </w:p>
        </w:tc>
      </w:tr>
      <w:tr>
        <w:tc>
          <w:tcPr>
            <w:tcW w:w="3674" w:type="dxa"/>
          </w:tcPr>
          <w:tcPr/>
          <w:p>
            <w:pPr>
              <w:pStyle w:val="Compact"/>
              <w:jc w:val="left"/>
            </w:pPr>
            <w:r>
              <w:t xml:space="preserve">Chiffre d’affaires</w:t>
            </w:r>
          </w:p>
        </w:tc>
        <w:tc>
          <w:tcPr>
            <w:tcW w:w="7364" w:type="dxa"/>
          </w:tcPr>
          <w:tcPr/>
          <w:p>
            <w:pPr>
              <w:pStyle w:val="Compact"/>
              <w:jc w:val="left"/>
            </w:pPr>
            <w:r>
              <w:t xml:space="preserve">[?] non trouvé en source primaire (pacte : perte ≈ 37 % du CA, d’où CA ≈ 49 M USD [E])</w:t>
            </w:r>
          </w:p>
        </w:tc>
        <w:tc>
          <w:tcPr>
            <w:tcW w:w="1202" w:type="dxa"/>
          </w:tcPr>
          <w:tcPr/>
          <w:p>
            <w:pPr>
              <w:pStyle w:val="Compact"/>
              <w:jc w:val="left"/>
            </w:pPr>
            <w:r>
              <w:t xml:space="preserve">FY2023</w:t>
            </w:r>
          </w:p>
        </w:tc>
        <w:tc>
          <w:tcPr>
            <w:tcW w:w="1385" w:type="dxa"/>
          </w:tcPr>
          <w:tcPr/>
          <w:p>
            <w:pPr>
              <w:pStyle w:val="Compact"/>
              <w:jc w:val="left"/>
            </w:pPr>
            <w:r>
              <w:t xml:space="preserve">(pacte) [E]</w:t>
            </w:r>
          </w:p>
        </w:tc>
        <w:tc>
          <w:tcPr>
            <w:tcW w:w="943" w:type="dxa"/>
          </w:tcPr>
          <w:tcPr/>
          <w:p>
            <w:pPr>
              <w:pStyle w:val="Compact"/>
              <w:jc w:val="left"/>
            </w:pPr>
            <w:r>
              <w:t xml:space="preserve">[1]</w:t>
            </w:r>
          </w:p>
        </w:tc>
      </w:tr>
      <w:tr>
        <w:tc>
          <w:tcPr>
            <w:tcW w:w="3674" w:type="dxa"/>
          </w:tcPr>
          <w:tcPr/>
          <w:p>
            <w:pPr>
              <w:pStyle w:val="Compact"/>
              <w:jc w:val="left"/>
            </w:pPr>
            <w:r>
              <w:t xml:space="preserve">Résultat d’exploitation</w:t>
            </w:r>
          </w:p>
        </w:tc>
        <w:tc>
          <w:tcPr>
            <w:tcW w:w="7364" w:type="dxa"/>
          </w:tcPr>
          <w:tcPr/>
          <w:p>
            <w:pPr>
              <w:pStyle w:val="Compact"/>
              <w:jc w:val="left"/>
            </w:pPr>
            <w:r>
              <w:t xml:space="preserve">−18,3 M USD (déc. 2023) ; cible : positif en déc. 2027</w:t>
            </w:r>
          </w:p>
        </w:tc>
        <w:tc>
          <w:tcPr>
            <w:tcW w:w="1202" w:type="dxa"/>
          </w:tcPr>
          <w:tcPr/>
          <w:p>
            <w:pPr>
              <w:pStyle w:val="Compact"/>
              <w:jc w:val="left"/>
            </w:pPr>
            <w:r>
              <w:t xml:space="preserve">2023</w:t>
            </w:r>
          </w:p>
        </w:tc>
        <w:tc>
          <w:tcPr>
            <w:tcW w:w="1385" w:type="dxa"/>
          </w:tcPr>
          <w:tcPr/>
          <w:p>
            <w:pPr>
              <w:pStyle w:val="Compact"/>
              <w:jc w:val="left"/>
            </w:pPr>
            <w:r>
              <w:t xml:space="preserve">[V]</w:t>
            </w:r>
          </w:p>
        </w:tc>
        <w:tc>
          <w:tcPr>
            <w:tcW w:w="943" w:type="dxa"/>
          </w:tcPr>
          <w:tcPr/>
          <w:p>
            <w:pPr>
              <w:pStyle w:val="Compact"/>
              <w:jc w:val="left"/>
            </w:pPr>
            <w:r>
              <w:t xml:space="preserve">[3]</w:t>
            </w:r>
          </w:p>
        </w:tc>
      </w:tr>
      <w:tr>
        <w:tc>
          <w:tcPr>
            <w:tcW w:w="3674" w:type="dxa"/>
          </w:tcPr>
          <w:tcPr/>
          <w:p>
            <w:pPr>
              <w:pStyle w:val="Compact"/>
              <w:jc w:val="left"/>
            </w:pPr>
            <w:r>
              <w:t xml:space="preserve">Pertes financières</w:t>
            </w:r>
          </w:p>
        </w:tc>
        <w:tc>
          <w:tcPr>
            <w:tcW w:w="7364" w:type="dxa"/>
          </w:tcPr>
          <w:tcPr/>
          <w:p>
            <w:pPr>
              <w:pStyle w:val="Compact"/>
              <w:jc w:val="left"/>
            </w:pPr>
            <w:r>
              <w:t xml:space="preserve">&gt; 27 M USD (2022) → ~18 M USD (2023)</w:t>
            </w:r>
          </w:p>
        </w:tc>
        <w:tc>
          <w:tcPr>
            <w:tcW w:w="1202" w:type="dxa"/>
          </w:tcPr>
          <w:tcPr/>
          <w:p>
            <w:pPr>
              <w:pStyle w:val="Compact"/>
              <w:jc w:val="left"/>
            </w:pPr>
            <w:r>
              <w:t xml:space="preserve">2022-2023</w:t>
            </w:r>
          </w:p>
        </w:tc>
        <w:tc>
          <w:tcPr>
            <w:tcW w:w="1385" w:type="dxa"/>
          </w:tcPr>
          <w:tcPr/>
          <w:p>
            <w:pPr>
              <w:pStyle w:val="Compact"/>
              <w:jc w:val="left"/>
            </w:pPr>
            <w:r>
              <w:t xml:space="preserve">[S]</w:t>
            </w:r>
          </w:p>
        </w:tc>
        <w:tc>
          <w:tcPr>
            <w:tcW w:w="943" w:type="dxa"/>
          </w:tcPr>
          <w:tcPr/>
          <w:p>
            <w:pPr>
              <w:pStyle w:val="Compact"/>
              <w:jc w:val="left"/>
            </w:pPr>
            <w:r>
              <w:t xml:space="preserve">[5]</w:t>
            </w:r>
          </w:p>
        </w:tc>
      </w:tr>
      <w:tr>
        <w:tc>
          <w:tcPr>
            <w:tcW w:w="3674" w:type="dxa"/>
          </w:tcPr>
          <w:tcPr/>
          <w:p>
            <w:pPr>
              <w:pStyle w:val="Compact"/>
              <w:jc w:val="left"/>
            </w:pPr>
            <w:r>
              <w:t xml:space="preserve">Dettes fournisseurs / créances</w:t>
            </w:r>
          </w:p>
        </w:tc>
        <w:tc>
          <w:tcPr>
            <w:tcW w:w="7364" w:type="dxa"/>
          </w:tcPr>
          <w:tcPr/>
          <w:p>
            <w:pPr>
              <w:pStyle w:val="Compact"/>
              <w:jc w:val="left"/>
            </w:pPr>
            <w:r>
              <w:t xml:space="preserve">Dettes 74,3 M USD ; créances 52,0 M USD</w:t>
            </w:r>
          </w:p>
        </w:tc>
        <w:tc>
          <w:tcPr>
            <w:tcW w:w="1202" w:type="dxa"/>
          </w:tcPr>
          <w:tcPr/>
          <w:p>
            <w:pPr>
              <w:pStyle w:val="Compact"/>
              <w:jc w:val="left"/>
            </w:pPr>
            <w:r>
              <w:t xml:space="preserve">~2024</w:t>
            </w:r>
          </w:p>
        </w:tc>
        <w:tc>
          <w:tcPr>
            <w:tcW w:w="1385" w:type="dxa"/>
          </w:tcPr>
          <w:tcPr/>
          <w:p>
            <w:pPr>
              <w:pStyle w:val="Compact"/>
              <w:jc w:val="left"/>
            </w:pPr>
            <w:r>
              <w:t xml:space="preserve">(pacte)</w:t>
            </w:r>
          </w:p>
        </w:tc>
        <w:tc>
          <w:tcPr>
            <w:tcW w:w="943" w:type="dxa"/>
          </w:tcPr>
          <w:tcPr/>
          <w:p>
            <w:pPr>
              <w:pStyle w:val="Compact"/>
              <w:jc w:val="left"/>
            </w:pPr>
            <w:r>
              <w:t xml:space="preserve">[1]</w:t>
            </w:r>
          </w:p>
        </w:tc>
      </w:tr>
      <w:tr>
        <w:tc>
          <w:tcPr>
            <w:tcW w:w="3674" w:type="dxa"/>
          </w:tcPr>
          <w:tcPr/>
          <w:p>
            <w:pPr>
              <w:pStyle w:val="Compact"/>
              <w:jc w:val="left"/>
            </w:pPr>
            <w:r>
              <w:t xml:space="preserve">Arriérés de l’État envers LEC</w:t>
            </w:r>
          </w:p>
        </w:tc>
        <w:tc>
          <w:tcPr>
            <w:tcW w:w="7364" w:type="dxa"/>
          </w:tcPr>
          <w:tcPr/>
          <w:p>
            <w:pPr>
              <w:pStyle w:val="Compact"/>
              <w:jc w:val="left"/>
            </w:pPr>
            <w:r>
              <w:t xml:space="preserve">&gt; 18,9 M USD (au 31/10/2024) ; l’État représente ~14 % de l’énergie vendue</w:t>
            </w:r>
          </w:p>
        </w:tc>
        <w:tc>
          <w:tcPr>
            <w:tcW w:w="1202" w:type="dxa"/>
          </w:tcPr>
          <w:tcPr/>
          <w:p>
            <w:pPr>
              <w:pStyle w:val="Compact"/>
              <w:jc w:val="left"/>
            </w:pPr>
            <w:r>
              <w:t xml:space="preserve">2024</w:t>
            </w:r>
          </w:p>
        </w:tc>
        <w:tc>
          <w:tcPr>
            <w:tcW w:w="1385" w:type="dxa"/>
          </w:tcPr>
          <w:tcPr/>
          <w:p>
            <w:pPr>
              <w:pStyle w:val="Compact"/>
              <w:jc w:val="left"/>
            </w:pPr>
            <w:r>
              <w:t xml:space="preserve">[S]</w:t>
            </w:r>
          </w:p>
        </w:tc>
        <w:tc>
          <w:tcPr>
            <w:tcW w:w="943" w:type="dxa"/>
          </w:tcPr>
          <w:tcPr/>
          <w:p>
            <w:pPr>
              <w:pStyle w:val="Compact"/>
              <w:jc w:val="left"/>
            </w:pPr>
            <w:r>
              <w:t xml:space="preserve">[7]</w:t>
            </w:r>
          </w:p>
        </w:tc>
      </w:tr>
      <w:tr>
        <w:tc>
          <w:tcPr>
            <w:tcW w:w="3674" w:type="dxa"/>
          </w:tcPr>
          <w:tcPr/>
          <w:p>
            <w:pPr>
              <w:pStyle w:val="Compact"/>
              <w:jc w:val="left"/>
            </w:pPr>
            <w:r>
              <w:t xml:space="preserve">Mesures sur les factures publiques</w:t>
            </w:r>
          </w:p>
        </w:tc>
        <w:tc>
          <w:tcPr>
            <w:tcW w:w="7364" w:type="dxa"/>
          </w:tcPr>
          <w:tcPr/>
          <w:p>
            <w:pPr>
              <w:pStyle w:val="Compact"/>
              <w:jc w:val="left"/>
            </w:pPr>
            <w:r>
              <w:t xml:space="preserve">Circulaire MFDP/MME du 18/10/2024 : passage au prépaiement de tous les consommateurs publics (hors services essentiels) en un an et inscription budgétaire de l’électricité, effectifs au 01/11/2024 (action préalable DPF)</w:t>
            </w:r>
          </w:p>
        </w:tc>
        <w:tc>
          <w:tcPr>
            <w:tcW w:w="1202" w:type="dxa"/>
          </w:tcPr>
          <w:tcPr/>
          <w:p>
            <w:pPr>
              <w:pStyle w:val="Compact"/>
              <w:jc w:val="left"/>
            </w:pPr>
            <w:r>
              <w:t xml:space="preserve">2024</w:t>
            </w:r>
          </w:p>
        </w:tc>
        <w:tc>
          <w:tcPr>
            <w:tcW w:w="1385" w:type="dxa"/>
          </w:tcPr>
          <w:tcPr/>
          <w:p>
            <w:pPr>
              <w:pStyle w:val="Compact"/>
              <w:jc w:val="left"/>
            </w:pPr>
            <w:r>
              <w:t xml:space="preserve">[V]</w:t>
            </w:r>
          </w:p>
        </w:tc>
        <w:tc>
          <w:tcPr>
            <w:tcW w:w="943" w:type="dxa"/>
          </w:tcPr>
          <w:tcPr/>
          <w:p>
            <w:pPr>
              <w:pStyle w:val="Compact"/>
              <w:jc w:val="left"/>
            </w:pPr>
            <w:r>
              <w:t xml:space="preserve">[3]</w:t>
            </w:r>
          </w:p>
        </w:tc>
      </w:tr>
      <w:tr>
        <w:tc>
          <w:tcPr>
            <w:tcW w:w="3674" w:type="dxa"/>
          </w:tcPr>
          <w:tcPr/>
          <w:p>
            <w:pPr>
              <w:pStyle w:val="Compact"/>
              <w:jc w:val="left"/>
            </w:pPr>
            <w:r>
              <w:t xml:space="preserve">Sous-budgétisation de l’électricité de l’État</w:t>
            </w:r>
          </w:p>
        </w:tc>
        <w:tc>
          <w:tcPr>
            <w:tcW w:w="7364" w:type="dxa"/>
          </w:tcPr>
          <w:tcPr/>
          <w:p>
            <w:pPr>
              <w:pStyle w:val="Compact"/>
              <w:jc w:val="left"/>
            </w:pPr>
            <w:r>
              <w:t xml:space="preserve">Allocation supplémentaire en 2025 pour corriger la sous-budgétisation des coûts d’électricité publics (montant global ~10 M USD avec programmes sociaux)</w:t>
            </w:r>
          </w:p>
        </w:tc>
        <w:tc>
          <w:tcPr>
            <w:tcW w:w="1202" w:type="dxa"/>
          </w:tcPr>
          <w:tcPr/>
          <w:p>
            <w:pPr>
              <w:pStyle w:val="Compact"/>
              <w:jc w:val="left"/>
            </w:pPr>
            <w:r>
              <w:t xml:space="preserve">2025</w:t>
            </w:r>
          </w:p>
        </w:tc>
        <w:tc>
          <w:tcPr>
            <w:tcW w:w="1385" w:type="dxa"/>
          </w:tcPr>
          <w:tcPr/>
          <w:p>
            <w:pPr>
              <w:pStyle w:val="Compact"/>
              <w:jc w:val="left"/>
            </w:pPr>
            <w:r>
              <w:t xml:space="preserve">[V]</w:t>
            </w:r>
          </w:p>
        </w:tc>
        <w:tc>
          <w:tcPr>
            <w:tcW w:w="943" w:type="dxa"/>
          </w:tcPr>
          <w:tcPr/>
          <w:p>
            <w:pPr>
              <w:pStyle w:val="Compact"/>
              <w:jc w:val="left"/>
            </w:pPr>
            <w:r>
              <w:t xml:space="preserve">[8]</w:t>
            </w:r>
          </w:p>
        </w:tc>
      </w:tr>
      <w:tr>
        <w:tc>
          <w:tcPr>
            <w:tcW w:w="3674" w:type="dxa"/>
          </w:tcPr>
          <w:tcPr/>
          <w:p>
            <w:pPr>
              <w:pStyle w:val="Compact"/>
              <w:jc w:val="left"/>
            </w:pPr>
            <w:r>
              <w:t xml:space="preserve">Transferts / subventions de l’État</w:t>
            </w:r>
          </w:p>
        </w:tc>
        <w:tc>
          <w:tcPr>
            <w:tcW w:w="7364" w:type="dxa"/>
          </w:tcPr>
          <w:tcPr/>
          <w:p>
            <w:pPr>
              <w:pStyle w:val="Compact"/>
              <w:jc w:val="left"/>
            </w:pPr>
            <w:r>
              <w:t xml:space="preserve">« 0 » selon le pacte</w:t>
            </w:r>
          </w:p>
        </w:tc>
        <w:tc>
          <w:tcPr>
            <w:tcW w:w="1202" w:type="dxa"/>
          </w:tcPr>
          <w:tcPr/>
          <w:p>
            <w:pPr>
              <w:pStyle w:val="Compact"/>
              <w:jc w:val="left"/>
            </w:pPr>
            <w:r>
              <w:t xml:space="preserve">~2024</w:t>
            </w:r>
          </w:p>
        </w:tc>
        <w:tc>
          <w:tcPr>
            <w:tcW w:w="1385" w:type="dxa"/>
          </w:tcPr>
          <w:tcPr/>
          <w:p>
            <w:pPr>
              <w:pStyle w:val="Compact"/>
              <w:jc w:val="left"/>
            </w:pPr>
            <w:r>
              <w:t xml:space="preserve">(pacte)</w:t>
            </w:r>
          </w:p>
        </w:tc>
        <w:tc>
          <w:tcPr>
            <w:tcW w:w="943" w:type="dxa"/>
          </w:tcPr>
          <w:tcPr/>
          <w:p>
            <w:pPr>
              <w:pStyle w:val="Compact"/>
              <w:jc w:val="left"/>
            </w:pPr>
            <w:r>
              <w:t xml:space="preserve">[1]</w:t>
            </w:r>
          </w:p>
        </w:tc>
      </w:tr>
      <w:tr>
        <w:tc>
          <w:tcPr>
            <w:tcW w:w="3674" w:type="dxa"/>
          </w:tcPr>
          <w:tcPr/>
          <w:p>
            <w:pPr>
              <w:pStyle w:val="Compact"/>
              <w:jc w:val="left"/>
            </w:pPr>
            <w:r>
              <w:t xml:space="preserve">Tarif moyen</w:t>
            </w:r>
          </w:p>
        </w:tc>
        <w:tc>
          <w:tcPr>
            <w:tcW w:w="7364" w:type="dxa"/>
          </w:tcPr>
          <w:tcPr/>
          <w:p>
            <w:pPr>
              <w:pStyle w:val="Compact"/>
              <w:jc w:val="left"/>
            </w:pPr>
            <w:r>
              <w:t xml:space="preserve">~0,24 USD/kWh (2025-2026) ; 0,23 USD/kWh (pacte)</w:t>
            </w:r>
          </w:p>
        </w:tc>
        <w:tc>
          <w:tcPr>
            <w:tcW w:w="1202" w:type="dxa"/>
          </w:tcPr>
          <w:tcPr/>
          <w:p>
            <w:pPr>
              <w:pStyle w:val="Compact"/>
              <w:jc w:val="left"/>
            </w:pPr>
            <w:r>
              <w:t xml:space="preserve">2024-2026</w:t>
            </w:r>
          </w:p>
        </w:tc>
        <w:tc>
          <w:tcPr>
            <w:tcW w:w="1385" w:type="dxa"/>
          </w:tcPr>
          <w:tcPr/>
          <w:p>
            <w:pPr>
              <w:pStyle w:val="Compact"/>
              <w:jc w:val="left"/>
            </w:pPr>
            <w:r>
              <w:t xml:space="preserve">[S] / (pacte)</w:t>
            </w:r>
          </w:p>
        </w:tc>
        <w:tc>
          <w:tcPr>
            <w:tcW w:w="943" w:type="dxa"/>
          </w:tcPr>
          <w:tcPr/>
          <w:p>
            <w:pPr>
              <w:pStyle w:val="Compact"/>
              <w:jc w:val="left"/>
            </w:pPr>
            <w:r>
              <w:t xml:space="preserve">[5][1]</w:t>
            </w:r>
          </w:p>
        </w:tc>
      </w:tr>
      <w:tr>
        <w:tc>
          <w:tcPr>
            <w:tcW w:w="3674" w:type="dxa"/>
          </w:tcPr>
          <w:tcPr/>
          <w:p>
            <w:pPr>
              <w:pStyle w:val="Compact"/>
              <w:jc w:val="left"/>
            </w:pPr>
            <w:r>
              <w:t xml:space="preserve">Coût par kWh</w:t>
            </w:r>
          </w:p>
        </w:tc>
        <w:tc>
          <w:tcPr>
            <w:tcW w:w="7364" w:type="dxa"/>
          </w:tcPr>
          <w:tcPr/>
          <w:p>
            <w:pPr>
              <w:pStyle w:val="Compact"/>
              <w:jc w:val="left"/>
            </w:pPr>
            <w:r>
              <w:t xml:space="preserve">thermique 0,25 ; hydro 0,06 ; importations 0,16 USD/kWh (pacte)</w:t>
            </w:r>
          </w:p>
        </w:tc>
        <w:tc>
          <w:tcPr>
            <w:tcW w:w="1202" w:type="dxa"/>
          </w:tcPr>
          <w:tcPr/>
          <w:p>
            <w:pPr>
              <w:pStyle w:val="Compact"/>
              <w:jc w:val="left"/>
            </w:pPr>
            <w:r>
              <w:t xml:space="preserve">~2024</w:t>
            </w:r>
          </w:p>
        </w:tc>
        <w:tc>
          <w:tcPr>
            <w:tcW w:w="1385" w:type="dxa"/>
          </w:tcPr>
          <w:tcPr/>
          <w:p>
            <w:pPr>
              <w:pStyle w:val="Compact"/>
              <w:jc w:val="left"/>
            </w:pPr>
            <w:r>
              <w:t xml:space="preserve">(pacte)</w:t>
            </w:r>
          </w:p>
        </w:tc>
        <w:tc>
          <w:tcPr>
            <w:tcW w:w="943" w:type="dxa"/>
          </w:tcPr>
          <w:tcPr/>
          <w:p>
            <w:pPr>
              <w:pStyle w:val="Compact"/>
              <w:jc w:val="left"/>
            </w:pPr>
            <w:r>
              <w:t xml:space="preserve">[1]</w:t>
            </w:r>
          </w:p>
        </w:tc>
      </w:tr>
      <w:tr>
        <w:tc>
          <w:tcPr>
            <w:tcW w:w="3674" w:type="dxa"/>
          </w:tcPr>
          <w:tcPr/>
          <w:p>
            <w:pPr>
              <w:pStyle w:val="Compact"/>
              <w:jc w:val="left"/>
            </w:pPr>
            <w:r>
              <w:t xml:space="preserve">Taux de recouvrement</w:t>
            </w:r>
          </w:p>
        </w:tc>
        <w:tc>
          <w:tcPr>
            <w:tcW w:w="7364" w:type="dxa"/>
          </w:tcPr>
          <w:tcPr/>
          <w:p>
            <w:pPr>
              <w:pStyle w:val="Compact"/>
              <w:jc w:val="left"/>
            </w:pPr>
            <w:r>
              <w:t xml:space="preserve">[?] non trouvé (forte amélioration côté privé grâce au prépaiement selon la BM [3])</w:t>
            </w:r>
          </w:p>
        </w:tc>
        <w:tc>
          <w:tcPr>
            <w:tcW w:w="1202" w:type="dxa"/>
          </w:tcPr>
          <w:tcPr/>
          <w:p>
            <w:pPr>
              <w:pStyle w:val="Compact"/>
              <w:jc w:val="left"/>
            </w:pPr>
            <w:r>
              <w:t xml:space="preserve">—</w:t>
            </w:r>
          </w:p>
        </w:tc>
        <w:tc>
          <w:tcPr>
            <w:tcW w:w="1385" w:type="dxa"/>
          </w:tcPr>
          <w:tcPr/>
          <w:p>
            <w:pPr>
              <w:pStyle w:val="Compact"/>
              <w:jc w:val="left"/>
            </w:pPr>
            <w:r>
              <w:t xml:space="preserve">[?]</w:t>
            </w:r>
          </w:p>
        </w:tc>
        <w:tc>
          <w:tcPr>
            <w:tcW w:w="943" w:type="dxa"/>
          </w:tcPr>
          <w:tcPr/>
          <w:p>
            <w:pPr>
              <w:pStyle w:val="Compact"/>
              <w:jc w:val="left"/>
            </w:pPr>
            <w:r>
              <w:t xml:space="preserve">—</w:t>
            </w:r>
          </w:p>
        </w:tc>
      </w:tr>
      <w:tr>
        <w:tc>
          <w:tcPr>
            <w:tcW w:w="3674" w:type="dxa"/>
          </w:tcPr>
          <w:tcPr/>
          <w:p>
            <w:pPr>
              <w:pStyle w:val="Compact"/>
              <w:jc w:val="left"/>
            </w:pPr>
            <w:r>
              <w:t xml:space="preserve">Notation de crédit</w:t>
            </w:r>
          </w:p>
        </w:tc>
        <w:tc>
          <w:tcPr>
            <w:tcW w:w="7364" w:type="dxa"/>
          </w:tcPr>
          <w:tcPr/>
          <w:p>
            <w:pPr>
              <w:pStyle w:val="Compact"/>
              <w:jc w:val="left"/>
            </w:pPr>
            <w:r>
              <w:t xml:space="preserve">aucune ; « faible solvabilité » justifiant des garanties BM envisagées (pacte)</w:t>
            </w:r>
          </w:p>
        </w:tc>
        <w:tc>
          <w:tcPr>
            <w:tcW w:w="1202" w:type="dxa"/>
          </w:tcPr>
          <w:tcPr/>
          <w:p>
            <w:pPr>
              <w:pStyle w:val="Compact"/>
              <w:jc w:val="left"/>
            </w:pPr>
            <w:r>
              <w:t xml:space="preserve">—</w:t>
            </w:r>
          </w:p>
        </w:tc>
        <w:tc>
          <w:tcPr>
            <w:tcW w:w="1385" w:type="dxa"/>
          </w:tcPr>
          <w:tcPr/>
          <w:p>
            <w:pPr>
              <w:pStyle w:val="Compact"/>
              <w:jc w:val="left"/>
            </w:pPr>
            <w:r>
              <w:t xml:space="preserve">(pacte)</w:t>
            </w:r>
          </w:p>
        </w:tc>
        <w:tc>
          <w:tcPr>
            <w:tcW w:w="943" w:type="dxa"/>
          </w:tcPr>
          <w:tcPr/>
          <w:p>
            <w:pPr>
              <w:pStyle w:val="Compact"/>
              <w:jc w:val="left"/>
            </w:pPr>
            <w:r>
              <w:t xml:space="preserve">[1]</w:t>
            </w:r>
          </w:p>
        </w:tc>
      </w:tr>
    </w:tbl>
    <w:bookmarkEnd w:id="214"/>
    <w:bookmarkStart w:id="215" w:name="situation-technique-17"/>
    <w:p>
      <w:pPr>
        <w:pStyle w:val="Heading3"/>
      </w:pPr>
      <w:r>
        <w:t xml:space="preserve">2. Situation technique</w:t>
      </w:r>
    </w:p>
    <w:tbl>
      <w:tblPr>
        <w:tblStyle w:val="Table"/>
        <w:tblW w:type="dxa" w:w="14570"/>
        <w:tblLook w:firstRow="1" w:lastRow="0" w:firstColumn="0" w:lastColumn="0" w:noHBand="0" w:noVBand="0" w:val="0020"/>
        <w:jc w:val="start"/>
      </w:tblPr>
      <w:tblGrid>
        <w:gridCol w:w="3289"/>
        <w:gridCol w:w="7138"/>
        <w:gridCol w:w="1499"/>
        <w:gridCol w:w="1404"/>
        <w:gridCol w:w="1238"/>
      </w:tblGrid>
      <w:tr>
        <w:trPr>
          <w:tblHeader w:val="true"/>
        </w:trPr>
        <w:tc>
          <w:tcPr>
            <w:tcW w:w="3289" w:type="dxa"/>
          </w:tcPr>
          <w:tcPr/>
          <w:p>
            <w:pPr>
              <w:pStyle w:val="Compact"/>
              <w:jc w:val="left"/>
            </w:pPr>
            <w:r>
              <w:t xml:space="preserve">Indicateur</w:t>
            </w:r>
          </w:p>
        </w:tc>
        <w:tc>
          <w:tcPr>
            <w:tcW w:w="7138" w:type="dxa"/>
          </w:tcPr>
          <w:tcPr/>
          <w:p>
            <w:pPr>
              <w:pStyle w:val="Compact"/>
              <w:jc w:val="left"/>
            </w:pPr>
            <w:r>
              <w:t xml:space="preserve">Valeur</w:t>
            </w:r>
          </w:p>
        </w:tc>
        <w:tc>
          <w:tcPr>
            <w:tcW w:w="1499" w:type="dxa"/>
          </w:tcPr>
          <w:tcPr/>
          <w:p>
            <w:pPr>
              <w:pStyle w:val="Compact"/>
              <w:jc w:val="left"/>
            </w:pPr>
            <w:r>
              <w:t xml:space="preserve">Année</w:t>
            </w:r>
          </w:p>
        </w:tc>
        <w:tc>
          <w:tcPr>
            <w:tcW w:w="1404" w:type="dxa"/>
          </w:tcPr>
          <w:tcPr/>
          <w:p>
            <w:pPr>
              <w:pStyle w:val="Compact"/>
              <w:jc w:val="left"/>
            </w:pPr>
            <w:r>
              <w:t xml:space="preserve">Statut</w:t>
            </w:r>
          </w:p>
        </w:tc>
        <w:tc>
          <w:tcPr>
            <w:tcW w:w="1238" w:type="dxa"/>
          </w:tcPr>
          <w:tcPr/>
          <w:p>
            <w:pPr>
              <w:pStyle w:val="Compact"/>
              <w:jc w:val="left"/>
            </w:pPr>
            <w:r>
              <w:t xml:space="preserve">Source</w:t>
            </w:r>
          </w:p>
        </w:tc>
      </w:tr>
      <w:tr>
        <w:tc>
          <w:tcPr>
            <w:tcW w:w="3289" w:type="dxa"/>
          </w:tcPr>
          <w:tcPr/>
          <w:p>
            <w:pPr>
              <w:pStyle w:val="Compact"/>
              <w:jc w:val="left"/>
            </w:pPr>
            <w:r>
              <w:t xml:space="preserve">Capacité installée</w:t>
            </w:r>
          </w:p>
        </w:tc>
        <w:tc>
          <w:tcPr>
            <w:tcW w:w="7138" w:type="dxa"/>
          </w:tcPr>
          <w:tcPr/>
          <w:p>
            <w:pPr>
              <w:pStyle w:val="Compact"/>
              <w:jc w:val="left"/>
            </w:pPr>
            <w:r>
              <w:t xml:space="preserve">126 MW (88 MW Mount Coffee + 38 MW HFO) + importations CLSG jusqu’à 50 MW</w:t>
            </w:r>
          </w:p>
        </w:tc>
        <w:tc>
          <w:tcPr>
            <w:tcW w:w="1499" w:type="dxa"/>
          </w:tcPr>
          <w:tcPr/>
          <w:p>
            <w:pPr>
              <w:pStyle w:val="Compact"/>
              <w:jc w:val="left"/>
            </w:pPr>
            <w:r>
              <w:t xml:space="preserve">2024</w:t>
            </w:r>
          </w:p>
        </w:tc>
        <w:tc>
          <w:tcPr>
            <w:tcW w:w="1404" w:type="dxa"/>
          </w:tcPr>
          <w:tcPr/>
          <w:p>
            <w:pPr>
              <w:pStyle w:val="Compact"/>
              <w:jc w:val="left"/>
            </w:pPr>
            <w:r>
              <w:t xml:space="preserve">[V]</w:t>
            </w:r>
          </w:p>
        </w:tc>
        <w:tc>
          <w:tcPr>
            <w:tcW w:w="1238" w:type="dxa"/>
          </w:tcPr>
          <w:tcPr/>
          <w:p>
            <w:pPr>
              <w:pStyle w:val="Compact"/>
              <w:jc w:val="left"/>
            </w:pPr>
            <w:r>
              <w:t xml:space="preserve">[3]</w:t>
            </w:r>
          </w:p>
        </w:tc>
      </w:tr>
      <w:tr>
        <w:tc>
          <w:tcPr>
            <w:tcW w:w="3289" w:type="dxa"/>
          </w:tcPr>
          <w:tcPr/>
          <w:p>
            <w:pPr>
              <w:pStyle w:val="Compact"/>
              <w:jc w:val="left"/>
            </w:pPr>
            <w:r>
              <w:t xml:space="preserve">Production disponible</w:t>
            </w:r>
          </w:p>
        </w:tc>
        <w:tc>
          <w:tcPr>
            <w:tcW w:w="7138" w:type="dxa"/>
          </w:tcPr>
          <w:tcPr/>
          <w:p>
            <w:pPr>
              <w:pStyle w:val="Compact"/>
              <w:jc w:val="left"/>
            </w:pPr>
            <w:r>
              <w:t xml:space="preserve">Mount Coffee ~57 MW, Bushrod 12-16 MW ; CLSG réduit à 10-15 MW après des défaillances du réseau ivoirien</w:t>
            </w:r>
          </w:p>
        </w:tc>
        <w:tc>
          <w:tcPr>
            <w:tcW w:w="1499" w:type="dxa"/>
          </w:tcPr>
          <w:tcPr/>
          <w:p>
            <w:pPr>
              <w:pStyle w:val="Compact"/>
              <w:jc w:val="left"/>
            </w:pPr>
            <w:r>
              <w:t xml:space="preserve">2026</w:t>
            </w:r>
          </w:p>
        </w:tc>
        <w:tc>
          <w:tcPr>
            <w:tcW w:w="1404" w:type="dxa"/>
          </w:tcPr>
          <w:tcPr/>
          <w:p>
            <w:pPr>
              <w:pStyle w:val="Compact"/>
              <w:jc w:val="left"/>
            </w:pPr>
            <w:r>
              <w:t xml:space="preserve">[S]</w:t>
            </w:r>
          </w:p>
        </w:tc>
        <w:tc>
          <w:tcPr>
            <w:tcW w:w="1238" w:type="dxa"/>
          </w:tcPr>
          <w:tcPr/>
          <w:p>
            <w:pPr>
              <w:pStyle w:val="Compact"/>
              <w:jc w:val="left"/>
            </w:pPr>
            <w:r>
              <w:t xml:space="preserve">[5]</w:t>
            </w:r>
          </w:p>
        </w:tc>
      </w:tr>
      <w:tr>
        <w:tc>
          <w:tcPr>
            <w:tcW w:w="3289" w:type="dxa"/>
          </w:tcPr>
          <w:tcPr/>
          <w:p>
            <w:pPr>
              <w:pStyle w:val="Compact"/>
              <w:jc w:val="left"/>
            </w:pPr>
            <w:r>
              <w:t xml:space="preserve">Demande</w:t>
            </w:r>
          </w:p>
        </w:tc>
        <w:tc>
          <w:tcPr>
            <w:tcW w:w="7138" w:type="dxa"/>
          </w:tcPr>
          <w:tcPr/>
          <w:p>
            <w:pPr>
              <w:pStyle w:val="Compact"/>
              <w:jc w:val="left"/>
            </w:pPr>
            <w:r>
              <w:t xml:space="preserve">84 MW (2023) [V] ; 92 → ~142 MW sur l’année écoulée (briefing au Sénat, 2026) [S]</w:t>
            </w:r>
          </w:p>
        </w:tc>
        <w:tc>
          <w:tcPr>
            <w:tcW w:w="1499" w:type="dxa"/>
          </w:tcPr>
          <w:tcPr/>
          <w:p>
            <w:pPr>
              <w:pStyle w:val="Compact"/>
              <w:jc w:val="left"/>
            </w:pPr>
            <w:r>
              <w:t xml:space="preserve">2023-2026</w:t>
            </w:r>
          </w:p>
        </w:tc>
        <w:tc>
          <w:tcPr>
            <w:tcW w:w="1404" w:type="dxa"/>
          </w:tcPr>
          <w:tcPr/>
          <w:p>
            <w:pPr>
              <w:pStyle w:val="Compact"/>
              <w:jc w:val="left"/>
            </w:pPr>
            <w:r>
              <w:t xml:space="preserve">[V]/[S]</w:t>
            </w:r>
          </w:p>
        </w:tc>
        <w:tc>
          <w:tcPr>
            <w:tcW w:w="1238" w:type="dxa"/>
          </w:tcPr>
          <w:tcPr/>
          <w:p>
            <w:pPr>
              <w:pStyle w:val="Compact"/>
              <w:jc w:val="left"/>
            </w:pPr>
            <w:r>
              <w:t xml:space="preserve">[3][5]</w:t>
            </w:r>
          </w:p>
        </w:tc>
      </w:tr>
      <w:tr>
        <w:tc>
          <w:tcPr>
            <w:tcW w:w="3289" w:type="dxa"/>
          </w:tcPr>
          <w:tcPr/>
          <w:p>
            <w:pPr>
              <w:pStyle w:val="Compact"/>
              <w:jc w:val="left"/>
            </w:pPr>
            <w:r>
              <w:t xml:space="preserve">Pertes commerciales (distribution)</w:t>
            </w:r>
          </w:p>
        </w:tc>
        <w:tc>
          <w:tcPr>
            <w:tcW w:w="7138" w:type="dxa"/>
          </w:tcPr>
          <w:tcPr/>
          <w:p>
            <w:pPr>
              <w:pStyle w:val="Compact"/>
              <w:jc w:val="left"/>
            </w:pPr>
            <w:r>
              <w:t xml:space="preserve">47,7 % (2021) → 31,4 % (2023) [V] ; 41,3 % → 31,4 % sous la direction locale [V] ; 27,4 % (juil. 2024, pacte)</w:t>
            </w:r>
          </w:p>
        </w:tc>
        <w:tc>
          <w:tcPr>
            <w:tcW w:w="1499" w:type="dxa"/>
          </w:tcPr>
          <w:tcPr/>
          <w:p>
            <w:pPr>
              <w:pStyle w:val="Compact"/>
              <w:jc w:val="left"/>
            </w:pPr>
            <w:r>
              <w:t xml:space="preserve">2021-2024</w:t>
            </w:r>
          </w:p>
        </w:tc>
        <w:tc>
          <w:tcPr>
            <w:tcW w:w="1404" w:type="dxa"/>
          </w:tcPr>
          <w:tcPr/>
          <w:p>
            <w:pPr>
              <w:pStyle w:val="Compact"/>
              <w:jc w:val="left"/>
            </w:pPr>
            <w:r>
              <w:t xml:space="preserve">[V] / (pacte)</w:t>
            </w:r>
          </w:p>
        </w:tc>
        <w:tc>
          <w:tcPr>
            <w:tcW w:w="1238" w:type="dxa"/>
          </w:tcPr>
          <w:tcPr/>
          <w:p>
            <w:pPr>
              <w:pStyle w:val="Compact"/>
              <w:jc w:val="left"/>
            </w:pPr>
            <w:r>
              <w:t xml:space="preserve">[3][4][1]</w:t>
            </w:r>
          </w:p>
        </w:tc>
      </w:tr>
      <w:tr>
        <w:tc>
          <w:tcPr>
            <w:tcW w:w="3289" w:type="dxa"/>
          </w:tcPr>
          <w:tcPr/>
          <w:p>
            <w:pPr>
              <w:pStyle w:val="Compact"/>
              <w:jc w:val="left"/>
            </w:pPr>
            <w:r>
              <w:t xml:space="preserve">Pertes totales techniques + commerciales</w:t>
            </w:r>
          </w:p>
        </w:tc>
        <w:tc>
          <w:tcPr>
            <w:tcW w:w="7138" w:type="dxa"/>
          </w:tcPr>
          <w:tcPr/>
          <w:p>
            <w:pPr>
              <w:pStyle w:val="Compact"/>
              <w:jc w:val="left"/>
            </w:pPr>
            <w:r>
              <w:t xml:space="preserve">~42 % (2025) [S] ; 30-40 % (2026) [S] ; ATC&amp;C 45,4 % (pacte)</w:t>
            </w:r>
          </w:p>
        </w:tc>
        <w:tc>
          <w:tcPr>
            <w:tcW w:w="1499" w:type="dxa"/>
          </w:tcPr>
          <w:tcPr/>
          <w:p>
            <w:pPr>
              <w:pStyle w:val="Compact"/>
              <w:jc w:val="left"/>
            </w:pPr>
            <w:r>
              <w:t xml:space="preserve">2025-2026</w:t>
            </w:r>
          </w:p>
        </w:tc>
        <w:tc>
          <w:tcPr>
            <w:tcW w:w="1404" w:type="dxa"/>
          </w:tcPr>
          <w:tcPr/>
          <w:p>
            <w:pPr>
              <w:pStyle w:val="Compact"/>
              <w:jc w:val="left"/>
            </w:pPr>
            <w:r>
              <w:t xml:space="preserve">[S]</w:t>
            </w:r>
          </w:p>
        </w:tc>
        <w:tc>
          <w:tcPr>
            <w:tcW w:w="1238" w:type="dxa"/>
          </w:tcPr>
          <w:tcPr/>
          <w:p>
            <w:pPr>
              <w:pStyle w:val="Compact"/>
              <w:jc w:val="left"/>
            </w:pPr>
            <w:r>
              <w:t xml:space="preserve">[6][5][1]</w:t>
            </w:r>
          </w:p>
        </w:tc>
      </w:tr>
      <w:tr>
        <w:tc>
          <w:tcPr>
            <w:tcW w:w="3289" w:type="dxa"/>
          </w:tcPr>
          <w:tcPr/>
          <w:p>
            <w:pPr>
              <w:pStyle w:val="Compact"/>
              <w:jc w:val="left"/>
            </w:pPr>
            <w:r>
              <w:t xml:space="preserve">Clients</w:t>
            </w:r>
          </w:p>
        </w:tc>
        <w:tc>
          <w:tcPr>
            <w:tcW w:w="7138" w:type="dxa"/>
          </w:tcPr>
          <w:tcPr/>
          <w:p>
            <w:pPr>
              <w:pStyle w:val="Compact"/>
              <w:jc w:val="left"/>
            </w:pPr>
            <w:r>
              <w:t xml:space="preserve">142 947 (2021) → 282 505 (2023) (pacte) ; &gt; 60 000 nouveaux clients en un an (2026) [S]</w:t>
            </w:r>
          </w:p>
        </w:tc>
        <w:tc>
          <w:tcPr>
            <w:tcW w:w="1499" w:type="dxa"/>
          </w:tcPr>
          <w:tcPr/>
          <w:p>
            <w:pPr>
              <w:pStyle w:val="Compact"/>
              <w:jc w:val="left"/>
            </w:pPr>
            <w:r>
              <w:t xml:space="preserve">2021-2026</w:t>
            </w:r>
          </w:p>
        </w:tc>
        <w:tc>
          <w:tcPr>
            <w:tcW w:w="1404" w:type="dxa"/>
          </w:tcPr>
          <w:tcPr/>
          <w:p>
            <w:pPr>
              <w:pStyle w:val="Compact"/>
              <w:jc w:val="left"/>
            </w:pPr>
            <w:r>
              <w:t xml:space="preserve">(pacte)/[S]</w:t>
            </w:r>
          </w:p>
        </w:tc>
        <w:tc>
          <w:tcPr>
            <w:tcW w:w="1238" w:type="dxa"/>
          </w:tcPr>
          <w:tcPr/>
          <w:p>
            <w:pPr>
              <w:pStyle w:val="Compact"/>
              <w:jc w:val="left"/>
            </w:pPr>
            <w:r>
              <w:t xml:space="preserve">[1][5]</w:t>
            </w:r>
          </w:p>
        </w:tc>
      </w:tr>
      <w:tr>
        <w:tc>
          <w:tcPr>
            <w:tcW w:w="3289" w:type="dxa"/>
          </w:tcPr>
          <w:tcPr/>
          <w:p>
            <w:pPr>
              <w:pStyle w:val="Compact"/>
              <w:jc w:val="left"/>
            </w:pPr>
            <w:r>
              <w:t xml:space="preserve">Personnes ayant reçu un service nouveau/amélioré (LESSAP)</w:t>
            </w:r>
          </w:p>
        </w:tc>
        <w:tc>
          <w:tcPr>
            <w:tcW w:w="7138" w:type="dxa"/>
          </w:tcPr>
          <w:tcPr/>
          <w:p>
            <w:pPr>
              <w:pStyle w:val="Compact"/>
              <w:jc w:val="left"/>
            </w:pPr>
            <w:r>
              <w:t xml:space="preserve">249 760 sur 345 000 visées</w:t>
            </w:r>
          </w:p>
        </w:tc>
        <w:tc>
          <w:tcPr>
            <w:tcW w:w="1499" w:type="dxa"/>
          </w:tcPr>
          <w:tcPr/>
          <w:p>
            <w:pPr>
              <w:pStyle w:val="Compact"/>
              <w:jc w:val="left"/>
            </w:pPr>
            <w:r>
              <w:t xml:space="preserve">oct. 2024</w:t>
            </w:r>
          </w:p>
        </w:tc>
        <w:tc>
          <w:tcPr>
            <w:tcW w:w="1404" w:type="dxa"/>
          </w:tcPr>
          <w:tcPr/>
          <w:p>
            <w:pPr>
              <w:pStyle w:val="Compact"/>
              <w:jc w:val="left"/>
            </w:pPr>
            <w:r>
              <w:t xml:space="preserve">[V]</w:t>
            </w:r>
          </w:p>
        </w:tc>
        <w:tc>
          <w:tcPr>
            <w:tcW w:w="1238" w:type="dxa"/>
          </w:tcPr>
          <w:tcPr/>
          <w:p>
            <w:pPr>
              <w:pStyle w:val="Compact"/>
              <w:jc w:val="left"/>
            </w:pPr>
            <w:r>
              <w:t xml:space="preserve">[4]</w:t>
            </w:r>
          </w:p>
        </w:tc>
      </w:tr>
      <w:tr>
        <w:tc>
          <w:tcPr>
            <w:tcW w:w="3289" w:type="dxa"/>
          </w:tcPr>
          <w:tcPr/>
          <w:p>
            <w:pPr>
              <w:pStyle w:val="Compact"/>
              <w:jc w:val="left"/>
            </w:pPr>
            <w:r>
              <w:t xml:space="preserve">Délestages</w:t>
            </w:r>
          </w:p>
        </w:tc>
        <w:tc>
          <w:tcPr>
            <w:tcW w:w="7138" w:type="dxa"/>
          </w:tcPr>
          <w:tcPr/>
          <w:p>
            <w:pPr>
              <w:pStyle w:val="Compact"/>
              <w:jc w:val="left"/>
            </w:pPr>
            <w:r>
              <w:t xml:space="preserve">5 h/jour (pacte) ; coupures intermittentes lors de la maintenance CLSG (mars 2026)</w:t>
            </w:r>
          </w:p>
        </w:tc>
        <w:tc>
          <w:tcPr>
            <w:tcW w:w="1499" w:type="dxa"/>
          </w:tcPr>
          <w:tcPr/>
          <w:p>
            <w:pPr>
              <w:pStyle w:val="Compact"/>
              <w:jc w:val="left"/>
            </w:pPr>
            <w:r>
              <w:t xml:space="preserve">2024-2026</w:t>
            </w:r>
          </w:p>
        </w:tc>
        <w:tc>
          <w:tcPr>
            <w:tcW w:w="1404" w:type="dxa"/>
          </w:tcPr>
          <w:tcPr/>
          <w:p>
            <w:pPr>
              <w:pStyle w:val="Compact"/>
              <w:jc w:val="left"/>
            </w:pPr>
            <w:r>
              <w:t xml:space="preserve">(pacte)/[S]</w:t>
            </w:r>
          </w:p>
        </w:tc>
        <w:tc>
          <w:tcPr>
            <w:tcW w:w="1238" w:type="dxa"/>
          </w:tcPr>
          <w:tcPr/>
          <w:p>
            <w:pPr>
              <w:pStyle w:val="Compact"/>
              <w:jc w:val="left"/>
            </w:pPr>
            <w:r>
              <w:t xml:space="preserve">[1][5]</w:t>
            </w:r>
          </w:p>
        </w:tc>
      </w:tr>
      <w:tr>
        <w:tc>
          <w:tcPr>
            <w:tcW w:w="3289" w:type="dxa"/>
          </w:tcPr>
          <w:tcPr/>
          <w:p>
            <w:pPr>
              <w:pStyle w:val="Compact"/>
              <w:jc w:val="left"/>
            </w:pPr>
            <w:r>
              <w:t xml:space="preserve">SAIDI / SAIFI</w:t>
            </w:r>
          </w:p>
        </w:tc>
        <w:tc>
          <w:tcPr>
            <w:tcW w:w="7138" w:type="dxa"/>
          </w:tcPr>
          <w:tcPr/>
          <w:p>
            <w:pPr>
              <w:pStyle w:val="Compact"/>
              <w:jc w:val="left"/>
            </w:pPr>
            <w:r>
              <w:t xml:space="preserve">[?] non trouvé</w:t>
            </w:r>
          </w:p>
        </w:tc>
        <w:tc>
          <w:tcPr>
            <w:tcW w:w="1499" w:type="dxa"/>
          </w:tcPr>
          <w:tcPr/>
          <w:p>
            <w:pPr>
              <w:pStyle w:val="Compact"/>
              <w:jc w:val="left"/>
            </w:pPr>
            <w:r>
              <w:t xml:space="preserve">—</w:t>
            </w:r>
          </w:p>
        </w:tc>
        <w:tc>
          <w:tcPr>
            <w:tcW w:w="1404" w:type="dxa"/>
          </w:tcPr>
          <w:tcPr/>
          <w:p>
            <w:pPr>
              <w:pStyle w:val="Compact"/>
              <w:jc w:val="left"/>
            </w:pPr>
            <w:r>
              <w:t xml:space="preserve">[?]</w:t>
            </w:r>
          </w:p>
        </w:tc>
        <w:tc>
          <w:tcPr>
            <w:tcW w:w="1238" w:type="dxa"/>
          </w:tcPr>
          <w:tcPr/>
          <w:p>
            <w:pPr>
              <w:pStyle w:val="Compact"/>
              <w:jc w:val="left"/>
            </w:pPr>
            <w:r>
              <w:t xml:space="preserve">—</w:t>
            </w:r>
          </w:p>
        </w:tc>
      </w:tr>
    </w:tbl>
    <w:bookmarkEnd w:id="215"/>
    <w:bookmarkStart w:id="216" w:name="situation-économique-et-gouvernance-17"/>
    <w:p>
      <w:pPr>
        <w:pStyle w:val="Heading3"/>
      </w:pPr>
      <w:r>
        <w:t xml:space="preserve">3. Situation économique et gouvernance</w:t>
      </w:r>
    </w:p>
    <w:p>
      <w:pPr>
        <w:numPr>
          <w:ilvl w:val="0"/>
          <w:numId w:val="1111"/>
        </w:numPr>
        <w:pStyle w:val="Compact"/>
      </w:pPr>
      <w:r>
        <w:t xml:space="preserve">PPA / importations : dépendance aux importations CLSG (Côte d’Ivoire) en saison sèche, offre réduite par les défaillances du réseau ivoirien [5] [S] ; contrat d’importation 27 MW (pacte).</w:t>
      </w:r>
    </w:p>
    <w:p>
      <w:pPr>
        <w:numPr>
          <w:ilvl w:val="0"/>
          <w:numId w:val="1111"/>
        </w:numPr>
        <w:pStyle w:val="Compact"/>
      </w:pPr>
      <w:r>
        <w:t xml:space="preserve">Change / combustible : coûts en USD (économie dollarisée), HFO importé coûteux en saison sèche [3] [V].</w:t>
      </w:r>
    </w:p>
    <w:p>
      <w:pPr>
        <w:numPr>
          <w:ilvl w:val="0"/>
          <w:numId w:val="1111"/>
        </w:numPr>
        <w:pStyle w:val="Compact"/>
      </w:pPr>
      <w:r>
        <w:t xml:space="preserve">Plan de redressement : objectif de rentabilité d’exploitation en 2027 (DPF BM) [3] ou FY2028 (pacte) [1] ; tarif pluriannuel (MYT) à émettre par LERC — déclencheur DPF 2 [3] [V].</w:t>
      </w:r>
    </w:p>
    <w:p>
      <w:pPr>
        <w:numPr>
          <w:ilvl w:val="0"/>
          <w:numId w:val="1111"/>
        </w:numPr>
        <w:pStyle w:val="Compact"/>
      </w:pPr>
      <w:r>
        <w:t xml:space="preserve">Gouvernance : résolution du conseil n° 003/2024 (25/10/2024) imposant la publication des comptes audités dans les 6 mois, de rapports financiers trimestriels et d’analyses trimestrielles dettes/créances [3] [V] ; code de gouvernance d’entreprise attendu (déclencheur DPF 2) [3] ; mécanisme d’entiercement (escrow) pour les arriérés publics réclamé par le nouveau DG [6] [S] ; condamnation de la direction pour outrage par le Debt Court (dette de ~415 000 USD envers un fournisseur, 2026) [9] [S].</w:t>
      </w:r>
    </w:p>
    <w:bookmarkEnd w:id="216"/>
    <w:bookmarkStart w:id="217" w:name="Xc73711d791db4a24bdee426cde0dabab290a88a"/>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180"/>
        <w:gridCol w:w="790"/>
        <w:gridCol w:w="1989"/>
        <w:gridCol w:w="978"/>
        <w:gridCol w:w="2762"/>
        <w:gridCol w:w="1837"/>
        <w:gridCol w:w="2137"/>
        <w:gridCol w:w="894"/>
      </w:tblGrid>
      <w:tr>
        <w:trPr>
          <w:tblHeader w:val="true"/>
        </w:trPr>
        <w:tc>
          <w:tcPr>
            <w:tcW w:w="3180" w:type="dxa"/>
          </w:tcPr>
          <w:tcPr/>
          <w:p>
            <w:pPr>
              <w:pStyle w:val="Compact"/>
              <w:jc w:val="left"/>
            </w:pPr>
            <w:r>
              <w:t xml:space="preserve">Programme / projet</w:t>
            </w:r>
          </w:p>
        </w:tc>
        <w:tc>
          <w:tcPr>
            <w:tcW w:w="790" w:type="dxa"/>
          </w:tcPr>
          <w:tcPr/>
          <w:p>
            <w:pPr>
              <w:pStyle w:val="Compact"/>
              <w:jc w:val="left"/>
            </w:pPr>
            <w:r>
              <w:t xml:space="preserve">Bailleur</w:t>
            </w:r>
          </w:p>
        </w:tc>
        <w:tc>
          <w:tcPr>
            <w:tcW w:w="1989" w:type="dxa"/>
          </w:tcPr>
          <w:tcPr/>
          <w:p>
            <w:pPr>
              <w:pStyle w:val="Compact"/>
              <w:jc w:val="left"/>
            </w:pPr>
            <w:r>
              <w:t xml:space="preserve">Montant</w:t>
            </w:r>
          </w:p>
        </w:tc>
        <w:tc>
          <w:tcPr>
            <w:tcW w:w="978" w:type="dxa"/>
          </w:tcPr>
          <w:tcPr/>
          <w:p>
            <w:pPr>
              <w:pStyle w:val="Compact"/>
              <w:jc w:val="left"/>
            </w:pPr>
            <w:r>
              <w:t xml:space="preserve">Années</w:t>
            </w:r>
          </w:p>
        </w:tc>
        <w:tc>
          <w:tcPr>
            <w:tcW w:w="2762" w:type="dxa"/>
          </w:tcPr>
          <w:tcPr/>
          <w:p>
            <w:pPr>
              <w:pStyle w:val="Compact"/>
              <w:jc w:val="left"/>
            </w:pPr>
            <w:r>
              <w:t xml:space="preserve">Objectifs liés à l’opérateur</w:t>
            </w:r>
          </w:p>
        </w:tc>
        <w:tc>
          <w:tcPr>
            <w:tcW w:w="1837" w:type="dxa"/>
          </w:tcPr>
          <w:tcPr/>
          <w:p>
            <w:pPr>
              <w:pStyle w:val="Compact"/>
              <w:jc w:val="left"/>
            </w:pPr>
            <w:r>
              <w:t xml:space="preserve">Conditions / indicateurs</w:t>
            </w:r>
          </w:p>
        </w:tc>
        <w:tc>
          <w:tcPr>
            <w:tcW w:w="2137" w:type="dxa"/>
          </w:tcPr>
          <w:tcPr/>
          <w:p>
            <w:pPr>
              <w:pStyle w:val="Compact"/>
              <w:jc w:val="left"/>
            </w:pPr>
            <w:r>
              <w:t xml:space="preserve">Statut d’exécution</w:t>
            </w:r>
          </w:p>
        </w:tc>
        <w:tc>
          <w:tcPr>
            <w:tcW w:w="894" w:type="dxa"/>
          </w:tcPr>
          <w:tcPr/>
          <w:p>
            <w:pPr>
              <w:pStyle w:val="Compact"/>
              <w:jc w:val="left"/>
            </w:pPr>
            <w:r>
              <w:t xml:space="preserve">Source</w:t>
            </w:r>
          </w:p>
        </w:tc>
      </w:tr>
      <w:tr>
        <w:tc>
          <w:tcPr>
            <w:tcW w:w="3180" w:type="dxa"/>
          </w:tcPr>
          <w:tcPr/>
          <w:p>
            <w:pPr>
              <w:pStyle w:val="Compact"/>
              <w:jc w:val="left"/>
            </w:pPr>
            <w:r>
              <w:t xml:space="preserve">Liberia Electricity Sector Strengthening and Access Project (LESSAP), P173416 (phase 1 d’un MPA)</w:t>
            </w:r>
          </w:p>
        </w:tc>
        <w:tc>
          <w:tcPr>
            <w:tcW w:w="790" w:type="dxa"/>
          </w:tcPr>
          <w:tcPr/>
          <w:p>
            <w:pPr>
              <w:pStyle w:val="Compact"/>
              <w:jc w:val="left"/>
            </w:pPr>
            <w:r>
              <w:t xml:space="preserve">BM (IDA + fonds fiduciaire)</w:t>
            </w:r>
          </w:p>
        </w:tc>
        <w:tc>
          <w:tcPr>
            <w:tcW w:w="1989" w:type="dxa"/>
          </w:tcPr>
          <w:tcPr/>
          <w:p>
            <w:pPr>
              <w:pStyle w:val="Compact"/>
              <w:jc w:val="left"/>
            </w:pPr>
            <w:r>
              <w:t xml:space="preserve">59 M USD (IDA 29 + 15 + 15) + TF 2,5 M USD</w:t>
            </w:r>
          </w:p>
        </w:tc>
        <w:tc>
          <w:tcPr>
            <w:tcW w:w="978" w:type="dxa"/>
          </w:tcPr>
          <w:tcPr/>
          <w:p>
            <w:pPr>
              <w:pStyle w:val="Compact"/>
              <w:jc w:val="left"/>
            </w:pPr>
            <w:r>
              <w:t xml:space="preserve">2021-2026 (clôture 30/06/2026)</w:t>
            </w:r>
          </w:p>
        </w:tc>
        <w:tc>
          <w:tcPr>
            <w:tcW w:w="2762" w:type="dxa"/>
          </w:tcPr>
          <w:tcPr/>
          <w:p>
            <w:pPr>
              <w:pStyle w:val="Compact"/>
              <w:jc w:val="left"/>
            </w:pPr>
            <w:r>
              <w:t xml:space="preserve">Accès et efficacité opérationnelle de LEC (réseau, compteurs, AT, réparation Mount Coffee)</w:t>
            </w:r>
          </w:p>
        </w:tc>
        <w:tc>
          <w:tcPr>
            <w:tcW w:w="1837" w:type="dxa"/>
          </w:tcPr>
          <w:tcPr/>
          <w:p>
            <w:pPr>
              <w:pStyle w:val="Compact"/>
              <w:jc w:val="left"/>
            </w:pPr>
            <w:r>
              <w:t xml:space="preserve">Indicateurs : pertes commerciales, raccordements</w:t>
            </w:r>
          </w:p>
        </w:tc>
        <w:tc>
          <w:tcPr>
            <w:tcW w:w="2137" w:type="dxa"/>
          </w:tcPr>
          <w:tcPr/>
          <w:p>
            <w:pPr>
              <w:pStyle w:val="Compact"/>
              <w:jc w:val="left"/>
            </w:pPr>
            <w:r>
              <w:t xml:space="preserve">PDO et exécution « Satisfactory » ; 58 % décaissé (oct. 2024) ; lots réseau à 35 % et en retard</w:t>
            </w:r>
          </w:p>
        </w:tc>
        <w:tc>
          <w:tcPr>
            <w:tcW w:w="894" w:type="dxa"/>
          </w:tcPr>
          <w:tcPr/>
          <w:p>
            <w:pPr>
              <w:pStyle w:val="Compact"/>
              <w:jc w:val="left"/>
            </w:pPr>
            <w:r>
              <w:t xml:space="preserve">[4]</w:t>
            </w:r>
          </w:p>
        </w:tc>
      </w:tr>
      <w:tr>
        <w:tc>
          <w:tcPr>
            <w:tcW w:w="3180" w:type="dxa"/>
          </w:tcPr>
          <w:tcPr/>
          <w:p>
            <w:pPr>
              <w:pStyle w:val="Compact"/>
              <w:jc w:val="left"/>
            </w:pPr>
            <w:r>
              <w:t xml:space="preserve">LESSAP Phase 2, P180498</w:t>
            </w:r>
          </w:p>
        </w:tc>
        <w:tc>
          <w:tcPr>
            <w:tcW w:w="790" w:type="dxa"/>
          </w:tcPr>
          <w:tcPr/>
          <w:p>
            <w:pPr>
              <w:pStyle w:val="Compact"/>
              <w:jc w:val="left"/>
            </w:pPr>
            <w:r>
              <w:t xml:space="preserve">BM</w:t>
            </w:r>
          </w:p>
        </w:tc>
        <w:tc>
          <w:tcPr>
            <w:tcW w:w="1989" w:type="dxa"/>
          </w:tcPr>
          <w:tcPr/>
          <w:p>
            <w:pPr>
              <w:pStyle w:val="Compact"/>
              <w:jc w:val="left"/>
            </w:pPr>
            <w:r>
              <w:t xml:space="preserve">45 M USD</w:t>
            </w:r>
          </w:p>
        </w:tc>
        <w:tc>
          <w:tcPr>
            <w:tcW w:w="978" w:type="dxa"/>
          </w:tcPr>
          <w:tcPr/>
          <w:p>
            <w:pPr>
              <w:pStyle w:val="Compact"/>
              <w:jc w:val="left"/>
            </w:pPr>
            <w:r>
              <w:t xml:space="preserve">2024-2029</w:t>
            </w:r>
          </w:p>
        </w:tc>
        <w:tc>
          <w:tcPr>
            <w:tcW w:w="2762" w:type="dxa"/>
          </w:tcPr>
          <w:tcPr/>
          <w:p>
            <w:pPr>
              <w:pStyle w:val="Compact"/>
              <w:jc w:val="left"/>
            </w:pPr>
            <w:r>
              <w:t xml:space="preserve">Suite du MPA (programme total cité à 200 M USD par le pacte)</w:t>
            </w:r>
          </w:p>
        </w:tc>
        <w:tc>
          <w:tcPr>
            <w:tcW w:w="1837" w:type="dxa"/>
          </w:tcPr>
          <w:tcPr/>
          <w:p>
            <w:pPr>
              <w:pStyle w:val="Compact"/>
              <w:jc w:val="left"/>
            </w:pPr>
            <w:r>
              <w:t xml:space="preserve">—</w:t>
            </w:r>
          </w:p>
        </w:tc>
        <w:tc>
          <w:tcPr>
            <w:tcW w:w="2137" w:type="dxa"/>
          </w:tcPr>
          <w:tcPr/>
          <w:p>
            <w:pPr>
              <w:pStyle w:val="Compact"/>
              <w:jc w:val="left"/>
            </w:pPr>
            <w:r>
              <w:t xml:space="preserve">Approuvé 24/06/2024 ; actif</w:t>
            </w:r>
          </w:p>
        </w:tc>
        <w:tc>
          <w:tcPr>
            <w:tcW w:w="894" w:type="dxa"/>
          </w:tcPr>
          <w:tcPr/>
          <w:p>
            <w:pPr>
              <w:pStyle w:val="Compact"/>
              <w:jc w:val="left"/>
            </w:pPr>
            <w:r>
              <w:t xml:space="preserve">[10] ; [1] (pacte)</w:t>
            </w:r>
          </w:p>
        </w:tc>
      </w:tr>
      <w:tr>
        <w:tc>
          <w:tcPr>
            <w:tcW w:w="3180" w:type="dxa"/>
          </w:tcPr>
          <w:tcPr/>
          <w:p>
            <w:pPr>
              <w:pStyle w:val="Compact"/>
              <w:jc w:val="left"/>
            </w:pPr>
            <w:r>
              <w:t xml:space="preserve">Liberia First Resilient and Inclusive Growth DPF (avec Cat DDO), P502565</w:t>
            </w:r>
          </w:p>
        </w:tc>
        <w:tc>
          <w:tcPr>
            <w:tcW w:w="790" w:type="dxa"/>
          </w:tcPr>
          <w:tcPr/>
          <w:p>
            <w:pPr>
              <w:pStyle w:val="Compact"/>
              <w:jc w:val="left"/>
            </w:pPr>
            <w:r>
              <w:t xml:space="preserve">BM (IDA)</w:t>
            </w:r>
          </w:p>
        </w:tc>
        <w:tc>
          <w:tcPr>
            <w:tcW w:w="1989" w:type="dxa"/>
          </w:tcPr>
          <w:tcPr/>
          <w:p>
            <w:pPr>
              <w:pStyle w:val="Compact"/>
              <w:jc w:val="left"/>
            </w:pPr>
            <w:r>
              <w:t xml:space="preserve">40 M USD + Cat DDO 20 M USD</w:t>
            </w:r>
          </w:p>
        </w:tc>
        <w:tc>
          <w:tcPr>
            <w:tcW w:w="978" w:type="dxa"/>
          </w:tcPr>
          <w:tcPr/>
          <w:p>
            <w:pPr>
              <w:pStyle w:val="Compact"/>
              <w:jc w:val="left"/>
            </w:pPr>
            <w:r>
              <w:t xml:space="preserve">approuvé 05/12/2024</w:t>
            </w:r>
          </w:p>
        </w:tc>
        <w:tc>
          <w:tcPr>
            <w:tcW w:w="2762" w:type="dxa"/>
          </w:tcPr>
          <w:tcPr/>
          <w:p>
            <w:pPr>
              <w:pStyle w:val="Compact"/>
              <w:jc w:val="left"/>
            </w:pPr>
            <w:r>
              <w:t xml:space="preserve">Viabilité financière et gouvernance de LEC</w:t>
            </w:r>
          </w:p>
        </w:tc>
        <w:tc>
          <w:tcPr>
            <w:tcW w:w="1837" w:type="dxa"/>
          </w:tcPr>
          <w:tcPr/>
          <w:p>
            <w:pPr>
              <w:pStyle w:val="Compact"/>
              <w:jc w:val="left"/>
            </w:pPr>
            <w:r>
              <w:t xml:space="preserve">Actions préalables : #5 publication des comptes audités / rapports trimestriels (résolution du conseil) ; #6 prépaiement des administrations et budgétisation de leur électricité. Déclencheurs DPF2 : comptes audités FY2024 (juin 2025), projet de loi PPP, MYT de LERC, code de gouvernance ; DPF3 : plan directeur du système électrique, règlements solaire. Résultat : résultat d’exploitation de LEC de −18,3 M USD à positif (2027)</w:t>
            </w:r>
          </w:p>
        </w:tc>
        <w:tc>
          <w:tcPr>
            <w:tcW w:w="2137" w:type="dxa"/>
          </w:tcPr>
          <w:tcPr/>
          <w:p>
            <w:pPr>
              <w:pStyle w:val="Compact"/>
              <w:jc w:val="left"/>
            </w:pPr>
            <w:r>
              <w:t xml:space="preserve">Actif ; DPF2 en pipeline (« Liberia RIGDPF2 »)</w:t>
            </w:r>
          </w:p>
        </w:tc>
        <w:tc>
          <w:tcPr>
            <w:tcW w:w="894" w:type="dxa"/>
          </w:tcPr>
          <w:tcPr/>
          <w:p>
            <w:pPr>
              <w:pStyle w:val="Compact"/>
              <w:jc w:val="left"/>
            </w:pPr>
            <w:r>
              <w:t xml:space="preserve">[3][10]</w:t>
            </w:r>
          </w:p>
        </w:tc>
      </w:tr>
      <w:tr>
        <w:tc>
          <w:tcPr>
            <w:tcW w:w="3180" w:type="dxa"/>
          </w:tcPr>
          <w:tcPr/>
          <w:p>
            <w:pPr>
              <w:pStyle w:val="Compact"/>
              <w:jc w:val="left"/>
            </w:pPr>
            <w:r>
              <w:t xml:space="preserve">Liberia Resilient Recovery Stand-alone DPF, P180050</w:t>
            </w:r>
          </w:p>
        </w:tc>
        <w:tc>
          <w:tcPr>
            <w:tcW w:w="790" w:type="dxa"/>
          </w:tcPr>
          <w:tcPr/>
          <w:p>
            <w:pPr>
              <w:pStyle w:val="Compact"/>
              <w:jc w:val="left"/>
            </w:pPr>
            <w:r>
              <w:t xml:space="preserve">BM</w:t>
            </w:r>
          </w:p>
        </w:tc>
        <w:tc>
          <w:tcPr>
            <w:tcW w:w="1989" w:type="dxa"/>
          </w:tcPr>
          <w:tcPr/>
          <w:p>
            <w:pPr>
              <w:pStyle w:val="Compact"/>
              <w:jc w:val="left"/>
            </w:pPr>
            <w:r>
              <w:t xml:space="preserve">65 M USD</w:t>
            </w:r>
          </w:p>
        </w:tc>
        <w:tc>
          <w:tcPr>
            <w:tcW w:w="978" w:type="dxa"/>
          </w:tcPr>
          <w:tcPr/>
          <w:p>
            <w:pPr>
              <w:pStyle w:val="Compact"/>
              <w:jc w:val="left"/>
            </w:pPr>
            <w:r>
              <w:t xml:space="preserve">2023</w:t>
            </w:r>
          </w:p>
        </w:tc>
        <w:tc>
          <w:tcPr>
            <w:tcW w:w="2762" w:type="dxa"/>
          </w:tcPr>
          <w:tcPr/>
          <w:p>
            <w:pPr>
              <w:pStyle w:val="Compact"/>
              <w:jc w:val="left"/>
            </w:pPr>
            <w:r>
              <w:t xml:space="preserve">[?] actions énergie non extraites</w:t>
            </w:r>
          </w:p>
        </w:tc>
        <w:tc>
          <w:tcPr>
            <w:tcW w:w="1837" w:type="dxa"/>
          </w:tcPr>
          <w:tcPr/>
          <w:p>
            <w:pPr>
              <w:pStyle w:val="Compact"/>
              <w:jc w:val="left"/>
            </w:pPr>
            <w:r>
              <w:t xml:space="preserve">—</w:t>
            </w:r>
          </w:p>
        </w:tc>
        <w:tc>
          <w:tcPr>
            <w:tcW w:w="2137" w:type="dxa"/>
          </w:tcPr>
          <w:tcPr/>
          <w:p>
            <w:pPr>
              <w:pStyle w:val="Compact"/>
              <w:jc w:val="left"/>
            </w:pPr>
            <w:r>
              <w:t xml:space="preserve">Actif (clôture 31/12/2024)</w:t>
            </w:r>
          </w:p>
        </w:tc>
        <w:tc>
          <w:tcPr>
            <w:tcW w:w="894" w:type="dxa"/>
          </w:tcPr>
          <w:tcPr/>
          <w:p>
            <w:pPr>
              <w:pStyle w:val="Compact"/>
              <w:jc w:val="left"/>
            </w:pPr>
            <w:r>
              <w:t xml:space="preserve">[10]</w:t>
            </w:r>
          </w:p>
        </w:tc>
      </w:tr>
      <w:tr>
        <w:tc>
          <w:tcPr>
            <w:tcW w:w="3180" w:type="dxa"/>
          </w:tcPr>
          <w:tcPr/>
          <w:p>
            <w:pPr>
              <w:pStyle w:val="Compact"/>
              <w:jc w:val="left"/>
            </w:pPr>
            <w:r>
              <w:t xml:space="preserve">Saint Paul 2 Hydropower Project, P180780</w:t>
            </w:r>
          </w:p>
        </w:tc>
        <w:tc>
          <w:tcPr>
            <w:tcW w:w="790" w:type="dxa"/>
          </w:tcPr>
          <w:tcPr/>
          <w:p>
            <w:pPr>
              <w:pStyle w:val="Compact"/>
              <w:jc w:val="left"/>
            </w:pPr>
            <w:r>
              <w:t xml:space="preserve">BM</w:t>
            </w:r>
          </w:p>
        </w:tc>
        <w:tc>
          <w:tcPr>
            <w:tcW w:w="1989" w:type="dxa"/>
          </w:tcPr>
          <w:tcPr/>
          <w:p>
            <w:pPr>
              <w:pStyle w:val="Compact"/>
              <w:jc w:val="left"/>
            </w:pPr>
            <w:r>
              <w:t xml:space="preserve">300 M USD (pipeline)</w:t>
            </w:r>
          </w:p>
        </w:tc>
        <w:tc>
          <w:tcPr>
            <w:tcW w:w="978" w:type="dxa"/>
          </w:tcPr>
          <w:tcPr/>
          <w:p>
            <w:pPr>
              <w:pStyle w:val="Compact"/>
              <w:jc w:val="left"/>
            </w:pPr>
            <w:r>
              <w:t xml:space="preserve">—</w:t>
            </w:r>
          </w:p>
        </w:tc>
        <w:tc>
          <w:tcPr>
            <w:tcW w:w="2762" w:type="dxa"/>
          </w:tcPr>
          <w:tcPr/>
          <w:p>
            <w:pPr>
              <w:pStyle w:val="Compact"/>
              <w:jc w:val="left"/>
            </w:pPr>
            <w:r>
              <w:t xml:space="preserve">Production hydro</w:t>
            </w:r>
          </w:p>
        </w:tc>
        <w:tc>
          <w:tcPr>
            <w:tcW w:w="1837" w:type="dxa"/>
          </w:tcPr>
          <w:tcPr/>
          <w:p>
            <w:pPr>
              <w:pStyle w:val="Compact"/>
              <w:jc w:val="left"/>
            </w:pPr>
            <w:r>
              <w:t xml:space="preserve">—</w:t>
            </w:r>
          </w:p>
        </w:tc>
        <w:tc>
          <w:tcPr>
            <w:tcW w:w="2137" w:type="dxa"/>
          </w:tcPr>
          <w:tcPr/>
          <w:p>
            <w:pPr>
              <w:pStyle w:val="Compact"/>
              <w:jc w:val="left"/>
            </w:pPr>
            <w:r>
              <w:t xml:space="preserve">Pipeline</w:t>
            </w:r>
          </w:p>
        </w:tc>
        <w:tc>
          <w:tcPr>
            <w:tcW w:w="894" w:type="dxa"/>
          </w:tcPr>
          <w:tcPr/>
          <w:p>
            <w:pPr>
              <w:pStyle w:val="Compact"/>
              <w:jc w:val="left"/>
            </w:pPr>
            <w:r>
              <w:t xml:space="preserve">[10]</w:t>
            </w:r>
          </w:p>
        </w:tc>
      </w:tr>
      <w:tr>
        <w:tc>
          <w:tcPr>
            <w:tcW w:w="3180" w:type="dxa"/>
          </w:tcPr>
          <w:tcPr/>
          <w:p>
            <w:pPr>
              <w:pStyle w:val="Compact"/>
              <w:jc w:val="left"/>
            </w:pPr>
            <w:r>
              <w:t xml:space="preserve">Regional Emergency Solar Power Intervention Project (RESPITE), P179267</w:t>
            </w:r>
          </w:p>
        </w:tc>
        <w:tc>
          <w:tcPr>
            <w:tcW w:w="790" w:type="dxa"/>
          </w:tcPr>
          <w:tcPr/>
          <w:p>
            <w:pPr>
              <w:pStyle w:val="Compact"/>
              <w:jc w:val="left"/>
            </w:pPr>
            <w:r>
              <w:t xml:space="preserve">BM (régional)</w:t>
            </w:r>
          </w:p>
        </w:tc>
        <w:tc>
          <w:tcPr>
            <w:tcW w:w="1989" w:type="dxa"/>
          </w:tcPr>
          <w:tcPr/>
          <w:p>
            <w:pPr>
              <w:pStyle w:val="Compact"/>
              <w:jc w:val="left"/>
            </w:pPr>
            <w:r>
              <w:t xml:space="preserve">311 M USD au total (part Liberia 96 M USD selon le pacte)</w:t>
            </w:r>
          </w:p>
        </w:tc>
        <w:tc>
          <w:tcPr>
            <w:tcW w:w="978" w:type="dxa"/>
          </w:tcPr>
          <w:tcPr/>
          <w:p>
            <w:pPr>
              <w:pStyle w:val="Compact"/>
              <w:jc w:val="left"/>
            </w:pPr>
            <w:r>
              <w:t xml:space="preserve">2022-</w:t>
            </w:r>
          </w:p>
        </w:tc>
        <w:tc>
          <w:tcPr>
            <w:tcW w:w="2762" w:type="dxa"/>
          </w:tcPr>
          <w:tcPr/>
          <w:p>
            <w:pPr>
              <w:pStyle w:val="Compact"/>
              <w:jc w:val="left"/>
            </w:pPr>
            <w:r>
              <w:t xml:space="preserve">Solaire + stockage pour LEC</w:t>
            </w:r>
          </w:p>
        </w:tc>
        <w:tc>
          <w:tcPr>
            <w:tcW w:w="1837" w:type="dxa"/>
          </w:tcPr>
          <w:tcPr/>
          <w:p>
            <w:pPr>
              <w:pStyle w:val="Compact"/>
              <w:jc w:val="left"/>
            </w:pPr>
            <w:r>
              <w:t xml:space="preserve">—</w:t>
            </w:r>
          </w:p>
        </w:tc>
        <w:tc>
          <w:tcPr>
            <w:tcW w:w="2137" w:type="dxa"/>
          </w:tcPr>
          <w:tcPr/>
          <w:p>
            <w:pPr>
              <w:pStyle w:val="Compact"/>
              <w:jc w:val="left"/>
            </w:pPr>
            <w:r>
              <w:t xml:space="preserve">Actif</w:t>
            </w:r>
          </w:p>
        </w:tc>
        <w:tc>
          <w:tcPr>
            <w:tcW w:w="894" w:type="dxa"/>
          </w:tcPr>
          <w:tcPr/>
          <w:p>
            <w:pPr>
              <w:pStyle w:val="Compact"/>
              <w:jc w:val="left"/>
            </w:pPr>
            <w:r>
              <w:t xml:space="preserve">[10] ; [1] (pacte)</w:t>
            </w:r>
          </w:p>
        </w:tc>
      </w:tr>
      <w:tr>
        <w:tc>
          <w:tcPr>
            <w:tcW w:w="3180" w:type="dxa"/>
          </w:tcPr>
          <w:tcPr/>
          <w:p>
            <w:pPr>
              <w:pStyle w:val="Compact"/>
              <w:jc w:val="left"/>
            </w:pPr>
            <w:r>
              <w:t xml:space="preserve">Liberia Renewable Energy Access Project, P149683</w:t>
            </w:r>
          </w:p>
        </w:tc>
        <w:tc>
          <w:tcPr>
            <w:tcW w:w="790" w:type="dxa"/>
          </w:tcPr>
          <w:tcPr/>
          <w:p>
            <w:pPr>
              <w:pStyle w:val="Compact"/>
              <w:jc w:val="left"/>
            </w:pPr>
            <w:r>
              <w:t xml:space="preserve">BM</w:t>
            </w:r>
          </w:p>
        </w:tc>
        <w:tc>
          <w:tcPr>
            <w:tcW w:w="1989" w:type="dxa"/>
          </w:tcPr>
          <w:tcPr/>
          <w:p>
            <w:pPr>
              <w:pStyle w:val="Compact"/>
              <w:jc w:val="left"/>
            </w:pPr>
            <w:r>
              <w:t xml:space="preserve">2 M USD (+ autres sources)</w:t>
            </w:r>
          </w:p>
        </w:tc>
        <w:tc>
          <w:tcPr>
            <w:tcW w:w="978" w:type="dxa"/>
          </w:tcPr>
          <w:tcPr/>
          <w:p>
            <w:pPr>
              <w:pStyle w:val="Compact"/>
              <w:jc w:val="left"/>
            </w:pPr>
            <w:r>
              <w:t xml:space="preserve">2016-2025</w:t>
            </w:r>
          </w:p>
        </w:tc>
        <w:tc>
          <w:tcPr>
            <w:tcW w:w="2762" w:type="dxa"/>
          </w:tcPr>
          <w:tcPr/>
          <w:p>
            <w:pPr>
              <w:pStyle w:val="Compact"/>
              <w:jc w:val="left"/>
            </w:pPr>
            <w:r>
              <w:t xml:space="preserve">Mini-hydro / accès rural</w:t>
            </w:r>
          </w:p>
        </w:tc>
        <w:tc>
          <w:tcPr>
            <w:tcW w:w="1837" w:type="dxa"/>
          </w:tcPr>
          <w:tcPr/>
          <w:p>
            <w:pPr>
              <w:pStyle w:val="Compact"/>
              <w:jc w:val="left"/>
            </w:pPr>
            <w:r>
              <w:t xml:space="preserve">—</w:t>
            </w:r>
          </w:p>
        </w:tc>
        <w:tc>
          <w:tcPr>
            <w:tcW w:w="2137" w:type="dxa"/>
          </w:tcPr>
          <w:tcPr/>
          <w:p>
            <w:pPr>
              <w:pStyle w:val="Compact"/>
              <w:jc w:val="left"/>
            </w:pPr>
            <w:r>
              <w:t xml:space="preserve">Actif (clôture 30/06/2025)</w:t>
            </w:r>
          </w:p>
        </w:tc>
        <w:tc>
          <w:tcPr>
            <w:tcW w:w="894" w:type="dxa"/>
          </w:tcPr>
          <w:tcPr/>
          <w:p>
            <w:pPr>
              <w:pStyle w:val="Compact"/>
              <w:jc w:val="left"/>
            </w:pPr>
            <w:r>
              <w:t xml:space="preserve">[10]</w:t>
            </w:r>
          </w:p>
        </w:tc>
      </w:tr>
      <w:tr>
        <w:tc>
          <w:tcPr>
            <w:tcW w:w="3180" w:type="dxa"/>
          </w:tcPr>
          <w:tcPr/>
          <w:p>
            <w:pPr>
              <w:pStyle w:val="Compact"/>
              <w:jc w:val="left"/>
            </w:pPr>
            <w:r>
              <w:t xml:space="preserve">REEL, LEEAP, CLSG-RE</w:t>
            </w:r>
          </w:p>
        </w:tc>
        <w:tc>
          <w:tcPr>
            <w:tcW w:w="790" w:type="dxa"/>
          </w:tcPr>
          <w:tcPr/>
          <w:p>
            <w:pPr>
              <w:pStyle w:val="Compact"/>
              <w:jc w:val="left"/>
            </w:pPr>
            <w:r>
              <w:t xml:space="preserve">BAD</w:t>
            </w:r>
          </w:p>
        </w:tc>
        <w:tc>
          <w:tcPr>
            <w:tcW w:w="1989" w:type="dxa"/>
          </w:tcPr>
          <w:tcPr/>
          <w:p>
            <w:pPr>
              <w:pStyle w:val="Compact"/>
              <w:jc w:val="left"/>
            </w:pPr>
            <w:r>
              <w:t xml:space="preserve">24,4 M UC ; 31,4 M UC ; 17,9 M UC (pacte)</w:t>
            </w:r>
          </w:p>
        </w:tc>
        <w:tc>
          <w:tcPr>
            <w:tcW w:w="978" w:type="dxa"/>
          </w:tcPr>
          <w:tcPr/>
          <w:p>
            <w:pPr>
              <w:pStyle w:val="Compact"/>
              <w:jc w:val="left"/>
            </w:pPr>
            <w:r>
              <w:t xml:space="preserve">—</w:t>
            </w:r>
          </w:p>
        </w:tc>
        <w:tc>
          <w:tcPr>
            <w:tcW w:w="2762" w:type="dxa"/>
          </w:tcPr>
          <w:tcPr/>
          <w:p>
            <w:pPr>
              <w:pStyle w:val="Compact"/>
              <w:jc w:val="left"/>
            </w:pPr>
            <w:r>
              <w:t xml:space="preserve">Accès / réseau</w:t>
            </w:r>
          </w:p>
        </w:tc>
        <w:tc>
          <w:tcPr>
            <w:tcW w:w="1837" w:type="dxa"/>
          </w:tcPr>
          <w:tcPr/>
          <w:p>
            <w:pPr>
              <w:pStyle w:val="Compact"/>
              <w:jc w:val="left"/>
            </w:pPr>
            <w:r>
              <w:t xml:space="preserve">[?]</w:t>
            </w:r>
          </w:p>
        </w:tc>
        <w:tc>
          <w:tcPr>
            <w:tcW w:w="2137" w:type="dxa"/>
          </w:tcPr>
          <w:tcPr/>
          <w:p>
            <w:pPr>
              <w:pStyle w:val="Compact"/>
              <w:jc w:val="left"/>
            </w:pPr>
            <w:r>
              <w:t xml:space="preserve">[?]</w:t>
            </w:r>
          </w:p>
        </w:tc>
        <w:tc>
          <w:tcPr>
            <w:tcW w:w="894" w:type="dxa"/>
          </w:tcPr>
          <w:tcPr/>
          <w:p>
            <w:pPr>
              <w:pStyle w:val="Compact"/>
              <w:jc w:val="left"/>
            </w:pPr>
            <w:r>
              <w:t xml:space="preserve">[1] (pacte)</w:t>
            </w:r>
          </w:p>
        </w:tc>
      </w:tr>
      <w:tr>
        <w:tc>
          <w:tcPr>
            <w:tcW w:w="3180" w:type="dxa"/>
          </w:tcPr>
          <w:tcPr/>
          <w:p>
            <w:pPr>
              <w:pStyle w:val="Compact"/>
              <w:jc w:val="left"/>
            </w:pPr>
            <w:r>
              <w:t xml:space="preserve">Programme FMI ECF (40 mois)</w:t>
            </w:r>
          </w:p>
        </w:tc>
        <w:tc>
          <w:tcPr>
            <w:tcW w:w="790" w:type="dxa"/>
          </w:tcPr>
          <w:tcPr/>
          <w:p>
            <w:pPr>
              <w:pStyle w:val="Compact"/>
              <w:jc w:val="left"/>
            </w:pPr>
            <w:r>
              <w:t xml:space="preserve">FMI</w:t>
            </w:r>
          </w:p>
        </w:tc>
        <w:tc>
          <w:tcPr>
            <w:tcW w:w="1989" w:type="dxa"/>
          </w:tcPr>
          <w:tcPr/>
          <w:p>
            <w:pPr>
              <w:pStyle w:val="Compact"/>
              <w:jc w:val="left"/>
            </w:pPr>
            <w:r>
              <w:t xml:space="preserve">155 M DTS</w:t>
            </w:r>
          </w:p>
        </w:tc>
        <w:tc>
          <w:tcPr>
            <w:tcW w:w="978" w:type="dxa"/>
          </w:tcPr>
          <w:tcPr/>
          <w:p>
            <w:pPr>
              <w:pStyle w:val="Compact"/>
              <w:jc w:val="left"/>
            </w:pPr>
            <w:r>
              <w:t xml:space="preserve">2024-2028</w:t>
            </w:r>
          </w:p>
        </w:tc>
        <w:tc>
          <w:tcPr>
            <w:tcW w:w="2762" w:type="dxa"/>
          </w:tcPr>
          <w:tcPr/>
          <w:p>
            <w:pPr>
              <w:pStyle w:val="Compact"/>
              <w:jc w:val="left"/>
            </w:pPr>
            <w:r>
              <w:t xml:space="preserve">Budgétisation des coûts d’électricité de l’État</w:t>
            </w:r>
          </w:p>
        </w:tc>
        <w:tc>
          <w:tcPr>
            <w:tcW w:w="1837" w:type="dxa"/>
          </w:tcPr>
          <w:tcPr/>
          <w:p>
            <w:pPr>
              <w:pStyle w:val="Compact"/>
              <w:jc w:val="left"/>
            </w:pPr>
            <w:r>
              <w:t xml:space="preserve">2e revue : allocation corrective pour la sous-budgétisation de l’électricité publique</w:t>
            </w:r>
          </w:p>
        </w:tc>
        <w:tc>
          <w:tcPr>
            <w:tcW w:w="2137" w:type="dxa"/>
          </w:tcPr>
          <w:tcPr/>
          <w:p>
            <w:pPr>
              <w:pStyle w:val="Compact"/>
              <w:jc w:val="left"/>
            </w:pPr>
            <w:r>
              <w:t xml:space="preserve">2e revue achevée (oct. 2025)</w:t>
            </w:r>
          </w:p>
        </w:tc>
        <w:tc>
          <w:tcPr>
            <w:tcW w:w="894" w:type="dxa"/>
          </w:tcPr>
          <w:tcPr/>
          <w:p>
            <w:pPr>
              <w:pStyle w:val="Compact"/>
              <w:jc w:val="left"/>
            </w:pPr>
            <w:r>
              <w:t xml:space="preserve">[8]</w:t>
            </w:r>
          </w:p>
        </w:tc>
      </w:tr>
    </w:tbl>
    <w:bookmarkEnd w:id="217"/>
    <w:bookmarkStart w:id="218" w:name="écart-pacte-réalité-17"/>
    <w:p>
      <w:pPr>
        <w:pStyle w:val="Heading3"/>
      </w:pPr>
      <w:r>
        <w:t xml:space="preserve">5. Écart pacte ↔ réalité</w:t>
      </w:r>
    </w:p>
    <w:p>
      <w:pPr>
        <w:numPr>
          <w:ilvl w:val="0"/>
          <w:numId w:val="1112"/>
        </w:numPr>
        <w:pStyle w:val="Compact"/>
      </w:pPr>
      <w:r>
        <w:rPr>
          <w:bCs/>
          <w:b/>
        </w:rPr>
        <w:t xml:space="preserve">Pertes</w:t>
      </w:r>
      <w:r>
        <w:t xml:space="preserve"> </w:t>
      </w:r>
      <w:r>
        <w:t xml:space="preserve">: le pacte met en avant 27,4 % de pertes commerciales (juil. 2024) ; la BM retient 31,4 % (2023) [3][4], une source de 2025 évoque ~42 % de pertes totales [6] [S] et l’annexe du pacte lui-même 45,4 % ATC&amp;C — l’indicateur mis en avant (pertes commerciales) masque des pertes globales bien plus élevées.</w:t>
      </w:r>
    </w:p>
    <w:p>
      <w:pPr>
        <w:numPr>
          <w:ilvl w:val="0"/>
          <w:numId w:val="1112"/>
        </w:numPr>
        <w:pStyle w:val="Compact"/>
      </w:pPr>
      <w:r>
        <w:rPr>
          <w:bCs/>
          <w:b/>
        </w:rPr>
        <w:t xml:space="preserve">Factures de l’État</w:t>
      </w:r>
      <w:r>
        <w:t xml:space="preserve"> </w:t>
      </w:r>
      <w:r>
        <w:t xml:space="preserve">: le pacte promet le paiement intégral des factures courantes dès janvier 2025 ; la circulaire de prépaiement (oct. 2024) existe [3] [V] mais les arriérés publics dépassaient 18,9 M USD fin oct. 2024 [7] [S] et le FMI relève une sous-budgétisation de l’électricité publique en 2025 [8] [V].</w:t>
      </w:r>
    </w:p>
    <w:p>
      <w:pPr>
        <w:numPr>
          <w:ilvl w:val="0"/>
          <w:numId w:val="1112"/>
        </w:numPr>
        <w:pStyle w:val="Compact"/>
      </w:pPr>
      <w:r>
        <w:rPr>
          <w:bCs/>
          <w:b/>
        </w:rPr>
        <w:t xml:space="preserve">Échéance de rentabilité</w:t>
      </w:r>
      <w:r>
        <w:t xml:space="preserve"> </w:t>
      </w:r>
      <w:r>
        <w:t xml:space="preserve">: FY2028 dans le pacte vs 2027 dans la DPF BM [1][3].</w:t>
      </w:r>
    </w:p>
    <w:p>
      <w:pPr>
        <w:numPr>
          <w:ilvl w:val="0"/>
          <w:numId w:val="1112"/>
        </w:numPr>
        <w:pStyle w:val="Compact"/>
      </w:pPr>
      <w:r>
        <w:rPr>
          <w:bCs/>
          <w:b/>
        </w:rPr>
        <w:t xml:space="preserve">Subventions « 0 »</w:t>
      </w:r>
      <w:r>
        <w:t xml:space="preserve"> </w:t>
      </w:r>
      <w:r>
        <w:t xml:space="preserve">: le pacte déclare zéro subvention, alors que la BM souligne la dépendance de LEC aux bailleurs et à l’État [3][5] ; les financements de bailleurs (capex) ne sont pas comptés.</w:t>
      </w:r>
    </w:p>
    <w:p>
      <w:pPr>
        <w:numPr>
          <w:ilvl w:val="0"/>
          <w:numId w:val="1112"/>
        </w:numPr>
        <w:pStyle w:val="Compact"/>
      </w:pPr>
      <w:r>
        <w:rPr>
          <w:bCs/>
          <w:b/>
        </w:rPr>
        <w:t xml:space="preserve">Comptes audités FY2024</w:t>
      </w:r>
      <w:r>
        <w:t xml:space="preserve"> </w:t>
      </w:r>
      <w:r>
        <w:t xml:space="preserve">: promis pour juin 2025 dans le pacte et la DPF ; publication non vérifiée à ce jour [?].</w:t>
      </w:r>
    </w:p>
    <w:bookmarkEnd w:id="218"/>
    <w:bookmarkStart w:id="219" w:name="diagnostic-synthétique-17"/>
    <w:p>
      <w:pPr>
        <w:pStyle w:val="Heading3"/>
      </w:pPr>
      <w:r>
        <w:t xml:space="preserve">6. Diagnostic synthétique</w:t>
      </w:r>
    </w:p>
    <w:p>
      <w:pPr>
        <w:numPr>
          <w:ilvl w:val="0"/>
          <w:numId w:val="1113"/>
        </w:numPr>
        <w:pStyle w:val="Compact"/>
      </w:pPr>
      <w:r>
        <w:t xml:space="preserve">Financière :</w:t>
      </w:r>
      <w:r>
        <w:t xml:space="preserve"> </w:t>
      </w:r>
      <w:r>
        <w:rPr>
          <w:bCs/>
          <w:b/>
        </w:rPr>
        <w:t xml:space="preserve">faible</w:t>
      </w:r>
      <w:r>
        <w:t xml:space="preserve"> </w:t>
      </w:r>
      <w:r>
        <w:t xml:space="preserve">— perte d’exploitation 18 M USD (2023), dettes fournisseurs &gt; créances, arriérés publics.</w:t>
      </w:r>
    </w:p>
    <w:p>
      <w:pPr>
        <w:numPr>
          <w:ilvl w:val="0"/>
          <w:numId w:val="1113"/>
        </w:numPr>
        <w:pStyle w:val="Compact"/>
      </w:pPr>
      <w:r>
        <w:t xml:space="preserve">Technique :</w:t>
      </w:r>
      <w:r>
        <w:t xml:space="preserve"> </w:t>
      </w:r>
      <w:r>
        <w:rPr>
          <w:bCs/>
          <w:b/>
        </w:rPr>
        <w:t xml:space="preserve">faible</w:t>
      </w:r>
      <w:r>
        <w:t xml:space="preserve"> </w:t>
      </w:r>
      <w:r>
        <w:t xml:space="preserve">— déficit de capacité en saison sèche, dépendance à un CLSG peu fiable, pertes globales 30-45 %.</w:t>
      </w:r>
    </w:p>
    <w:p>
      <w:pPr>
        <w:numPr>
          <w:ilvl w:val="0"/>
          <w:numId w:val="1113"/>
        </w:numPr>
        <w:pStyle w:val="Compact"/>
      </w:pPr>
      <w:r>
        <w:t xml:space="preserve">Gouvernance :</w:t>
      </w:r>
      <w:r>
        <w:t xml:space="preserve"> </w:t>
      </w:r>
      <w:r>
        <w:rPr>
          <w:bCs/>
          <w:b/>
        </w:rPr>
        <w:t xml:space="preserve">faible à moyenne</w:t>
      </w:r>
      <w:r>
        <w:t xml:space="preserve"> </w:t>
      </w:r>
      <w:r>
        <w:t xml:space="preserve">— avancées formelles (résolution de transparence, prépaiement public) mais instabilité de direction en 2025.</w:t>
      </w:r>
    </w:p>
    <w:p>
      <w:pPr>
        <w:numPr>
          <w:ilvl w:val="0"/>
          <w:numId w:val="1113"/>
        </w:numPr>
        <w:pStyle w:val="Compact"/>
      </w:pPr>
      <w:r>
        <w:t xml:space="preserve">Causes racines : (1) parc insuffisant et saisonnier (hydro au fil de l’eau + HFO) ; (2) fraude et pertes commerciales ; (3) non-paiement de l’État.</w:t>
      </w:r>
    </w:p>
    <w:p>
      <w:pPr>
        <w:numPr>
          <w:ilvl w:val="0"/>
          <w:numId w:val="1113"/>
        </w:numPr>
        <w:pStyle w:val="Compact"/>
      </w:pPr>
      <w:r>
        <w:t xml:space="preserve">Phase 3 : MYT de LERC (niveau, structure), coût de revient par source, impact des tarifs de 0,23-0,24 USD/kWh sur la fraude.</w:t>
      </w:r>
    </w:p>
    <w:bookmarkEnd w:id="219"/>
    <w:bookmarkStart w:id="220" w:name="inconnus-17"/>
    <w:p>
      <w:pPr>
        <w:pStyle w:val="Heading3"/>
      </w:pPr>
      <w:r>
        <w:t xml:space="preserve">7. Inconnus</w:t>
      </w:r>
    </w:p>
    <w:p>
      <w:pPr>
        <w:numPr>
          <w:ilvl w:val="0"/>
          <w:numId w:val="1114"/>
        </w:numPr>
        <w:pStyle w:val="Compact"/>
      </w:pPr>
      <w:r>
        <w:t xml:space="preserve">Comptes audités FY2024 et FY2025 de LEC : [?].</w:t>
      </w:r>
    </w:p>
    <w:p>
      <w:pPr>
        <w:numPr>
          <w:ilvl w:val="0"/>
          <w:numId w:val="1114"/>
        </w:numPr>
        <w:pStyle w:val="Compact"/>
      </w:pPr>
      <w:r>
        <w:t xml:space="preserve">Taux de recouvrement 2024-2025 : [?].</w:t>
      </w:r>
    </w:p>
    <w:p>
      <w:pPr>
        <w:numPr>
          <w:ilvl w:val="0"/>
          <w:numId w:val="1114"/>
        </w:numPr>
        <w:pStyle w:val="Compact"/>
      </w:pPr>
      <w:r>
        <w:t xml:space="preserve">Montant actualisé des arriérés publics (2025-2026) et des arriérés CLSG : [?].</w:t>
      </w:r>
    </w:p>
    <w:p>
      <w:pPr>
        <w:numPr>
          <w:ilvl w:val="0"/>
          <w:numId w:val="1114"/>
        </w:numPr>
        <w:pStyle w:val="Compact"/>
      </w:pPr>
      <w:r>
        <w:t xml:space="preserve">ISR LESSAP 2025-2026 : [?] (dernier ISR consulté : déc. 2024).</w:t>
      </w:r>
    </w:p>
    <w:p>
      <w:pPr>
        <w:numPr>
          <w:ilvl w:val="0"/>
          <w:numId w:val="1114"/>
        </w:numPr>
        <w:pStyle w:val="Compact"/>
      </w:pPr>
      <w:r>
        <w:t xml:space="preserve">Montants BAD en USD et statut d’exécution : [?].</w:t>
      </w:r>
    </w:p>
    <w:bookmarkEnd w:id="220"/>
    <w:bookmarkStart w:id="221" w:name="sources-18"/>
    <w:p>
      <w:pPr>
        <w:pStyle w:val="Heading3"/>
      </w:pPr>
      <w:r>
        <w:t xml:space="preserve">Sources</w:t>
      </w:r>
    </w:p>
    <w:p>
      <w:pPr>
        <w:pStyle w:val="FirstParagraph"/>
      </w:pPr>
      <w:r>
        <w:t xml:space="preserve">[1] Fiche phase 1 LBR_liberia.md / pacte national du Liberia (Mission 300), s.d. (janv. 2025) — référence « (pacte) ».</w:t>
      </w:r>
      <w:r>
        <w:t xml:space="preserve"> </w:t>
      </w:r>
      <w:r>
        <w:t xml:space="preserve">[3] Banque mondiale, Program Document « Liberia First Resilient and Inclusive Growth Development Policy Financing with a Cat DDO (P502565) », nov. 2024. https://documents.worldbank.org/curated/en/099111524151520507/pdf/BOSIB1d267ad7b0cf18d3612b5f152a908f.pdf</w:t>
      </w:r>
      <w:r>
        <w:t xml:space="preserve"> </w:t>
      </w:r>
      <w:r>
        <w:t xml:space="preserve">[4] Banque mondiale, ISR « LESSAP (P173416) », 04/12/2024. https://documents.worldbank.org/curated/en/099120424173520454/pdf/P17341612ad8dd02e1aca4130cec4a36de2.pdf</w:t>
      </w:r>
      <w:r>
        <w:t xml:space="preserve"> </w:t>
      </w:r>
      <w:r>
        <w:t xml:space="preserve">[5] AllAfrica, « Liberia’s Power Crisis Deepens As CLSG Maintenance, Guinea Disruptions Cut Electricity Supply », 27/03/2026. https://allafrica.com/stories/202603270245.html</w:t>
      </w:r>
      <w:r>
        <w:t xml:space="preserve"> </w:t>
      </w:r>
      <w:r>
        <w:t xml:space="preserve">[6] AllAfrica, « Liberia: LEC MD-Designate Assures Liberians of Viable, Affordable Power », 26/06/2025. https://allafrica.com/stories/202506260176.html</w:t>
      </w:r>
      <w:r>
        <w:t xml:space="preserve"> </w:t>
      </w:r>
      <w:r>
        <w:t xml:space="preserve">[7] Liberian Observer, « GOL still indebted to LEC », déc. 2024 (contenu vu via résultat de recherche ; page non accessible, HTTP 429). https://www.liberianobserver.com/news/gol-still-indebted-to-lec/article_4fd3077e-b132-11ef-aeae-6bf13e3e20bf.html</w:t>
      </w:r>
      <w:r>
        <w:t xml:space="preserve"> </w:t>
      </w:r>
      <w:r>
        <w:t xml:space="preserve">[8] FMI, « Liberia: 2025 Article IV Consultation and Second Review under the ECF », IMF Country Report No. 25/290, nov. 2025 (§21). https://meetings.imf.org/-/media/Files/Publications/CR/2025/English/1lbrea2025002-source-pdf.ashx</w:t>
      </w:r>
      <w:r>
        <w:t xml:space="preserve"> </w:t>
      </w:r>
      <w:r>
        <w:t xml:space="preserve">[9] AllAfrica, « Liberia: LEC Executives Face Contempt Charges », juil. 2026 (titre et résumé de recherche). https://allafrica.com/stories/202607080325.html</w:t>
      </w:r>
      <w:r>
        <w:t xml:space="preserve"> </w:t>
      </w:r>
      <w:r>
        <w:t xml:space="preserve">[10] Banque mondiale, API projets (countrycode LR) et recherche « RESPITE », extraction du 18/10/2026.</w:t>
      </w:r>
    </w:p>
    <w:p>
      <w:r>
        <w:br w:type="page"/>
      </w:r>
    </w:p>
    <w:bookmarkEnd w:id="221"/>
    <w:bookmarkEnd w:id="222"/>
    <w:bookmarkStart w:id="232" w:name="Xbfd749cfa3a2a531a5b76e2ed0d04f66b39637b"/>
    <w:p>
      <w:pPr>
        <w:pStyle w:val="Heading2"/>
      </w:pPr>
      <w:r>
        <w:t xml:space="preserve">Diagnostic opérateur — LEC, Lesotho Electricity Company (Lesotho)</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le pacte : ../../phase1/fiches/LSO_lesotho.md (« pacte » = National Energy Compact, sept. 2025).</w:t>
      </w:r>
    </w:p>
    <w:bookmarkStart w:id="223" w:name="identité-18"/>
    <w:p>
      <w:pPr>
        <w:pStyle w:val="Heading3"/>
      </w:pPr>
      <w:r>
        <w:t xml:space="preserve">0. Identité</w:t>
      </w:r>
    </w:p>
    <w:p>
      <w:pPr>
        <w:numPr>
          <w:ilvl w:val="0"/>
          <w:numId w:val="1115"/>
        </w:numPr>
        <w:pStyle w:val="Compact"/>
      </w:pPr>
      <w:r>
        <w:rPr>
          <w:bCs/>
          <w:b/>
        </w:rPr>
        <w:t xml:space="preserve">LEC</w:t>
      </w:r>
      <w:r>
        <w:t xml:space="preserve"> </w:t>
      </w:r>
      <w:r>
        <w:t xml:space="preserve">: société publique responsable du transport et de la distribution, et importatrice (Eskom, EDM) ; achète l’hydroélectricité de</w:t>
      </w:r>
      <w:r>
        <w:t xml:space="preserve"> </w:t>
      </w:r>
      <w:r>
        <w:rPr>
          <w:bCs/>
          <w:b/>
        </w:rPr>
        <w:t xml:space="preserve">’Muela</w:t>
      </w:r>
      <w:r>
        <w:t xml:space="preserve"> </w:t>
      </w:r>
      <w:r>
        <w:t xml:space="preserve">(LHDA). La production nationale est marginale :</w:t>
      </w:r>
      <w:r>
        <w:t xml:space="preserve"> </w:t>
      </w:r>
      <w:r>
        <w:rPr>
          <w:bCs/>
          <w:b/>
        </w:rPr>
        <w:t xml:space="preserve">jusqu’à 89 % des besoins importés</w:t>
      </w:r>
      <w:r>
        <w:t xml:space="preserve"> </w:t>
      </w:r>
      <w:r>
        <w:t xml:space="preserve">au prix de marché [5] [S]. LEGCo porte les nouveaux projets de production (Ramarothole 50 MW, Exim Bank de Chine — pacte).</w:t>
      </w:r>
    </w:p>
    <w:p>
      <w:pPr>
        <w:numPr>
          <w:ilvl w:val="0"/>
          <w:numId w:val="1115"/>
        </w:numPr>
        <w:pStyle w:val="Compact"/>
      </w:pPr>
      <w:r>
        <w:t xml:space="preserve">Statut : entreprise publique ; tutelle : ministère de l’Énergie ; « pacte d’actionnaire » prévu (pacte). Suspension de l’ancienne direction exécutive et enquête forensique (2025-2026) [4][6] [S].</w:t>
      </w:r>
    </w:p>
    <w:p>
      <w:pPr>
        <w:numPr>
          <w:ilvl w:val="0"/>
          <w:numId w:val="1115"/>
        </w:numPr>
        <w:pStyle w:val="Compact"/>
      </w:pPr>
      <w:r>
        <w:t xml:space="preserve">Régulateur :</w:t>
      </w:r>
      <w:r>
        <w:t xml:space="preserve"> </w:t>
      </w:r>
      <w:r>
        <w:rPr>
          <w:bCs/>
          <w:b/>
        </w:rPr>
        <w:t xml:space="preserve">LEWA</w:t>
      </w:r>
      <w:r>
        <w:t xml:space="preserve"> </w:t>
      </w:r>
      <w:r>
        <w:t xml:space="preserve">(Lesotho Electricity and Water Authority). Indépendance contestée : une ONG (Section 2) a attaqué en justice la hausse de 9,6 % en accusant LEWA de l’avoir approuvée</w:t>
      </w:r>
      <w:r>
        <w:t xml:space="preserve"> </w:t>
      </w:r>
      <w:r>
        <w:rPr>
          <w:bCs/>
          <w:b/>
        </w:rPr>
        <w:t xml:space="preserve">sans exiger les derniers états financiers audités</w:t>
      </w:r>
      <w:r>
        <w:t xml:space="preserve"> </w:t>
      </w:r>
      <w:r>
        <w:t xml:space="preserve">de LEC [7] [S].</w:t>
      </w:r>
    </w:p>
    <w:p>
      <w:pPr>
        <w:numPr>
          <w:ilvl w:val="0"/>
          <w:numId w:val="1115"/>
        </w:numPr>
        <w:pStyle w:val="Compact"/>
      </w:pPr>
      <w:r>
        <w:t xml:space="preserve">Exercice : clôture au</w:t>
      </w:r>
      <w:r>
        <w:t xml:space="preserve"> </w:t>
      </w:r>
      <w:r>
        <w:rPr>
          <w:bCs/>
          <w:b/>
        </w:rPr>
        <w:t xml:space="preserve">31 mars</w:t>
      </w:r>
      <w:r>
        <w:t xml:space="preserve">. Comptes 2022/23 :</w:t>
      </w:r>
      <w:r>
        <w:t xml:space="preserve"> </w:t>
      </w:r>
      <w:r>
        <w:rPr>
          <w:bCs/>
          <w:b/>
        </w:rPr>
        <w:t xml:space="preserve">opinion de « disclaimer » (impossibilité d’exprimer une opinion)</w:t>
      </w:r>
      <w:r>
        <w:t xml:space="preserve"> </w:t>
      </w:r>
      <w:r>
        <w:t xml:space="preserve">de l’Auditeur général [4] [S]. États 2024/25 à l’état de projet (net cash outflow ~290 M LSL selon une tribune) [6] [S].</w:t>
      </w:r>
      <w:r>
        <w:t xml:space="preserve"> </w:t>
      </w:r>
      <w:r>
        <w:rPr>
          <w:bCs/>
          <w:b/>
        </w:rPr>
        <w:t xml:space="preserve">Aucun état financier de LEC consulté en source primaire</w:t>
      </w:r>
      <w:r>
        <w:t xml:space="preserve"> </w:t>
      </w:r>
      <w:r>
        <w:t xml:space="preserve">[?].</w:t>
      </w:r>
    </w:p>
    <w:bookmarkEnd w:id="223"/>
    <w:bookmarkStart w:id="224" w:name="situation-financière-18"/>
    <w:p>
      <w:pPr>
        <w:pStyle w:val="Heading3"/>
      </w:pPr>
      <w:r>
        <w:t xml:space="preserve">1. Situation financière</w:t>
      </w:r>
    </w:p>
    <w:tbl>
      <w:tblPr>
        <w:tblStyle w:val="Table"/>
        <w:tblW w:type="dxa" w:w="14570"/>
        <w:tblLook w:firstRow="1" w:lastRow="0" w:firstColumn="0" w:lastColumn="0" w:noHBand="0" w:noVBand="0" w:val="0020"/>
        <w:jc w:val="start"/>
      </w:tblPr>
      <w:tblGrid>
        <w:gridCol w:w="3118"/>
        <w:gridCol w:w="8178"/>
        <w:gridCol w:w="1320"/>
        <w:gridCol w:w="1024"/>
        <w:gridCol w:w="929"/>
      </w:tblGrid>
      <w:tr>
        <w:trPr>
          <w:tblHeader w:val="true"/>
        </w:trPr>
        <w:tc>
          <w:tcPr>
            <w:tcW w:w="3118" w:type="dxa"/>
          </w:tcPr>
          <w:tcPr/>
          <w:p>
            <w:pPr>
              <w:pStyle w:val="Compact"/>
              <w:jc w:val="left"/>
            </w:pPr>
            <w:r>
              <w:t xml:space="preserve">Indicateur</w:t>
            </w:r>
          </w:p>
        </w:tc>
        <w:tc>
          <w:tcPr>
            <w:tcW w:w="8178" w:type="dxa"/>
          </w:tcPr>
          <w:tcPr/>
          <w:p>
            <w:pPr>
              <w:pStyle w:val="Compact"/>
              <w:jc w:val="left"/>
            </w:pPr>
            <w:r>
              <w:t xml:space="preserve">Valeur</w:t>
            </w:r>
          </w:p>
        </w:tc>
        <w:tc>
          <w:tcPr>
            <w:tcW w:w="1320" w:type="dxa"/>
          </w:tcPr>
          <w:tcPr/>
          <w:p>
            <w:pPr>
              <w:pStyle w:val="Compact"/>
              <w:jc w:val="left"/>
            </w:pPr>
            <w:r>
              <w:t xml:space="preserve">Année</w:t>
            </w:r>
          </w:p>
        </w:tc>
        <w:tc>
          <w:tcPr>
            <w:tcW w:w="1024" w:type="dxa"/>
          </w:tcPr>
          <w:tcPr/>
          <w:p>
            <w:pPr>
              <w:pStyle w:val="Compact"/>
              <w:jc w:val="left"/>
            </w:pPr>
            <w:r>
              <w:t xml:space="preserve">Statut</w:t>
            </w:r>
          </w:p>
        </w:tc>
        <w:tc>
          <w:tcPr>
            <w:tcW w:w="929" w:type="dxa"/>
          </w:tcPr>
          <w:tcPr/>
          <w:p>
            <w:pPr>
              <w:pStyle w:val="Compact"/>
              <w:jc w:val="left"/>
            </w:pPr>
            <w:r>
              <w:t xml:space="preserve">Source</w:t>
            </w:r>
          </w:p>
        </w:tc>
      </w:tr>
      <w:tr>
        <w:tc>
          <w:tcPr>
            <w:tcW w:w="3118" w:type="dxa"/>
          </w:tcPr>
          <w:tcPr/>
          <w:p>
            <w:pPr>
              <w:pStyle w:val="Compact"/>
              <w:jc w:val="left"/>
            </w:pPr>
            <w:r>
              <w:t xml:space="preserve">Chiffre d’affaires</w:t>
            </w:r>
          </w:p>
        </w:tc>
        <w:tc>
          <w:tcPr>
            <w:tcW w:w="8178" w:type="dxa"/>
          </w:tcPr>
          <w:tcPr/>
          <w:p>
            <w:pPr>
              <w:pStyle w:val="Compact"/>
              <w:jc w:val="left"/>
            </w:pPr>
            <w:r>
              <w:t xml:space="preserve">[?] non trouvé</w:t>
            </w:r>
          </w:p>
        </w:tc>
        <w:tc>
          <w:tcPr>
            <w:tcW w:w="1320" w:type="dxa"/>
          </w:tcPr>
          <w:tcPr/>
          <w:p>
            <w:pPr>
              <w:pStyle w:val="Compact"/>
              <w:jc w:val="left"/>
            </w:pPr>
            <w:r>
              <w:t xml:space="preserve">—</w:t>
            </w:r>
          </w:p>
        </w:tc>
        <w:tc>
          <w:tcPr>
            <w:tcW w:w="1024" w:type="dxa"/>
          </w:tcPr>
          <w:tcPr/>
          <w:p>
            <w:pPr>
              <w:pStyle w:val="Compact"/>
              <w:jc w:val="left"/>
            </w:pPr>
            <w:r>
              <w:t xml:space="preserve">[?]</w:t>
            </w:r>
          </w:p>
        </w:tc>
        <w:tc>
          <w:tcPr>
            <w:tcW w:w="929" w:type="dxa"/>
          </w:tcPr>
          <w:tcPr/>
          <w:p>
            <w:pPr>
              <w:pStyle w:val="Compact"/>
              <w:jc w:val="left"/>
            </w:pPr>
            <w:r>
              <w:t xml:space="preserve">—</w:t>
            </w:r>
          </w:p>
        </w:tc>
      </w:tr>
      <w:tr>
        <w:tc>
          <w:tcPr>
            <w:tcW w:w="3118" w:type="dxa"/>
          </w:tcPr>
          <w:tcPr/>
          <w:p>
            <w:pPr>
              <w:pStyle w:val="Compact"/>
              <w:jc w:val="left"/>
            </w:pPr>
            <w:r>
              <w:t xml:space="preserve">Coût des achats d’électricité</w:t>
            </w:r>
          </w:p>
        </w:tc>
        <w:tc>
          <w:tcPr>
            <w:tcW w:w="8178" w:type="dxa"/>
          </w:tcPr>
          <w:tcPr/>
          <w:p>
            <w:pPr>
              <w:pStyle w:val="Compact"/>
              <w:jc w:val="left"/>
            </w:pPr>
            <w:r>
              <w:rPr>
                <w:bCs/>
                <w:b/>
              </w:rPr>
              <w:t xml:space="preserve">805,8 M LSL (2022/23) → 1,18 Md LSL (2023/24), +46,85 %</w:t>
            </w:r>
          </w:p>
        </w:tc>
        <w:tc>
          <w:tcPr>
            <w:tcW w:w="1320" w:type="dxa"/>
          </w:tcPr>
          <w:tcPr/>
          <w:p>
            <w:pPr>
              <w:pStyle w:val="Compact"/>
              <w:jc w:val="left"/>
            </w:pPr>
            <w:r>
              <w:t xml:space="preserve">2022-2024</w:t>
            </w:r>
          </w:p>
        </w:tc>
        <w:tc>
          <w:tcPr>
            <w:tcW w:w="1024" w:type="dxa"/>
          </w:tcPr>
          <w:tcPr/>
          <w:p>
            <w:pPr>
              <w:pStyle w:val="Compact"/>
              <w:jc w:val="left"/>
            </w:pPr>
            <w:r>
              <w:t xml:space="preserve">[S]</w:t>
            </w:r>
          </w:p>
        </w:tc>
        <w:tc>
          <w:tcPr>
            <w:tcW w:w="929" w:type="dxa"/>
          </w:tcPr>
          <w:tcPr/>
          <w:p>
            <w:pPr>
              <w:pStyle w:val="Compact"/>
              <w:jc w:val="left"/>
            </w:pPr>
            <w:r>
              <w:t xml:space="preserve">[5]</w:t>
            </w:r>
          </w:p>
        </w:tc>
      </w:tr>
      <w:tr>
        <w:tc>
          <w:tcPr>
            <w:tcW w:w="3118" w:type="dxa"/>
          </w:tcPr>
          <w:tcPr/>
          <w:p>
            <w:pPr>
              <w:pStyle w:val="Compact"/>
              <w:jc w:val="left"/>
            </w:pPr>
            <w:r>
              <w:t xml:space="preserve">Résultat net</w:t>
            </w:r>
          </w:p>
        </w:tc>
        <w:tc>
          <w:tcPr>
            <w:tcW w:w="8178" w:type="dxa"/>
          </w:tcPr>
          <w:tcPr/>
          <w:p>
            <w:pPr>
              <w:pStyle w:val="Compact"/>
              <w:jc w:val="left"/>
            </w:pPr>
            <w:r>
              <w:t xml:space="preserve">[?] non trouvé en source primaire ; pertes décrites mais non chiffrées ; pacte : +20,3 M US$ (pacte)</w:t>
            </w:r>
          </w:p>
        </w:tc>
        <w:tc>
          <w:tcPr>
            <w:tcW w:w="1320" w:type="dxa"/>
          </w:tcPr>
          <w:tcPr/>
          <w:p>
            <w:pPr>
              <w:pStyle w:val="Compact"/>
              <w:jc w:val="left"/>
            </w:pPr>
            <w:r>
              <w:t xml:space="preserve">—</w:t>
            </w:r>
          </w:p>
        </w:tc>
        <w:tc>
          <w:tcPr>
            <w:tcW w:w="1024" w:type="dxa"/>
          </w:tcPr>
          <w:tcPr/>
          <w:p>
            <w:pPr>
              <w:pStyle w:val="Compact"/>
              <w:jc w:val="left"/>
            </w:pPr>
            <w:r>
              <w:t xml:space="preserve">[?]</w:t>
            </w:r>
          </w:p>
        </w:tc>
        <w:tc>
          <w:tcPr>
            <w:tcW w:w="929" w:type="dxa"/>
          </w:tcPr>
          <w:tcPr/>
          <w:p>
            <w:pPr>
              <w:pStyle w:val="Compact"/>
              <w:jc w:val="left"/>
            </w:pPr>
            <w:r>
              <w:t xml:space="preserve">[5]</w:t>
            </w:r>
          </w:p>
        </w:tc>
      </w:tr>
      <w:tr>
        <w:tc>
          <w:tcPr>
            <w:tcW w:w="3118" w:type="dxa"/>
          </w:tcPr>
          <w:tcPr/>
          <w:p>
            <w:pPr>
              <w:pStyle w:val="Compact"/>
              <w:jc w:val="left"/>
            </w:pPr>
            <w:r>
              <w:t xml:space="preserve">Bilan</w:t>
            </w:r>
          </w:p>
        </w:tc>
        <w:tc>
          <w:tcPr>
            <w:tcW w:w="8178" w:type="dxa"/>
          </w:tcPr>
          <w:tcPr/>
          <w:p>
            <w:pPr>
              <w:pStyle w:val="Compact"/>
              <w:jc w:val="left"/>
            </w:pPr>
            <w:r>
              <w:rPr>
                <w:bCs/>
                <w:b/>
              </w:rPr>
              <w:t xml:space="preserve">Passif courant &gt; actif de 98,6 M LSL</w:t>
            </w:r>
            <w:r>
              <w:t xml:space="preserve"> </w:t>
            </w:r>
            <w:r>
              <w:t xml:space="preserve">; trésorerie en baisse de 145,8 M LSL (audit externe remis en janv. 2025)</w:t>
            </w:r>
          </w:p>
        </w:tc>
        <w:tc>
          <w:tcPr>
            <w:tcW w:w="1320" w:type="dxa"/>
          </w:tcPr>
          <w:tcPr/>
          <w:p>
            <w:pPr>
              <w:pStyle w:val="Compact"/>
              <w:jc w:val="left"/>
            </w:pPr>
            <w:r>
              <w:t xml:space="preserve">2023/24 [E]</w:t>
            </w:r>
          </w:p>
        </w:tc>
        <w:tc>
          <w:tcPr>
            <w:tcW w:w="1024" w:type="dxa"/>
          </w:tcPr>
          <w:tcPr/>
          <w:p>
            <w:pPr>
              <w:pStyle w:val="Compact"/>
              <w:jc w:val="left"/>
            </w:pPr>
            <w:r>
              <w:t xml:space="preserve">[S]</w:t>
            </w:r>
          </w:p>
        </w:tc>
        <w:tc>
          <w:tcPr>
            <w:tcW w:w="929" w:type="dxa"/>
          </w:tcPr>
          <w:tcPr/>
          <w:p>
            <w:pPr>
              <w:pStyle w:val="Compact"/>
              <w:jc w:val="left"/>
            </w:pPr>
            <w:r>
              <w:t xml:space="preserve">[4][5]</w:t>
            </w:r>
          </w:p>
        </w:tc>
      </w:tr>
      <w:tr>
        <w:tc>
          <w:tcPr>
            <w:tcW w:w="3118" w:type="dxa"/>
          </w:tcPr>
          <w:tcPr/>
          <w:p>
            <w:pPr>
              <w:pStyle w:val="Compact"/>
              <w:jc w:val="left"/>
            </w:pPr>
            <w:r>
              <w:t xml:space="preserve">Flux de trésorerie</w:t>
            </w:r>
          </w:p>
        </w:tc>
        <w:tc>
          <w:tcPr>
            <w:tcW w:w="8178" w:type="dxa"/>
          </w:tcPr>
          <w:tcPr/>
          <w:p>
            <w:pPr>
              <w:pStyle w:val="Compact"/>
              <w:jc w:val="left"/>
            </w:pPr>
            <w:r>
              <w:t xml:space="preserve">Flux d’exploitation négatif de 81 M LSL (2023) ; projet d’états 2024/25 : sortie nette de trésorerie ~290 M LSL</w:t>
            </w:r>
          </w:p>
        </w:tc>
        <w:tc>
          <w:tcPr>
            <w:tcW w:w="1320" w:type="dxa"/>
          </w:tcPr>
          <w:tcPr/>
          <w:p>
            <w:pPr>
              <w:pStyle w:val="Compact"/>
              <w:jc w:val="left"/>
            </w:pPr>
            <w:r>
              <w:t xml:space="preserve">2023-2025</w:t>
            </w:r>
          </w:p>
        </w:tc>
        <w:tc>
          <w:tcPr>
            <w:tcW w:w="1024" w:type="dxa"/>
          </w:tcPr>
          <w:tcPr/>
          <w:p>
            <w:pPr>
              <w:pStyle w:val="Compact"/>
              <w:jc w:val="left"/>
            </w:pPr>
            <w:r>
              <w:t xml:space="preserve">[S] (tribune)</w:t>
            </w:r>
          </w:p>
        </w:tc>
        <w:tc>
          <w:tcPr>
            <w:tcW w:w="929" w:type="dxa"/>
          </w:tcPr>
          <w:tcPr/>
          <w:p>
            <w:pPr>
              <w:pStyle w:val="Compact"/>
              <w:jc w:val="left"/>
            </w:pPr>
            <w:r>
              <w:t xml:space="preserve">[6]</w:t>
            </w:r>
          </w:p>
        </w:tc>
      </w:tr>
      <w:tr>
        <w:tc>
          <w:tcPr>
            <w:tcW w:w="3118" w:type="dxa"/>
          </w:tcPr>
          <w:tcPr/>
          <w:p>
            <w:pPr>
              <w:pStyle w:val="Compact"/>
              <w:jc w:val="left"/>
            </w:pPr>
            <w:r>
              <w:t xml:space="preserve">Dette envers fournisseurs</w:t>
            </w:r>
          </w:p>
        </w:tc>
        <w:tc>
          <w:tcPr>
            <w:tcW w:w="8178" w:type="dxa"/>
          </w:tcPr>
          <w:tcPr/>
          <w:p>
            <w:pPr>
              <w:pStyle w:val="Compact"/>
              <w:jc w:val="left"/>
            </w:pPr>
            <w:r>
              <w:t xml:space="preserve">Dettes fournisseurs 293,1 M LSL dans les états vs 331 M LSL dans la balance âgée (écart 37,9 M) (2022/23) ; dettes envers Eskom et EDM de « centaines de millions de maloti » (non chiffrées)</w:t>
            </w:r>
          </w:p>
        </w:tc>
        <w:tc>
          <w:tcPr>
            <w:tcW w:w="1320" w:type="dxa"/>
          </w:tcPr>
          <w:tcPr/>
          <w:p>
            <w:pPr>
              <w:pStyle w:val="Compact"/>
              <w:jc w:val="left"/>
            </w:pPr>
            <w:r>
              <w:t xml:space="preserve">2023-2026</w:t>
            </w:r>
          </w:p>
        </w:tc>
        <w:tc>
          <w:tcPr>
            <w:tcW w:w="1024" w:type="dxa"/>
          </w:tcPr>
          <w:tcPr/>
          <w:p>
            <w:pPr>
              <w:pStyle w:val="Compact"/>
              <w:jc w:val="left"/>
            </w:pPr>
            <w:r>
              <w:t xml:space="preserve">[S]</w:t>
            </w:r>
          </w:p>
        </w:tc>
        <w:tc>
          <w:tcPr>
            <w:tcW w:w="929" w:type="dxa"/>
          </w:tcPr>
          <w:tcPr/>
          <w:p>
            <w:pPr>
              <w:pStyle w:val="Compact"/>
              <w:jc w:val="left"/>
            </w:pPr>
            <w:r>
              <w:t xml:space="preserve">[4][5]</w:t>
            </w:r>
          </w:p>
        </w:tc>
      </w:tr>
      <w:tr>
        <w:tc>
          <w:tcPr>
            <w:tcW w:w="3118" w:type="dxa"/>
          </w:tcPr>
          <w:tcPr/>
          <w:p>
            <w:pPr>
              <w:pStyle w:val="Compact"/>
              <w:jc w:val="left"/>
            </w:pPr>
            <w:r>
              <w:t xml:space="preserve">Qualité comptable</w:t>
            </w:r>
          </w:p>
        </w:tc>
        <w:tc>
          <w:tcPr>
            <w:tcW w:w="8178" w:type="dxa"/>
          </w:tcPr>
          <w:tcPr/>
          <w:p>
            <w:pPr>
              <w:pStyle w:val="Compact"/>
              <w:jc w:val="left"/>
            </w:pPr>
            <w:r>
              <w:t xml:space="preserve">Écritures de 408,9 M LSL non justifiées ; dépôts non affectés 47,2 M LSL ; écart de stocks 32,1 M LSL ; impôt différé actif de 205,2 M LSL sans justification (2022/23) ; l’Auditeur général signale 568 M LSL non justifiés (rapport distinct)</w:t>
            </w:r>
          </w:p>
        </w:tc>
        <w:tc>
          <w:tcPr>
            <w:tcW w:w="1320" w:type="dxa"/>
          </w:tcPr>
          <w:tcPr/>
          <w:p>
            <w:pPr>
              <w:pStyle w:val="Compact"/>
              <w:jc w:val="left"/>
            </w:pPr>
            <w:r>
              <w:t xml:space="preserve">2023</w:t>
            </w:r>
          </w:p>
        </w:tc>
        <w:tc>
          <w:tcPr>
            <w:tcW w:w="1024" w:type="dxa"/>
          </w:tcPr>
          <w:tcPr/>
          <w:p>
            <w:pPr>
              <w:pStyle w:val="Compact"/>
              <w:jc w:val="left"/>
            </w:pPr>
            <w:r>
              <w:t xml:space="preserve">[S]</w:t>
            </w:r>
          </w:p>
        </w:tc>
        <w:tc>
          <w:tcPr>
            <w:tcW w:w="929" w:type="dxa"/>
          </w:tcPr>
          <w:tcPr/>
          <w:p>
            <w:pPr>
              <w:pStyle w:val="Compact"/>
              <w:jc w:val="left"/>
            </w:pPr>
            <w:r>
              <w:t xml:space="preserve">[4]</w:t>
            </w:r>
          </w:p>
        </w:tc>
      </w:tr>
      <w:tr>
        <w:tc>
          <w:tcPr>
            <w:tcW w:w="3118" w:type="dxa"/>
          </w:tcPr>
          <w:tcPr/>
          <w:p>
            <w:pPr>
              <w:pStyle w:val="Compact"/>
              <w:jc w:val="left"/>
            </w:pPr>
            <w:r>
              <w:t xml:space="preserve">Arriérés de l’État / entités publiques</w:t>
            </w:r>
          </w:p>
        </w:tc>
        <w:tc>
          <w:tcPr>
            <w:tcW w:w="8178" w:type="dxa"/>
          </w:tcPr>
          <w:tcPr/>
          <w:p>
            <w:pPr>
              <w:pStyle w:val="Compact"/>
              <w:jc w:val="left"/>
            </w:pPr>
            <w:r>
              <w:t xml:space="preserve">[?] non chiffré ; le pacte signale des difficultés de recouvrement auprès des</w:t>
            </w:r>
            <w:r>
              <w:t xml:space="preserve"> </w:t>
            </w:r>
            <w:r>
              <w:rPr>
                <w:bCs/>
                <w:b/>
              </w:rPr>
              <w:t xml:space="preserve">institutions publiques</w:t>
            </w:r>
            <w:r>
              <w:t xml:space="preserve"> </w:t>
            </w:r>
            <w:r>
              <w:t xml:space="preserve">; arriérés budgétaires de l’État : 924 M LSL (2022/23) → 2,81 Md LSL (2023/24) (tous créanciers)</w:t>
            </w:r>
          </w:p>
        </w:tc>
        <w:tc>
          <w:tcPr>
            <w:tcW w:w="1320" w:type="dxa"/>
          </w:tcPr>
          <w:tcPr/>
          <w:p>
            <w:pPr>
              <w:pStyle w:val="Compact"/>
              <w:jc w:val="left"/>
            </w:pPr>
            <w:r>
              <w:t xml:space="preserve">2023-2024</w:t>
            </w:r>
          </w:p>
        </w:tc>
        <w:tc>
          <w:tcPr>
            <w:tcW w:w="1024" w:type="dxa"/>
          </w:tcPr>
          <w:tcPr/>
          <w:p>
            <w:pPr>
              <w:pStyle w:val="Compact"/>
              <w:jc w:val="left"/>
            </w:pPr>
            <w:r>
              <w:t xml:space="preserve">[S]</w:t>
            </w:r>
          </w:p>
        </w:tc>
        <w:tc>
          <w:tcPr>
            <w:tcW w:w="929" w:type="dxa"/>
          </w:tcPr>
          <w:tcPr/>
          <w:p>
            <w:pPr>
              <w:pStyle w:val="Compact"/>
              <w:jc w:val="left"/>
            </w:pPr>
            <w:r>
              <w:t xml:space="preserve">[8]</w:t>
            </w:r>
          </w:p>
        </w:tc>
      </w:tr>
      <w:tr>
        <w:tc>
          <w:tcPr>
            <w:tcW w:w="3118" w:type="dxa"/>
          </w:tcPr>
          <w:tcPr/>
          <w:p>
            <w:pPr>
              <w:pStyle w:val="Compact"/>
              <w:jc w:val="left"/>
            </w:pPr>
            <w:r>
              <w:t xml:space="preserve">Transferts / subventions de l’État</w:t>
            </w:r>
          </w:p>
        </w:tc>
        <w:tc>
          <w:tcPr>
            <w:tcW w:w="8178" w:type="dxa"/>
          </w:tcPr>
          <w:tcPr/>
          <w:p>
            <w:pPr>
              <w:pStyle w:val="Compact"/>
              <w:jc w:val="left"/>
            </w:pPr>
            <w:r>
              <w:rPr>
                <w:bCs/>
                <w:b/>
              </w:rPr>
              <w:t xml:space="preserve">Injection de 300 M LSL</w:t>
            </w:r>
            <w:r>
              <w:t xml:space="preserve"> </w:t>
            </w:r>
            <w:r>
              <w:t xml:space="preserve">pour permettre la poursuite des achats d’électricité ; demande de prêt d’urgence de 238 M LSL à l’État pour financer les importations Eskom</w:t>
            </w:r>
          </w:p>
        </w:tc>
        <w:tc>
          <w:tcPr>
            <w:tcW w:w="1320" w:type="dxa"/>
          </w:tcPr>
          <w:tcPr/>
          <w:p>
            <w:pPr>
              <w:pStyle w:val="Compact"/>
              <w:jc w:val="left"/>
            </w:pPr>
            <w:r>
              <w:t xml:space="preserve">2025-2026</w:t>
            </w:r>
          </w:p>
        </w:tc>
        <w:tc>
          <w:tcPr>
            <w:tcW w:w="1024" w:type="dxa"/>
          </w:tcPr>
          <w:tcPr/>
          <w:p>
            <w:pPr>
              <w:pStyle w:val="Compact"/>
              <w:jc w:val="left"/>
            </w:pPr>
            <w:r>
              <w:t xml:space="preserve">[S]</w:t>
            </w:r>
          </w:p>
        </w:tc>
        <w:tc>
          <w:tcPr>
            <w:tcW w:w="929" w:type="dxa"/>
          </w:tcPr>
          <w:tcPr/>
          <w:p>
            <w:pPr>
              <w:pStyle w:val="Compact"/>
              <w:jc w:val="left"/>
            </w:pPr>
            <w:r>
              <w:t xml:space="preserve">[5][6]</w:t>
            </w:r>
          </w:p>
        </w:tc>
      </w:tr>
      <w:tr>
        <w:tc>
          <w:tcPr>
            <w:tcW w:w="3118" w:type="dxa"/>
          </w:tcPr>
          <w:tcPr/>
          <w:p>
            <w:pPr>
              <w:pStyle w:val="Compact"/>
              <w:jc w:val="left"/>
            </w:pPr>
            <w:r>
              <w:t xml:space="preserve">Taux de recouvrement</w:t>
            </w:r>
          </w:p>
        </w:tc>
        <w:tc>
          <w:tcPr>
            <w:tcW w:w="8178" w:type="dxa"/>
          </w:tcPr>
          <w:tcPr/>
          <w:p>
            <w:pPr>
              <w:pStyle w:val="Compact"/>
              <w:jc w:val="left"/>
            </w:pPr>
            <w:r>
              <w:t xml:space="preserve">[?] non trouvé</w:t>
            </w:r>
          </w:p>
        </w:tc>
        <w:tc>
          <w:tcPr>
            <w:tcW w:w="1320" w:type="dxa"/>
          </w:tcPr>
          <w:tcPr/>
          <w:p>
            <w:pPr>
              <w:pStyle w:val="Compact"/>
              <w:jc w:val="left"/>
            </w:pPr>
            <w:r>
              <w:t xml:space="preserve">—</w:t>
            </w:r>
          </w:p>
        </w:tc>
        <w:tc>
          <w:tcPr>
            <w:tcW w:w="1024" w:type="dxa"/>
          </w:tcPr>
          <w:tcPr/>
          <w:p>
            <w:pPr>
              <w:pStyle w:val="Compact"/>
              <w:jc w:val="left"/>
            </w:pPr>
            <w:r>
              <w:t xml:space="preserve">[?]</w:t>
            </w:r>
          </w:p>
        </w:tc>
        <w:tc>
          <w:tcPr>
            <w:tcW w:w="929" w:type="dxa"/>
          </w:tcPr>
          <w:tcPr/>
          <w:p>
            <w:pPr>
              <w:pStyle w:val="Compact"/>
              <w:jc w:val="left"/>
            </w:pPr>
            <w:r>
              <w:t xml:space="preserve">—</w:t>
            </w:r>
          </w:p>
        </w:tc>
      </w:tr>
      <w:tr>
        <w:tc>
          <w:tcPr>
            <w:tcW w:w="3118" w:type="dxa"/>
          </w:tcPr>
          <w:tcPr/>
          <w:p>
            <w:pPr>
              <w:pStyle w:val="Compact"/>
              <w:jc w:val="left"/>
            </w:pPr>
            <w:r>
              <w:t xml:space="preserve">Recette moyenne vs coût par kWh</w:t>
            </w:r>
          </w:p>
        </w:tc>
        <w:tc>
          <w:tcPr>
            <w:tcW w:w="8178" w:type="dxa"/>
          </w:tcPr>
          <w:tcPr/>
          <w:p>
            <w:pPr>
              <w:pStyle w:val="Compact"/>
              <w:jc w:val="left"/>
            </w:pPr>
            <w:r>
              <w:t xml:space="preserve">[?] non trouvé ; consommateurs facturés</w:t>
            </w:r>
            <w:r>
              <w:t xml:space="preserve"> </w:t>
            </w:r>
            <w:r>
              <w:rPr>
                <w:bCs/>
                <w:b/>
              </w:rPr>
              <w:t xml:space="preserve">sous le coût</w:t>
            </w:r>
            <w:r>
              <w:t xml:space="preserve"> </w:t>
            </w:r>
            <w:r>
              <w:t xml:space="preserve">(presse) ; étude de coût de service prévue (pacte)</w:t>
            </w:r>
          </w:p>
        </w:tc>
        <w:tc>
          <w:tcPr>
            <w:tcW w:w="1320" w:type="dxa"/>
          </w:tcPr>
          <w:tcPr/>
          <w:p>
            <w:pPr>
              <w:pStyle w:val="Compact"/>
              <w:jc w:val="left"/>
            </w:pPr>
            <w:r>
              <w:t xml:space="preserve">2026</w:t>
            </w:r>
          </w:p>
        </w:tc>
        <w:tc>
          <w:tcPr>
            <w:tcW w:w="1024" w:type="dxa"/>
          </w:tcPr>
          <w:tcPr/>
          <w:p>
            <w:pPr>
              <w:pStyle w:val="Compact"/>
              <w:jc w:val="left"/>
            </w:pPr>
            <w:r>
              <w:t xml:space="preserve">[S]</w:t>
            </w:r>
          </w:p>
        </w:tc>
        <w:tc>
          <w:tcPr>
            <w:tcW w:w="929" w:type="dxa"/>
          </w:tcPr>
          <w:tcPr/>
          <w:p>
            <w:pPr>
              <w:pStyle w:val="Compact"/>
              <w:jc w:val="left"/>
            </w:pPr>
            <w:r>
              <w:t xml:space="preserve">[5]</w:t>
            </w:r>
          </w:p>
        </w:tc>
      </w:tr>
      <w:tr>
        <w:tc>
          <w:tcPr>
            <w:tcW w:w="3118" w:type="dxa"/>
          </w:tcPr>
          <w:tcPr/>
          <w:p>
            <w:pPr>
              <w:pStyle w:val="Compact"/>
              <w:jc w:val="left"/>
            </w:pPr>
            <w:r>
              <w:t xml:space="preserve">Tarifs</w:t>
            </w:r>
          </w:p>
        </w:tc>
        <w:tc>
          <w:tcPr>
            <w:tcW w:w="8178" w:type="dxa"/>
          </w:tcPr>
          <w:tcPr/>
          <w:p>
            <w:pPr>
              <w:pStyle w:val="Compact"/>
              <w:jc w:val="left"/>
            </w:pPr>
            <w:r>
              <w:t xml:space="preserve">LEC demandait +23 % / +15 % / +15 % (2023/24-2025/26) ;</w:t>
            </w:r>
            <w:r>
              <w:t xml:space="preserve"> </w:t>
            </w:r>
            <w:r>
              <w:rPr>
                <w:bCs/>
                <w:b/>
              </w:rPr>
              <w:t xml:space="preserve">LEWA : +9,6286 % (énergie et puissance) et +5 % (lifeline) au 01/04/2024</w:t>
            </w:r>
            <w:r>
              <w:t xml:space="preserve"> </w:t>
            </w:r>
            <w:r>
              <w:t xml:space="preserve">; une hausse de 9,6 % est aussi signalée au 01/04/2025 (à confirmer)</w:t>
            </w:r>
          </w:p>
        </w:tc>
        <w:tc>
          <w:tcPr>
            <w:tcW w:w="1320" w:type="dxa"/>
          </w:tcPr>
          <w:tcPr/>
          <w:p>
            <w:pPr>
              <w:pStyle w:val="Compact"/>
              <w:jc w:val="left"/>
            </w:pPr>
            <w:r>
              <w:t xml:space="preserve">2024-2025</w:t>
            </w:r>
          </w:p>
        </w:tc>
        <w:tc>
          <w:tcPr>
            <w:tcW w:w="1024" w:type="dxa"/>
          </w:tcPr>
          <w:tcPr/>
          <w:p>
            <w:pPr>
              <w:pStyle w:val="Compact"/>
              <w:jc w:val="left"/>
            </w:pPr>
            <w:r>
              <w:t xml:space="preserve">[S]</w:t>
            </w:r>
          </w:p>
        </w:tc>
        <w:tc>
          <w:tcPr>
            <w:tcW w:w="929" w:type="dxa"/>
          </w:tcPr>
          <w:tcPr/>
          <w:p>
            <w:pPr>
              <w:pStyle w:val="Compact"/>
              <w:jc w:val="left"/>
            </w:pPr>
            <w:r>
              <w:t xml:space="preserve">[7]</w:t>
            </w:r>
          </w:p>
        </w:tc>
      </w:tr>
      <w:tr>
        <w:tc>
          <w:tcPr>
            <w:tcW w:w="3118" w:type="dxa"/>
          </w:tcPr>
          <w:tcPr/>
          <w:p>
            <w:pPr>
              <w:pStyle w:val="Compact"/>
              <w:jc w:val="left"/>
            </w:pPr>
            <w:r>
              <w:t xml:space="preserve">Notation</w:t>
            </w:r>
          </w:p>
        </w:tc>
        <w:tc>
          <w:tcPr>
            <w:tcW w:w="8178" w:type="dxa"/>
          </w:tcPr>
          <w:tcPr/>
          <w:p>
            <w:pPr>
              <w:pStyle w:val="Compact"/>
              <w:jc w:val="left"/>
            </w:pPr>
            <w:r>
              <w:t xml:space="preserve">[?]</w:t>
            </w:r>
          </w:p>
        </w:tc>
        <w:tc>
          <w:tcPr>
            <w:tcW w:w="1320" w:type="dxa"/>
          </w:tcPr>
          <w:tcPr/>
          <w:p>
            <w:pPr>
              <w:pStyle w:val="Compact"/>
              <w:jc w:val="left"/>
            </w:pPr>
            <w:r>
              <w:t xml:space="preserve">—</w:t>
            </w:r>
          </w:p>
        </w:tc>
        <w:tc>
          <w:tcPr>
            <w:tcW w:w="1024" w:type="dxa"/>
          </w:tcPr>
          <w:tcPr/>
          <w:p>
            <w:pPr>
              <w:pStyle w:val="Compact"/>
              <w:jc w:val="left"/>
            </w:pPr>
            <w:r>
              <w:t xml:space="preserve">[?]</w:t>
            </w:r>
          </w:p>
        </w:tc>
        <w:tc>
          <w:tcPr>
            <w:tcW w:w="929" w:type="dxa"/>
          </w:tcPr>
          <w:tcPr/>
          <w:p>
            <w:pPr>
              <w:pStyle w:val="Compact"/>
              <w:jc w:val="left"/>
            </w:pPr>
            <w:r>
              <w:t xml:space="preserve">—</w:t>
            </w:r>
          </w:p>
        </w:tc>
      </w:tr>
    </w:tbl>
    <w:bookmarkEnd w:id="224"/>
    <w:bookmarkStart w:id="225" w:name="situation-technique-18"/>
    <w:p>
      <w:pPr>
        <w:pStyle w:val="Heading3"/>
      </w:pPr>
      <w:r>
        <w:t xml:space="preserve">2. Situation technique</w:t>
      </w:r>
    </w:p>
    <w:tbl>
      <w:tblPr>
        <w:tblStyle w:val="Table"/>
        <w:tblW w:type="dxa" w:w="14570"/>
        <w:tblLook w:firstRow="1" w:lastRow="0" w:firstColumn="0" w:lastColumn="0" w:noHBand="0" w:noVBand="0" w:val="0020"/>
        <w:jc w:val="start"/>
      </w:tblPr>
      <w:tblGrid>
        <w:gridCol w:w="2665"/>
        <w:gridCol w:w="7797"/>
        <w:gridCol w:w="1279"/>
        <w:gridCol w:w="1752"/>
        <w:gridCol w:w="1076"/>
      </w:tblGrid>
      <w:tr>
        <w:trPr>
          <w:tblHeader w:val="true"/>
        </w:trPr>
        <w:tc>
          <w:tcPr>
            <w:tcW w:w="2665" w:type="dxa"/>
          </w:tcPr>
          <w:tcPr/>
          <w:p>
            <w:pPr>
              <w:pStyle w:val="Compact"/>
              <w:jc w:val="left"/>
            </w:pPr>
            <w:r>
              <w:t xml:space="preserve">Indicateur</w:t>
            </w:r>
          </w:p>
        </w:tc>
        <w:tc>
          <w:tcPr>
            <w:tcW w:w="7797" w:type="dxa"/>
          </w:tcPr>
          <w:tcPr/>
          <w:p>
            <w:pPr>
              <w:pStyle w:val="Compact"/>
              <w:jc w:val="left"/>
            </w:pPr>
            <w:r>
              <w:t xml:space="preserve">Valeur</w:t>
            </w:r>
          </w:p>
        </w:tc>
        <w:tc>
          <w:tcPr>
            <w:tcW w:w="1279" w:type="dxa"/>
          </w:tcPr>
          <w:tcPr/>
          <w:p>
            <w:pPr>
              <w:pStyle w:val="Compact"/>
              <w:jc w:val="left"/>
            </w:pPr>
            <w:r>
              <w:t xml:space="preserve">Année</w:t>
            </w:r>
          </w:p>
        </w:tc>
        <w:tc>
          <w:tcPr>
            <w:tcW w:w="1752" w:type="dxa"/>
          </w:tcPr>
          <w:tcPr/>
          <w:p>
            <w:pPr>
              <w:pStyle w:val="Compact"/>
              <w:jc w:val="left"/>
            </w:pPr>
            <w:r>
              <w:t xml:space="preserve">Statut</w:t>
            </w:r>
          </w:p>
        </w:tc>
        <w:tc>
          <w:tcPr>
            <w:tcW w:w="1076" w:type="dxa"/>
          </w:tcPr>
          <w:tcPr/>
          <w:p>
            <w:pPr>
              <w:pStyle w:val="Compact"/>
              <w:jc w:val="left"/>
            </w:pPr>
            <w:r>
              <w:t xml:space="preserve">Source</w:t>
            </w:r>
          </w:p>
        </w:tc>
      </w:tr>
      <w:tr>
        <w:tc>
          <w:tcPr>
            <w:tcW w:w="2665" w:type="dxa"/>
          </w:tcPr>
          <w:tcPr/>
          <w:p>
            <w:pPr>
              <w:pStyle w:val="Compact"/>
              <w:jc w:val="left"/>
            </w:pPr>
            <w:r>
              <w:t xml:space="preserve">Approvisionnement</w:t>
            </w:r>
          </w:p>
        </w:tc>
        <w:tc>
          <w:tcPr>
            <w:tcW w:w="7797" w:type="dxa"/>
          </w:tcPr>
          <w:tcPr/>
          <w:p>
            <w:pPr>
              <w:pStyle w:val="Compact"/>
              <w:jc w:val="left"/>
            </w:pPr>
            <w:r>
              <w:t xml:space="preserve">Importations jusqu’à 89 % des besoins ; ’Muela (LHDA) pour le reste</w:t>
            </w:r>
          </w:p>
        </w:tc>
        <w:tc>
          <w:tcPr>
            <w:tcW w:w="1279" w:type="dxa"/>
          </w:tcPr>
          <w:tcPr/>
          <w:p>
            <w:pPr>
              <w:pStyle w:val="Compact"/>
              <w:jc w:val="left"/>
            </w:pPr>
            <w:r>
              <w:t xml:space="preserve">2026</w:t>
            </w:r>
          </w:p>
        </w:tc>
        <w:tc>
          <w:tcPr>
            <w:tcW w:w="1752" w:type="dxa"/>
          </w:tcPr>
          <w:tcPr/>
          <w:p>
            <w:pPr>
              <w:pStyle w:val="Compact"/>
              <w:jc w:val="left"/>
            </w:pPr>
            <w:r>
              <w:t xml:space="preserve">[S]</w:t>
            </w:r>
          </w:p>
        </w:tc>
        <w:tc>
          <w:tcPr>
            <w:tcW w:w="1076" w:type="dxa"/>
          </w:tcPr>
          <w:tcPr/>
          <w:p>
            <w:pPr>
              <w:pStyle w:val="Compact"/>
              <w:jc w:val="left"/>
            </w:pPr>
            <w:r>
              <w:t xml:space="preserve">[5]</w:t>
            </w:r>
          </w:p>
        </w:tc>
      </w:tr>
      <w:tr>
        <w:tc>
          <w:tcPr>
            <w:tcW w:w="2665" w:type="dxa"/>
          </w:tcPr>
          <w:tcPr/>
          <w:p>
            <w:pPr>
              <w:pStyle w:val="Compact"/>
              <w:jc w:val="left"/>
            </w:pPr>
            <w:r>
              <w:t xml:space="preserve">Pertes</w:t>
            </w:r>
          </w:p>
        </w:tc>
        <w:tc>
          <w:tcPr>
            <w:tcW w:w="7797" w:type="dxa"/>
          </w:tcPr>
          <w:tcPr/>
          <w:p>
            <w:pPr>
              <w:pStyle w:val="Compact"/>
              <w:jc w:val="left"/>
            </w:pPr>
            <w:r>
              <w:t xml:space="preserve">[?] non trouvé en source primaire ; pacte : AT&amp;C 10 % (pacte)</w:t>
            </w:r>
          </w:p>
        </w:tc>
        <w:tc>
          <w:tcPr>
            <w:tcW w:w="1279" w:type="dxa"/>
          </w:tcPr>
          <w:tcPr/>
          <w:p>
            <w:pPr>
              <w:pStyle w:val="Compact"/>
              <w:jc w:val="left"/>
            </w:pPr>
            <w:r>
              <w:t xml:space="preserve">—</w:t>
            </w:r>
          </w:p>
        </w:tc>
        <w:tc>
          <w:tcPr>
            <w:tcW w:w="1752" w:type="dxa"/>
          </w:tcPr>
          <w:tcPr/>
          <w:p>
            <w:pPr>
              <w:pStyle w:val="Compact"/>
              <w:jc w:val="left"/>
            </w:pPr>
            <w:r>
              <w:t xml:space="preserve">(pacte)</w:t>
            </w:r>
          </w:p>
        </w:tc>
        <w:tc>
          <w:tcPr>
            <w:tcW w:w="1076" w:type="dxa"/>
          </w:tcPr>
          <w:tcPr/>
          <w:p>
            <w:pPr>
              <w:pStyle w:val="Compact"/>
              <w:jc w:val="left"/>
            </w:pPr>
            <w:r>
              <w:t xml:space="preserve">—</w:t>
            </w:r>
          </w:p>
        </w:tc>
      </w:tr>
      <w:tr>
        <w:tc>
          <w:tcPr>
            <w:tcW w:w="2665" w:type="dxa"/>
          </w:tcPr>
          <w:tcPr/>
          <w:p>
            <w:pPr>
              <w:pStyle w:val="Compact"/>
              <w:jc w:val="left"/>
            </w:pPr>
            <w:r>
              <w:t xml:space="preserve">Clients</w:t>
            </w:r>
          </w:p>
        </w:tc>
        <w:tc>
          <w:tcPr>
            <w:tcW w:w="7797" w:type="dxa"/>
          </w:tcPr>
          <w:tcPr/>
          <w:p>
            <w:pPr>
              <w:pStyle w:val="Compact"/>
              <w:jc w:val="left"/>
            </w:pPr>
            <w:r>
              <w:t xml:space="preserve">310 186 raccordés (avril 2024) (pacte)</w:t>
            </w:r>
          </w:p>
        </w:tc>
        <w:tc>
          <w:tcPr>
            <w:tcW w:w="1279" w:type="dxa"/>
          </w:tcPr>
          <w:tcPr/>
          <w:p>
            <w:pPr>
              <w:pStyle w:val="Compact"/>
              <w:jc w:val="left"/>
            </w:pPr>
            <w:r>
              <w:t xml:space="preserve">2024</w:t>
            </w:r>
          </w:p>
        </w:tc>
        <w:tc>
          <w:tcPr>
            <w:tcW w:w="1752" w:type="dxa"/>
          </w:tcPr>
          <w:tcPr/>
          <w:p>
            <w:pPr>
              <w:pStyle w:val="Compact"/>
              <w:jc w:val="left"/>
            </w:pPr>
            <w:r>
              <w:t xml:space="preserve">(pacte)</w:t>
            </w:r>
          </w:p>
        </w:tc>
        <w:tc>
          <w:tcPr>
            <w:tcW w:w="1076" w:type="dxa"/>
          </w:tcPr>
          <w:tcPr/>
          <w:p>
            <w:pPr>
              <w:pStyle w:val="Compact"/>
              <w:jc w:val="left"/>
            </w:pPr>
            <w:r>
              <w:t xml:space="preserve">—</w:t>
            </w:r>
          </w:p>
        </w:tc>
      </w:tr>
      <w:tr>
        <w:tc>
          <w:tcPr>
            <w:tcW w:w="2665" w:type="dxa"/>
          </w:tcPr>
          <w:tcPr/>
          <w:p>
            <w:pPr>
              <w:pStyle w:val="Compact"/>
              <w:jc w:val="left"/>
            </w:pPr>
            <w:r>
              <w:t xml:space="preserve">Délestages</w:t>
            </w:r>
          </w:p>
        </w:tc>
        <w:tc>
          <w:tcPr>
            <w:tcW w:w="7797" w:type="dxa"/>
          </w:tcPr>
          <w:tcPr/>
          <w:p>
            <w:pPr>
              <w:pStyle w:val="Compact"/>
              <w:jc w:val="left"/>
            </w:pPr>
            <w:r>
              <w:t xml:space="preserve">Pas de délestage national rapporté ; districts non raccordés (pacte)</w:t>
            </w:r>
          </w:p>
        </w:tc>
        <w:tc>
          <w:tcPr>
            <w:tcW w:w="1279" w:type="dxa"/>
          </w:tcPr>
          <w:tcPr/>
          <w:p>
            <w:pPr>
              <w:pStyle w:val="Compact"/>
              <w:jc w:val="left"/>
            </w:pPr>
            <w:r>
              <w:t xml:space="preserve">—</w:t>
            </w:r>
          </w:p>
        </w:tc>
        <w:tc>
          <w:tcPr>
            <w:tcW w:w="1752" w:type="dxa"/>
          </w:tcPr>
          <w:tcPr/>
          <w:p>
            <w:pPr>
              <w:pStyle w:val="Compact"/>
              <w:jc w:val="left"/>
            </w:pPr>
            <w:r>
              <w:t xml:space="preserve">(pacte)</w:t>
            </w:r>
          </w:p>
        </w:tc>
        <w:tc>
          <w:tcPr>
            <w:tcW w:w="1076" w:type="dxa"/>
          </w:tcPr>
          <w:tcPr/>
          <w:p>
            <w:pPr>
              <w:pStyle w:val="Compact"/>
              <w:jc w:val="left"/>
            </w:pPr>
            <w:r>
              <w:t xml:space="preserve">—</w:t>
            </w:r>
          </w:p>
        </w:tc>
      </w:tr>
      <w:tr>
        <w:tc>
          <w:tcPr>
            <w:tcW w:w="2665" w:type="dxa"/>
          </w:tcPr>
          <w:tcPr/>
          <w:p>
            <w:pPr>
              <w:pStyle w:val="Compact"/>
              <w:jc w:val="left"/>
            </w:pPr>
            <w:r>
              <w:t xml:space="preserve">Vandalisme</w:t>
            </w:r>
          </w:p>
        </w:tc>
        <w:tc>
          <w:tcPr>
            <w:tcW w:w="7797" w:type="dxa"/>
          </w:tcPr>
          <w:tcPr/>
          <w:p>
            <w:pPr>
              <w:pStyle w:val="Compact"/>
              <w:jc w:val="left"/>
            </w:pPr>
            <w:r>
              <w:t xml:space="preserve">9,18 M LSL de pertes (avril 2025-mars 2026)</w:t>
            </w:r>
          </w:p>
        </w:tc>
        <w:tc>
          <w:tcPr>
            <w:tcW w:w="1279" w:type="dxa"/>
          </w:tcPr>
          <w:tcPr/>
          <w:p>
            <w:pPr>
              <w:pStyle w:val="Compact"/>
              <w:jc w:val="left"/>
            </w:pPr>
            <w:r>
              <w:t xml:space="preserve">2025/26</w:t>
            </w:r>
          </w:p>
        </w:tc>
        <w:tc>
          <w:tcPr>
            <w:tcW w:w="1752" w:type="dxa"/>
          </w:tcPr>
          <w:tcPr/>
          <w:p>
            <w:pPr>
              <w:pStyle w:val="Compact"/>
              <w:jc w:val="left"/>
            </w:pPr>
            <w:r>
              <w:t xml:space="preserve">[S]</w:t>
            </w:r>
          </w:p>
        </w:tc>
        <w:tc>
          <w:tcPr>
            <w:tcW w:w="1076" w:type="dxa"/>
          </w:tcPr>
          <w:tcPr/>
          <w:p>
            <w:pPr>
              <w:pStyle w:val="Compact"/>
              <w:jc w:val="left"/>
            </w:pPr>
            <w:r>
              <w:t xml:space="preserve">[9]</w:t>
            </w:r>
          </w:p>
        </w:tc>
      </w:tr>
    </w:tbl>
    <w:bookmarkEnd w:id="225"/>
    <w:bookmarkStart w:id="226" w:name="situation-économique-et-gouvernance-18"/>
    <w:p>
      <w:pPr>
        <w:pStyle w:val="Heading3"/>
      </w:pPr>
      <w:r>
        <w:t xml:space="preserve">3. Situation économique et gouvernance</w:t>
      </w:r>
    </w:p>
    <w:p>
      <w:pPr>
        <w:numPr>
          <w:ilvl w:val="0"/>
          <w:numId w:val="1116"/>
        </w:numPr>
        <w:pStyle w:val="Compact"/>
      </w:pPr>
      <w:r>
        <w:rPr>
          <w:bCs/>
          <w:b/>
        </w:rPr>
        <w:t xml:space="preserve">Achats / PPA</w:t>
      </w:r>
      <w:r>
        <w:t xml:space="preserve"> </w:t>
      </w:r>
      <w:r>
        <w:t xml:space="preserve">: dépendance aux importations Eskom et EDM au prix du marché régional, coût en forte hausse (+46,85 % en 2023/24) non répercuté [5] [S]. Le loti est arrimé au rand (risque de change limité vis-à-vis d’Eskom) [E].</w:t>
      </w:r>
    </w:p>
    <w:p>
      <w:pPr>
        <w:numPr>
          <w:ilvl w:val="0"/>
          <w:numId w:val="1116"/>
        </w:numPr>
        <w:pStyle w:val="Compact"/>
      </w:pPr>
      <w:r>
        <w:rPr>
          <w:bCs/>
          <w:b/>
        </w:rPr>
        <w:t xml:space="preserve">Plan de redressement</w:t>
      </w:r>
      <w:r>
        <w:t xml:space="preserve"> </w:t>
      </w:r>
      <w:r>
        <w:t xml:space="preserve">:</w:t>
      </w:r>
      <w:r>
        <w:t xml:space="preserve"> </w:t>
      </w:r>
      <w:r>
        <w:rPr>
          <w:bCs/>
          <w:b/>
        </w:rPr>
        <w:t xml:space="preserve">Performance Improvement Plan (PIP)</w:t>
      </w:r>
      <w:r>
        <w:t xml:space="preserve"> </w:t>
      </w:r>
      <w:r>
        <w:t xml:space="preserve">préparé avec la BM (LREEAP), axé sur la réingénierie des processus et les investissements urgents ;</w:t>
      </w:r>
      <w:r>
        <w:t xml:space="preserve"> </w:t>
      </w:r>
      <w:r>
        <w:rPr>
          <w:bCs/>
          <w:b/>
        </w:rPr>
        <w:t xml:space="preserve">participation privée à la gestion de LEC envisagée</w:t>
      </w:r>
      <w:r>
        <w:t xml:space="preserve"> </w:t>
      </w:r>
      <w:r>
        <w:t xml:space="preserve">[2] [V] ; finalisation attendue début 2025 [1] [V] ; stratégie de redressement (pacte, nov. 2025).</w:t>
      </w:r>
    </w:p>
    <w:p>
      <w:pPr>
        <w:numPr>
          <w:ilvl w:val="0"/>
          <w:numId w:val="1116"/>
        </w:numPr>
        <w:pStyle w:val="Compact"/>
      </w:pPr>
      <w:r>
        <w:rPr>
          <w:bCs/>
          <w:b/>
        </w:rPr>
        <w:t xml:space="preserve">Gouvernance</w:t>
      </w:r>
      <w:r>
        <w:t xml:space="preserve"> </w:t>
      </w:r>
      <w:r>
        <w:t xml:space="preserve">: disclaimer d’audit 2022/23 ; enquête forensique ; dirigeants suspendus (plus de 12 M LSL versés aux suspendus) ; allégations de recettes perdues &gt; 1,1 Md LSL (non prouvées) [4][6] [S]. Publication annuelle des états audités prévue dès déc. 2025 — « en retard » selon le rapport d’avancement du pacte.</w:t>
      </w:r>
    </w:p>
    <w:bookmarkEnd w:id="226"/>
    <w:bookmarkStart w:id="227" w:name="Xc758c2fe8135827e4e108678ca159f60dd55770"/>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368"/>
        <w:gridCol w:w="1668"/>
        <w:gridCol w:w="1598"/>
        <w:gridCol w:w="1163"/>
        <w:gridCol w:w="3170"/>
        <w:gridCol w:w="871"/>
        <w:gridCol w:w="1926"/>
        <w:gridCol w:w="802"/>
      </w:tblGrid>
      <w:tr>
        <w:trPr>
          <w:tblHeader w:val="true"/>
        </w:trPr>
        <w:tc>
          <w:tcPr>
            <w:tcW w:w="3368" w:type="dxa"/>
          </w:tcPr>
          <w:tcPr/>
          <w:p>
            <w:pPr>
              <w:pStyle w:val="Compact"/>
              <w:jc w:val="left"/>
            </w:pPr>
            <w:r>
              <w:t xml:space="preserve">Programme / projet</w:t>
            </w:r>
          </w:p>
        </w:tc>
        <w:tc>
          <w:tcPr>
            <w:tcW w:w="1668" w:type="dxa"/>
          </w:tcPr>
          <w:tcPr/>
          <w:p>
            <w:pPr>
              <w:pStyle w:val="Compact"/>
              <w:jc w:val="left"/>
            </w:pPr>
            <w:r>
              <w:t xml:space="preserve">Bailleur</w:t>
            </w:r>
          </w:p>
        </w:tc>
        <w:tc>
          <w:tcPr>
            <w:tcW w:w="1598" w:type="dxa"/>
          </w:tcPr>
          <w:tcPr/>
          <w:p>
            <w:pPr>
              <w:pStyle w:val="Compact"/>
              <w:jc w:val="left"/>
            </w:pPr>
            <w:r>
              <w:t xml:space="preserve">Montant</w:t>
            </w:r>
          </w:p>
        </w:tc>
        <w:tc>
          <w:tcPr>
            <w:tcW w:w="1163" w:type="dxa"/>
          </w:tcPr>
          <w:tcPr/>
          <w:p>
            <w:pPr>
              <w:pStyle w:val="Compact"/>
              <w:jc w:val="left"/>
            </w:pPr>
            <w:r>
              <w:t xml:space="preserve">Années</w:t>
            </w:r>
          </w:p>
        </w:tc>
        <w:tc>
          <w:tcPr>
            <w:tcW w:w="3170" w:type="dxa"/>
          </w:tcPr>
          <w:tcPr/>
          <w:p>
            <w:pPr>
              <w:pStyle w:val="Compact"/>
              <w:jc w:val="left"/>
            </w:pPr>
            <w:r>
              <w:t xml:space="preserve">Objectifs liés à l’opérateur</w:t>
            </w:r>
          </w:p>
        </w:tc>
        <w:tc>
          <w:tcPr>
            <w:tcW w:w="871" w:type="dxa"/>
          </w:tcPr>
          <w:tcPr/>
          <w:p>
            <w:pPr>
              <w:pStyle w:val="Compact"/>
              <w:jc w:val="left"/>
            </w:pPr>
            <w:r>
              <w:t xml:space="preserve">Conditions / indicateurs</w:t>
            </w:r>
          </w:p>
        </w:tc>
        <w:tc>
          <w:tcPr>
            <w:tcW w:w="1926" w:type="dxa"/>
          </w:tcPr>
          <w:tcPr/>
          <w:p>
            <w:pPr>
              <w:pStyle w:val="Compact"/>
              <w:jc w:val="left"/>
            </w:pPr>
            <w:r>
              <w:t xml:space="preserve">Statut</w:t>
            </w:r>
          </w:p>
        </w:tc>
        <w:tc>
          <w:tcPr>
            <w:tcW w:w="802" w:type="dxa"/>
          </w:tcPr>
          <w:tcPr/>
          <w:p>
            <w:pPr>
              <w:pStyle w:val="Compact"/>
              <w:jc w:val="left"/>
            </w:pPr>
            <w:r>
              <w:t xml:space="preserve">Source</w:t>
            </w:r>
          </w:p>
        </w:tc>
      </w:tr>
      <w:tr>
        <w:tc>
          <w:tcPr>
            <w:tcW w:w="3368" w:type="dxa"/>
          </w:tcPr>
          <w:tcPr/>
          <w:p>
            <w:pPr>
              <w:pStyle w:val="Compact"/>
              <w:jc w:val="left"/>
            </w:pPr>
            <w:r>
              <w:rPr>
                <w:bCs/>
                <w:b/>
              </w:rPr>
              <w:t xml:space="preserve">Lesotho Renewable Energy and Energy Access Project (LREEAP), P166936</w:t>
            </w:r>
          </w:p>
        </w:tc>
        <w:tc>
          <w:tcPr>
            <w:tcW w:w="1668" w:type="dxa"/>
          </w:tcPr>
          <w:tcPr/>
          <w:p>
            <w:pPr>
              <w:pStyle w:val="Compact"/>
              <w:jc w:val="left"/>
            </w:pPr>
            <w:r>
              <w:t xml:space="preserve">BM : crédit IDA 65320 (40 M US$, révisé 38,5 M) + SREP : don TF-B1681 4,9 M US$ et prêt TF-B1683 8 M US$</w:t>
            </w:r>
          </w:p>
        </w:tc>
        <w:tc>
          <w:tcPr>
            <w:tcW w:w="1598" w:type="dxa"/>
          </w:tcPr>
          <w:tcPr/>
          <w:p>
            <w:pPr>
              <w:pStyle w:val="Compact"/>
              <w:jc w:val="left"/>
            </w:pPr>
            <w:r>
              <w:t xml:space="preserve">~52,9 M US$</w:t>
            </w:r>
          </w:p>
        </w:tc>
        <w:tc>
          <w:tcPr>
            <w:tcW w:w="1163" w:type="dxa"/>
          </w:tcPr>
          <w:tcPr/>
          <w:p>
            <w:pPr>
              <w:pStyle w:val="Compact"/>
              <w:jc w:val="left"/>
            </w:pPr>
            <w:r>
              <w:t xml:space="preserve">approuvé 30/01/2020 ; effectif 31/07/2020 ; clôture 31/01/2027</w:t>
            </w:r>
          </w:p>
        </w:tc>
        <w:tc>
          <w:tcPr>
            <w:tcW w:w="3170" w:type="dxa"/>
          </w:tcPr>
          <w:tcPr/>
          <w:p>
            <w:pPr>
              <w:pStyle w:val="Compact"/>
              <w:jc w:val="left"/>
            </w:pPr>
            <w:r>
              <w:t xml:space="preserve">Raccordements (extension réseau, villages), mini-réseaux PPP ; AT :</w:t>
            </w:r>
            <w:r>
              <w:t xml:space="preserve"> </w:t>
            </w:r>
            <w:r>
              <w:rPr>
                <w:bCs/>
                <w:b/>
              </w:rPr>
              <w:t xml:space="preserve">PIP de LEC</w:t>
            </w:r>
            <w:r>
              <w:t xml:space="preserve">, plan d’expansion au moindre coût (LCEP), stratégie nationale d’électrification ; 4 M US$ réalloués à une composante d’urgence (CERC)</w:t>
            </w:r>
          </w:p>
        </w:tc>
        <w:tc>
          <w:tcPr>
            <w:tcW w:w="871" w:type="dxa"/>
          </w:tcPr>
          <w:tcPr/>
          <w:p>
            <w:pPr>
              <w:pStyle w:val="Compact"/>
              <w:jc w:val="left"/>
            </w:pPr>
            <w:r>
              <w:t xml:space="preserve">Restructuration mars 2024</w:t>
            </w:r>
          </w:p>
        </w:tc>
        <w:tc>
          <w:tcPr>
            <w:tcW w:w="1926" w:type="dxa"/>
          </w:tcPr>
          <w:tcPr/>
          <w:p>
            <w:pPr>
              <w:pStyle w:val="Compact"/>
              <w:jc w:val="left"/>
            </w:pPr>
            <w:r>
              <w:t xml:space="preserve">ISR janv. 2025 :</w:t>
            </w:r>
            <w:r>
              <w:t xml:space="preserve"> </w:t>
            </w:r>
            <w:r>
              <w:rPr>
                <w:bCs/>
                <w:b/>
              </w:rPr>
              <w:t xml:space="preserve">Modérément insatisfaisant</w:t>
            </w:r>
            <w:r>
              <w:t xml:space="preserve"> </w:t>
            </w:r>
            <w:r>
              <w:t xml:space="preserve">(PDO et exécution) ; IDA 50,4 % décaissé, SREP prêt 12,9 %</w:t>
            </w:r>
          </w:p>
        </w:tc>
        <w:tc>
          <w:tcPr>
            <w:tcW w:w="802" w:type="dxa"/>
          </w:tcPr>
          <w:tcPr/>
          <w:p>
            <w:pPr>
              <w:pStyle w:val="Compact"/>
              <w:jc w:val="left"/>
            </w:pPr>
            <w:r>
              <w:t xml:space="preserve">[1][2]</w:t>
            </w:r>
          </w:p>
        </w:tc>
      </w:tr>
      <w:tr>
        <w:tc>
          <w:tcPr>
            <w:tcW w:w="3368" w:type="dxa"/>
          </w:tcPr>
          <w:tcPr/>
          <w:p>
            <w:pPr>
              <w:pStyle w:val="Compact"/>
              <w:jc w:val="left"/>
            </w:pPr>
            <w:r>
              <w:t xml:space="preserve">Lesotho First Programmatic Fiscal and Private Sector Development DPL, P503939 ; autres DPL (P507887, P180876)</w:t>
            </w:r>
          </w:p>
        </w:tc>
        <w:tc>
          <w:tcPr>
            <w:tcW w:w="1668" w:type="dxa"/>
          </w:tcPr>
          <w:tcPr/>
          <w:p>
            <w:pPr>
              <w:pStyle w:val="Compact"/>
              <w:jc w:val="left"/>
            </w:pPr>
            <w:r>
              <w:t xml:space="preserve">BM</w:t>
            </w:r>
          </w:p>
        </w:tc>
        <w:tc>
          <w:tcPr>
            <w:tcW w:w="1598" w:type="dxa"/>
          </w:tcPr>
          <w:tcPr/>
          <w:p>
            <w:pPr>
              <w:pStyle w:val="Compact"/>
              <w:jc w:val="left"/>
            </w:pPr>
            <w:r>
              <w:t xml:space="preserve">30 M US$ ; [?] ; 20 M US$</w:t>
            </w:r>
          </w:p>
        </w:tc>
        <w:tc>
          <w:tcPr>
            <w:tcW w:w="1163" w:type="dxa"/>
          </w:tcPr>
          <w:tcPr/>
          <w:p>
            <w:pPr>
              <w:pStyle w:val="Compact"/>
              <w:jc w:val="left"/>
            </w:pPr>
            <w:r>
              <w:t xml:space="preserve">pipeline</w:t>
            </w:r>
          </w:p>
        </w:tc>
        <w:tc>
          <w:tcPr>
            <w:tcW w:w="3170" w:type="dxa"/>
          </w:tcPr>
          <w:tcPr/>
          <w:p>
            <w:pPr>
              <w:pStyle w:val="Compact"/>
              <w:jc w:val="left"/>
            </w:pPr>
            <w:r>
              <w:t xml:space="preserve">[?] actions préalables énergie non vérifiées</w:t>
            </w:r>
          </w:p>
        </w:tc>
        <w:tc>
          <w:tcPr>
            <w:tcW w:w="871" w:type="dxa"/>
          </w:tcPr>
          <w:tcPr/>
          <w:p>
            <w:pPr>
              <w:pStyle w:val="Compact"/>
              <w:jc w:val="left"/>
            </w:pPr>
            <w:r>
              <w:t xml:space="preserve">—</w:t>
            </w:r>
          </w:p>
        </w:tc>
        <w:tc>
          <w:tcPr>
            <w:tcW w:w="1926" w:type="dxa"/>
          </w:tcPr>
          <w:tcPr/>
          <w:p>
            <w:pPr>
              <w:pStyle w:val="Compact"/>
              <w:jc w:val="left"/>
            </w:pPr>
            <w:r>
              <w:t xml:space="preserve">pipeline</w:t>
            </w:r>
          </w:p>
        </w:tc>
        <w:tc>
          <w:tcPr>
            <w:tcW w:w="802" w:type="dxa"/>
          </w:tcPr>
          <w:tcPr/>
          <w:p>
            <w:pPr>
              <w:pStyle w:val="Compact"/>
              <w:jc w:val="left"/>
            </w:pPr>
            <w:r>
              <w:t xml:space="preserve">API BM</w:t>
            </w:r>
          </w:p>
        </w:tc>
      </w:tr>
      <w:tr>
        <w:tc>
          <w:tcPr>
            <w:tcW w:w="3368" w:type="dxa"/>
          </w:tcPr>
          <w:tcPr/>
          <w:p>
            <w:pPr>
              <w:pStyle w:val="Compact"/>
              <w:jc w:val="left"/>
            </w:pPr>
            <w:r>
              <w:t xml:space="preserve">AESTAP Mission 300 Phase II</w:t>
            </w:r>
          </w:p>
        </w:tc>
        <w:tc>
          <w:tcPr>
            <w:tcW w:w="1668" w:type="dxa"/>
          </w:tcPr>
          <w:tcPr/>
          <w:p>
            <w:pPr>
              <w:pStyle w:val="Compact"/>
              <w:jc w:val="left"/>
            </w:pPr>
            <w:r>
              <w:t xml:space="preserve">BAD</w:t>
            </w:r>
          </w:p>
        </w:tc>
        <w:tc>
          <w:tcPr>
            <w:tcW w:w="1598" w:type="dxa"/>
          </w:tcPr>
          <w:tcPr/>
          <w:p>
            <w:pPr>
              <w:pStyle w:val="Compact"/>
              <w:jc w:val="left"/>
            </w:pPr>
            <w:r>
              <w:t xml:space="preserve">3,9 M US$ (13 pays)</w:t>
            </w:r>
          </w:p>
        </w:tc>
        <w:tc>
          <w:tcPr>
            <w:tcW w:w="1163" w:type="dxa"/>
          </w:tcPr>
          <w:tcPr/>
          <w:p>
            <w:pPr>
              <w:pStyle w:val="Compact"/>
              <w:jc w:val="left"/>
            </w:pPr>
            <w:r>
              <w:t xml:space="preserve">2026</w:t>
            </w:r>
          </w:p>
        </w:tc>
        <w:tc>
          <w:tcPr>
            <w:tcW w:w="3170" w:type="dxa"/>
          </w:tcPr>
          <w:tcPr/>
          <w:p>
            <w:pPr>
              <w:pStyle w:val="Compact"/>
              <w:jc w:val="left"/>
            </w:pPr>
            <w:r>
              <w:t xml:space="preserve">Régulation, tarifs, utilities, conseillers CDMU —</w:t>
            </w:r>
            <w:r>
              <w:t xml:space="preserve"> </w:t>
            </w:r>
            <w:r>
              <w:rPr>
                <w:bCs/>
                <w:b/>
              </w:rPr>
              <w:t xml:space="preserve">Lesotho bénéficiaire</w:t>
            </w:r>
          </w:p>
        </w:tc>
        <w:tc>
          <w:tcPr>
            <w:tcW w:w="871" w:type="dxa"/>
          </w:tcPr>
          <w:tcPr/>
          <w:p>
            <w:pPr>
              <w:pStyle w:val="Compact"/>
              <w:jc w:val="left"/>
            </w:pPr>
            <w:r>
              <w:t xml:space="preserve">—</w:t>
            </w:r>
          </w:p>
        </w:tc>
        <w:tc>
          <w:tcPr>
            <w:tcW w:w="1926" w:type="dxa"/>
          </w:tcPr>
          <w:tcPr/>
          <w:p>
            <w:pPr>
              <w:pStyle w:val="Compact"/>
              <w:jc w:val="left"/>
            </w:pPr>
            <w:r>
              <w:t xml:space="preserve">approuvé</w:t>
            </w:r>
          </w:p>
        </w:tc>
        <w:tc>
          <w:tcPr>
            <w:tcW w:w="802" w:type="dxa"/>
          </w:tcPr>
          <w:tcPr/>
          <w:p>
            <w:pPr>
              <w:pStyle w:val="Compact"/>
              <w:jc w:val="left"/>
            </w:pPr>
            <w:r>
              <w:t xml:space="preserve">[10] [S]</w:t>
            </w:r>
          </w:p>
        </w:tc>
      </w:tr>
      <w:tr>
        <w:tc>
          <w:tcPr>
            <w:tcW w:w="3368" w:type="dxa"/>
          </w:tcPr>
          <w:tcPr/>
          <w:p>
            <w:pPr>
              <w:pStyle w:val="Compact"/>
              <w:jc w:val="left"/>
            </w:pPr>
            <w:r>
              <w:t xml:space="preserve">Financement BAD de 10,6 M US$ cité dans le pacte</w:t>
            </w:r>
          </w:p>
        </w:tc>
        <w:tc>
          <w:tcPr>
            <w:tcW w:w="1668" w:type="dxa"/>
          </w:tcPr>
          <w:tcPr/>
          <w:p>
            <w:pPr>
              <w:pStyle w:val="Compact"/>
              <w:jc w:val="left"/>
            </w:pPr>
            <w:r>
              <w:t xml:space="preserve">BAD</w:t>
            </w:r>
          </w:p>
        </w:tc>
        <w:tc>
          <w:tcPr>
            <w:tcW w:w="1598" w:type="dxa"/>
          </w:tcPr>
          <w:tcPr/>
          <w:p>
            <w:pPr>
              <w:pStyle w:val="Compact"/>
              <w:jc w:val="left"/>
            </w:pPr>
            <w:r>
              <w:t xml:space="preserve">10,6 M US$ (pacte)</w:t>
            </w:r>
          </w:p>
        </w:tc>
        <w:tc>
          <w:tcPr>
            <w:tcW w:w="1163" w:type="dxa"/>
          </w:tcPr>
          <w:tcPr/>
          <w:p>
            <w:pPr>
              <w:pStyle w:val="Compact"/>
              <w:jc w:val="left"/>
            </w:pPr>
            <w:r>
              <w:t xml:space="preserve">—</w:t>
            </w:r>
          </w:p>
        </w:tc>
        <w:tc>
          <w:tcPr>
            <w:tcW w:w="3170" w:type="dxa"/>
          </w:tcPr>
          <w:tcPr/>
          <w:p>
            <w:pPr>
              <w:pStyle w:val="Compact"/>
              <w:jc w:val="left"/>
            </w:pPr>
            <w:r>
              <w:t xml:space="preserve">[?]</w:t>
            </w:r>
          </w:p>
        </w:tc>
        <w:tc>
          <w:tcPr>
            <w:tcW w:w="871" w:type="dxa"/>
          </w:tcPr>
          <w:tcPr/>
          <w:p>
            <w:pPr>
              <w:pStyle w:val="Compact"/>
              <w:jc w:val="left"/>
            </w:pPr>
            <w:r>
              <w:t xml:space="preserve">—</w:t>
            </w:r>
          </w:p>
        </w:tc>
        <w:tc>
          <w:tcPr>
            <w:tcW w:w="1926" w:type="dxa"/>
          </w:tcPr>
          <w:tcPr/>
          <w:p>
            <w:pPr>
              <w:pStyle w:val="Compact"/>
              <w:jc w:val="left"/>
            </w:pPr>
            <w:r>
              <w:t xml:space="preserve">[?] non vérifié (afdb.org 403)</w:t>
            </w:r>
          </w:p>
        </w:tc>
        <w:tc>
          <w:tcPr>
            <w:tcW w:w="802" w:type="dxa"/>
          </w:tcPr>
          <w:tcPr/>
          <w:p>
            <w:pPr>
              <w:pStyle w:val="Compact"/>
              <w:jc w:val="left"/>
            </w:pPr>
            <w:r>
              <w:t xml:space="preserve">pacte</w:t>
            </w:r>
          </w:p>
        </w:tc>
      </w:tr>
      <w:tr>
        <w:tc>
          <w:tcPr>
            <w:tcW w:w="3368" w:type="dxa"/>
          </w:tcPr>
          <w:tcPr/>
          <w:p>
            <w:pPr>
              <w:pStyle w:val="Compact"/>
              <w:jc w:val="left"/>
            </w:pPr>
            <w:r>
              <w:t xml:space="preserve">Ramarothole 50 MW (LEGCo)</w:t>
            </w:r>
          </w:p>
        </w:tc>
        <w:tc>
          <w:tcPr>
            <w:tcW w:w="1668" w:type="dxa"/>
          </w:tcPr>
          <w:tcPr/>
          <w:p>
            <w:pPr>
              <w:pStyle w:val="Compact"/>
              <w:jc w:val="left"/>
            </w:pPr>
            <w:r>
              <w:t xml:space="preserve">Exim Bank de Chine</w:t>
            </w:r>
          </w:p>
        </w:tc>
        <w:tc>
          <w:tcPr>
            <w:tcW w:w="1598" w:type="dxa"/>
          </w:tcPr>
          <w:tcPr/>
          <w:p>
            <w:pPr>
              <w:pStyle w:val="Compact"/>
              <w:jc w:val="left"/>
            </w:pPr>
            <w:r>
              <w:t xml:space="preserve">67,4 M US$ (pacte)</w:t>
            </w:r>
          </w:p>
        </w:tc>
        <w:tc>
          <w:tcPr>
            <w:tcW w:w="1163" w:type="dxa"/>
          </w:tcPr>
          <w:tcPr/>
          <w:p>
            <w:pPr>
              <w:pStyle w:val="Compact"/>
              <w:jc w:val="left"/>
            </w:pPr>
            <w:r>
              <w:t xml:space="preserve">—</w:t>
            </w:r>
          </w:p>
        </w:tc>
        <w:tc>
          <w:tcPr>
            <w:tcW w:w="3170" w:type="dxa"/>
          </w:tcPr>
          <w:tcPr/>
          <w:p>
            <w:pPr>
              <w:pStyle w:val="Compact"/>
              <w:jc w:val="left"/>
            </w:pPr>
            <w:r>
              <w:t xml:space="preserve">Production nationale</w:t>
            </w:r>
          </w:p>
        </w:tc>
        <w:tc>
          <w:tcPr>
            <w:tcW w:w="871" w:type="dxa"/>
          </w:tcPr>
          <w:tcPr/>
          <w:p>
            <w:pPr>
              <w:pStyle w:val="Compact"/>
              <w:jc w:val="left"/>
            </w:pPr>
            <w:r>
              <w:t xml:space="preserve">—</w:t>
            </w:r>
          </w:p>
        </w:tc>
        <w:tc>
          <w:tcPr>
            <w:tcW w:w="1926" w:type="dxa"/>
          </w:tcPr>
          <w:tcPr/>
          <w:p>
            <w:pPr>
              <w:pStyle w:val="Compact"/>
              <w:jc w:val="left"/>
            </w:pPr>
            <w:r>
              <w:t xml:space="preserve">[?]</w:t>
            </w:r>
          </w:p>
        </w:tc>
        <w:tc>
          <w:tcPr>
            <w:tcW w:w="802" w:type="dxa"/>
          </w:tcPr>
          <w:tcPr/>
          <w:p>
            <w:pPr>
              <w:pStyle w:val="Compact"/>
              <w:jc w:val="left"/>
            </w:pPr>
            <w:r>
              <w:t xml:space="preserve">pacte</w:t>
            </w:r>
          </w:p>
        </w:tc>
      </w:tr>
    </w:tbl>
    <w:bookmarkEnd w:id="227"/>
    <w:bookmarkStart w:id="228" w:name="écart-pacte-réalité-18"/>
    <w:p>
      <w:pPr>
        <w:pStyle w:val="Heading3"/>
      </w:pPr>
      <w:r>
        <w:t xml:space="preserve">5. Écart pacte ↔ réalité</w:t>
      </w:r>
    </w:p>
    <w:p>
      <w:pPr>
        <w:numPr>
          <w:ilvl w:val="0"/>
          <w:numId w:val="1117"/>
        </w:numPr>
        <w:pStyle w:val="Compact"/>
      </w:pPr>
      <w:r>
        <w:rPr>
          <w:bCs/>
          <w:b/>
        </w:rPr>
        <w:t xml:space="preserve">Résultat net +20,3 M US$</w:t>
      </w:r>
      <w:r>
        <w:t xml:space="preserve"> </w:t>
      </w:r>
      <w:r>
        <w:t xml:space="preserve">(pacte) contre une situation de</w:t>
      </w:r>
      <w:r>
        <w:t xml:space="preserve"> </w:t>
      </w:r>
      <w:r>
        <w:rPr>
          <w:bCs/>
          <w:b/>
        </w:rPr>
        <w:t xml:space="preserve">quasi-insolvabilité</w:t>
      </w:r>
      <w:r>
        <w:t xml:space="preserve"> </w:t>
      </w:r>
      <w:r>
        <w:t xml:space="preserve">: passif courant &gt; actif de 98,6 M LSL, trésorerie en chute, flux d’exploitation négatifs, injection de 300 M LSL de l’État, disclaimer de l’Auditeur général [4][5][6]. Le chiffre du pacte est</w:t>
      </w:r>
      <w:r>
        <w:t xml:space="preserve"> </w:t>
      </w:r>
      <w:r>
        <w:rPr>
          <w:bCs/>
          <w:b/>
        </w:rPr>
        <w:t xml:space="preserve">incompatible</w:t>
      </w:r>
      <w:r>
        <w:t xml:space="preserve"> </w:t>
      </w:r>
      <w:r>
        <w:t xml:space="preserve">avec les sources disponibles et n’est pas daté.</w:t>
      </w:r>
    </w:p>
    <w:p>
      <w:pPr>
        <w:numPr>
          <w:ilvl w:val="0"/>
          <w:numId w:val="1117"/>
        </w:numPr>
        <w:pStyle w:val="Compact"/>
      </w:pPr>
      <w:r>
        <w:rPr>
          <w:bCs/>
          <w:b/>
        </w:rPr>
        <w:t xml:space="preserve">Pertes AT&amp;C 10 %</w:t>
      </w:r>
      <w:r>
        <w:t xml:space="preserve"> </w:t>
      </w:r>
      <w:r>
        <w:t xml:space="preserve">(pacte) : aucune source primaire ; la qualité des comptes (écritures non justifiées) rend toute mesure des pertes commerciales incertaine [E].</w:t>
      </w:r>
    </w:p>
    <w:p>
      <w:pPr>
        <w:numPr>
          <w:ilvl w:val="0"/>
          <w:numId w:val="1117"/>
        </w:numPr>
        <w:pStyle w:val="Compact"/>
      </w:pPr>
      <w:r>
        <w:rPr>
          <w:bCs/>
          <w:b/>
        </w:rPr>
        <w:t xml:space="preserve">États financiers annuels audités dès déc. 2025</w:t>
      </w:r>
      <w:r>
        <w:t xml:space="preserve"> </w:t>
      </w:r>
      <w:r>
        <w:t xml:space="preserve">(pacte) : jalon en retard ; le dernier exercice audité connu (2022/23) a reçu un disclaimer [4].</w:t>
      </w:r>
    </w:p>
    <w:p>
      <w:pPr>
        <w:numPr>
          <w:ilvl w:val="0"/>
          <w:numId w:val="1117"/>
        </w:numPr>
        <w:pStyle w:val="Compact"/>
      </w:pPr>
      <w:r>
        <w:rPr>
          <w:bCs/>
          <w:b/>
        </w:rPr>
        <w:t xml:space="preserve">Tarif « à déterminer après l’étude de coût de service »</w:t>
      </w:r>
      <w:r>
        <w:t xml:space="preserve"> </w:t>
      </w:r>
      <w:r>
        <w:t xml:space="preserve">(pacte) : entre-temps, LEWA a accordé +9,6 % (2024, et possiblement 2025) contre +23 %/+15 % demandés [7], alors que le coût des achats a crû de 46,85 % en un an [5].</w:t>
      </w:r>
    </w:p>
    <w:bookmarkEnd w:id="228"/>
    <w:bookmarkStart w:id="229" w:name="diagnostic-synthétique-18"/>
    <w:p>
      <w:pPr>
        <w:pStyle w:val="Heading3"/>
      </w:pPr>
      <w:r>
        <w:t xml:space="preserve">6. Diagnostic synthétique</w:t>
      </w:r>
    </w:p>
    <w:p>
      <w:pPr>
        <w:numPr>
          <w:ilvl w:val="0"/>
          <w:numId w:val="1118"/>
        </w:numPr>
        <w:pStyle w:val="Compact"/>
      </w:pPr>
      <w:r>
        <w:rPr>
          <w:bCs/>
          <w:b/>
        </w:rPr>
        <w:t xml:space="preserve">Financière : très faible</w:t>
      </w:r>
      <w:r>
        <w:t xml:space="preserve"> </w:t>
      </w:r>
      <w:r>
        <w:t xml:space="preserve">— illiquidité, dépendance aux injections publiques, comptes non fiables.</w:t>
      </w:r>
    </w:p>
    <w:p>
      <w:pPr>
        <w:numPr>
          <w:ilvl w:val="0"/>
          <w:numId w:val="1118"/>
        </w:numPr>
        <w:pStyle w:val="Compact"/>
      </w:pPr>
      <w:r>
        <w:rPr>
          <w:bCs/>
          <w:b/>
        </w:rPr>
        <w:t xml:space="preserve">Technique : moyenne</w:t>
      </w:r>
      <w:r>
        <w:t xml:space="preserve"> </w:t>
      </w:r>
      <w:r>
        <w:t xml:space="preserve">— réseau de taille modeste ; dépendance de 89 % aux importations [S].</w:t>
      </w:r>
    </w:p>
    <w:p>
      <w:pPr>
        <w:numPr>
          <w:ilvl w:val="0"/>
          <w:numId w:val="1118"/>
        </w:numPr>
        <w:pStyle w:val="Compact"/>
      </w:pPr>
      <w:r>
        <w:rPr>
          <w:bCs/>
          <w:b/>
        </w:rPr>
        <w:t xml:space="preserve">Gouvernance : très faible</w:t>
      </w:r>
      <w:r>
        <w:t xml:space="preserve"> </w:t>
      </w:r>
      <w:r>
        <w:t xml:space="preserve">— disclaimer d’audit, enquête forensique, direction suspendue, contentieux tarifaire.</w:t>
      </w:r>
    </w:p>
    <w:p>
      <w:pPr>
        <w:numPr>
          <w:ilvl w:val="0"/>
          <w:numId w:val="1118"/>
        </w:numPr>
        <w:pStyle w:val="Compact"/>
      </w:pPr>
      <w:r>
        <w:rPr>
          <w:bCs/>
          <w:b/>
        </w:rPr>
        <w:t xml:space="preserve">Causes racines</w:t>
      </w:r>
      <w:r>
        <w:t xml:space="preserve"> </w:t>
      </w:r>
      <w:r>
        <w:t xml:space="preserve">: (1) coût des importations (Eskom/EDM) non répercuté dans des tarifs fixés sous le coût ; (2) gouvernance interne défaillante (contrôles comptables, irrégularités alléguées) ; (3) absence de production nationale compétitive.</w:t>
      </w:r>
    </w:p>
    <w:p>
      <w:pPr>
        <w:numPr>
          <w:ilvl w:val="0"/>
          <w:numId w:val="1118"/>
        </w:numPr>
        <w:pStyle w:val="Compact"/>
      </w:pPr>
      <w:r>
        <w:rPr>
          <w:bCs/>
          <w:b/>
        </w:rPr>
        <w:t xml:space="preserve">Phase 3</w:t>
      </w:r>
      <w:r>
        <w:t xml:space="preserve"> </w:t>
      </w:r>
      <w:r>
        <w:t xml:space="preserve">: coût d’achat par source (Eskom, EDM, ’Muela), étude de coût de service LEWA, tarif lifeline.</w:t>
      </w:r>
    </w:p>
    <w:bookmarkEnd w:id="229"/>
    <w:bookmarkStart w:id="230" w:name="inconnus-18"/>
    <w:p>
      <w:pPr>
        <w:pStyle w:val="Heading3"/>
      </w:pPr>
      <w:r>
        <w:t xml:space="preserve">7. Inconnus</w:t>
      </w:r>
    </w:p>
    <w:p>
      <w:pPr>
        <w:numPr>
          <w:ilvl w:val="0"/>
          <w:numId w:val="1119"/>
        </w:numPr>
        <w:pStyle w:val="Compact"/>
      </w:pPr>
      <w:r>
        <w:t xml:space="preserve">[?] États financiers de LEC 2023/24 et 2024/25 (non publiés ou non trouvés) ; chiffre d’affaires et résultat net.</w:t>
      </w:r>
    </w:p>
    <w:p>
      <w:pPr>
        <w:numPr>
          <w:ilvl w:val="0"/>
          <w:numId w:val="1119"/>
        </w:numPr>
        <w:pStyle w:val="Compact"/>
      </w:pPr>
      <w:r>
        <w:t xml:space="preserve">[?] Dettes exactes envers Eskom et EDM ; arriérés des institutions publiques envers LEC.</w:t>
      </w:r>
    </w:p>
    <w:p>
      <w:pPr>
        <w:numPr>
          <w:ilvl w:val="0"/>
          <w:numId w:val="1119"/>
        </w:numPr>
        <w:pStyle w:val="Compact"/>
      </w:pPr>
      <w:r>
        <w:t xml:space="preserve">[?] Pertes techniques et commerciales mesurées ; taux de recouvrement.</w:t>
      </w:r>
    </w:p>
    <w:p>
      <w:pPr>
        <w:numPr>
          <w:ilvl w:val="0"/>
          <w:numId w:val="1119"/>
        </w:numPr>
        <w:pStyle w:val="Compact"/>
      </w:pPr>
      <w:r>
        <w:t xml:space="preserve">[?] Contenu final du PIP (finalisation annoncée début 2025) et ISR 2025-2026 du LREEAP.</w:t>
      </w:r>
    </w:p>
    <w:p>
      <w:pPr>
        <w:numPr>
          <w:ilvl w:val="0"/>
          <w:numId w:val="1119"/>
        </w:numPr>
        <w:pStyle w:val="Compact"/>
      </w:pPr>
      <w:r>
        <w:t xml:space="preserve">[?] Programmes BAD (10,6 M US$ selon le pacte) — afdb.org inaccessible.</w:t>
      </w:r>
    </w:p>
    <w:bookmarkEnd w:id="230"/>
    <w:bookmarkStart w:id="231" w:name="sources-19"/>
    <w:p>
      <w:pPr>
        <w:pStyle w:val="Heading3"/>
      </w:pPr>
      <w:r>
        <w:t xml:space="preserve">Sources</w:t>
      </w:r>
    </w:p>
    <w:p>
      <w:pPr>
        <w:pStyle w:val="FirstParagraph"/>
      </w:pPr>
      <w:r>
        <w:t xml:space="preserve">[1] Banque mondiale,</w:t>
      </w:r>
      <w:r>
        <w:t xml:space="preserve"> </w:t>
      </w:r>
      <w:r>
        <w:rPr>
          <w:iCs/>
          <w:i/>
        </w:rPr>
        <w:t xml:space="preserve">ISR Seq. 10 — Lesotho Renewable Energy &amp; Energy Access Project (P166936)</w:t>
      </w:r>
      <w:r>
        <w:t xml:space="preserve">, 28/01/2025. http://documents.worldbank.org/curated/en/099012825132027938/pdf/P16693613c59c2059187971c3ebe41324d4.pdf</w:t>
      </w:r>
      <w:r>
        <w:t xml:space="preserve"> </w:t>
      </w:r>
      <w:r>
        <w:t xml:space="preserve">[2] Banque mondiale,</w:t>
      </w:r>
      <w:r>
        <w:t xml:space="preserve"> </w:t>
      </w:r>
      <w:r>
        <w:rPr>
          <w:iCs/>
          <w:i/>
        </w:rPr>
        <w:t xml:space="preserve">Disclosable Restructuring Paper — LREEAP (P166936)</w:t>
      </w:r>
      <w:r>
        <w:t xml:space="preserve">, 29/03/2024. http://documents.worldbank.org/curated/en/099032924054085378/pdf/P1669361feecef0b819b501d12c3d4b3445.pdf</w:t>
      </w:r>
      <w:r>
        <w:t xml:space="preserve"> </w:t>
      </w:r>
      <w:r>
        <w:t xml:space="preserve">[3] API projets Banque mondiale, consultée le 18/10/2026 (P166936, P503939, P507887, P180876).</w:t>
      </w:r>
      <w:r>
        <w:t xml:space="preserve"> </w:t>
      </w:r>
      <w:r>
        <w:t xml:space="preserve">[4] Lesotho Times, 20/03/2026, « LEC fails to account for M400m » (rapport de l’Auditeur général, exercice clos le 31/03/2023). https://lestimes.com/?p=90057 [S]</w:t>
      </w:r>
      <w:r>
        <w:t xml:space="preserve"> </w:t>
      </w:r>
      <w:r>
        <w:t xml:space="preserve">[5] Lesotho Tribune, 28/06/2026 (audit externe remis au ministère de l’Énergie en janv. 2025 ; coûts d’achat 2022/23-2023/24 ; injection de 300 M LSL). https://lesothotribune.co.ls/?p=13585 [S]</w:t>
      </w:r>
      <w:r>
        <w:t xml:space="preserve"> </w:t>
      </w:r>
      <w:r>
        <w:t xml:space="preserve">[6] Lesotho Times, tribunes 2026 (flux de trésorerie, projet d’états 2024/25, prêt d’urgence de 238 M LSL, pertes alléguées) [S] (extraits via moteur de recherche).</w:t>
      </w:r>
      <w:r>
        <w:t xml:space="preserve"> </w:t>
      </w:r>
      <w:r>
        <w:t xml:space="preserve">[7] Public Eye News, 27/03/2024, 22/04/2024 et 08/04/2025 (décision LEWA +9,6286 % / lifeline +5 % ; contentieux Section 2) [S].</w:t>
      </w:r>
      <w:r>
        <w:t xml:space="preserve"> </w:t>
      </w:r>
      <w:r>
        <w:t xml:space="preserve">[8] Lesotho Times, 30/05/2026 (rapport de l’Auditeur général sur les comptes consolidés de l’État 2023/24 : arriérés 2,81 Md LSL) [S].</w:t>
      </w:r>
      <w:r>
        <w:t xml:space="preserve"> </w:t>
      </w:r>
      <w:r>
        <w:t xml:space="preserve">[9] Lesotho Times, 2026, « LEC loses M9m to vandalism » [S].</w:t>
      </w:r>
      <w:r>
        <w:t xml:space="preserve"> </w:t>
      </w:r>
      <w:r>
        <w:t xml:space="preserve">[10] SolarQuarter, 02/02/2026 (AESTAP Mission 300 Phase II) [S].</w:t>
      </w:r>
    </w:p>
    <w:p>
      <w:r>
        <w:br w:type="page"/>
      </w:r>
    </w:p>
    <w:bookmarkEnd w:id="231"/>
    <w:bookmarkEnd w:id="232"/>
    <w:bookmarkStart w:id="242" w:name="diagnostic-opérateur-jirama-madagascar"/>
    <w:p>
      <w:pPr>
        <w:pStyle w:val="Heading2"/>
      </w:pPr>
      <w:r>
        <w:t xml:space="preserve">Diagnostic opérateur — JIRAMA (Madagascar)</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rapport FMI) ·</w:t>
      </w:r>
      <w:r>
        <w:t xml:space="preserve"> </w:t>
      </w:r>
      <w:r>
        <w:rPr>
          <w:bCs/>
          <w:b/>
        </w:rPr>
        <w:t xml:space="preserve">[S]</w:t>
      </w:r>
      <w:r>
        <w:t xml:space="preserve"> </w:t>
      </w:r>
      <w:r>
        <w:t xml:space="preserve">source secondaire (presse, base de données tierce)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../../phase1/fiches/MDG_madagascar.md (cité « (pacte) »).</w:t>
      </w:r>
      <w:r>
        <w:t xml:space="preserve"> </w:t>
      </w:r>
      <w:r>
        <w:t xml:space="preserve">Unités : Mds MGA = milliards d’ariary. Les comptes de la JIRAMA sont</w:t>
      </w:r>
      <w:r>
        <w:t xml:space="preserve"> </w:t>
      </w:r>
      <w:r>
        <w:rPr>
          <w:bCs/>
          <w:b/>
        </w:rPr>
        <w:t xml:space="preserve">consolidés eau + électricité</w:t>
      </w:r>
      <w:r>
        <w:t xml:space="preserve"> </w:t>
      </w:r>
      <w:r>
        <w:t xml:space="preserve">(pas de séparation sectorielle) [V][3].</w:t>
      </w:r>
    </w:p>
    <w:bookmarkStart w:id="233" w:name="identité-19"/>
    <w:p>
      <w:pPr>
        <w:pStyle w:val="Heading3"/>
      </w:pPr>
      <w:r>
        <w:t xml:space="preserve">0. Identité</w:t>
      </w:r>
    </w:p>
    <w:p>
      <w:pPr>
        <w:numPr>
          <w:ilvl w:val="0"/>
          <w:numId w:val="1120"/>
        </w:numPr>
        <w:pStyle w:val="Compact"/>
      </w:pPr>
      <w:r>
        <w:t xml:space="preserve">Opérateur : JIRAMA (Jiro sy Rano Malagasy), société d’État verticalement intégrée (production, transport, distribution d’électricité, plus l’eau). Elle achète une part croissante de son énergie à des IPP et à des loueurs de groupes thermiques [V][3][4].</w:t>
      </w:r>
    </w:p>
    <w:p>
      <w:pPr>
        <w:numPr>
          <w:ilvl w:val="0"/>
          <w:numId w:val="1120"/>
        </w:numPr>
        <w:pStyle w:val="Compact"/>
      </w:pPr>
      <w:r>
        <w:t xml:space="preserve">Statut, actionnariat, tutelle : État actionnaire unique. Capital social de 52 Mds MGA, dont 50 Mds MGA toujours non libérés dans les comptes [V][1]. Tutelle technique du MEH, tutelle financière du MEF [V][3].</w:t>
      </w:r>
    </w:p>
    <w:p>
      <w:pPr>
        <w:numPr>
          <w:ilvl w:val="1"/>
          <w:numId w:val="1121"/>
        </w:numPr>
        <w:pStyle w:val="Compact"/>
      </w:pPr>
      <w:r>
        <w:t xml:space="preserve">Les statuts de 1975 (ordonnance 75-024) n’étaient pas conformes aux lois 2003-036 et 2014-014.</w:t>
      </w:r>
    </w:p>
    <w:p>
      <w:pPr>
        <w:numPr>
          <w:ilvl w:val="1"/>
          <w:numId w:val="1121"/>
        </w:numPr>
        <w:pStyle w:val="Compact"/>
      </w:pPr>
      <w:r>
        <w:t xml:space="preserve">De nouveaux statuts ont été adoptés en AGE le 27 mars 2025 [V][1]. Le document de programme de la DPO2 les date du 28 mars 2025 [V][5].</w:t>
      </w:r>
    </w:p>
    <w:p>
      <w:pPr>
        <w:numPr>
          <w:ilvl w:val="1"/>
          <w:numId w:val="1121"/>
        </w:numPr>
        <w:pStyle w:val="Compact"/>
      </w:pPr>
      <w:r>
        <w:t xml:space="preserve">Ces statuts sont une action préalable de la DPO2 BM (PA#7) : processus de sélection du conseil d’administration et mise sous supervision financière ordinaire [V][5].</w:t>
      </w:r>
    </w:p>
    <w:p>
      <w:pPr>
        <w:numPr>
          <w:ilvl w:val="0"/>
          <w:numId w:val="1120"/>
        </w:numPr>
        <w:pStyle w:val="Compact"/>
      </w:pPr>
      <w:r>
        <w:t xml:space="preserve">Régulateur : l’ORE, remplacé par l’ARELEC, désormais « activé » selon la BM (2026) [V][6]. Le CAC 2024 relève des redevances dues à l’ORE et non payées [V][1].</w:t>
      </w:r>
    </w:p>
    <w:p>
      <w:pPr>
        <w:numPr>
          <w:ilvl w:val="0"/>
          <w:numId w:val="1120"/>
        </w:numPr>
        <w:pStyle w:val="Compact"/>
      </w:pPr>
      <w:r>
        <w:t xml:space="preserve">Dernier exercice publié :</w:t>
      </w:r>
      <w:r>
        <w:t xml:space="preserve"> </w:t>
      </w:r>
      <w:r>
        <w:rPr>
          <w:bCs/>
          <w:b/>
        </w:rPr>
        <w:t xml:space="preserve">2024</w:t>
      </w:r>
      <w:r>
        <w:t xml:space="preserve">. Mémorandum du commissaire aux comptes daté du 21 janvier 2026, publié sur jirama.mg en mars 2026 [V][1].</w:t>
      </w:r>
    </w:p>
    <w:p>
      <w:pPr>
        <w:numPr>
          <w:ilvl w:val="1"/>
          <w:numId w:val="1122"/>
        </w:numPr>
        <w:pStyle w:val="Compact"/>
      </w:pPr>
      <w:r>
        <w:t xml:space="preserve">Opinion</w:t>
      </w:r>
      <w:r>
        <w:t xml:space="preserve"> </w:t>
      </w:r>
      <w:r>
        <w:rPr>
          <w:bCs/>
          <w:b/>
        </w:rPr>
        <w:t xml:space="preserve">défavorable (non-certification)</w:t>
      </w:r>
      <w:r>
        <w:t xml:space="preserve"> </w:t>
      </w:r>
      <w:r>
        <w:t xml:space="preserve">en 2024 comme en 2023 [V][1][2]. Pour 2020-2022, c’était une impossibilité d’exprimer une opinion [V][2][3].</w:t>
      </w:r>
    </w:p>
    <w:p>
      <w:pPr>
        <w:numPr>
          <w:ilvl w:val="1"/>
          <w:numId w:val="1122"/>
        </w:numPr>
        <w:pStyle w:val="Compact"/>
      </w:pPr>
      <w:r>
        <w:t xml:space="preserve">Les comptes 2025 sont en cours d’audit (août 2026) [V][7].</w:t>
      </w:r>
    </w:p>
    <w:p>
      <w:pPr>
        <w:numPr>
          <w:ilvl w:val="0"/>
          <w:numId w:val="1120"/>
        </w:numPr>
        <w:pStyle w:val="Compact"/>
      </w:pPr>
      <w:r>
        <w:t xml:space="preserve">Contexte politique : une mobilisation de la jeunesse fin 2025 a conduit à une « transition politique » et à un nouveau gouvernement [V][6].</w:t>
      </w:r>
    </w:p>
    <w:bookmarkEnd w:id="233"/>
    <w:bookmarkStart w:id="234" w:name="situation-financière-19"/>
    <w:p>
      <w:pPr>
        <w:pStyle w:val="Heading3"/>
      </w:pPr>
      <w:r>
        <w:t xml:space="preserve">1. Situation financière</w:t>
      </w:r>
    </w:p>
    <w:tbl>
      <w:tblPr>
        <w:tblStyle w:val="Table"/>
        <w:tblW w:type="dxa" w:w="14570"/>
        <w:tblLook w:firstRow="1" w:lastRow="0" w:firstColumn="0" w:lastColumn="0" w:noHBand="0" w:noVBand="0" w:val="0020"/>
        <w:jc w:val="start"/>
      </w:tblPr>
      <w:tblGrid>
        <w:gridCol w:w="3288"/>
        <w:gridCol w:w="7725"/>
        <w:gridCol w:w="1666"/>
        <w:gridCol w:w="954"/>
        <w:gridCol w:w="936"/>
      </w:tblGrid>
      <w:tr>
        <w:trPr>
          <w:tblHeader w:val="true"/>
        </w:trPr>
        <w:tc>
          <w:tcPr>
            <w:tcW w:w="3288" w:type="dxa"/>
          </w:tcPr>
          <w:tcPr/>
          <w:p>
            <w:pPr>
              <w:pStyle w:val="Compact"/>
              <w:jc w:val="left"/>
            </w:pPr>
            <w:r>
              <w:t xml:space="preserve">Indicateur</w:t>
            </w:r>
          </w:p>
        </w:tc>
        <w:tc>
          <w:tcPr>
            <w:tcW w:w="7725" w:type="dxa"/>
          </w:tcPr>
          <w:tcPr/>
          <w:p>
            <w:pPr>
              <w:pStyle w:val="Compact"/>
              <w:jc w:val="left"/>
            </w:pPr>
            <w:r>
              <w:t xml:space="preserve">Valeur</w:t>
            </w:r>
          </w:p>
        </w:tc>
        <w:tc>
          <w:tcPr>
            <w:tcW w:w="1666" w:type="dxa"/>
          </w:tcPr>
          <w:tcPr/>
          <w:p>
            <w:pPr>
              <w:pStyle w:val="Compact"/>
              <w:jc w:val="left"/>
            </w:pPr>
            <w:r>
              <w:t xml:space="preserve">Année</w:t>
            </w:r>
          </w:p>
        </w:tc>
        <w:tc>
          <w:tcPr>
            <w:tcW w:w="954" w:type="dxa"/>
          </w:tcPr>
          <w:tcPr/>
          <w:p>
            <w:pPr>
              <w:pStyle w:val="Compact"/>
              <w:jc w:val="left"/>
            </w:pPr>
            <w:r>
              <w:t xml:space="preserve">Statut</w:t>
            </w:r>
          </w:p>
        </w:tc>
        <w:tc>
          <w:tcPr>
            <w:tcW w:w="936" w:type="dxa"/>
          </w:tcPr>
          <w:tcPr/>
          <w:p>
            <w:pPr>
              <w:pStyle w:val="Compact"/>
              <w:jc w:val="left"/>
            </w:pPr>
            <w:r>
              <w:t xml:space="preserve">Source</w:t>
            </w:r>
          </w:p>
        </w:tc>
      </w:tr>
      <w:tr>
        <w:tc>
          <w:tcPr>
            <w:tcW w:w="3288" w:type="dxa"/>
          </w:tcPr>
          <w:tcPr/>
          <w:p>
            <w:pPr>
              <w:pStyle w:val="Compact"/>
              <w:jc w:val="left"/>
            </w:pPr>
            <w:r>
              <w:t xml:space="preserve">Chiffre d’affaires (eau + élec.)</w:t>
            </w:r>
          </w:p>
        </w:tc>
        <w:tc>
          <w:tcPr>
            <w:tcW w:w="7725" w:type="dxa"/>
          </w:tcPr>
          <w:tcPr/>
          <w:p>
            <w:pPr>
              <w:pStyle w:val="Compact"/>
              <w:jc w:val="left"/>
            </w:pPr>
            <w:r>
              <w:t xml:space="preserve">982 Mds MGA ; 935 ; 853 ; 755 ; 753</w:t>
            </w:r>
          </w:p>
        </w:tc>
        <w:tc>
          <w:tcPr>
            <w:tcW w:w="1666" w:type="dxa"/>
          </w:tcPr>
          <w:tcPr/>
          <w:p>
            <w:pPr>
              <w:pStyle w:val="Compact"/>
              <w:jc w:val="left"/>
            </w:pPr>
            <w:r>
              <w:t xml:space="preserve">2024 ; 2023 ; 2022 ; 2021 ; 2020</w:t>
            </w:r>
          </w:p>
        </w:tc>
        <w:tc>
          <w:tcPr>
            <w:tcW w:w="954" w:type="dxa"/>
          </w:tcPr>
          <w:tcPr/>
          <w:p>
            <w:pPr>
              <w:pStyle w:val="Compact"/>
              <w:jc w:val="left"/>
            </w:pPr>
            <w:r>
              <w:t xml:space="preserve">[V]</w:t>
            </w:r>
          </w:p>
        </w:tc>
        <w:tc>
          <w:tcPr>
            <w:tcW w:w="936" w:type="dxa"/>
          </w:tcPr>
          <w:tcPr/>
          <w:p>
            <w:pPr>
              <w:pStyle w:val="Compact"/>
              <w:jc w:val="left"/>
            </w:pPr>
            <w:r>
              <w:t xml:space="preserve">[1][2]</w:t>
            </w:r>
          </w:p>
        </w:tc>
      </w:tr>
      <w:tr>
        <w:tc>
          <w:tcPr>
            <w:tcW w:w="3288" w:type="dxa"/>
          </w:tcPr>
          <w:tcPr/>
          <w:p>
            <w:pPr>
              <w:pStyle w:val="Compact"/>
              <w:jc w:val="left"/>
            </w:pPr>
            <w:r>
              <w:t xml:space="preserve">dont ventes d’électricité et d’eau</w:t>
            </w:r>
          </w:p>
        </w:tc>
        <w:tc>
          <w:tcPr>
            <w:tcW w:w="7725" w:type="dxa"/>
          </w:tcPr>
          <w:tcPr/>
          <w:p>
            <w:pPr>
              <w:pStyle w:val="Compact"/>
              <w:jc w:val="left"/>
            </w:pPr>
            <w:r>
              <w:t xml:space="preserve">909,5 Mds MGA (+9 %)</w:t>
            </w:r>
          </w:p>
        </w:tc>
        <w:tc>
          <w:tcPr>
            <w:tcW w:w="1666" w:type="dxa"/>
          </w:tcPr>
          <w:tcPr/>
          <w:p>
            <w:pPr>
              <w:pStyle w:val="Compact"/>
              <w:jc w:val="left"/>
            </w:pPr>
            <w:r>
              <w:t xml:space="preserve">2023</w:t>
            </w:r>
          </w:p>
        </w:tc>
        <w:tc>
          <w:tcPr>
            <w:tcW w:w="954" w:type="dxa"/>
          </w:tcPr>
          <w:tcPr/>
          <w:p>
            <w:pPr>
              <w:pStyle w:val="Compact"/>
              <w:jc w:val="left"/>
            </w:pPr>
            <w:r>
              <w:t xml:space="preserve">[V]</w:t>
            </w:r>
          </w:p>
        </w:tc>
        <w:tc>
          <w:tcPr>
            <w:tcW w:w="936" w:type="dxa"/>
          </w:tcPr>
          <w:tcPr/>
          <w:p>
            <w:pPr>
              <w:pStyle w:val="Compact"/>
              <w:jc w:val="left"/>
            </w:pPr>
            <w:r>
              <w:t xml:space="preserve">[2]</w:t>
            </w:r>
          </w:p>
        </w:tc>
      </w:tr>
      <w:tr>
        <w:tc>
          <w:tcPr>
            <w:tcW w:w="3288" w:type="dxa"/>
          </w:tcPr>
          <w:tcPr/>
          <w:p>
            <w:pPr>
              <w:pStyle w:val="Compact"/>
              <w:jc w:val="left"/>
            </w:pPr>
            <w:r>
              <w:t xml:space="preserve">Valeur ajoutée d’exploitation</w:t>
            </w:r>
          </w:p>
        </w:tc>
        <w:tc>
          <w:tcPr>
            <w:tcW w:w="7725" w:type="dxa"/>
          </w:tcPr>
          <w:tcPr/>
          <w:p>
            <w:pPr>
              <w:pStyle w:val="Compact"/>
              <w:jc w:val="left"/>
            </w:pPr>
            <w:r>
              <w:t xml:space="preserve">−417 Mds MGA (−37 % de la production) ; −599 ; −939</w:t>
            </w:r>
          </w:p>
        </w:tc>
        <w:tc>
          <w:tcPr>
            <w:tcW w:w="1666" w:type="dxa"/>
          </w:tcPr>
          <w:tcPr/>
          <w:p>
            <w:pPr>
              <w:pStyle w:val="Compact"/>
              <w:jc w:val="left"/>
            </w:pPr>
            <w:r>
              <w:t xml:space="preserve">2024 ; 2023 ; 2022</w:t>
            </w:r>
          </w:p>
        </w:tc>
        <w:tc>
          <w:tcPr>
            <w:tcW w:w="954" w:type="dxa"/>
          </w:tcPr>
          <w:tcPr/>
          <w:p>
            <w:pPr>
              <w:pStyle w:val="Compact"/>
              <w:jc w:val="left"/>
            </w:pPr>
            <w:r>
              <w:t xml:space="preserve">[V]</w:t>
            </w:r>
          </w:p>
        </w:tc>
        <w:tc>
          <w:tcPr>
            <w:tcW w:w="936" w:type="dxa"/>
          </w:tcPr>
          <w:tcPr/>
          <w:p>
            <w:pPr>
              <w:pStyle w:val="Compact"/>
              <w:jc w:val="left"/>
            </w:pPr>
            <w:r>
              <w:t xml:space="preserve">[1]</w:t>
            </w:r>
          </w:p>
        </w:tc>
      </w:tr>
      <w:tr>
        <w:tc>
          <w:tcPr>
            <w:tcW w:w="3288" w:type="dxa"/>
          </w:tcPr>
          <w:tcPr/>
          <w:p>
            <w:pPr>
              <w:pStyle w:val="Compact"/>
              <w:jc w:val="left"/>
            </w:pPr>
            <w:r>
              <w:t xml:space="preserve">Excédent brut d’exploitation (EBE) comptable</w:t>
            </w:r>
          </w:p>
        </w:tc>
        <w:tc>
          <w:tcPr>
            <w:tcW w:w="7725" w:type="dxa"/>
          </w:tcPr>
          <w:tcPr/>
          <w:p>
            <w:pPr>
              <w:pStyle w:val="Compact"/>
              <w:jc w:val="left"/>
            </w:pPr>
            <w:r>
              <w:t xml:space="preserve">−725,8 Mds MGA ; −569,5 (le chiffre 2022 inclut 500 Mds de « subvention d’équipement » en produit)</w:t>
            </w:r>
          </w:p>
        </w:tc>
        <w:tc>
          <w:tcPr>
            <w:tcW w:w="1666" w:type="dxa"/>
          </w:tcPr>
          <w:tcPr/>
          <w:p>
            <w:pPr>
              <w:pStyle w:val="Compact"/>
              <w:jc w:val="left"/>
            </w:pPr>
            <w:r>
              <w:t xml:space="preserve">2023 ; 2022</w:t>
            </w:r>
          </w:p>
        </w:tc>
        <w:tc>
          <w:tcPr>
            <w:tcW w:w="954" w:type="dxa"/>
          </w:tcPr>
          <w:tcPr/>
          <w:p>
            <w:pPr>
              <w:pStyle w:val="Compact"/>
              <w:jc w:val="left"/>
            </w:pPr>
            <w:r>
              <w:t xml:space="preserve">[V]</w:t>
            </w:r>
          </w:p>
        </w:tc>
        <w:tc>
          <w:tcPr>
            <w:tcW w:w="936" w:type="dxa"/>
          </w:tcPr>
          <w:tcPr/>
          <w:p>
            <w:pPr>
              <w:pStyle w:val="Compact"/>
              <w:jc w:val="left"/>
            </w:pPr>
            <w:r>
              <w:t xml:space="preserve">[2]</w:t>
            </w:r>
          </w:p>
        </w:tc>
      </w:tr>
      <w:tr>
        <w:tc>
          <w:tcPr>
            <w:tcW w:w="3288" w:type="dxa"/>
          </w:tcPr>
          <w:tcPr/>
          <w:p>
            <w:pPr>
              <w:pStyle w:val="Compact"/>
              <w:jc w:val="left"/>
            </w:pPr>
            <w:r>
              <w:t xml:space="preserve">EBITDA avant transferts de l’État (définition BM)</w:t>
            </w:r>
          </w:p>
        </w:tc>
        <w:tc>
          <w:tcPr>
            <w:tcW w:w="7725" w:type="dxa"/>
          </w:tcPr>
          <w:tcPr/>
          <w:p>
            <w:pPr>
              <w:pStyle w:val="Compact"/>
              <w:jc w:val="left"/>
            </w:pPr>
            <w:r>
              <w:t xml:space="preserve">−1 048 Mds MGA ; −618 Mds MGA. Cible DPO : pas en dessous de −542 Mds en 2027</w:t>
            </w:r>
          </w:p>
        </w:tc>
        <w:tc>
          <w:tcPr>
            <w:tcW w:w="1666" w:type="dxa"/>
          </w:tcPr>
          <w:tcPr/>
          <w:p>
            <w:pPr>
              <w:pStyle w:val="Compact"/>
              <w:jc w:val="left"/>
            </w:pPr>
            <w:r>
              <w:t xml:space="preserve">2022 ; 2024</w:t>
            </w:r>
          </w:p>
        </w:tc>
        <w:tc>
          <w:tcPr>
            <w:tcW w:w="954" w:type="dxa"/>
          </w:tcPr>
          <w:tcPr/>
          <w:p>
            <w:pPr>
              <w:pStyle w:val="Compact"/>
              <w:jc w:val="left"/>
            </w:pPr>
            <w:r>
              <w:t xml:space="preserve">[V]</w:t>
            </w:r>
          </w:p>
        </w:tc>
        <w:tc>
          <w:tcPr>
            <w:tcW w:w="936" w:type="dxa"/>
          </w:tcPr>
          <w:tcPr/>
          <w:p>
            <w:pPr>
              <w:pStyle w:val="Compact"/>
              <w:jc w:val="left"/>
            </w:pPr>
            <w:r>
              <w:t xml:space="preserve">[5]</w:t>
            </w:r>
          </w:p>
        </w:tc>
      </w:tr>
      <w:tr>
        <w:tc>
          <w:tcPr>
            <w:tcW w:w="3288" w:type="dxa"/>
          </w:tcPr>
          <w:tcPr/>
          <w:p>
            <w:pPr>
              <w:pStyle w:val="Compact"/>
              <w:jc w:val="left"/>
            </w:pPr>
            <w:r>
              <w:t xml:space="preserve">EBITDA (indicateur ODP du PforR ASCENT)</w:t>
            </w:r>
          </w:p>
        </w:tc>
        <w:tc>
          <w:tcPr>
            <w:tcW w:w="7725" w:type="dxa"/>
          </w:tcPr>
          <w:tcPr/>
          <w:p>
            <w:pPr>
              <w:pStyle w:val="Compact"/>
              <w:jc w:val="left"/>
            </w:pPr>
            <w:r>
              <w:t xml:space="preserve">Base −591 (déc. 2024 ; unité affichée « USD », vraisemblablement Mds MGA) ; cible −151 (juin 2029)</w:t>
            </w:r>
          </w:p>
        </w:tc>
        <w:tc>
          <w:tcPr>
            <w:tcW w:w="1666" w:type="dxa"/>
          </w:tcPr>
          <w:tcPr/>
          <w:p>
            <w:pPr>
              <w:pStyle w:val="Compact"/>
              <w:jc w:val="left"/>
            </w:pPr>
            <w:r>
              <w:t xml:space="preserve">2024</w:t>
            </w:r>
          </w:p>
        </w:tc>
        <w:tc>
          <w:tcPr>
            <w:tcW w:w="954" w:type="dxa"/>
          </w:tcPr>
          <w:tcPr/>
          <w:p>
            <w:pPr>
              <w:pStyle w:val="Compact"/>
              <w:jc w:val="left"/>
            </w:pPr>
            <w:r>
              <w:t xml:space="preserve">[V] unité [?]</w:t>
            </w:r>
          </w:p>
        </w:tc>
        <w:tc>
          <w:tcPr>
            <w:tcW w:w="936" w:type="dxa"/>
          </w:tcPr>
          <w:tcPr/>
          <w:p>
            <w:pPr>
              <w:pStyle w:val="Compact"/>
              <w:jc w:val="left"/>
            </w:pPr>
            <w:r>
              <w:t xml:space="preserve">[7]</w:t>
            </w:r>
          </w:p>
        </w:tc>
      </w:tr>
      <w:tr>
        <w:tc>
          <w:tcPr>
            <w:tcW w:w="3288" w:type="dxa"/>
          </w:tcPr>
          <w:tcPr/>
          <w:p>
            <w:pPr>
              <w:pStyle w:val="Compact"/>
              <w:jc w:val="left"/>
            </w:pPr>
            <w:r>
              <w:t xml:space="preserve">Résultat net</w:t>
            </w:r>
          </w:p>
        </w:tc>
        <w:tc>
          <w:tcPr>
            <w:tcW w:w="7725" w:type="dxa"/>
          </w:tcPr>
          <w:tcPr/>
          <w:p>
            <w:pPr>
              <w:pStyle w:val="Compact"/>
              <w:jc w:val="left"/>
            </w:pPr>
            <w:r>
              <w:t xml:space="preserve">−105,1 Mds MGA (après 699 Mds de subvention d’exploitation) ; −962,0 ; −680,9 (comparatif retraité ; la presse citait −666)</w:t>
            </w:r>
          </w:p>
        </w:tc>
        <w:tc>
          <w:tcPr>
            <w:tcW w:w="1666" w:type="dxa"/>
          </w:tcPr>
          <w:tcPr/>
          <w:p>
            <w:pPr>
              <w:pStyle w:val="Compact"/>
              <w:jc w:val="left"/>
            </w:pPr>
            <w:r>
              <w:t xml:space="preserve">2024 ; 2023 ; 2022</w:t>
            </w:r>
          </w:p>
        </w:tc>
        <w:tc>
          <w:tcPr>
            <w:tcW w:w="954" w:type="dxa"/>
          </w:tcPr>
          <w:tcPr/>
          <w:p>
            <w:pPr>
              <w:pStyle w:val="Compact"/>
              <w:jc w:val="left"/>
            </w:pPr>
            <w:r>
              <w:t xml:space="preserve">[V]</w:t>
            </w:r>
          </w:p>
        </w:tc>
        <w:tc>
          <w:tcPr>
            <w:tcW w:w="936" w:type="dxa"/>
          </w:tcPr>
          <w:tcPr/>
          <w:p>
            <w:pPr>
              <w:pStyle w:val="Compact"/>
              <w:jc w:val="left"/>
            </w:pPr>
            <w:r>
              <w:t xml:space="preserve">[1][2]</w:t>
            </w:r>
          </w:p>
        </w:tc>
      </w:tr>
      <w:tr>
        <w:tc>
          <w:tcPr>
            <w:tcW w:w="3288" w:type="dxa"/>
          </w:tcPr>
          <w:tcPr/>
          <w:p>
            <w:pPr>
              <w:pStyle w:val="Compact"/>
              <w:jc w:val="left"/>
            </w:pPr>
            <w:r>
              <w:t xml:space="preserve">Capitaux propres</w:t>
            </w:r>
          </w:p>
        </w:tc>
        <w:tc>
          <w:tcPr>
            <w:tcW w:w="7725" w:type="dxa"/>
          </w:tcPr>
          <w:tcPr/>
          <w:p>
            <w:pPr>
              <w:pStyle w:val="Compact"/>
              <w:jc w:val="left"/>
            </w:pPr>
            <w:r>
              <w:t xml:space="preserve">−3 523 Mds MGA (pertes cumulées −3 575) ; −3 418 ; −2 456</w:t>
            </w:r>
          </w:p>
        </w:tc>
        <w:tc>
          <w:tcPr>
            <w:tcW w:w="1666" w:type="dxa"/>
          </w:tcPr>
          <w:tcPr/>
          <w:p>
            <w:pPr>
              <w:pStyle w:val="Compact"/>
              <w:jc w:val="left"/>
            </w:pPr>
            <w:r>
              <w:t xml:space="preserve">2024 ; 2023 ; 2022</w:t>
            </w:r>
          </w:p>
        </w:tc>
        <w:tc>
          <w:tcPr>
            <w:tcW w:w="954" w:type="dxa"/>
          </w:tcPr>
          <w:tcPr/>
          <w:p>
            <w:pPr>
              <w:pStyle w:val="Compact"/>
              <w:jc w:val="left"/>
            </w:pPr>
            <w:r>
              <w:t xml:space="preserve">[V]</w:t>
            </w:r>
          </w:p>
        </w:tc>
        <w:tc>
          <w:tcPr>
            <w:tcW w:w="936" w:type="dxa"/>
          </w:tcPr>
          <w:tcPr/>
          <w:p>
            <w:pPr>
              <w:pStyle w:val="Compact"/>
              <w:jc w:val="left"/>
            </w:pPr>
            <w:r>
              <w:t xml:space="preserve">[1]</w:t>
            </w:r>
          </w:p>
        </w:tc>
      </w:tr>
      <w:tr>
        <w:tc>
          <w:tcPr>
            <w:tcW w:w="3288" w:type="dxa"/>
          </w:tcPr>
          <w:tcPr/>
          <w:p>
            <w:pPr>
              <w:pStyle w:val="Compact"/>
              <w:jc w:val="left"/>
            </w:pPr>
            <w:r>
              <w:t xml:space="preserve">Total bilan</w:t>
            </w:r>
          </w:p>
        </w:tc>
        <w:tc>
          <w:tcPr>
            <w:tcW w:w="7725" w:type="dxa"/>
          </w:tcPr>
          <w:tcPr/>
          <w:p>
            <w:pPr>
              <w:pStyle w:val="Compact"/>
              <w:jc w:val="left"/>
            </w:pPr>
            <w:r>
              <w:t xml:space="preserve">4 240 Mds MGA</w:t>
            </w:r>
          </w:p>
        </w:tc>
        <w:tc>
          <w:tcPr>
            <w:tcW w:w="1666" w:type="dxa"/>
          </w:tcPr>
          <w:tcPr/>
          <w:p>
            <w:pPr>
              <w:pStyle w:val="Compact"/>
              <w:jc w:val="left"/>
            </w:pPr>
            <w:r>
              <w:t xml:space="preserve">2024</w:t>
            </w:r>
          </w:p>
        </w:tc>
        <w:tc>
          <w:tcPr>
            <w:tcW w:w="954" w:type="dxa"/>
          </w:tcPr>
          <w:tcPr/>
          <w:p>
            <w:pPr>
              <w:pStyle w:val="Compact"/>
              <w:jc w:val="left"/>
            </w:pPr>
            <w:r>
              <w:t xml:space="preserve">[V]</w:t>
            </w:r>
          </w:p>
        </w:tc>
        <w:tc>
          <w:tcPr>
            <w:tcW w:w="936" w:type="dxa"/>
          </w:tcPr>
          <w:tcPr/>
          <w:p>
            <w:pPr>
              <w:pStyle w:val="Compact"/>
              <w:jc w:val="left"/>
            </w:pPr>
            <w:r>
              <w:t xml:space="preserve">[1]</w:t>
            </w:r>
          </w:p>
        </w:tc>
      </w:tr>
      <w:tr>
        <w:tc>
          <w:tcPr>
            <w:tcW w:w="3288" w:type="dxa"/>
          </w:tcPr>
          <w:tcPr/>
          <w:p>
            <w:pPr>
              <w:pStyle w:val="Compact"/>
              <w:jc w:val="left"/>
            </w:pPr>
            <w:r>
              <w:t xml:space="preserve">Dettes fournisseurs d’exploitation</w:t>
            </w:r>
          </w:p>
        </w:tc>
        <w:tc>
          <w:tcPr>
            <w:tcW w:w="7725" w:type="dxa"/>
          </w:tcPr>
          <w:tcPr/>
          <w:p>
            <w:pPr>
              <w:pStyle w:val="Compact"/>
              <w:jc w:val="left"/>
            </w:pPr>
            <w:r>
              <w:t xml:space="preserve">1 439,5 Mds MGA (−18 %) ; 1 763,2</w:t>
            </w:r>
          </w:p>
        </w:tc>
        <w:tc>
          <w:tcPr>
            <w:tcW w:w="1666" w:type="dxa"/>
          </w:tcPr>
          <w:tcPr/>
          <w:p>
            <w:pPr>
              <w:pStyle w:val="Compact"/>
              <w:jc w:val="left"/>
            </w:pPr>
            <w:r>
              <w:t xml:space="preserve">2023 ; 2022</w:t>
            </w:r>
          </w:p>
        </w:tc>
        <w:tc>
          <w:tcPr>
            <w:tcW w:w="954" w:type="dxa"/>
          </w:tcPr>
          <w:tcPr/>
          <w:p>
            <w:pPr>
              <w:pStyle w:val="Compact"/>
              <w:jc w:val="left"/>
            </w:pPr>
            <w:r>
              <w:t xml:space="preserve">[V]</w:t>
            </w:r>
          </w:p>
        </w:tc>
        <w:tc>
          <w:tcPr>
            <w:tcW w:w="936" w:type="dxa"/>
          </w:tcPr>
          <w:tcPr/>
          <w:p>
            <w:pPr>
              <w:pStyle w:val="Compact"/>
              <w:jc w:val="left"/>
            </w:pPr>
            <w:r>
              <w:t xml:space="preserve">[2]</w:t>
            </w:r>
          </w:p>
        </w:tc>
      </w:tr>
      <w:tr>
        <w:tc>
          <w:tcPr>
            <w:tcW w:w="3288" w:type="dxa"/>
          </w:tcPr>
          <w:tcPr/>
          <w:p>
            <w:pPr>
              <w:pStyle w:val="Compact"/>
              <w:jc w:val="left"/>
            </w:pPr>
            <w:r>
              <w:t xml:space="preserve">Dette envers le privé, arriérés compris</w:t>
            </w:r>
          </w:p>
        </w:tc>
        <w:tc>
          <w:tcPr>
            <w:tcW w:w="7725" w:type="dxa"/>
          </w:tcPr>
          <w:tcPr/>
          <w:p>
            <w:pPr>
              <w:pStyle w:val="Compact"/>
              <w:jc w:val="left"/>
            </w:pPr>
            <w:r>
              <w:t xml:space="preserve">1 880 Mds MGA, soit 2,7 % du PIB (comptes 2023 non audités). Avec la dette envers l’État : 5 316 Mds MGA, soit 7,6 % du PIB</w:t>
            </w:r>
          </w:p>
        </w:tc>
        <w:tc>
          <w:tcPr>
            <w:tcW w:w="1666" w:type="dxa"/>
          </w:tcPr>
          <w:tcPr/>
          <w:p>
            <w:pPr>
              <w:pStyle w:val="Compact"/>
              <w:jc w:val="left"/>
            </w:pPr>
            <w:r>
              <w:t xml:space="preserve">fin 2023</w:t>
            </w:r>
          </w:p>
        </w:tc>
        <w:tc>
          <w:tcPr>
            <w:tcW w:w="954" w:type="dxa"/>
          </w:tcPr>
          <w:tcPr/>
          <w:p>
            <w:pPr>
              <w:pStyle w:val="Compact"/>
              <w:jc w:val="left"/>
            </w:pPr>
            <w:r>
              <w:t xml:space="preserve">[V]</w:t>
            </w:r>
          </w:p>
        </w:tc>
        <w:tc>
          <w:tcPr>
            <w:tcW w:w="936" w:type="dxa"/>
          </w:tcPr>
          <w:tcPr/>
          <w:p>
            <w:pPr>
              <w:pStyle w:val="Compact"/>
              <w:jc w:val="left"/>
            </w:pPr>
            <w:r>
              <w:t xml:space="preserve">[3]</w:t>
            </w:r>
          </w:p>
        </w:tc>
      </w:tr>
      <w:tr>
        <w:tc>
          <w:tcPr>
            <w:tcW w:w="3288" w:type="dxa"/>
          </w:tcPr>
          <w:tcPr/>
          <w:p>
            <w:pPr>
              <w:pStyle w:val="Compact"/>
              <w:jc w:val="left"/>
            </w:pPr>
            <w:r>
              <w:t xml:space="preserve">Stock d’arriérés envers le privé, l’ADER et l’ARELEC (base du DLI 4 ASCENT)</w:t>
            </w:r>
          </w:p>
        </w:tc>
        <w:tc>
          <w:tcPr>
            <w:tcW w:w="7725" w:type="dxa"/>
          </w:tcPr>
          <w:tcPr/>
          <w:p>
            <w:pPr>
              <w:pStyle w:val="Compact"/>
              <w:jc w:val="left"/>
            </w:pPr>
            <w:r>
              <w:t xml:space="preserve">350 M USD ; cible 55 M USD en juin 2030</w:t>
            </w:r>
          </w:p>
        </w:tc>
        <w:tc>
          <w:tcPr>
            <w:tcW w:w="1666" w:type="dxa"/>
          </w:tcPr>
          <w:tcPr/>
          <w:p>
            <w:pPr>
              <w:pStyle w:val="Compact"/>
              <w:jc w:val="left"/>
            </w:pPr>
            <w:r>
              <w:t xml:space="preserve">déc. 2025</w:t>
            </w:r>
          </w:p>
        </w:tc>
        <w:tc>
          <w:tcPr>
            <w:tcW w:w="954" w:type="dxa"/>
          </w:tcPr>
          <w:tcPr/>
          <w:p>
            <w:pPr>
              <w:pStyle w:val="Compact"/>
              <w:jc w:val="left"/>
            </w:pPr>
            <w:r>
              <w:t xml:space="preserve">[V]</w:t>
            </w:r>
          </w:p>
        </w:tc>
        <w:tc>
          <w:tcPr>
            <w:tcW w:w="936" w:type="dxa"/>
          </w:tcPr>
          <w:tcPr/>
          <w:p>
            <w:pPr>
              <w:pStyle w:val="Compact"/>
              <w:jc w:val="left"/>
            </w:pPr>
            <w:r>
              <w:t xml:space="preserve">[7][8]</w:t>
            </w:r>
          </w:p>
        </w:tc>
      </w:tr>
      <w:tr>
        <w:tc>
          <w:tcPr>
            <w:tcW w:w="3288" w:type="dxa"/>
          </w:tcPr>
          <w:tcPr/>
          <w:p>
            <w:pPr>
              <w:pStyle w:val="Compact"/>
              <w:jc w:val="left"/>
            </w:pPr>
            <w:r>
              <w:t xml:space="preserve">Compte courant « État – protocoles d’accord » (paiements des fournisseurs de la JIRAMA par l’État, reclassés en dette)</w:t>
            </w:r>
          </w:p>
        </w:tc>
        <w:tc>
          <w:tcPr>
            <w:tcW w:w="7725" w:type="dxa"/>
          </w:tcPr>
          <w:tcPr/>
          <w:p>
            <w:pPr>
              <w:pStyle w:val="Compact"/>
              <w:jc w:val="left"/>
            </w:pPr>
            <w:r>
              <w:t xml:space="preserve">2 678,6 Mds MGA selon la note 08. Le texte du même rapport et le CAC 2024 citent 1 553 Mds MGA → incohérence</w:t>
            </w:r>
          </w:p>
        </w:tc>
        <w:tc>
          <w:tcPr>
            <w:tcW w:w="1666" w:type="dxa"/>
          </w:tcPr>
          <w:tcPr/>
          <w:p>
            <w:pPr>
              <w:pStyle w:val="Compact"/>
              <w:jc w:val="left"/>
            </w:pPr>
            <w:r>
              <w:t xml:space="preserve">fin 2023 / fin 2024</w:t>
            </w:r>
          </w:p>
        </w:tc>
        <w:tc>
          <w:tcPr>
            <w:tcW w:w="954" w:type="dxa"/>
          </w:tcPr>
          <w:tcPr/>
          <w:p>
            <w:pPr>
              <w:pStyle w:val="Compact"/>
              <w:jc w:val="left"/>
            </w:pPr>
            <w:r>
              <w:t xml:space="preserve">[V]</w:t>
            </w:r>
          </w:p>
        </w:tc>
        <w:tc>
          <w:tcPr>
            <w:tcW w:w="936" w:type="dxa"/>
          </w:tcPr>
          <w:tcPr/>
          <w:p>
            <w:pPr>
              <w:pStyle w:val="Compact"/>
              <w:jc w:val="left"/>
            </w:pPr>
            <w:r>
              <w:t xml:space="preserve">[1][2]</w:t>
            </w:r>
          </w:p>
        </w:tc>
      </w:tr>
      <w:tr>
        <w:tc>
          <w:tcPr>
            <w:tcW w:w="3288" w:type="dxa"/>
          </w:tcPr>
          <w:tcPr/>
          <w:p>
            <w:pPr>
              <w:pStyle w:val="Compact"/>
              <w:jc w:val="left"/>
            </w:pPr>
            <w:r>
              <w:t xml:space="preserve">Dettes fiscales non reversées</w:t>
            </w:r>
          </w:p>
        </w:tc>
        <w:tc>
          <w:tcPr>
            <w:tcW w:w="7725" w:type="dxa"/>
          </w:tcPr>
          <w:tcPr/>
          <w:p>
            <w:pPr>
              <w:pStyle w:val="Compact"/>
              <w:jc w:val="left"/>
            </w:pPr>
            <w:r>
              <w:t xml:space="preserve">TVA « intermittente » sur fournisseurs étrangers 293,4 Mds MGA ; IR intermittent 144,8 Mds ; IRSA 16,0 Mds ; IR 2024 non payé 9,9 Mds</w:t>
            </w:r>
          </w:p>
        </w:tc>
        <w:tc>
          <w:tcPr>
            <w:tcW w:w="1666" w:type="dxa"/>
          </w:tcPr>
          <w:tcPr/>
          <w:p>
            <w:pPr>
              <w:pStyle w:val="Compact"/>
              <w:jc w:val="left"/>
            </w:pPr>
            <w:r>
              <w:t xml:space="preserve">fin 2024</w:t>
            </w:r>
          </w:p>
        </w:tc>
        <w:tc>
          <w:tcPr>
            <w:tcW w:w="954" w:type="dxa"/>
          </w:tcPr>
          <w:tcPr/>
          <w:p>
            <w:pPr>
              <w:pStyle w:val="Compact"/>
              <w:jc w:val="left"/>
            </w:pPr>
            <w:r>
              <w:t xml:space="preserve">[V]</w:t>
            </w:r>
          </w:p>
        </w:tc>
        <w:tc>
          <w:tcPr>
            <w:tcW w:w="936" w:type="dxa"/>
          </w:tcPr>
          <w:tcPr/>
          <w:p>
            <w:pPr>
              <w:pStyle w:val="Compact"/>
              <w:jc w:val="left"/>
            </w:pPr>
            <w:r>
              <w:t xml:space="preserve">[1]</w:t>
            </w:r>
          </w:p>
        </w:tc>
      </w:tr>
      <w:tr>
        <w:tc>
          <w:tcPr>
            <w:tcW w:w="3288" w:type="dxa"/>
          </w:tcPr>
          <w:tcPr/>
          <w:p>
            <w:pPr>
              <w:pStyle w:val="Compact"/>
              <w:jc w:val="left"/>
            </w:pPr>
            <w:r>
              <w:t xml:space="preserve">Créances sur l’État et l’administration</w:t>
            </w:r>
          </w:p>
        </w:tc>
        <w:tc>
          <w:tcPr>
            <w:tcW w:w="7725" w:type="dxa"/>
          </w:tcPr>
          <w:tcPr/>
          <w:p>
            <w:pPr>
              <w:pStyle w:val="Compact"/>
              <w:jc w:val="left"/>
            </w:pPr>
            <w:r>
              <w:t xml:space="preserve">Clients administratifs 473,9 Mds MGA, sur 774,1 Mds de créances clients, soit environ 61 % [E] ; 423,0 Mds en 2023</w:t>
            </w:r>
          </w:p>
        </w:tc>
        <w:tc>
          <w:tcPr>
            <w:tcW w:w="1666" w:type="dxa"/>
          </w:tcPr>
          <w:tcPr/>
          <w:p>
            <w:pPr>
              <w:pStyle w:val="Compact"/>
              <w:jc w:val="left"/>
            </w:pPr>
            <w:r>
              <w:t xml:space="preserve">fin 2024 ; fin 2023</w:t>
            </w:r>
          </w:p>
        </w:tc>
        <w:tc>
          <w:tcPr>
            <w:tcW w:w="954" w:type="dxa"/>
          </w:tcPr>
          <w:tcPr/>
          <w:p>
            <w:pPr>
              <w:pStyle w:val="Compact"/>
              <w:jc w:val="left"/>
            </w:pPr>
            <w:r>
              <w:t xml:space="preserve">[V]/[E]</w:t>
            </w:r>
          </w:p>
        </w:tc>
        <w:tc>
          <w:tcPr>
            <w:tcW w:w="936" w:type="dxa"/>
          </w:tcPr>
          <w:tcPr/>
          <w:p>
            <w:pPr>
              <w:pStyle w:val="Compact"/>
              <w:jc w:val="left"/>
            </w:pPr>
            <w:r>
              <w:t xml:space="preserve">[1][2]</w:t>
            </w:r>
          </w:p>
        </w:tc>
      </w:tr>
      <w:tr>
        <w:tc>
          <w:tcPr>
            <w:tcW w:w="3288" w:type="dxa"/>
          </w:tcPr>
          <w:tcPr/>
          <w:p>
            <w:pPr>
              <w:pStyle w:val="Compact"/>
              <w:jc w:val="left"/>
            </w:pPr>
            <w:r>
              <w:t xml:space="preserve">Transferts et subventions de l’État</w:t>
            </w:r>
          </w:p>
        </w:tc>
        <w:tc>
          <w:tcPr>
            <w:tcW w:w="7725" w:type="dxa"/>
          </w:tcPr>
          <w:tcPr/>
          <w:p>
            <w:pPr>
              <w:pStyle w:val="Compact"/>
              <w:jc w:val="left"/>
            </w:pPr>
            <w:r>
              <w:t xml:space="preserve">699 Mds MGA comptabilisés en subvention d’exploitation (paiements directs aux pétroliers, loueurs et IPP via des protocoles tripartites inscrits en loi de finances)</w:t>
            </w:r>
          </w:p>
        </w:tc>
        <w:tc>
          <w:tcPr>
            <w:tcW w:w="1666" w:type="dxa"/>
          </w:tcPr>
          <w:tcPr/>
          <w:p>
            <w:pPr>
              <w:pStyle w:val="Compact"/>
              <w:jc w:val="left"/>
            </w:pPr>
            <w:r>
              <w:t xml:space="preserve">2024</w:t>
            </w:r>
          </w:p>
        </w:tc>
        <w:tc>
          <w:tcPr>
            <w:tcW w:w="954" w:type="dxa"/>
          </w:tcPr>
          <w:tcPr/>
          <w:p>
            <w:pPr>
              <w:pStyle w:val="Compact"/>
              <w:jc w:val="left"/>
            </w:pPr>
            <w:r>
              <w:t xml:space="preserve">[V]</w:t>
            </w:r>
          </w:p>
        </w:tc>
        <w:tc>
          <w:tcPr>
            <w:tcW w:w="936" w:type="dxa"/>
          </w:tcPr>
          <w:tcPr/>
          <w:p>
            <w:pPr>
              <w:pStyle w:val="Compact"/>
              <w:jc w:val="left"/>
            </w:pPr>
            <w:r>
              <w:t xml:space="preserve">[1]</w:t>
            </w:r>
          </w:p>
        </w:tc>
      </w:tr>
      <w:tr>
        <w:tc>
          <w:tcPr>
            <w:tcW w:w="3288" w:type="dxa"/>
          </w:tcPr>
          <w:tcPr/>
          <w:p>
            <w:pPr>
              <w:pStyle w:val="Compact"/>
            </w:pPr>
          </w:p>
        </w:tc>
        <w:tc>
          <w:tcPr>
            <w:tcW w:w="7725" w:type="dxa"/>
          </w:tcPr>
          <w:tcPr/>
          <w:p>
            <w:pPr>
              <w:pStyle w:val="Compact"/>
              <w:jc w:val="left"/>
            </w:pPr>
            <w:r>
              <w:t xml:space="preserve">895 Mds MGA (1,3 % du PIB) de transferts à la JIRAMA et à certains fournisseurs, pour un besoin de trésorerie net de la JIRAMA de 1 268 Mds MGA (1,8 % du PIB)</w:t>
            </w:r>
          </w:p>
        </w:tc>
        <w:tc>
          <w:tcPr>
            <w:tcW w:w="1666" w:type="dxa"/>
          </w:tcPr>
          <w:tcPr/>
          <w:p>
            <w:pPr>
              <w:pStyle w:val="Compact"/>
              <w:jc w:val="left"/>
            </w:pPr>
            <w:r>
              <w:t xml:space="preserve">2023</w:t>
            </w:r>
          </w:p>
        </w:tc>
        <w:tc>
          <w:tcPr>
            <w:tcW w:w="954" w:type="dxa"/>
          </w:tcPr>
          <w:tcPr/>
          <w:p>
            <w:pPr>
              <w:pStyle w:val="Compact"/>
              <w:jc w:val="left"/>
            </w:pPr>
            <w:r>
              <w:t xml:space="preserve">[V]</w:t>
            </w:r>
          </w:p>
        </w:tc>
        <w:tc>
          <w:tcPr>
            <w:tcW w:w="936" w:type="dxa"/>
          </w:tcPr>
          <w:tcPr/>
          <w:p>
            <w:pPr>
              <w:pStyle w:val="Compact"/>
              <w:jc w:val="left"/>
            </w:pPr>
            <w:r>
              <w:t xml:space="preserve">[3]</w:t>
            </w:r>
          </w:p>
        </w:tc>
      </w:tr>
      <w:tr>
        <w:tc>
          <w:tcPr>
            <w:tcW w:w="3288" w:type="dxa"/>
          </w:tcPr>
          <w:tcPr/>
          <w:p>
            <w:pPr>
              <w:pStyle w:val="Compact"/>
            </w:pPr>
          </w:p>
        </w:tc>
        <w:tc>
          <w:tcPr>
            <w:tcW w:w="7725" w:type="dxa"/>
          </w:tcPr>
          <w:tcPr/>
          <w:p>
            <w:pPr>
              <w:pStyle w:val="Compact"/>
              <w:jc w:val="left"/>
            </w:pPr>
            <w:r>
              <w:t xml:space="preserve">Transferts au secteur de l’énergie (JIRAMA et subventions carburant) : 1 032 Mds MGA (1,3 % du PIB) en LFR</w:t>
            </w:r>
          </w:p>
        </w:tc>
        <w:tc>
          <w:tcPr>
            <w:tcW w:w="1666" w:type="dxa"/>
          </w:tcPr>
          <w:tcPr/>
          <w:p>
            <w:pPr>
              <w:pStyle w:val="Compact"/>
              <w:jc w:val="left"/>
            </w:pPr>
            <w:r>
              <w:t xml:space="preserve">2024</w:t>
            </w:r>
          </w:p>
        </w:tc>
        <w:tc>
          <w:tcPr>
            <w:tcW w:w="954" w:type="dxa"/>
          </w:tcPr>
          <w:tcPr/>
          <w:p>
            <w:pPr>
              <w:pStyle w:val="Compact"/>
              <w:jc w:val="left"/>
            </w:pPr>
            <w:r>
              <w:t xml:space="preserve">[V]</w:t>
            </w:r>
          </w:p>
        </w:tc>
        <w:tc>
          <w:tcPr>
            <w:tcW w:w="936" w:type="dxa"/>
          </w:tcPr>
          <w:tcPr/>
          <w:p>
            <w:pPr>
              <w:pStyle w:val="Compact"/>
              <w:jc w:val="left"/>
            </w:pPr>
            <w:r>
              <w:t xml:space="preserve">[5]</w:t>
            </w:r>
          </w:p>
        </w:tc>
      </w:tr>
      <w:tr>
        <w:tc>
          <w:tcPr>
            <w:tcW w:w="3288" w:type="dxa"/>
          </w:tcPr>
          <w:tcPr/>
          <w:p>
            <w:pPr>
              <w:pStyle w:val="Compact"/>
            </w:pPr>
          </w:p>
        </w:tc>
        <w:tc>
          <w:tcPr>
            <w:tcW w:w="7725" w:type="dxa"/>
          </w:tcPr>
          <w:tcPr/>
          <w:p>
            <w:pPr>
              <w:pStyle w:val="Compact"/>
              <w:jc w:val="left"/>
            </w:pPr>
            <w:r>
              <w:t xml:space="preserve">Base du DLI 3 ASCENT : 195 M USD de subvention d’exploitation ; 80 M USD transférés à juillet 2026 ; cible 95 M USD (2029)</w:t>
            </w:r>
          </w:p>
        </w:tc>
        <w:tc>
          <w:tcPr>
            <w:tcW w:w="1666" w:type="dxa"/>
          </w:tcPr>
          <w:tcPr/>
          <w:p>
            <w:pPr>
              <w:pStyle w:val="Compact"/>
              <w:jc w:val="left"/>
            </w:pPr>
            <w:r>
              <w:t xml:space="preserve">2025-2026</w:t>
            </w:r>
          </w:p>
        </w:tc>
        <w:tc>
          <w:tcPr>
            <w:tcW w:w="954" w:type="dxa"/>
          </w:tcPr>
          <w:tcPr/>
          <w:p>
            <w:pPr>
              <w:pStyle w:val="Compact"/>
              <w:jc w:val="left"/>
            </w:pPr>
            <w:r>
              <w:t xml:space="preserve">[V]</w:t>
            </w:r>
          </w:p>
        </w:tc>
        <w:tc>
          <w:tcPr>
            <w:tcW w:w="936" w:type="dxa"/>
          </w:tcPr>
          <w:tcPr/>
          <w:p>
            <w:pPr>
              <w:pStyle w:val="Compact"/>
              <w:jc w:val="left"/>
            </w:pPr>
            <w:r>
              <w:t xml:space="preserve">[7]</w:t>
            </w:r>
          </w:p>
        </w:tc>
      </w:tr>
      <w:tr>
        <w:tc>
          <w:tcPr>
            <w:tcW w:w="3288" w:type="dxa"/>
          </w:tcPr>
          <w:tcPr/>
          <w:p>
            <w:pPr>
              <w:pStyle w:val="Compact"/>
              <w:jc w:val="left"/>
            </w:pPr>
            <w:r>
              <w:t xml:space="preserve">Taux de recouvrement</w:t>
            </w:r>
          </w:p>
        </w:tc>
        <w:tc>
          <w:tcPr>
            <w:tcW w:w="7725" w:type="dxa"/>
          </w:tcPr>
          <w:tcPr/>
          <w:p>
            <w:pPr>
              <w:pStyle w:val="Compact"/>
              <w:jc w:val="left"/>
            </w:pPr>
            <w:r>
              <w:t xml:space="preserve">« Pertes de non-recouvrement » de 11 % (benchmark 5 %). Des données JIRAMA plus récentes indiquent environ 20 %</w:t>
            </w:r>
          </w:p>
        </w:tc>
        <w:tc>
          <w:tcPr>
            <w:tcW w:w="1666" w:type="dxa"/>
          </w:tcPr>
          <w:tcPr/>
          <w:p>
            <w:pPr>
              <w:pStyle w:val="Compact"/>
              <w:jc w:val="left"/>
            </w:pPr>
            <w:r>
              <w:t xml:space="preserve">~2023</w:t>
            </w:r>
          </w:p>
        </w:tc>
        <w:tc>
          <w:tcPr>
            <w:tcW w:w="954" w:type="dxa"/>
          </w:tcPr>
          <w:tcPr/>
          <w:p>
            <w:pPr>
              <w:pStyle w:val="Compact"/>
              <w:jc w:val="left"/>
            </w:pPr>
            <w:r>
              <w:t xml:space="preserve">[V]</w:t>
            </w:r>
          </w:p>
        </w:tc>
        <w:tc>
          <w:tcPr>
            <w:tcW w:w="936" w:type="dxa"/>
          </w:tcPr>
          <w:tcPr/>
          <w:p>
            <w:pPr>
              <w:pStyle w:val="Compact"/>
              <w:jc w:val="left"/>
            </w:pPr>
            <w:r>
              <w:t xml:space="preserve">[3]</w:t>
            </w:r>
          </w:p>
        </w:tc>
      </w:tr>
      <w:tr>
        <w:tc>
          <w:tcPr>
            <w:tcW w:w="3288" w:type="dxa"/>
          </w:tcPr>
          <w:tcPr/>
          <w:p>
            <w:pPr>
              <w:pStyle w:val="Compact"/>
            </w:pPr>
          </w:p>
        </w:tc>
        <w:tc>
          <w:tcPr>
            <w:tcW w:w="7725" w:type="dxa"/>
          </w:tcPr>
          <w:tcPr/>
          <w:p>
            <w:pPr>
              <w:pStyle w:val="Compact"/>
              <w:jc w:val="left"/>
            </w:pPr>
            <w:r>
              <w:t xml:space="preserve">Encaissements 1 057,5 Mds MGA pour 1 127,8 Mds facturés (eau + élec., flux de l’exercice, arriérés inclus), soit environ 94 % [E]</w:t>
            </w:r>
          </w:p>
        </w:tc>
        <w:tc>
          <w:tcPr>
            <w:tcW w:w="1666" w:type="dxa"/>
          </w:tcPr>
          <w:tcPr/>
          <w:p>
            <w:pPr>
              <w:pStyle w:val="Compact"/>
              <w:jc w:val="left"/>
            </w:pPr>
            <w:r>
              <w:t xml:space="preserve">2024</w:t>
            </w:r>
          </w:p>
        </w:tc>
        <w:tc>
          <w:tcPr>
            <w:tcW w:w="954" w:type="dxa"/>
          </w:tcPr>
          <w:tcPr/>
          <w:p>
            <w:pPr>
              <w:pStyle w:val="Compact"/>
              <w:jc w:val="left"/>
            </w:pPr>
            <w:r>
              <w:t xml:space="preserve">[V]/[E]</w:t>
            </w:r>
          </w:p>
        </w:tc>
        <w:tc>
          <w:tcPr>
            <w:tcW w:w="936" w:type="dxa"/>
          </w:tcPr>
          <w:tcPr/>
          <w:p>
            <w:pPr>
              <w:pStyle w:val="Compact"/>
              <w:jc w:val="left"/>
            </w:pPr>
            <w:r>
              <w:t xml:space="preserve">[1]</w:t>
            </w:r>
          </w:p>
        </w:tc>
      </w:tr>
      <w:tr>
        <w:tc>
          <w:tcPr>
            <w:tcW w:w="3288" w:type="dxa"/>
          </w:tcPr>
          <w:tcPr/>
          <w:p>
            <w:pPr>
              <w:pStyle w:val="Compact"/>
            </w:pPr>
          </w:p>
        </w:tc>
        <w:tc>
          <w:tcPr>
            <w:tcW w:w="7725" w:type="dxa"/>
          </w:tcPr>
          <w:tcPr/>
          <w:p>
            <w:pPr>
              <w:pStyle w:val="Compact"/>
              <w:jc w:val="left"/>
            </w:pPr>
            <w:r>
              <w:t xml:space="preserve">Environ 80 % (pacte)</w:t>
            </w:r>
          </w:p>
        </w:tc>
        <w:tc>
          <w:tcPr>
            <w:tcW w:w="1666" w:type="dxa"/>
          </w:tcPr>
          <w:tcPr/>
          <w:p>
            <w:pPr>
              <w:pStyle w:val="Compact"/>
              <w:jc w:val="left"/>
            </w:pPr>
            <w:r>
              <w:t xml:space="preserve">2023</w:t>
            </w:r>
          </w:p>
        </w:tc>
        <w:tc>
          <w:tcPr>
            <w:tcW w:w="954" w:type="dxa"/>
          </w:tcPr>
          <w:tcPr/>
          <w:p>
            <w:pPr>
              <w:pStyle w:val="Compact"/>
              <w:jc w:val="left"/>
            </w:pPr>
            <w:r>
              <w:t xml:space="preserve">(pacte)</w:t>
            </w:r>
          </w:p>
        </w:tc>
        <w:tc>
          <w:tcPr>
            <w:tcW w:w="936" w:type="dxa"/>
          </w:tcPr>
          <w:tcPr/>
          <w:p>
            <w:pPr>
              <w:pStyle w:val="Compact"/>
              <w:jc w:val="left"/>
            </w:pPr>
            <w:r>
              <w:t xml:space="preserve">phase 1</w:t>
            </w:r>
          </w:p>
        </w:tc>
      </w:tr>
      <w:tr>
        <w:tc>
          <w:tcPr>
            <w:tcW w:w="3288" w:type="dxa"/>
          </w:tcPr>
          <w:tcPr/>
          <w:p>
            <w:pPr>
              <w:pStyle w:val="Compact"/>
              <w:jc w:val="left"/>
            </w:pPr>
            <w:r>
              <w:t xml:space="preserve">Recette moyenne vs coût par kWh</w:t>
            </w:r>
          </w:p>
        </w:tc>
        <w:tc>
          <w:tcPr>
            <w:tcW w:w="7725" w:type="dxa"/>
          </w:tcPr>
          <w:tcPr/>
          <w:p>
            <w:pPr>
              <w:pStyle w:val="Compact"/>
              <w:jc w:val="left"/>
            </w:pPr>
            <w:r>
              <w:t xml:space="preserve">599 MGA/kWh (environ 13 USc) en 2023 ; coût total environ deux fois plus élevé selon la JIRAMA</w:t>
            </w:r>
          </w:p>
        </w:tc>
        <w:tc>
          <w:tcPr>
            <w:tcW w:w="1666" w:type="dxa"/>
          </w:tcPr>
          <w:tcPr/>
          <w:p>
            <w:pPr>
              <w:pStyle w:val="Compact"/>
              <w:jc w:val="left"/>
            </w:pPr>
            <w:r>
              <w:t xml:space="preserve">2023</w:t>
            </w:r>
          </w:p>
        </w:tc>
        <w:tc>
          <w:tcPr>
            <w:tcW w:w="954" w:type="dxa"/>
          </w:tcPr>
          <w:tcPr/>
          <w:p>
            <w:pPr>
              <w:pStyle w:val="Compact"/>
              <w:jc w:val="left"/>
            </w:pPr>
            <w:r>
              <w:t xml:space="preserve">[V]</w:t>
            </w:r>
          </w:p>
        </w:tc>
        <w:tc>
          <w:tcPr>
            <w:tcW w:w="936" w:type="dxa"/>
          </w:tcPr>
          <w:tcPr/>
          <w:p>
            <w:pPr>
              <w:pStyle w:val="Compact"/>
              <w:jc w:val="left"/>
            </w:pPr>
            <w:r>
              <w:t xml:space="preserve">[3]</w:t>
            </w:r>
          </w:p>
        </w:tc>
      </w:tr>
      <w:tr>
        <w:tc>
          <w:tcPr>
            <w:tcW w:w="3288" w:type="dxa"/>
          </w:tcPr>
          <w:tcPr/>
          <w:p>
            <w:pPr>
              <w:pStyle w:val="Compact"/>
            </w:pPr>
          </w:p>
        </w:tc>
        <w:tc>
          <w:tcPr>
            <w:tcW w:w="7725" w:type="dxa"/>
          </w:tcPr>
          <w:tcPr/>
          <w:p>
            <w:pPr>
              <w:pStyle w:val="Compact"/>
              <w:jc w:val="left"/>
            </w:pPr>
            <w:r>
              <w:t xml:space="preserve">Prix de vente moyen environ 17 USc/kWh contre un coût moyen de production environ 24 USc/kWh</w:t>
            </w:r>
          </w:p>
        </w:tc>
        <w:tc>
          <w:tcPr>
            <w:tcW w:w="1666" w:type="dxa"/>
          </w:tcPr>
          <w:tcPr/>
          <w:p>
            <w:pPr>
              <w:pStyle w:val="Compact"/>
              <w:jc w:val="left"/>
            </w:pPr>
            <w:r>
              <w:t xml:space="preserve">2024</w:t>
            </w:r>
          </w:p>
        </w:tc>
        <w:tc>
          <w:tcPr>
            <w:tcW w:w="954" w:type="dxa"/>
          </w:tcPr>
          <w:tcPr/>
          <w:p>
            <w:pPr>
              <w:pStyle w:val="Compact"/>
              <w:jc w:val="left"/>
            </w:pPr>
            <w:r>
              <w:t xml:space="preserve">[V]</w:t>
            </w:r>
          </w:p>
        </w:tc>
        <w:tc>
          <w:tcPr>
            <w:tcW w:w="936" w:type="dxa"/>
          </w:tcPr>
          <w:tcPr/>
          <w:p>
            <w:pPr>
              <w:pStyle w:val="Compact"/>
              <w:jc w:val="left"/>
            </w:pPr>
            <w:r>
              <w:t xml:space="preserve">[6]</w:t>
            </w:r>
          </w:p>
        </w:tc>
      </w:tr>
      <w:tr>
        <w:tc>
          <w:tcPr>
            <w:tcW w:w="3288" w:type="dxa"/>
          </w:tcPr>
          <w:tcPr/>
          <w:p>
            <w:pPr>
              <w:pStyle w:val="Compact"/>
            </w:pPr>
          </w:p>
        </w:tc>
        <w:tc>
          <w:tcPr>
            <w:tcW w:w="7725" w:type="dxa"/>
          </w:tcPr>
          <w:tcPr/>
          <w:p>
            <w:pPr>
              <w:pStyle w:val="Compact"/>
              <w:jc w:val="left"/>
            </w:pPr>
            <w:r>
              <w:t xml:space="preserve">Environ 795 MGA/kWh vendus contre environ 1 225 MGA/kWh de coût (déclaration de la direction)</w:t>
            </w:r>
          </w:p>
        </w:tc>
        <w:tc>
          <w:tcPr>
            <w:tcW w:w="1666" w:type="dxa"/>
          </w:tcPr>
          <w:tcPr/>
          <w:p>
            <w:pPr>
              <w:pStyle w:val="Compact"/>
              <w:jc w:val="left"/>
            </w:pPr>
            <w:r>
              <w:t xml:space="preserve">2025</w:t>
            </w:r>
          </w:p>
        </w:tc>
        <w:tc>
          <w:tcPr>
            <w:tcW w:w="954" w:type="dxa"/>
          </w:tcPr>
          <w:tcPr/>
          <w:p>
            <w:pPr>
              <w:pStyle w:val="Compact"/>
              <w:jc w:val="left"/>
            </w:pPr>
            <w:r>
              <w:t xml:space="preserve">[S]</w:t>
            </w:r>
          </w:p>
        </w:tc>
        <w:tc>
          <w:tcPr>
            <w:tcW w:w="936" w:type="dxa"/>
          </w:tcPr>
          <w:tcPr/>
          <w:p>
            <w:pPr>
              <w:pStyle w:val="Compact"/>
              <w:jc w:val="left"/>
            </w:pPr>
            <w:r>
              <w:t xml:space="preserve">[12]</w:t>
            </w:r>
          </w:p>
        </w:tc>
      </w:tr>
      <w:tr>
        <w:tc>
          <w:tcPr>
            <w:tcW w:w="3288" w:type="dxa"/>
          </w:tcPr>
          <w:tcPr/>
          <w:p>
            <w:pPr>
              <w:pStyle w:val="Compact"/>
              <w:jc w:val="left"/>
            </w:pPr>
            <w:r>
              <w:t xml:space="preserve">Déficit quasi-budgétaire</w:t>
            </w:r>
          </w:p>
        </w:tc>
        <w:tc>
          <w:tcPr>
            <w:tcW w:w="7725" w:type="dxa"/>
          </w:tcPr>
          <w:tcPr/>
          <w:p>
            <w:pPr>
              <w:pStyle w:val="Compact"/>
              <w:jc w:val="left"/>
            </w:pPr>
            <w:r>
              <w:t xml:space="preserve">Pertes financières et opérationnelles d’environ 3 % du PIB en moyenne sur 2019-2022</w:t>
            </w:r>
          </w:p>
        </w:tc>
        <w:tc>
          <w:tcPr>
            <w:tcW w:w="1666" w:type="dxa"/>
          </w:tcPr>
          <w:tcPr/>
          <w:p>
            <w:pPr>
              <w:pStyle w:val="Compact"/>
              <w:jc w:val="left"/>
            </w:pPr>
            <w:r>
              <w:t xml:space="preserve">2019-22</w:t>
            </w:r>
          </w:p>
        </w:tc>
        <w:tc>
          <w:tcPr>
            <w:tcW w:w="954" w:type="dxa"/>
          </w:tcPr>
          <w:tcPr/>
          <w:p>
            <w:pPr>
              <w:pStyle w:val="Compact"/>
              <w:jc w:val="left"/>
            </w:pPr>
            <w:r>
              <w:t xml:space="preserve">[V]</w:t>
            </w:r>
          </w:p>
        </w:tc>
        <w:tc>
          <w:tcPr>
            <w:tcW w:w="936" w:type="dxa"/>
          </w:tcPr>
          <w:tcPr/>
          <w:p>
            <w:pPr>
              <w:pStyle w:val="Compact"/>
              <w:jc w:val="left"/>
            </w:pPr>
            <w:r>
              <w:t xml:space="preserve">[5]</w:t>
            </w:r>
          </w:p>
        </w:tc>
      </w:tr>
      <w:tr>
        <w:tc>
          <w:tcPr>
            <w:tcW w:w="3288" w:type="dxa"/>
          </w:tcPr>
          <w:tcPr/>
          <w:p>
            <w:pPr>
              <w:pStyle w:val="Compact"/>
              <w:jc w:val="left"/>
            </w:pPr>
            <w:r>
              <w:t xml:space="preserve">Notation de crédit</w:t>
            </w:r>
          </w:p>
        </w:tc>
        <w:tc>
          <w:tcPr>
            <w:tcW w:w="7725" w:type="dxa"/>
          </w:tcPr>
          <w:tcPr/>
          <w:p>
            <w:pPr>
              <w:pStyle w:val="Compact"/>
              <w:jc w:val="left"/>
            </w:pPr>
            <w:r>
              <w:t xml:space="preserve">[?] aucune trouvée</w:t>
            </w:r>
          </w:p>
        </w:tc>
        <w:tc>
          <w:tcPr>
            <w:tcW w:w="1666" w:type="dxa"/>
          </w:tcPr>
          <w:tcPr/>
          <w:p>
            <w:pPr>
              <w:pStyle w:val="Compact"/>
              <w:jc w:val="left"/>
            </w:pPr>
            <w:r>
              <w:t xml:space="preserve">—</w:t>
            </w:r>
          </w:p>
        </w:tc>
        <w:tc>
          <w:tcPr>
            <w:tcW w:w="954" w:type="dxa"/>
          </w:tcPr>
          <w:tcPr/>
          <w:p>
            <w:pPr>
              <w:pStyle w:val="Compact"/>
              <w:jc w:val="left"/>
            </w:pPr>
            <w:r>
              <w:t xml:space="preserve">[?]</w:t>
            </w:r>
          </w:p>
        </w:tc>
        <w:tc>
          <w:tcPr>
            <w:tcW w:w="936" w:type="dxa"/>
          </w:tcPr>
          <w:tcPr/>
          <w:p>
            <w:pPr>
              <w:pStyle w:val="Compact"/>
              <w:jc w:val="left"/>
            </w:pPr>
            <w:r>
              <w:t xml:space="preserve">—</w:t>
            </w:r>
          </w:p>
        </w:tc>
      </w:tr>
    </w:tbl>
    <w:bookmarkEnd w:id="234"/>
    <w:bookmarkStart w:id="235" w:name="situation-technique-19"/>
    <w:p>
      <w:pPr>
        <w:pStyle w:val="Heading3"/>
      </w:pPr>
      <w:r>
        <w:t xml:space="preserve">2. Situation technique</w:t>
      </w:r>
    </w:p>
    <w:tbl>
      <w:tblPr>
        <w:tblStyle w:val="Table"/>
        <w:tblW w:type="dxa" w:w="14570"/>
        <w:tblLook w:firstRow="1" w:lastRow="0" w:firstColumn="0" w:lastColumn="0" w:noHBand="0" w:noVBand="0" w:val="0020"/>
        <w:jc w:val="start"/>
      </w:tblPr>
      <w:tblGrid>
        <w:gridCol w:w="1755"/>
        <w:gridCol w:w="8653"/>
        <w:gridCol w:w="1510"/>
        <w:gridCol w:w="1410"/>
        <w:gridCol w:w="1240"/>
      </w:tblGrid>
      <w:tr>
        <w:trPr>
          <w:tblHeader w:val="true"/>
        </w:trPr>
        <w:tc>
          <w:tcPr>
            <w:tcW w:w="1755" w:type="dxa"/>
          </w:tcPr>
          <w:tcPr/>
          <w:p>
            <w:pPr>
              <w:pStyle w:val="Compact"/>
              <w:jc w:val="left"/>
            </w:pPr>
            <w:r>
              <w:t xml:space="preserve">Indicateur</w:t>
            </w:r>
          </w:p>
        </w:tc>
        <w:tc>
          <w:tcPr>
            <w:tcW w:w="8653" w:type="dxa"/>
          </w:tcPr>
          <w:tcPr/>
          <w:p>
            <w:pPr>
              <w:pStyle w:val="Compact"/>
              <w:jc w:val="left"/>
            </w:pPr>
            <w:r>
              <w:t xml:space="preserve">Valeur</w:t>
            </w:r>
          </w:p>
        </w:tc>
        <w:tc>
          <w:tcPr>
            <w:tcW w:w="1510" w:type="dxa"/>
          </w:tcPr>
          <w:tcPr/>
          <w:p>
            <w:pPr>
              <w:pStyle w:val="Compact"/>
              <w:jc w:val="left"/>
            </w:pPr>
            <w:r>
              <w:t xml:space="preserve">Année</w:t>
            </w:r>
          </w:p>
        </w:tc>
        <w:tc>
          <w:tcPr>
            <w:tcW w:w="1410" w:type="dxa"/>
          </w:tcPr>
          <w:tcPr/>
          <w:p>
            <w:pPr>
              <w:pStyle w:val="Compact"/>
              <w:jc w:val="left"/>
            </w:pPr>
            <w:r>
              <w:t xml:space="preserve">Statut</w:t>
            </w:r>
          </w:p>
        </w:tc>
        <w:tc>
          <w:tcPr>
            <w:tcW w:w="1240" w:type="dxa"/>
          </w:tcPr>
          <w:tcPr/>
          <w:p>
            <w:pPr>
              <w:pStyle w:val="Compact"/>
              <w:jc w:val="left"/>
            </w:pPr>
            <w:r>
              <w:t xml:space="preserve">Source</w:t>
            </w:r>
          </w:p>
        </w:tc>
      </w:tr>
      <w:tr>
        <w:tc>
          <w:tcPr>
            <w:tcW w:w="1755" w:type="dxa"/>
          </w:tcPr>
          <w:tcPr/>
          <w:p>
            <w:pPr>
              <w:pStyle w:val="Compact"/>
              <w:jc w:val="left"/>
            </w:pPr>
            <w:r>
              <w:t xml:space="preserve">Capacité installée (pays)</w:t>
            </w:r>
          </w:p>
        </w:tc>
        <w:tc>
          <w:tcPr>
            <w:tcW w:w="8653" w:type="dxa"/>
          </w:tcPr>
          <w:tcPr/>
          <w:p>
            <w:pPr>
              <w:pStyle w:val="Compact"/>
              <w:jc w:val="left"/>
            </w:pPr>
            <w:r>
              <w:t xml:space="preserve">718 MW (53 % fossile, 33 % hydro, 14 % solaire), source BNEF</w:t>
            </w:r>
          </w:p>
        </w:tc>
        <w:tc>
          <w:tcPr>
            <w:tcW w:w="1510" w:type="dxa"/>
          </w:tcPr>
          <w:tcPr/>
          <w:p>
            <w:pPr>
              <w:pStyle w:val="Compact"/>
              <w:jc w:val="left"/>
            </w:pPr>
            <w:r>
              <w:t xml:space="preserve">2023</w:t>
            </w:r>
          </w:p>
        </w:tc>
        <w:tc>
          <w:tcPr>
            <w:tcW w:w="1410" w:type="dxa"/>
          </w:tcPr>
          <w:tcPr/>
          <w:p>
            <w:pPr>
              <w:pStyle w:val="Compact"/>
              <w:jc w:val="left"/>
            </w:pPr>
            <w:r>
              <w:t xml:space="preserve">[V] (cité par FMI)</w:t>
            </w:r>
          </w:p>
        </w:tc>
        <w:tc>
          <w:tcPr>
            <w:tcW w:w="1240" w:type="dxa"/>
          </w:tcPr>
          <w:tcPr/>
          <w:p>
            <w:pPr>
              <w:pStyle w:val="Compact"/>
              <w:jc w:val="left"/>
            </w:pPr>
            <w:r>
              <w:t xml:space="preserve">[3]</w:t>
            </w:r>
          </w:p>
        </w:tc>
      </w:tr>
      <w:tr>
        <w:tc>
          <w:tcPr>
            <w:tcW w:w="1755" w:type="dxa"/>
          </w:tcPr>
          <w:tcPr/>
          <w:p>
            <w:pPr>
              <w:pStyle w:val="Compact"/>
            </w:pPr>
          </w:p>
        </w:tc>
        <w:tc>
          <w:tcPr>
            <w:tcW w:w="8653" w:type="dxa"/>
          </w:tcPr>
          <w:tcPr/>
          <w:p>
            <w:pPr>
              <w:pStyle w:val="Compact"/>
              <w:jc w:val="left"/>
            </w:pPr>
            <w:r>
              <w:t xml:space="preserve">828 MW, dont 241 MW JIRAMA (pacte)</w:t>
            </w:r>
          </w:p>
        </w:tc>
        <w:tc>
          <w:tcPr>
            <w:tcW w:w="1510" w:type="dxa"/>
          </w:tcPr>
          <w:tcPr/>
          <w:p>
            <w:pPr>
              <w:pStyle w:val="Compact"/>
              <w:jc w:val="left"/>
            </w:pPr>
            <w:r>
              <w:t xml:space="preserve">2024</w:t>
            </w:r>
          </w:p>
        </w:tc>
        <w:tc>
          <w:tcPr>
            <w:tcW w:w="1410" w:type="dxa"/>
          </w:tcPr>
          <w:tcPr/>
          <w:p>
            <w:pPr>
              <w:pStyle w:val="Compact"/>
              <w:jc w:val="left"/>
            </w:pPr>
            <w:r>
              <w:t xml:space="preserve">(pacte)</w:t>
            </w:r>
          </w:p>
        </w:tc>
        <w:tc>
          <w:tcPr>
            <w:tcW w:w="1240" w:type="dxa"/>
          </w:tcPr>
          <w:tcPr/>
          <w:p>
            <w:pPr>
              <w:pStyle w:val="Compact"/>
              <w:jc w:val="left"/>
            </w:pPr>
            <w:r>
              <w:t xml:space="preserve">phase 1</w:t>
            </w:r>
          </w:p>
        </w:tc>
      </w:tr>
      <w:tr>
        <w:tc>
          <w:tcPr>
            <w:tcW w:w="1755" w:type="dxa"/>
          </w:tcPr>
          <w:tcPr/>
          <w:p>
            <w:pPr>
              <w:pStyle w:val="Compact"/>
              <w:jc w:val="left"/>
            </w:pPr>
            <w:r>
              <w:t xml:space="preserve">Disponibilité</w:t>
            </w:r>
          </w:p>
        </w:tc>
        <w:tc>
          <w:tcPr>
            <w:tcW w:w="8653" w:type="dxa"/>
          </w:tcPr>
          <w:tcPr/>
          <w:p>
            <w:pPr>
              <w:pStyle w:val="Compact"/>
              <w:jc w:val="left"/>
            </w:pPr>
            <w:r>
              <w:t xml:space="preserve">Environ 45 % pour les centrales thermiques, environ 75 % pour l’hydro. Consommation spécifique d’environ 250 g/kWh, contre 200-215 g/kWh en référence</w:t>
            </w:r>
          </w:p>
        </w:tc>
        <w:tc>
          <w:tcPr>
            <w:tcW w:w="1510" w:type="dxa"/>
          </w:tcPr>
          <w:tcPr/>
          <w:p>
            <w:pPr>
              <w:pStyle w:val="Compact"/>
              <w:jc w:val="left"/>
            </w:pPr>
            <w:r>
              <w:t xml:space="preserve">~2023</w:t>
            </w:r>
          </w:p>
        </w:tc>
        <w:tc>
          <w:tcPr>
            <w:tcW w:w="1410" w:type="dxa"/>
          </w:tcPr>
          <w:tcPr/>
          <w:p>
            <w:pPr>
              <w:pStyle w:val="Compact"/>
              <w:jc w:val="left"/>
            </w:pPr>
            <w:r>
              <w:t xml:space="preserve">[V]</w:t>
            </w:r>
          </w:p>
        </w:tc>
        <w:tc>
          <w:tcPr>
            <w:tcW w:w="1240" w:type="dxa"/>
          </w:tcPr>
          <w:tcPr/>
          <w:p>
            <w:pPr>
              <w:pStyle w:val="Compact"/>
              <w:jc w:val="left"/>
            </w:pPr>
            <w:r>
              <w:t xml:space="preserve">[3]</w:t>
            </w:r>
          </w:p>
        </w:tc>
      </w:tr>
      <w:tr>
        <w:tc>
          <w:tcPr>
            <w:tcW w:w="1755" w:type="dxa"/>
          </w:tcPr>
          <w:tcPr/>
          <w:p>
            <w:pPr>
              <w:pStyle w:val="Compact"/>
              <w:jc w:val="left"/>
            </w:pPr>
            <w:r>
              <w:t xml:space="preserve">Pertes totales</w:t>
            </w:r>
          </w:p>
        </w:tc>
        <w:tc>
          <w:tcPr>
            <w:tcW w:w="8653" w:type="dxa"/>
          </w:tcPr>
          <w:tcPr/>
          <w:p>
            <w:pPr>
              <w:pStyle w:val="Compact"/>
              <w:jc w:val="left"/>
            </w:pPr>
            <w:r>
              <w:t xml:space="preserve">28 % (techniques et commerciales ; base du DLI 5 ; cible 21 % en 2030)</w:t>
            </w:r>
          </w:p>
        </w:tc>
        <w:tc>
          <w:tcPr>
            <w:tcW w:w="1510" w:type="dxa"/>
          </w:tcPr>
          <w:tcPr/>
          <w:p>
            <w:pPr>
              <w:pStyle w:val="Compact"/>
              <w:jc w:val="left"/>
            </w:pPr>
            <w:r>
              <w:t xml:space="preserve">déc. 2025</w:t>
            </w:r>
          </w:p>
        </w:tc>
        <w:tc>
          <w:tcPr>
            <w:tcW w:w="1410" w:type="dxa"/>
          </w:tcPr>
          <w:tcPr/>
          <w:p>
            <w:pPr>
              <w:pStyle w:val="Compact"/>
              <w:jc w:val="left"/>
            </w:pPr>
            <w:r>
              <w:t xml:space="preserve">[V]</w:t>
            </w:r>
          </w:p>
        </w:tc>
        <w:tc>
          <w:tcPr>
            <w:tcW w:w="1240" w:type="dxa"/>
          </w:tcPr>
          <w:tcPr/>
          <w:p>
            <w:pPr>
              <w:pStyle w:val="Compact"/>
              <w:jc w:val="left"/>
            </w:pPr>
            <w:r>
              <w:t xml:space="preserve">[7][8]</w:t>
            </w:r>
          </w:p>
        </w:tc>
      </w:tr>
      <w:tr>
        <w:tc>
          <w:tcPr>
            <w:tcW w:w="1755" w:type="dxa"/>
          </w:tcPr>
          <w:tcPr/>
          <w:p>
            <w:pPr>
              <w:pStyle w:val="Compact"/>
            </w:pPr>
          </w:p>
        </w:tc>
        <w:tc>
          <w:tcPr>
            <w:tcW w:w="8653" w:type="dxa"/>
          </w:tcPr>
          <w:tcPr/>
          <w:p>
            <w:pPr>
              <w:pStyle w:val="Compact"/>
              <w:jc w:val="left"/>
            </w:pPr>
            <w:r>
              <w:t xml:space="preserve">Environ 30 % en électricité (45 % en eau)</w:t>
            </w:r>
          </w:p>
        </w:tc>
        <w:tc>
          <w:tcPr>
            <w:tcW w:w="1510" w:type="dxa"/>
          </w:tcPr>
          <w:tcPr/>
          <w:p>
            <w:pPr>
              <w:pStyle w:val="Compact"/>
              <w:jc w:val="left"/>
            </w:pPr>
            <w:r>
              <w:t xml:space="preserve">~2024</w:t>
            </w:r>
          </w:p>
        </w:tc>
        <w:tc>
          <w:tcPr>
            <w:tcW w:w="1410" w:type="dxa"/>
          </w:tcPr>
          <w:tcPr/>
          <w:p>
            <w:pPr>
              <w:pStyle w:val="Compact"/>
              <w:jc w:val="left"/>
            </w:pPr>
            <w:r>
              <w:t xml:space="preserve">[V]</w:t>
            </w:r>
          </w:p>
        </w:tc>
        <w:tc>
          <w:tcPr>
            <w:tcW w:w="1240" w:type="dxa"/>
          </w:tcPr>
          <w:tcPr/>
          <w:p>
            <w:pPr>
              <w:pStyle w:val="Compact"/>
              <w:jc w:val="left"/>
            </w:pPr>
            <w:r>
              <w:t xml:space="preserve">[6]</w:t>
            </w:r>
          </w:p>
        </w:tc>
      </w:tr>
      <w:tr>
        <w:tc>
          <w:tcPr>
            <w:tcW w:w="1755" w:type="dxa"/>
          </w:tcPr>
          <w:tcPr/>
          <w:p>
            <w:pPr>
              <w:pStyle w:val="Compact"/>
            </w:pPr>
          </w:p>
        </w:tc>
        <w:tc>
          <w:tcPr>
            <w:tcW w:w="8653" w:type="dxa"/>
          </w:tcPr>
          <w:tcPr/>
          <w:p>
            <w:pPr>
              <w:pStyle w:val="Compact"/>
              <w:jc w:val="left"/>
            </w:pPr>
            <w:r>
              <w:t xml:space="preserve">Transport 8,2 % et distribution 22,6 %, plus 11 % de non-recouvrement</w:t>
            </w:r>
          </w:p>
        </w:tc>
        <w:tc>
          <w:tcPr>
            <w:tcW w:w="1510" w:type="dxa"/>
          </w:tcPr>
          <w:tcPr/>
          <w:p>
            <w:pPr>
              <w:pStyle w:val="Compact"/>
              <w:jc w:val="left"/>
            </w:pPr>
            <w:r>
              <w:t xml:space="preserve">~2023</w:t>
            </w:r>
          </w:p>
        </w:tc>
        <w:tc>
          <w:tcPr>
            <w:tcW w:w="1410" w:type="dxa"/>
          </w:tcPr>
          <w:tcPr/>
          <w:p>
            <w:pPr>
              <w:pStyle w:val="Compact"/>
              <w:jc w:val="left"/>
            </w:pPr>
            <w:r>
              <w:t xml:space="preserve">[V]</w:t>
            </w:r>
          </w:p>
        </w:tc>
        <w:tc>
          <w:tcPr>
            <w:tcW w:w="1240" w:type="dxa"/>
          </w:tcPr>
          <w:tcPr/>
          <w:p>
            <w:pPr>
              <w:pStyle w:val="Compact"/>
              <w:jc w:val="left"/>
            </w:pPr>
            <w:r>
              <w:t xml:space="preserve">[3]</w:t>
            </w:r>
          </w:p>
        </w:tc>
      </w:tr>
      <w:tr>
        <w:tc>
          <w:tcPr>
            <w:tcW w:w="1755" w:type="dxa"/>
          </w:tcPr>
          <w:tcPr/>
          <w:p>
            <w:pPr>
              <w:pStyle w:val="Compact"/>
              <w:jc w:val="left"/>
            </w:pPr>
            <w:r>
              <w:t xml:space="preserve">SAIDI/SAIFI ; coupures</w:t>
            </w:r>
          </w:p>
        </w:tc>
        <w:tc>
          <w:tcPr>
            <w:tcW w:w="8653" w:type="dxa"/>
          </w:tcPr>
          <w:tcPr/>
          <w:p>
            <w:pPr>
              <w:pStyle w:val="Compact"/>
              <w:jc w:val="left"/>
            </w:pPr>
            <w:r>
              <w:t xml:space="preserve">Environ 6 h de coupure par jour à Antananarivo</w:t>
            </w:r>
          </w:p>
        </w:tc>
        <w:tc>
          <w:tcPr>
            <w:tcW w:w="1510" w:type="dxa"/>
          </w:tcPr>
          <w:tcPr/>
          <w:p>
            <w:pPr>
              <w:pStyle w:val="Compact"/>
              <w:jc w:val="left"/>
            </w:pPr>
            <w:r>
              <w:t xml:space="preserve">oct. 2024</w:t>
            </w:r>
          </w:p>
        </w:tc>
        <w:tc>
          <w:tcPr>
            <w:tcW w:w="1410" w:type="dxa"/>
          </w:tcPr>
          <w:tcPr/>
          <w:p>
            <w:pPr>
              <w:pStyle w:val="Compact"/>
              <w:jc w:val="left"/>
            </w:pPr>
            <w:r>
              <w:t xml:space="preserve">[V]</w:t>
            </w:r>
          </w:p>
        </w:tc>
        <w:tc>
          <w:tcPr>
            <w:tcW w:w="1240" w:type="dxa"/>
          </w:tcPr>
          <w:tcPr/>
          <w:p>
            <w:pPr>
              <w:pStyle w:val="Compact"/>
              <w:jc w:val="left"/>
            </w:pPr>
            <w:r>
              <w:t xml:space="preserve">[3]</w:t>
            </w:r>
          </w:p>
        </w:tc>
      </w:tr>
      <w:tr>
        <w:tc>
          <w:tcPr>
            <w:tcW w:w="1755" w:type="dxa"/>
          </w:tcPr>
          <w:tcPr/>
          <w:p>
            <w:pPr>
              <w:pStyle w:val="Compact"/>
            </w:pPr>
          </w:p>
        </w:tc>
        <w:tc>
          <w:tcPr>
            <w:tcW w:w="8653" w:type="dxa"/>
          </w:tcPr>
          <w:tcPr/>
          <w:p>
            <w:pPr>
              <w:pStyle w:val="Compact"/>
              <w:jc w:val="left"/>
            </w:pPr>
            <w:r>
              <w:t xml:space="preserve">Coupures et pénuries d’eau « persistantes »</w:t>
            </w:r>
          </w:p>
        </w:tc>
        <w:tc>
          <w:tcPr>
            <w:tcW w:w="1510" w:type="dxa"/>
          </w:tcPr>
          <w:tcPr/>
          <w:p>
            <w:pPr>
              <w:pStyle w:val="Compact"/>
              <w:jc w:val="left"/>
            </w:pPr>
            <w:r>
              <w:t xml:space="preserve">2026</w:t>
            </w:r>
          </w:p>
        </w:tc>
        <w:tc>
          <w:tcPr>
            <w:tcW w:w="1410" w:type="dxa"/>
          </w:tcPr>
          <w:tcPr/>
          <w:p>
            <w:pPr>
              <w:pStyle w:val="Compact"/>
              <w:jc w:val="left"/>
            </w:pPr>
            <w:r>
              <w:t xml:space="preserve">[V]</w:t>
            </w:r>
          </w:p>
        </w:tc>
        <w:tc>
          <w:tcPr>
            <w:tcW w:w="1240" w:type="dxa"/>
          </w:tcPr>
          <w:tcPr/>
          <w:p>
            <w:pPr>
              <w:pStyle w:val="Compact"/>
              <w:jc w:val="left"/>
            </w:pPr>
            <w:r>
              <w:t xml:space="preserve">[10]</w:t>
            </w:r>
          </w:p>
        </w:tc>
      </w:tr>
      <w:tr>
        <w:tc>
          <w:tcPr>
            <w:tcW w:w="1755" w:type="dxa"/>
          </w:tcPr>
          <w:tcPr/>
          <w:p>
            <w:pPr>
              <w:pStyle w:val="Compact"/>
            </w:pPr>
          </w:p>
        </w:tc>
        <w:tc>
          <w:tcPr>
            <w:tcW w:w="8653" w:type="dxa"/>
          </w:tcPr>
          <w:tcPr/>
          <w:p>
            <w:pPr>
              <w:pStyle w:val="Compact"/>
              <w:jc w:val="left"/>
            </w:pPr>
            <w:r>
              <w:t xml:space="preserve">SAIDI/SAIFI : [?] non trouvés</w:t>
            </w:r>
          </w:p>
        </w:tc>
        <w:tc>
          <w:tcPr>
            <w:tcW w:w="1510" w:type="dxa"/>
          </w:tcPr>
          <w:tcPr/>
          <w:p>
            <w:pPr>
              <w:pStyle w:val="Compact"/>
              <w:jc w:val="left"/>
            </w:pPr>
            <w:r>
              <w:t xml:space="preserve">—</w:t>
            </w:r>
          </w:p>
        </w:tc>
        <w:tc>
          <w:tcPr>
            <w:tcW w:w="1410" w:type="dxa"/>
          </w:tcPr>
          <w:tcPr/>
          <w:p>
            <w:pPr>
              <w:pStyle w:val="Compact"/>
              <w:jc w:val="left"/>
            </w:pPr>
            <w:r>
              <w:t xml:space="preserve">[?]</w:t>
            </w:r>
          </w:p>
        </w:tc>
        <w:tc>
          <w:tcPr>
            <w:tcW w:w="1240" w:type="dxa"/>
          </w:tcPr>
          <w:tcPr/>
          <w:p>
            <w:pPr>
              <w:pStyle w:val="Compact"/>
              <w:jc w:val="left"/>
            </w:pPr>
            <w:r>
              <w:t xml:space="preserve">—</w:t>
            </w:r>
          </w:p>
        </w:tc>
      </w:tr>
      <w:tr>
        <w:tc>
          <w:tcPr>
            <w:tcW w:w="1755" w:type="dxa"/>
          </w:tcPr>
          <w:tcPr/>
          <w:p>
            <w:pPr>
              <w:pStyle w:val="Compact"/>
              <w:jc w:val="left"/>
            </w:pPr>
            <w:r>
              <w:t xml:space="preserve">Clients ; prépaiement</w:t>
            </w:r>
          </w:p>
        </w:tc>
        <w:tc>
          <w:tcPr>
            <w:tcW w:w="8653" w:type="dxa"/>
          </w:tcPr>
          <w:tcPr/>
          <w:p>
            <w:pPr>
              <w:pStyle w:val="Compact"/>
              <w:jc w:val="left"/>
            </w:pPr>
            <w:r>
              <w:t xml:space="preserve">638 719 clients (pacte, 2023)</w:t>
            </w:r>
          </w:p>
        </w:tc>
        <w:tc>
          <w:tcPr>
            <w:tcW w:w="1510" w:type="dxa"/>
          </w:tcPr>
          <w:tcPr/>
          <w:p>
            <w:pPr>
              <w:pStyle w:val="Compact"/>
              <w:jc w:val="left"/>
            </w:pPr>
            <w:r>
              <w:t xml:space="preserve">2023</w:t>
            </w:r>
          </w:p>
        </w:tc>
        <w:tc>
          <w:tcPr>
            <w:tcW w:w="1410" w:type="dxa"/>
          </w:tcPr>
          <w:tcPr/>
          <w:p>
            <w:pPr>
              <w:pStyle w:val="Compact"/>
              <w:jc w:val="left"/>
            </w:pPr>
            <w:r>
              <w:t xml:space="preserve">(pacte)</w:t>
            </w:r>
          </w:p>
        </w:tc>
        <w:tc>
          <w:tcPr>
            <w:tcW w:w="1240" w:type="dxa"/>
          </w:tcPr>
          <w:tcPr/>
          <w:p>
            <w:pPr>
              <w:pStyle w:val="Compact"/>
              <w:jc w:val="left"/>
            </w:pPr>
            <w:r>
              <w:t xml:space="preserve">phase 1</w:t>
            </w:r>
          </w:p>
        </w:tc>
      </w:tr>
      <w:tr>
        <w:tc>
          <w:tcPr>
            <w:tcW w:w="1755" w:type="dxa"/>
          </w:tcPr>
          <w:tcPr/>
          <w:p>
            <w:pPr>
              <w:pStyle w:val="Compact"/>
            </w:pPr>
          </w:p>
        </w:tc>
        <w:tc>
          <w:tcPr>
            <w:tcW w:w="8653" w:type="dxa"/>
          </w:tcPr>
          <w:tcPr/>
          <w:p>
            <w:pPr>
              <w:pStyle w:val="Compact"/>
              <w:jc w:val="left"/>
            </w:pPr>
            <w:r>
              <w:t xml:space="preserve">Compteurs prépayés installés dans plus de 75 % des 4 005 institutions publiques</w:t>
            </w:r>
          </w:p>
        </w:tc>
        <w:tc>
          <w:tcPr>
            <w:tcW w:w="1510" w:type="dxa"/>
          </w:tcPr>
          <w:tcPr/>
          <w:p>
            <w:pPr>
              <w:pStyle w:val="Compact"/>
              <w:jc w:val="left"/>
            </w:pPr>
            <w:r>
              <w:t xml:space="preserve">2024-25</w:t>
            </w:r>
          </w:p>
        </w:tc>
        <w:tc>
          <w:tcPr>
            <w:tcW w:w="1410" w:type="dxa"/>
          </w:tcPr>
          <w:tcPr/>
          <w:p>
            <w:pPr>
              <w:pStyle w:val="Compact"/>
              <w:jc w:val="left"/>
            </w:pPr>
            <w:r>
              <w:t xml:space="preserve">[V]</w:t>
            </w:r>
          </w:p>
        </w:tc>
        <w:tc>
          <w:tcPr>
            <w:tcW w:w="1240" w:type="dxa"/>
          </w:tcPr>
          <w:tcPr/>
          <w:p>
            <w:pPr>
              <w:pStyle w:val="Compact"/>
              <w:jc w:val="left"/>
            </w:pPr>
            <w:r>
              <w:t xml:space="preserve">[5]</w:t>
            </w:r>
          </w:p>
        </w:tc>
      </w:tr>
      <w:tr>
        <w:tc>
          <w:tcPr>
            <w:tcW w:w="1755" w:type="dxa"/>
          </w:tcPr>
          <w:tcPr/>
          <w:p>
            <w:pPr>
              <w:pStyle w:val="Compact"/>
            </w:pPr>
          </w:p>
        </w:tc>
        <w:tc>
          <w:tcPr>
            <w:tcW w:w="8653" w:type="dxa"/>
          </w:tcPr>
          <w:tcPr/>
          <w:p>
            <w:pPr>
              <w:pStyle w:val="Compact"/>
              <w:jc w:val="left"/>
            </w:pPr>
            <w:r>
              <w:t xml:space="preserve">195 000 compteurs prépayés pour branchements sociaux achetés (LEAD, production immobilisée)</w:t>
            </w:r>
          </w:p>
        </w:tc>
        <w:tc>
          <w:tcPr>
            <w:tcW w:w="1510" w:type="dxa"/>
          </w:tcPr>
          <w:tcPr/>
          <w:p>
            <w:pPr>
              <w:pStyle w:val="Compact"/>
              <w:jc w:val="left"/>
            </w:pPr>
            <w:r>
              <w:t xml:space="preserve">2023</w:t>
            </w:r>
          </w:p>
        </w:tc>
        <w:tc>
          <w:tcPr>
            <w:tcW w:w="1410" w:type="dxa"/>
          </w:tcPr>
          <w:tcPr/>
          <w:p>
            <w:pPr>
              <w:pStyle w:val="Compact"/>
              <w:jc w:val="left"/>
            </w:pPr>
            <w:r>
              <w:t xml:space="preserve">[V]</w:t>
            </w:r>
          </w:p>
        </w:tc>
        <w:tc>
          <w:tcPr>
            <w:tcW w:w="1240" w:type="dxa"/>
          </w:tcPr>
          <w:tcPr/>
          <w:p>
            <w:pPr>
              <w:pStyle w:val="Compact"/>
              <w:jc w:val="left"/>
            </w:pPr>
            <w:r>
              <w:t xml:space="preserve">[2]</w:t>
            </w:r>
          </w:p>
        </w:tc>
      </w:tr>
      <w:tr>
        <w:tc>
          <w:tcPr>
            <w:tcW w:w="1755" w:type="dxa"/>
          </w:tcPr>
          <w:tcPr/>
          <w:p>
            <w:pPr>
              <w:pStyle w:val="Compact"/>
            </w:pPr>
          </w:p>
        </w:tc>
        <w:tc>
          <w:tcPr>
            <w:tcW w:w="8653" w:type="dxa"/>
          </w:tcPr>
          <w:tcPr/>
          <w:p>
            <w:pPr>
              <w:pStyle w:val="Compact"/>
              <w:jc w:val="left"/>
            </w:pPr>
            <w:r>
              <w:t xml:space="preserve">Part prépayée totale : [?]</w:t>
            </w:r>
          </w:p>
        </w:tc>
        <w:tc>
          <w:tcPr>
            <w:tcW w:w="1510" w:type="dxa"/>
          </w:tcPr>
          <w:tcPr/>
          <w:p>
            <w:pPr>
              <w:pStyle w:val="Compact"/>
              <w:jc w:val="left"/>
            </w:pPr>
            <w:r>
              <w:t xml:space="preserve">—</w:t>
            </w:r>
          </w:p>
        </w:tc>
        <w:tc>
          <w:tcPr>
            <w:tcW w:w="1410" w:type="dxa"/>
          </w:tcPr>
          <w:tcPr/>
          <w:p>
            <w:pPr>
              <w:pStyle w:val="Compact"/>
              <w:jc w:val="left"/>
            </w:pPr>
            <w:r>
              <w:t xml:space="preserve">[?]</w:t>
            </w:r>
          </w:p>
        </w:tc>
        <w:tc>
          <w:tcPr>
            <w:tcW w:w="1240" w:type="dxa"/>
          </w:tcPr>
          <w:tcPr/>
          <w:p>
            <w:pPr>
              <w:pStyle w:val="Compact"/>
              <w:jc w:val="left"/>
            </w:pPr>
            <w:r>
              <w:t xml:space="preserve">—</w:t>
            </w:r>
          </w:p>
        </w:tc>
      </w:tr>
      <w:tr>
        <w:tc>
          <w:tcPr>
            <w:tcW w:w="1755" w:type="dxa"/>
          </w:tcPr>
          <w:tcPr/>
          <w:p>
            <w:pPr>
              <w:pStyle w:val="Compact"/>
              <w:jc w:val="left"/>
            </w:pPr>
            <w:r>
              <w:t xml:space="preserve">Mix et coût de production</w:t>
            </w:r>
          </w:p>
        </w:tc>
        <w:tc>
          <w:tcPr>
            <w:tcW w:w="8653" w:type="dxa"/>
          </w:tcPr>
          <w:tcPr/>
          <w:p>
            <w:pPr>
              <w:pStyle w:val="Compact"/>
              <w:jc w:val="left"/>
            </w:pPr>
            <w:r>
              <w:t xml:space="preserve">Production JIRAMA : 1 953 GWh en 2023 ; 54 % fioul/diesel, 45 % hydro, 1 % autres EnR (base 2021)</w:t>
            </w:r>
          </w:p>
        </w:tc>
        <w:tc>
          <w:tcPr>
            <w:tcW w:w="1510" w:type="dxa"/>
          </w:tcPr>
          <w:tcPr/>
          <w:p>
            <w:pPr>
              <w:pStyle w:val="Compact"/>
              <w:jc w:val="left"/>
            </w:pPr>
            <w:r>
              <w:t xml:space="preserve">2021-23</w:t>
            </w:r>
          </w:p>
        </w:tc>
        <w:tc>
          <w:tcPr>
            <w:tcW w:w="1410" w:type="dxa"/>
          </w:tcPr>
          <w:tcPr/>
          <w:p>
            <w:pPr>
              <w:pStyle w:val="Compact"/>
              <w:jc w:val="left"/>
            </w:pPr>
            <w:r>
              <w:t xml:space="preserve">[V]</w:t>
            </w:r>
          </w:p>
        </w:tc>
        <w:tc>
          <w:tcPr>
            <w:tcW w:w="1240" w:type="dxa"/>
          </w:tcPr>
          <w:tcPr/>
          <w:p>
            <w:pPr>
              <w:pStyle w:val="Compact"/>
              <w:jc w:val="left"/>
            </w:pPr>
            <w:r>
              <w:t xml:space="preserve">[3]</w:t>
            </w:r>
          </w:p>
        </w:tc>
      </w:tr>
      <w:tr>
        <w:tc>
          <w:tcPr>
            <w:tcW w:w="1755" w:type="dxa"/>
          </w:tcPr>
          <w:tcPr/>
          <w:p>
            <w:pPr>
              <w:pStyle w:val="Compact"/>
            </w:pPr>
          </w:p>
        </w:tc>
        <w:tc>
          <w:tcPr>
            <w:tcW w:w="8653" w:type="dxa"/>
          </w:tcPr>
          <w:tcPr/>
          <w:p>
            <w:pPr>
              <w:pStyle w:val="Compact"/>
              <w:jc w:val="left"/>
            </w:pPr>
            <w:r>
              <w:t xml:space="preserve">Le combustible représente environ 56 % des coûts de l’électricité et les achats d’énergie 30 %</w:t>
            </w:r>
          </w:p>
        </w:tc>
        <w:tc>
          <w:tcPr>
            <w:tcW w:w="1510" w:type="dxa"/>
          </w:tcPr>
          <w:tcPr/>
          <w:p>
            <w:pPr>
              <w:pStyle w:val="Compact"/>
              <w:jc w:val="left"/>
            </w:pPr>
            <w:r>
              <w:t xml:space="preserve">2023</w:t>
            </w:r>
          </w:p>
        </w:tc>
        <w:tc>
          <w:tcPr>
            <w:tcW w:w="1410" w:type="dxa"/>
          </w:tcPr>
          <w:tcPr/>
          <w:p>
            <w:pPr>
              <w:pStyle w:val="Compact"/>
              <w:jc w:val="left"/>
            </w:pPr>
            <w:r>
              <w:t xml:space="preserve">[V]</w:t>
            </w:r>
          </w:p>
        </w:tc>
        <w:tc>
          <w:tcPr>
            <w:tcW w:w="1240" w:type="dxa"/>
          </w:tcPr>
          <w:tcPr/>
          <w:p>
            <w:pPr>
              <w:pStyle w:val="Compact"/>
              <w:jc w:val="left"/>
            </w:pPr>
            <w:r>
              <w:t xml:space="preserve">[3]</w:t>
            </w:r>
          </w:p>
        </w:tc>
      </w:tr>
      <w:tr>
        <w:tc>
          <w:tcPr>
            <w:tcW w:w="1755" w:type="dxa"/>
          </w:tcPr>
          <w:tcPr/>
          <w:p>
            <w:pPr>
              <w:pStyle w:val="Compact"/>
            </w:pPr>
          </w:p>
        </w:tc>
        <w:tc>
          <w:tcPr>
            <w:tcW w:w="8653" w:type="dxa"/>
          </w:tcPr>
          <w:tcPr/>
          <w:p>
            <w:pPr>
              <w:pStyle w:val="Compact"/>
              <w:jc w:val="left"/>
            </w:pPr>
            <w:r>
              <w:t xml:space="preserve">En 2023, le combustible dépassait les recettes totales</w:t>
            </w:r>
          </w:p>
        </w:tc>
        <w:tc>
          <w:tcPr>
            <w:tcW w:w="1510" w:type="dxa"/>
          </w:tcPr>
          <w:tcPr/>
          <w:p>
            <w:pPr>
              <w:pStyle w:val="Compact"/>
              <w:jc w:val="left"/>
            </w:pPr>
            <w:r>
              <w:t xml:space="preserve">2023</w:t>
            </w:r>
          </w:p>
        </w:tc>
        <w:tc>
          <w:tcPr>
            <w:tcW w:w="1410" w:type="dxa"/>
          </w:tcPr>
          <w:tcPr/>
          <w:p>
            <w:pPr>
              <w:pStyle w:val="Compact"/>
              <w:jc w:val="left"/>
            </w:pPr>
            <w:r>
              <w:t xml:space="preserve">[V]</w:t>
            </w:r>
          </w:p>
        </w:tc>
        <w:tc>
          <w:tcPr>
            <w:tcW w:w="1240" w:type="dxa"/>
          </w:tcPr>
          <w:tcPr/>
          <w:p>
            <w:pPr>
              <w:pStyle w:val="Compact"/>
              <w:jc w:val="left"/>
            </w:pPr>
            <w:r>
              <w:t xml:space="preserve">[6]</w:t>
            </w:r>
          </w:p>
        </w:tc>
      </w:tr>
      <w:tr>
        <w:tc>
          <w:tcPr>
            <w:tcW w:w="1755" w:type="dxa"/>
          </w:tcPr>
          <w:tcPr/>
          <w:p>
            <w:pPr>
              <w:pStyle w:val="Compact"/>
              <w:jc w:val="left"/>
            </w:pPr>
            <w:r>
              <w:t xml:space="preserve">Délestages récents</w:t>
            </w:r>
          </w:p>
        </w:tc>
        <w:tc>
          <w:tcPr>
            <w:tcW w:w="8653" w:type="dxa"/>
          </w:tcPr>
          <w:tcPr/>
          <w:p>
            <w:pPr>
              <w:pStyle w:val="Compact"/>
              <w:jc w:val="left"/>
            </w:pPr>
            <w:r>
              <w:t xml:space="preserve">Délestages fréquents, à l’origine des mobilisations de fin 2025</w:t>
            </w:r>
          </w:p>
        </w:tc>
        <w:tc>
          <w:tcPr>
            <w:tcW w:w="1510" w:type="dxa"/>
          </w:tcPr>
          <w:tcPr/>
          <w:p>
            <w:pPr>
              <w:pStyle w:val="Compact"/>
              <w:jc w:val="left"/>
            </w:pPr>
            <w:r>
              <w:t xml:space="preserve">2025</w:t>
            </w:r>
          </w:p>
        </w:tc>
        <w:tc>
          <w:tcPr>
            <w:tcW w:w="1410" w:type="dxa"/>
          </w:tcPr>
          <w:tcPr/>
          <w:p>
            <w:pPr>
              <w:pStyle w:val="Compact"/>
              <w:jc w:val="left"/>
            </w:pPr>
            <w:r>
              <w:t xml:space="preserve">[V]</w:t>
            </w:r>
          </w:p>
        </w:tc>
        <w:tc>
          <w:tcPr>
            <w:tcW w:w="1240" w:type="dxa"/>
          </w:tcPr>
          <w:tcPr/>
          <w:p>
            <w:pPr>
              <w:pStyle w:val="Compact"/>
              <w:jc w:val="left"/>
            </w:pPr>
            <w:r>
              <w:t xml:space="preserve">[6]</w:t>
            </w:r>
          </w:p>
        </w:tc>
      </w:tr>
    </w:tbl>
    <w:bookmarkEnd w:id="235"/>
    <w:bookmarkStart w:id="236" w:name="situation-économique-et-gouvernance-19"/>
    <w:p>
      <w:pPr>
        <w:pStyle w:val="Heading3"/>
      </w:pPr>
      <w:r>
        <w:t xml:space="preserve">3. Situation économique et gouvernance</w:t>
      </w:r>
    </w:p>
    <w:p>
      <w:pPr>
        <w:numPr>
          <w:ilvl w:val="0"/>
          <w:numId w:val="1123"/>
        </w:numPr>
        <w:pStyle w:val="Compact"/>
      </w:pPr>
      <w:r>
        <w:rPr>
          <w:bCs/>
          <w:b/>
        </w:rPr>
        <w:t xml:space="preserve">PPA et location</w:t>
      </w:r>
      <w:r>
        <w:t xml:space="preserve"> </w:t>
      </w:r>
      <w:r>
        <w:t xml:space="preserve">: les loueurs et IPP thermiques étrangers pèsent lourd (Aksaf Power, Vestop, Aggreko cités) [V][1].</w:t>
      </w:r>
    </w:p>
    <w:p>
      <w:pPr>
        <w:numPr>
          <w:ilvl w:val="1"/>
          <w:numId w:val="1124"/>
        </w:numPr>
        <w:pStyle w:val="Compact"/>
      </w:pPr>
      <w:r>
        <w:t xml:space="preserve">Certains contrats obligent la JIRAMA à payer un montant fixe pour une production en baisse [V][3].</w:t>
      </w:r>
    </w:p>
    <w:p>
      <w:pPr>
        <w:numPr>
          <w:ilvl w:val="1"/>
          <w:numId w:val="1124"/>
        </w:numPr>
        <w:pStyle w:val="Compact"/>
      </w:pPr>
      <w:r>
        <w:t xml:space="preserve">Prix moyen des IPP d’environ 0,28 USD/kWh (pacte, non recoupé) [(pacte)].</w:t>
      </w:r>
    </w:p>
    <w:p>
      <w:pPr>
        <w:numPr>
          <w:ilvl w:val="1"/>
          <w:numId w:val="1124"/>
        </w:numPr>
        <w:pStyle w:val="Compact"/>
      </w:pPr>
      <w:r>
        <w:t xml:space="preserve">Les paiements passent depuis 2012 par des</w:t>
      </w:r>
      <w:r>
        <w:t xml:space="preserve"> </w:t>
      </w:r>
      <w:r>
        <w:rPr>
          <w:bCs/>
          <w:b/>
        </w:rPr>
        <w:t xml:space="preserve">protocoles tripartites État–JIRAMA–fournisseurs</w:t>
      </w:r>
      <w:r>
        <w:t xml:space="preserve">. En 2024 : Aksaf Power (arriérés d’oct. 2022 à déc. 2023), Jovena/Axian-NEA (plusieurs protocoles et avenants) [V][1].</w:t>
      </w:r>
    </w:p>
    <w:p>
      <w:pPr>
        <w:numPr>
          <w:ilvl w:val="0"/>
          <w:numId w:val="1123"/>
        </w:numPr>
        <w:pStyle w:val="Compact"/>
      </w:pPr>
      <w:r>
        <w:rPr>
          <w:bCs/>
          <w:b/>
        </w:rPr>
        <w:t xml:space="preserve">Change et combustible</w:t>
      </w:r>
      <w:r>
        <w:t xml:space="preserve"> </w:t>
      </w:r>
      <w:r>
        <w:t xml:space="preserve">: forte exposition au prix des produits pétroliers importés [V][3][10]. Dettes rétrocédées en devises (IDA, BADEA, OPEP, Koweït, BEI) réévaluées au taux de clôture [V][1][2]. Le FMI exige la réinstauration complète du mécanisme automatique des prix des carburants d’ici janvier 2027 [V][10].</w:t>
      </w:r>
    </w:p>
    <w:p>
      <w:pPr>
        <w:numPr>
          <w:ilvl w:val="0"/>
          <w:numId w:val="1123"/>
        </w:numPr>
        <w:pStyle w:val="Compact"/>
      </w:pPr>
      <w:r>
        <w:rPr>
          <w:bCs/>
          <w:b/>
        </w:rPr>
        <w:t xml:space="preserve">Plan de redressement</w:t>
      </w:r>
      <w:r>
        <w:t xml:space="preserve"> </w:t>
      </w:r>
      <w:r>
        <w:t xml:space="preserve">: un plan 2025-2028 existe (scénario de référence : EBITDA en amélioration mais encore déficitaire en 2028 ; scénario optimiste : EBITDA positif en 2028) [V][1].</w:t>
      </w:r>
    </w:p>
    <w:p>
      <w:pPr>
        <w:numPr>
          <w:ilvl w:val="1"/>
          <w:numId w:val="1125"/>
        </w:numPr>
        <w:pStyle w:val="Compact"/>
      </w:pPr>
      <w:r>
        <w:t xml:space="preserve">Son adoption était une</w:t>
      </w:r>
      <w:r>
        <w:t xml:space="preserve"> </w:t>
      </w:r>
      <w:r>
        <w:rPr>
          <w:bCs/>
          <w:b/>
        </w:rPr>
        <w:t xml:space="preserve">action préalable de la 2e revue FEC du FMI</w:t>
      </w:r>
      <w:r>
        <w:t xml:space="preserve"> </w:t>
      </w:r>
      <w:r>
        <w:t xml:space="preserve">(juillet 2025) [V][9].</w:t>
      </w:r>
    </w:p>
    <w:p>
      <w:pPr>
        <w:numPr>
          <w:ilvl w:val="1"/>
          <w:numId w:val="1125"/>
        </w:numPr>
        <w:pStyle w:val="Compact"/>
      </w:pPr>
      <w:r>
        <w:t xml:space="preserve">Un plan de restructuration de la dette a été adopté par le CA de la JIRAMA en janvier 2026 [V][8]. Des protocoles d’accord avec l’ADER et l’ARELEC ont été signés le 25 février 2026 [V][8].</w:t>
      </w:r>
    </w:p>
    <w:p>
      <w:pPr>
        <w:numPr>
          <w:ilvl w:val="1"/>
          <w:numId w:val="1125"/>
        </w:numPr>
        <w:pStyle w:val="Compact"/>
      </w:pPr>
      <w:r>
        <w:t xml:space="preserve">Le rapport Forvis Mazars de validation de la dette et des arriérés au 31/12/2024 est soumis au Trésor ; la finalisation est « In Progress » (échéance 15/07/2026) [V][7].</w:t>
      </w:r>
    </w:p>
    <w:p>
      <w:pPr>
        <w:numPr>
          <w:ilvl w:val="0"/>
          <w:numId w:val="1123"/>
        </w:numPr>
        <w:pStyle w:val="Compact"/>
      </w:pPr>
      <w:r>
        <w:rPr>
          <w:bCs/>
          <w:b/>
        </w:rPr>
        <w:t xml:space="preserve">Tarifs</w:t>
      </w:r>
      <w:r>
        <w:t xml:space="preserve"> </w:t>
      </w:r>
      <w:r>
        <w:t xml:space="preserve">: la structure tarifaire date d’août 2022. Une hausse pour les entreprises a été adoptée en Conseil des ministres le 23/10/2024 : +20 % la première année, puis +16 % les deux années suivantes [V][3]. Un tarif OPTIMA plus élevé existe pour les entreprises [V][5].</w:t>
      </w:r>
    </w:p>
    <w:p>
      <w:pPr>
        <w:numPr>
          <w:ilvl w:val="1"/>
          <w:numId w:val="1126"/>
        </w:numPr>
        <w:pStyle w:val="Compact"/>
      </w:pPr>
      <w:r>
        <w:t xml:space="preserve">L’indexation et l’ajustement tarifaires par décret sont un</w:t>
      </w:r>
      <w:r>
        <w:t xml:space="preserve"> </w:t>
      </w:r>
      <w:r>
        <w:rPr>
          <w:bCs/>
          <w:b/>
        </w:rPr>
        <w:t xml:space="preserve">déclencheur indicatif de la DPO3</w:t>
      </w:r>
      <w:r>
        <w:t xml:space="preserve"> </w:t>
      </w:r>
      <w:r>
        <w:t xml:space="preserve">BM (IT#7) [V][5].</w:t>
      </w:r>
    </w:p>
    <w:p>
      <w:pPr>
        <w:numPr>
          <w:ilvl w:val="0"/>
          <w:numId w:val="1123"/>
        </w:numPr>
        <w:pStyle w:val="Compact"/>
      </w:pPr>
      <w:r>
        <w:rPr>
          <w:bCs/>
          <w:b/>
        </w:rPr>
        <w:t xml:space="preserve">Gouvernance</w:t>
      </w:r>
      <w:r>
        <w:t xml:space="preserve"> </w:t>
      </w:r>
      <w:r>
        <w:t xml:space="preserve">:</w:t>
      </w:r>
    </w:p>
    <w:p>
      <w:pPr>
        <w:numPr>
          <w:ilvl w:val="1"/>
          <w:numId w:val="1127"/>
        </w:numPr>
        <w:pStyle w:val="Compact"/>
      </w:pPr>
      <w:r>
        <w:t xml:space="preserve">Condamnation en mai 2024 de l’ancien DG et du DG intérimaire (dix ans de travaux forcés) pour détournements [V][3].</w:t>
      </w:r>
    </w:p>
    <w:p>
      <w:pPr>
        <w:numPr>
          <w:ilvl w:val="1"/>
          <w:numId w:val="1127"/>
        </w:numPr>
        <w:pStyle w:val="Compact"/>
      </w:pPr>
      <w:r>
        <w:t xml:space="preserve">Nouveaux statuts en mars 2025 [V][1].</w:t>
      </w:r>
    </w:p>
    <w:p>
      <w:pPr>
        <w:numPr>
          <w:ilvl w:val="1"/>
          <w:numId w:val="1127"/>
        </w:numPr>
        <w:pStyle w:val="Compact"/>
      </w:pPr>
      <w:r>
        <w:t xml:space="preserve">Nouvel organigramme approuvé par le CA (mai 2026) [V][7].</w:t>
      </w:r>
    </w:p>
    <w:p>
      <w:pPr>
        <w:numPr>
          <w:ilvl w:val="1"/>
          <w:numId w:val="1127"/>
        </w:numPr>
        <w:pStyle w:val="Compact"/>
      </w:pPr>
      <w:r>
        <w:t xml:space="preserve">Évaluations annuelles indépendantes de la direction et du CA prévues par le MEF (recrutement en cours) [V][7].</w:t>
      </w:r>
    </w:p>
    <w:p>
      <w:pPr>
        <w:numPr>
          <w:ilvl w:val="1"/>
          <w:numId w:val="1127"/>
        </w:numPr>
        <w:pStyle w:val="Compact"/>
      </w:pPr>
      <w:r>
        <w:t xml:space="preserve">Recrutement compétitif d’un DG adjoint (DLR 6.1, d’ici le 31/12/2026) [V][8].</w:t>
      </w:r>
    </w:p>
    <w:p>
      <w:pPr>
        <w:numPr>
          <w:ilvl w:val="1"/>
          <w:numId w:val="1127"/>
        </w:numPr>
        <w:pStyle w:val="Compact"/>
      </w:pPr>
      <w:r>
        <w:t xml:space="preserve">Le CAC 2024 relève des avances non justifiées (9,5 Mds MGA), des suspens bancaires, un écart de 17,5 Mds MGA sur les créances, des soldes mobile money non justifiés (12,7 Mds MGA) et un crédit de TVA non justifié (814 Mds MGA) [V][1].</w:t>
      </w:r>
    </w:p>
    <w:p>
      <w:pPr>
        <w:numPr>
          <w:ilvl w:val="1"/>
          <w:numId w:val="1127"/>
        </w:numPr>
        <w:pStyle w:val="Compact"/>
      </w:pPr>
      <w:r>
        <w:t xml:space="preserve">Conclusion du CAC : « La JIRAMA est virtuellement en état de cessation de paiement » [V][1].</w:t>
      </w:r>
    </w:p>
    <w:bookmarkEnd w:id="236"/>
    <w:bookmarkStart w:id="237" w:name="Xbe9d8eb3be9e802ca1c4603741b457ee165598c"/>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008"/>
        <w:gridCol w:w="696"/>
        <w:gridCol w:w="2427"/>
        <w:gridCol w:w="1285"/>
        <w:gridCol w:w="2798"/>
        <w:gridCol w:w="1947"/>
        <w:gridCol w:w="1701"/>
        <w:gridCol w:w="705"/>
      </w:tblGrid>
      <w:tr>
        <w:trPr>
          <w:tblHeader w:val="true"/>
        </w:trPr>
        <w:tc>
          <w:tcPr>
            <w:tcW w:w="3008" w:type="dxa"/>
          </w:tcPr>
          <w:tcPr/>
          <w:p>
            <w:pPr>
              <w:pStyle w:val="Compact"/>
              <w:jc w:val="left"/>
            </w:pPr>
            <w:r>
              <w:t xml:space="preserve">Programme / projet (nom exact, ID)</w:t>
            </w:r>
          </w:p>
        </w:tc>
        <w:tc>
          <w:tcPr>
            <w:tcW w:w="696" w:type="dxa"/>
          </w:tcPr>
          <w:tcPr/>
          <w:p>
            <w:pPr>
              <w:pStyle w:val="Compact"/>
              <w:jc w:val="left"/>
            </w:pPr>
            <w:r>
              <w:t xml:space="preserve">Bailleur</w:t>
            </w:r>
          </w:p>
        </w:tc>
        <w:tc>
          <w:tcPr>
            <w:tcW w:w="2427" w:type="dxa"/>
          </w:tcPr>
          <w:tcPr/>
          <w:p>
            <w:pPr>
              <w:pStyle w:val="Compact"/>
              <w:jc w:val="left"/>
            </w:pPr>
            <w:r>
              <w:t xml:space="preserve">Montant</w:t>
            </w:r>
          </w:p>
        </w:tc>
        <w:tc>
          <w:tcPr>
            <w:tcW w:w="1285" w:type="dxa"/>
          </w:tcPr>
          <w:tcPr/>
          <w:p>
            <w:pPr>
              <w:pStyle w:val="Compact"/>
              <w:jc w:val="left"/>
            </w:pPr>
            <w:r>
              <w:t xml:space="preserve">Années</w:t>
            </w:r>
          </w:p>
        </w:tc>
        <w:tc>
          <w:tcPr>
            <w:tcW w:w="2798" w:type="dxa"/>
          </w:tcPr>
          <w:tcPr/>
          <w:p>
            <w:pPr>
              <w:pStyle w:val="Compact"/>
              <w:jc w:val="left"/>
            </w:pPr>
            <w:r>
              <w:t xml:space="preserve">Objectifs liés à l’opérateur</w:t>
            </w:r>
          </w:p>
        </w:tc>
        <w:tc>
          <w:tcPr>
            <w:tcW w:w="1947" w:type="dxa"/>
          </w:tcPr>
          <w:tcPr/>
          <w:p>
            <w:pPr>
              <w:pStyle w:val="Compact"/>
              <w:jc w:val="left"/>
            </w:pPr>
            <w:r>
              <w:t xml:space="preserve">Conditions/indicateurs</w:t>
            </w:r>
          </w:p>
        </w:tc>
        <w:tc>
          <w:tcPr>
            <w:tcW w:w="1701" w:type="dxa"/>
          </w:tcPr>
          <w:tcPr/>
          <w:p>
            <w:pPr>
              <w:pStyle w:val="Compact"/>
              <w:jc w:val="left"/>
            </w:pPr>
            <w:r>
              <w:t xml:space="preserve">Statut d’exécution</w:t>
            </w:r>
          </w:p>
        </w:tc>
        <w:tc>
          <w:tcPr>
            <w:tcW w:w="705" w:type="dxa"/>
          </w:tcPr>
          <w:tcPr/>
          <w:p>
            <w:pPr>
              <w:pStyle w:val="Compact"/>
              <w:jc w:val="left"/>
            </w:pPr>
            <w:r>
              <w:t xml:space="preserve">Source</w:t>
            </w:r>
          </w:p>
        </w:tc>
      </w:tr>
      <w:tr>
        <w:tc>
          <w:tcPr>
            <w:tcW w:w="3008" w:type="dxa"/>
          </w:tcPr>
          <w:tcPr/>
          <w:p>
            <w:pPr>
              <w:pStyle w:val="Compact"/>
              <w:jc w:val="left"/>
            </w:pPr>
            <w:r>
              <w:t xml:space="preserve">Accelerating Sustainable and Clean Energy Access Transformation Madagascar (ASCENT Mada),</w:t>
            </w:r>
            <w:r>
              <w:t xml:space="preserve"> </w:t>
            </w:r>
            <w:r>
              <w:rPr>
                <w:bCs/>
                <w:b/>
              </w:rPr>
              <w:t xml:space="preserve">P515164</w:t>
            </w:r>
            <w:r>
              <w:t xml:space="preserve"> </w:t>
            </w:r>
            <w:r>
              <w:t xml:space="preserve">— PforR, phase 14 du MPA ASCENT</w:t>
            </w:r>
          </w:p>
        </w:tc>
        <w:tc>
          <w:tcPr>
            <w:tcW w:w="696" w:type="dxa"/>
          </w:tcPr>
          <w:tcPr/>
          <w:p>
            <w:pPr>
              <w:pStyle w:val="Compact"/>
              <w:jc w:val="left"/>
            </w:pPr>
            <w:r>
              <w:t xml:space="preserve">BM (IDA)</w:t>
            </w:r>
          </w:p>
        </w:tc>
        <w:tc>
          <w:tcPr>
            <w:tcW w:w="2427" w:type="dxa"/>
          </w:tcPr>
          <w:tcPr/>
          <w:p>
            <w:pPr>
              <w:pStyle w:val="Compact"/>
              <w:jc w:val="left"/>
            </w:pPr>
            <w:r>
              <w:t xml:space="preserve">250 M USD : crédit A 8030-MG (150 M) et crédit B 8031-MG (100 M) ; coût total de l’opération 909,52 M USD, dont 659,52 M de contrepartie</w:t>
            </w:r>
          </w:p>
        </w:tc>
        <w:tc>
          <w:tcPr>
            <w:tcW w:w="1285" w:type="dxa"/>
          </w:tcPr>
          <w:tcPr/>
          <w:p>
            <w:pPr>
              <w:pStyle w:val="Compact"/>
              <w:jc w:val="left"/>
            </w:pPr>
            <w:r>
              <w:t xml:space="preserve">Approbation 04/05/2026, signature 08/05/2026, clôture 30/06/2030</w:t>
            </w:r>
          </w:p>
        </w:tc>
        <w:tc>
          <w:tcPr>
            <w:tcW w:w="2798" w:type="dxa"/>
          </w:tcPr>
          <w:tcPr/>
          <w:p>
            <w:pPr>
              <w:pStyle w:val="Compact"/>
              <w:jc w:val="left"/>
            </w:pPr>
            <w:r>
              <w:t xml:space="preserve">ODP : accès + « améliorer la performance financière de la JIRAMA ». RA2 : viabilité financière ; RA3 : gouvernance</w:t>
            </w:r>
          </w:p>
        </w:tc>
        <w:tc>
          <w:tcPr>
            <w:tcW w:w="1947" w:type="dxa"/>
          </w:tcPr>
          <w:tcPr/>
          <w:p>
            <w:pPr>
              <w:pStyle w:val="Compact"/>
              <w:jc w:val="left"/>
            </w:pPr>
            <w:r>
              <w:t xml:space="preserve">DLI 3 : subvention d’exploitation inscrite en LF et versée en entier (49 M USD). DLI 4 : paiement des arriérés ADER/ARELEC et baisse du stock d’arriérés privés (325 000 USD par point, minimum −10 %, 30 M USD). DLI 5 : pertes de 28 % à 21 % (1,75 M USD par point jusqu’à 23 %, 10 M USD). DLI 6 : DGA recruté, états financiers 2025 publiés au plus tard le 30/06/2027, rapports semestriels de performance (10 M USD). DLI 1-2 : hybridation et 200 000 raccordements</w:t>
            </w:r>
          </w:p>
        </w:tc>
        <w:tc>
          <w:tcPr>
            <w:tcW w:w="1701" w:type="dxa"/>
          </w:tcPr>
          <w:tcPr/>
          <w:p>
            <w:pPr>
              <w:pStyle w:val="Compact"/>
              <w:jc w:val="left"/>
            </w:pPr>
            <w:r>
              <w:rPr>
                <w:bCs/>
                <w:b/>
              </w:rPr>
              <w:t xml:space="preserve">Non entré en vigueur</w:t>
            </w:r>
            <w:r>
              <w:t xml:space="preserve"> </w:t>
            </w:r>
            <w:r>
              <w:t xml:space="preserve">(ratification en cours, août 2026). Progrès PDO « Satisfactory ». Appel d’offres pour l’hybridation lancé ; contrat de matériel PV pour 32 sites signé ; plan de raccordements « Delayed »</w:t>
            </w:r>
          </w:p>
        </w:tc>
        <w:tc>
          <w:tcPr>
            <w:tcW w:w="705" w:type="dxa"/>
          </w:tcPr>
          <w:tcPr/>
          <w:p>
            <w:pPr>
              <w:pStyle w:val="Compact"/>
              <w:jc w:val="left"/>
            </w:pPr>
            <w:r>
              <w:t xml:space="preserve">[6][7][8]</w:t>
            </w:r>
          </w:p>
        </w:tc>
      </w:tr>
      <w:tr>
        <w:tc>
          <w:tcPr>
            <w:tcW w:w="3008" w:type="dxa"/>
          </w:tcPr>
          <w:tcPr/>
          <w:p>
            <w:pPr>
              <w:pStyle w:val="Compact"/>
              <w:jc w:val="left"/>
            </w:pPr>
            <w:r>
              <w:t xml:space="preserve">Madagascar Second Equitable and Resilient Growth DPO,</w:t>
            </w:r>
            <w:r>
              <w:t xml:space="preserve"> </w:t>
            </w:r>
            <w:r>
              <w:rPr>
                <w:bCs/>
                <w:b/>
              </w:rPr>
              <w:t xml:space="preserve">P509948</w:t>
            </w:r>
          </w:p>
        </w:tc>
        <w:tc>
          <w:tcPr>
            <w:tcW w:w="696" w:type="dxa"/>
          </w:tcPr>
          <w:tcPr/>
          <w:p>
            <w:pPr>
              <w:pStyle w:val="Compact"/>
              <w:jc w:val="left"/>
            </w:pPr>
            <w:r>
              <w:t xml:space="preserve">BM (IDA)</w:t>
            </w:r>
          </w:p>
        </w:tc>
        <w:tc>
          <w:tcPr>
            <w:tcW w:w="2427" w:type="dxa"/>
          </w:tcPr>
          <w:tcPr/>
          <w:p>
            <w:pPr>
              <w:pStyle w:val="Compact"/>
              <w:jc w:val="left"/>
            </w:pPr>
            <w:r>
              <w:t xml:space="preserve">100 M USD</w:t>
            </w:r>
          </w:p>
        </w:tc>
        <w:tc>
          <w:tcPr>
            <w:tcW w:w="1285" w:type="dxa"/>
          </w:tcPr>
          <w:tcPr/>
          <w:p>
            <w:pPr>
              <w:pStyle w:val="Compact"/>
              <w:jc w:val="left"/>
            </w:pPr>
            <w:r>
              <w:t xml:space="preserve">Approbation 18/06/2025</w:t>
            </w:r>
          </w:p>
        </w:tc>
        <w:tc>
          <w:tcPr>
            <w:tcW w:w="2798" w:type="dxa"/>
          </w:tcPr>
          <w:tcPr/>
          <w:p>
            <w:pPr>
              <w:pStyle w:val="Compact"/>
              <w:jc w:val="left"/>
            </w:pPr>
            <w:r>
              <w:t xml:space="preserve">Gouvernance et finances de la JIRAMA</w:t>
            </w:r>
          </w:p>
        </w:tc>
        <w:tc>
          <w:tcPr>
            <w:tcW w:w="1947" w:type="dxa"/>
          </w:tcPr>
          <w:tcPr/>
          <w:p>
            <w:pPr>
              <w:pStyle w:val="Compact"/>
              <w:jc w:val="left"/>
            </w:pPr>
            <w:r>
              <w:t xml:space="preserve">PA#7 : statuts (CA), mandat du Trésor pour restructurer la dette de la JIRAMA, PDMC (arrêté 7242-2025, décret 2025-309). RI#10 : EBITDA avant transferts ≥ −542 Mds MGA en 2027. IT#7 (DPO3) : décrets d’indexation et d’ajustement tarifaires</w:t>
            </w:r>
          </w:p>
        </w:tc>
        <w:tc>
          <w:tcPr>
            <w:tcW w:w="1701" w:type="dxa"/>
          </w:tcPr>
          <w:tcPr/>
          <w:p>
            <w:pPr>
              <w:pStyle w:val="Compact"/>
              <w:jc w:val="left"/>
            </w:pPr>
            <w:r>
              <w:t xml:space="preserve">Décaissée ; ISR de mai 2026 publié</w:t>
            </w:r>
          </w:p>
        </w:tc>
        <w:tc>
          <w:tcPr>
            <w:tcW w:w="705" w:type="dxa"/>
          </w:tcPr>
          <w:tcPr/>
          <w:p>
            <w:pPr>
              <w:pStyle w:val="Compact"/>
              <w:jc w:val="left"/>
            </w:pPr>
            <w:r>
              <w:t xml:space="preserve">[5][13]</w:t>
            </w:r>
          </w:p>
        </w:tc>
      </w:tr>
      <w:tr>
        <w:tc>
          <w:tcPr>
            <w:tcW w:w="3008" w:type="dxa"/>
          </w:tcPr>
          <w:tcPr/>
          <w:p>
            <w:pPr>
              <w:pStyle w:val="Compact"/>
              <w:jc w:val="left"/>
            </w:pPr>
            <w:r>
              <w:t xml:space="preserve">Madagascar First Equitable and Resilient Growth DPO,</w:t>
            </w:r>
            <w:r>
              <w:t xml:space="preserve"> </w:t>
            </w:r>
            <w:r>
              <w:rPr>
                <w:bCs/>
                <w:b/>
              </w:rPr>
              <w:t xml:space="preserve">P180288</w:t>
            </w:r>
          </w:p>
        </w:tc>
        <w:tc>
          <w:tcPr>
            <w:tcW w:w="696" w:type="dxa"/>
          </w:tcPr>
          <w:tcPr/>
          <w:p>
            <w:pPr>
              <w:pStyle w:val="Compact"/>
              <w:jc w:val="left"/>
            </w:pPr>
            <w:r>
              <w:t xml:space="preserve">BM (IDA)</w:t>
            </w:r>
          </w:p>
        </w:tc>
        <w:tc>
          <w:tcPr>
            <w:tcW w:w="2427" w:type="dxa"/>
          </w:tcPr>
          <w:tcPr/>
          <w:p>
            <w:pPr>
              <w:pStyle w:val="Compact"/>
              <w:jc w:val="left"/>
            </w:pPr>
            <w:r>
              <w:t xml:space="preserve">100 M USD</w:t>
            </w:r>
          </w:p>
        </w:tc>
        <w:tc>
          <w:tcPr>
            <w:tcW w:w="1285" w:type="dxa"/>
          </w:tcPr>
          <w:tcPr/>
          <w:p>
            <w:pPr>
              <w:pStyle w:val="Compact"/>
              <w:jc w:val="left"/>
            </w:pPr>
            <w:r>
              <w:t xml:space="preserve">2023-2024 (clôturée)</w:t>
            </w:r>
          </w:p>
        </w:tc>
        <w:tc>
          <w:tcPr>
            <w:tcW w:w="2798" w:type="dxa"/>
          </w:tcPr>
          <w:tcPr/>
          <w:p>
            <w:pPr>
              <w:pStyle w:val="Compact"/>
              <w:jc w:val="left"/>
            </w:pPr>
            <w:r>
              <w:t xml:space="preserve">Viabilité de la JIRAMA, IPP renouvelables</w:t>
            </w:r>
          </w:p>
        </w:tc>
        <w:tc>
          <w:tcPr>
            <w:tcW w:w="1947" w:type="dxa"/>
          </w:tcPr>
          <w:tcPr/>
          <w:p>
            <w:pPr>
              <w:pStyle w:val="Compact"/>
              <w:jc w:val="left"/>
            </w:pPr>
            <w:r>
              <w:t xml:space="preserve">PA#6 : décret d’application du CodeElec (régularisation de la production, achats aux IPP renouvelables) ; compteurs prépayés dans plus de 75 % des institutions publiques</w:t>
            </w:r>
          </w:p>
        </w:tc>
        <w:tc>
          <w:tcPr>
            <w:tcW w:w="1701" w:type="dxa"/>
          </w:tcPr>
          <w:tcPr/>
          <w:p>
            <w:pPr>
              <w:pStyle w:val="Compact"/>
              <w:jc w:val="left"/>
            </w:pPr>
            <w:r>
              <w:t xml:space="preserve">Clôturée</w:t>
            </w:r>
          </w:p>
        </w:tc>
        <w:tc>
          <w:tcPr>
            <w:tcW w:w="705" w:type="dxa"/>
          </w:tcPr>
          <w:tcPr/>
          <w:p>
            <w:pPr>
              <w:pStyle w:val="Compact"/>
              <w:jc w:val="left"/>
            </w:pPr>
            <w:r>
              <w:t xml:space="preserve">[5][13]</w:t>
            </w:r>
          </w:p>
        </w:tc>
      </w:tr>
      <w:tr>
        <w:tc>
          <w:tcPr>
            <w:tcW w:w="3008" w:type="dxa"/>
          </w:tcPr>
          <w:tcPr/>
          <w:p>
            <w:pPr>
              <w:pStyle w:val="Compact"/>
              <w:jc w:val="left"/>
            </w:pPr>
            <w:r>
              <w:t xml:space="preserve">Digital and Energy Connectivity for Inclusion in Madagascar (DECIM),</w:t>
            </w:r>
            <w:r>
              <w:t xml:space="preserve"> </w:t>
            </w:r>
            <w:r>
              <w:rPr>
                <w:bCs/>
                <w:b/>
              </w:rPr>
              <w:t xml:space="preserve">P178701</w:t>
            </w:r>
          </w:p>
        </w:tc>
        <w:tc>
          <w:tcPr>
            <w:tcW w:w="696" w:type="dxa"/>
          </w:tcPr>
          <w:tcPr/>
          <w:p>
            <w:pPr>
              <w:pStyle w:val="Compact"/>
              <w:jc w:val="left"/>
            </w:pPr>
            <w:r>
              <w:t xml:space="preserve">BM (IDA)</w:t>
            </w:r>
          </w:p>
        </w:tc>
        <w:tc>
          <w:tcPr>
            <w:tcW w:w="2427" w:type="dxa"/>
          </w:tcPr>
          <w:tcPr/>
          <w:p>
            <w:pPr>
              <w:pStyle w:val="Compact"/>
              <w:jc w:val="left"/>
            </w:pPr>
            <w:r>
              <w:t xml:space="preserve">400 M USD à l’origine (révisé à 377,24 ; 25,15 annulés) ; environ 235 M USD pour l’énergie</w:t>
            </w:r>
          </w:p>
        </w:tc>
        <w:tc>
          <w:tcPr>
            <w:tcW w:w="1285" w:type="dxa"/>
          </w:tcPr>
          <w:tcPr/>
          <w:p>
            <w:pPr>
              <w:pStyle w:val="Compact"/>
              <w:jc w:val="left"/>
            </w:pPr>
            <w:r>
              <w:t xml:space="preserve">2023-31/03/2028</w:t>
            </w:r>
          </w:p>
        </w:tc>
        <w:tc>
          <w:tcPr>
            <w:tcW w:w="2798" w:type="dxa"/>
          </w:tcPr>
          <w:tcPr/>
          <w:p>
            <w:pPr>
              <w:pStyle w:val="Compact"/>
              <w:jc w:val="left"/>
            </w:pPr>
            <w:r>
              <w:t xml:space="preserve">Hybridation des centres isolés, smart-metering, densification</w:t>
            </w:r>
          </w:p>
        </w:tc>
        <w:tc>
          <w:tcPr>
            <w:tcW w:w="1947" w:type="dxa"/>
          </w:tcPr>
          <w:tcPr/>
          <w:p>
            <w:pPr>
              <w:pStyle w:val="Compact"/>
              <w:jc w:val="left"/>
            </w:pPr>
            <w:r>
              <w:t xml:space="preserve">—</w:t>
            </w:r>
          </w:p>
        </w:tc>
        <w:tc>
          <w:tcPr>
            <w:tcW w:w="1701" w:type="dxa"/>
          </w:tcPr>
          <w:tcPr/>
          <w:p>
            <w:pPr>
              <w:pStyle w:val="Compact"/>
              <w:jc w:val="left"/>
            </w:pPr>
            <w:r>
              <w:t xml:space="preserve">Décaissement de 100,77 M USD (26,7 %), juin 2026 ; « Moderately Satisfactory »</w:t>
            </w:r>
          </w:p>
        </w:tc>
        <w:tc>
          <w:tcPr>
            <w:tcW w:w="705" w:type="dxa"/>
          </w:tcPr>
          <w:tcPr/>
          <w:p>
            <w:pPr>
              <w:pStyle w:val="Compact"/>
              <w:jc w:val="left"/>
            </w:pPr>
            <w:r>
              <w:t xml:space="preserve">[11][14]</w:t>
            </w:r>
          </w:p>
        </w:tc>
      </w:tr>
      <w:tr>
        <w:tc>
          <w:tcPr>
            <w:tcW w:w="3008" w:type="dxa"/>
          </w:tcPr>
          <w:tcPr/>
          <w:p>
            <w:pPr>
              <w:pStyle w:val="Compact"/>
              <w:jc w:val="left"/>
            </w:pPr>
            <w:r>
              <w:t xml:space="preserve">Least-Cost Electricity Access Development (LEAD),</w:t>
            </w:r>
            <w:r>
              <w:t xml:space="preserve"> </w:t>
            </w:r>
            <w:r>
              <w:rPr>
                <w:bCs/>
                <w:b/>
              </w:rPr>
              <w:t xml:space="preserve">P163870</w:t>
            </w:r>
          </w:p>
        </w:tc>
        <w:tc>
          <w:tcPr>
            <w:tcW w:w="696" w:type="dxa"/>
          </w:tcPr>
          <w:tcPr/>
          <w:p>
            <w:pPr>
              <w:pStyle w:val="Compact"/>
              <w:jc w:val="left"/>
            </w:pPr>
            <w:r>
              <w:t xml:space="preserve">BM (IDA)</w:t>
            </w:r>
          </w:p>
        </w:tc>
        <w:tc>
          <w:tcPr>
            <w:tcW w:w="2427" w:type="dxa"/>
          </w:tcPr>
          <w:tcPr/>
          <w:p>
            <w:pPr>
              <w:pStyle w:val="Compact"/>
              <w:jc w:val="left"/>
            </w:pPr>
            <w:r>
              <w:t xml:space="preserve">150 M USD + 11 M USD de FA (IDA-78800, 2025)</w:t>
            </w:r>
          </w:p>
        </w:tc>
        <w:tc>
          <w:tcPr>
            <w:tcW w:w="1285" w:type="dxa"/>
          </w:tcPr>
          <w:tcPr/>
          <w:p>
            <w:pPr>
              <w:pStyle w:val="Compact"/>
              <w:jc w:val="left"/>
            </w:pPr>
            <w:r>
              <w:t xml:space="preserve">2019-29/06/2026</w:t>
            </w:r>
          </w:p>
        </w:tc>
        <w:tc>
          <w:tcPr>
            <w:tcW w:w="2798" w:type="dxa"/>
          </w:tcPr>
          <w:tcPr/>
          <w:p>
            <w:pPr>
              <w:pStyle w:val="Compact"/>
              <w:jc w:val="left"/>
            </w:pPr>
            <w:r>
              <w:t xml:space="preserve">Densification du réseau, branchements sociaux, compteurs prépayés</w:t>
            </w:r>
          </w:p>
        </w:tc>
        <w:tc>
          <w:tcPr>
            <w:tcW w:w="1947" w:type="dxa"/>
          </w:tcPr>
          <w:tcPr/>
          <w:p>
            <w:pPr>
              <w:pStyle w:val="Compact"/>
              <w:jc w:val="left"/>
            </w:pPr>
            <w:r>
              <w:t xml:space="preserve">—</w:t>
            </w:r>
          </w:p>
        </w:tc>
        <w:tc>
          <w:tcPr>
            <w:tcW w:w="1701" w:type="dxa"/>
          </w:tcPr>
          <w:tcPr/>
          <w:p>
            <w:pPr>
              <w:pStyle w:val="Compact"/>
              <w:jc w:val="left"/>
            </w:pPr>
            <w:r>
              <w:t xml:space="preserve">96,6 % décaissé (juin 2026)</w:t>
            </w:r>
          </w:p>
        </w:tc>
        <w:tc>
          <w:tcPr>
            <w:tcW w:w="705" w:type="dxa"/>
          </w:tcPr>
          <w:tcPr/>
          <w:p>
            <w:pPr>
              <w:pStyle w:val="Compact"/>
              <w:jc w:val="left"/>
            </w:pPr>
            <w:r>
              <w:t xml:space="preserve">[11][15]</w:t>
            </w:r>
          </w:p>
        </w:tc>
      </w:tr>
      <w:tr>
        <w:tc>
          <w:tcPr>
            <w:tcW w:w="3008" w:type="dxa"/>
          </w:tcPr>
          <w:tcPr/>
          <w:p>
            <w:pPr>
              <w:pStyle w:val="Compact"/>
              <w:jc w:val="left"/>
            </w:pPr>
            <w:r>
              <w:t xml:space="preserve">Electricity Sector Operations &amp; Governance Improvement (ESOGIP/PAGOSE),</w:t>
            </w:r>
            <w:r>
              <w:t xml:space="preserve"> </w:t>
            </w:r>
            <w:r>
              <w:rPr>
                <w:bCs/>
                <w:b/>
              </w:rPr>
              <w:t xml:space="preserve">P151785</w:t>
            </w:r>
            <w:r>
              <w:t xml:space="preserve"> </w:t>
            </w:r>
            <w:r>
              <w:t xml:space="preserve">+ FA</w:t>
            </w:r>
            <w:r>
              <w:t xml:space="preserve"> </w:t>
            </w:r>
            <w:r>
              <w:rPr>
                <w:bCs/>
                <w:b/>
              </w:rPr>
              <w:t xml:space="preserve">P164318</w:t>
            </w:r>
          </w:p>
        </w:tc>
        <w:tc>
          <w:tcPr>
            <w:tcW w:w="696" w:type="dxa"/>
          </w:tcPr>
          <w:tcPr/>
          <w:p>
            <w:pPr>
              <w:pStyle w:val="Compact"/>
              <w:jc w:val="left"/>
            </w:pPr>
            <w:r>
              <w:t xml:space="preserve">BM</w:t>
            </w:r>
          </w:p>
        </w:tc>
        <w:tc>
          <w:tcPr>
            <w:tcW w:w="2427" w:type="dxa"/>
          </w:tcPr>
          <w:tcPr/>
          <w:p>
            <w:pPr>
              <w:pStyle w:val="Compact"/>
              <w:jc w:val="left"/>
            </w:pPr>
            <w:r>
              <w:t xml:space="preserve">65 + 40 M USD</w:t>
            </w:r>
          </w:p>
        </w:tc>
        <w:tc>
          <w:tcPr>
            <w:tcW w:w="1285" w:type="dxa"/>
          </w:tcPr>
          <w:tcPr/>
          <w:p>
            <w:pPr>
              <w:pStyle w:val="Compact"/>
              <w:jc w:val="left"/>
            </w:pPr>
            <w:r>
              <w:t xml:space="preserve">2016-2023</w:t>
            </w:r>
          </w:p>
        </w:tc>
        <w:tc>
          <w:tcPr>
            <w:tcW w:w="2798" w:type="dxa"/>
          </w:tcPr>
          <w:tcPr/>
          <w:p>
            <w:pPr>
              <w:pStyle w:val="Compact"/>
              <w:jc w:val="left"/>
            </w:pPr>
            <w:r>
              <w:t xml:space="preserve">Gouvernance, performance et planification de la JIRAMA</w:t>
            </w:r>
          </w:p>
        </w:tc>
        <w:tc>
          <w:tcPr>
            <w:tcW w:w="1947" w:type="dxa"/>
          </w:tcPr>
          <w:tcPr/>
          <w:p>
            <w:pPr>
              <w:pStyle w:val="Compact"/>
              <w:jc w:val="left"/>
            </w:pPr>
            <w:r>
              <w:t xml:space="preserve">—</w:t>
            </w:r>
          </w:p>
        </w:tc>
        <w:tc>
          <w:tcPr>
            <w:tcW w:w="1701" w:type="dxa"/>
          </w:tcPr>
          <w:tcPr/>
          <w:p>
            <w:pPr>
              <w:pStyle w:val="Compact"/>
              <w:jc w:val="left"/>
            </w:pPr>
            <w:r>
              <w:t xml:space="preserve">Clôturé</w:t>
            </w:r>
          </w:p>
        </w:tc>
        <w:tc>
          <w:tcPr>
            <w:tcW w:w="705" w:type="dxa"/>
          </w:tcPr>
          <w:tcPr/>
          <w:p>
            <w:pPr>
              <w:pStyle w:val="Compact"/>
              <w:jc w:val="left"/>
            </w:pPr>
            <w:r>
              <w:t xml:space="preserve">[13][3]</w:t>
            </w:r>
          </w:p>
        </w:tc>
      </w:tr>
      <w:tr>
        <w:tc>
          <w:tcPr>
            <w:tcW w:w="3008" w:type="dxa"/>
          </w:tcPr>
          <w:tcPr/>
          <w:p>
            <w:pPr>
              <w:pStyle w:val="Compact"/>
              <w:jc w:val="left"/>
            </w:pPr>
            <w:r>
              <w:t xml:space="preserve">Fiscal Sustainability and Energy DPO,</w:t>
            </w:r>
            <w:r>
              <w:t xml:space="preserve"> </w:t>
            </w:r>
            <w:r>
              <w:rPr>
                <w:bCs/>
                <w:b/>
              </w:rPr>
              <w:t xml:space="preserve">P166752</w:t>
            </w:r>
          </w:p>
        </w:tc>
        <w:tc>
          <w:tcPr>
            <w:tcW w:w="696" w:type="dxa"/>
          </w:tcPr>
          <w:tcPr/>
          <w:p>
            <w:pPr>
              <w:pStyle w:val="Compact"/>
              <w:jc w:val="left"/>
            </w:pPr>
            <w:r>
              <w:t xml:space="preserve">BM</w:t>
            </w:r>
          </w:p>
        </w:tc>
        <w:tc>
          <w:tcPr>
            <w:tcW w:w="2427" w:type="dxa"/>
          </w:tcPr>
          <w:tcPr/>
          <w:p>
            <w:pPr>
              <w:pStyle w:val="Compact"/>
              <w:jc w:val="left"/>
            </w:pPr>
            <w:r>
              <w:t xml:space="preserve">100 M USD</w:t>
            </w:r>
          </w:p>
        </w:tc>
        <w:tc>
          <w:tcPr>
            <w:tcW w:w="1285" w:type="dxa"/>
          </w:tcPr>
          <w:tcPr/>
          <w:p>
            <w:pPr>
              <w:pStyle w:val="Compact"/>
              <w:jc w:val="left"/>
            </w:pPr>
            <w:r>
              <w:t xml:space="preserve">2019-2020</w:t>
            </w:r>
          </w:p>
        </w:tc>
        <w:tc>
          <w:tcPr>
            <w:tcW w:w="2798" w:type="dxa"/>
          </w:tcPr>
          <w:tcPr/>
          <w:p>
            <w:pPr>
              <w:pStyle w:val="Compact"/>
              <w:jc w:val="left"/>
            </w:pPr>
            <w:r>
              <w:t xml:space="preserve">Secteur énergie</w:t>
            </w:r>
          </w:p>
        </w:tc>
        <w:tc>
          <w:tcPr>
            <w:tcW w:w="1947" w:type="dxa"/>
          </w:tcPr>
          <w:tcPr/>
          <w:p>
            <w:pPr>
              <w:pStyle w:val="Compact"/>
              <w:jc w:val="left"/>
            </w:pPr>
            <w:r>
              <w:t xml:space="preserve">[?] actions non vérifiées</w:t>
            </w:r>
          </w:p>
        </w:tc>
        <w:tc>
          <w:tcPr>
            <w:tcW w:w="1701" w:type="dxa"/>
          </w:tcPr>
          <w:tcPr/>
          <w:p>
            <w:pPr>
              <w:pStyle w:val="Compact"/>
              <w:jc w:val="left"/>
            </w:pPr>
            <w:r>
              <w:t xml:space="preserve">Clôturée</w:t>
            </w:r>
          </w:p>
        </w:tc>
        <w:tc>
          <w:tcPr>
            <w:tcW w:w="705" w:type="dxa"/>
          </w:tcPr>
          <w:tcPr/>
          <w:p>
            <w:pPr>
              <w:pStyle w:val="Compact"/>
              <w:jc w:val="left"/>
            </w:pPr>
            <w:r>
              <w:t xml:space="preserve">[13]</w:t>
            </w:r>
          </w:p>
        </w:tc>
      </w:tr>
      <w:tr>
        <w:tc>
          <w:tcPr>
            <w:tcW w:w="3008" w:type="dxa"/>
          </w:tcPr>
          <w:tcPr/>
          <w:p>
            <w:pPr>
              <w:pStyle w:val="Compact"/>
              <w:jc w:val="left"/>
            </w:pPr>
            <w:r>
              <w:t xml:space="preserve">FEC + FRD (ECF/RSF)</w:t>
            </w:r>
          </w:p>
        </w:tc>
        <w:tc>
          <w:tcPr>
            <w:tcW w:w="696" w:type="dxa"/>
          </w:tcPr>
          <w:tcPr/>
          <w:p>
            <w:pPr>
              <w:pStyle w:val="Compact"/>
              <w:jc w:val="left"/>
            </w:pPr>
            <w:r>
              <w:t xml:space="preserve">FMI</w:t>
            </w:r>
          </w:p>
        </w:tc>
        <w:tc>
          <w:tcPr>
            <w:tcW w:w="2427" w:type="dxa"/>
          </w:tcPr>
          <w:tcPr/>
          <w:p>
            <w:pPr>
              <w:pStyle w:val="Compact"/>
              <w:jc w:val="left"/>
            </w:pPr>
            <w:r>
              <w:t xml:space="preserve">3e et 4e revues combinées : environ 155 M USD décaissés (30/09/2026) ; 2e revue environ 107 M USD (07/2025)</w:t>
            </w:r>
          </w:p>
        </w:tc>
        <w:tc>
          <w:tcPr>
            <w:tcW w:w="1285" w:type="dxa"/>
          </w:tcPr>
          <w:tcPr/>
          <w:p>
            <w:pPr>
              <w:pStyle w:val="Compact"/>
              <w:jc w:val="left"/>
            </w:pPr>
            <w:r>
              <w:t xml:space="preserve">2024-</w:t>
            </w:r>
          </w:p>
        </w:tc>
        <w:tc>
          <w:tcPr>
            <w:tcW w:w="2798" w:type="dxa"/>
          </w:tcPr>
          <w:tcPr/>
          <w:p>
            <w:pPr>
              <w:pStyle w:val="Compact"/>
              <w:jc w:val="left"/>
            </w:pPr>
            <w:r>
              <w:t xml:space="preserve">Plan de redressement de la JIRAMA</w:t>
            </w:r>
          </w:p>
        </w:tc>
        <w:tc>
          <w:tcPr>
            <w:tcW w:w="1947" w:type="dxa"/>
          </w:tcPr>
          <w:tcPr/>
          <w:p>
            <w:pPr>
              <w:pStyle w:val="Compact"/>
              <w:jc w:val="left"/>
            </w:pPr>
            <w:r>
              <w:t xml:space="preserve">Action préalable de la 2e revue : adoption du plan de redressement JIRAMA + mécanisme de prix des carburants</w:t>
            </w:r>
          </w:p>
        </w:tc>
        <w:tc>
          <w:tcPr>
            <w:tcW w:w="1701" w:type="dxa"/>
          </w:tcPr>
          <w:tcPr/>
          <w:p>
            <w:pPr>
              <w:pStyle w:val="Compact"/>
              <w:jc w:val="left"/>
            </w:pPr>
            <w:r>
              <w:t xml:space="preserve">En cours</w:t>
            </w:r>
          </w:p>
        </w:tc>
        <w:tc>
          <w:tcPr>
            <w:tcW w:w="705" w:type="dxa"/>
          </w:tcPr>
          <w:tcPr/>
          <w:p>
            <w:pPr>
              <w:pStyle w:val="Compact"/>
              <w:jc w:val="left"/>
            </w:pPr>
            <w:r>
              <w:t xml:space="preserve">[9][10]</w:t>
            </w:r>
          </w:p>
        </w:tc>
      </w:tr>
      <w:tr>
        <w:tc>
          <w:tcPr>
            <w:tcW w:w="3008" w:type="dxa"/>
          </w:tcPr>
          <w:tcPr/>
          <w:p>
            <w:pPr>
              <w:pStyle w:val="Compact"/>
              <w:jc w:val="left"/>
            </w:pPr>
            <w:r>
              <w:t xml:space="preserve">PRIRTEM I (renforcement et interconnexion des réseaux de transport), P-MG-FA0-019</w:t>
            </w:r>
          </w:p>
        </w:tc>
        <w:tc>
          <w:tcPr>
            <w:tcW w:w="696" w:type="dxa"/>
          </w:tcPr>
          <w:tcPr/>
          <w:p>
            <w:pPr>
              <w:pStyle w:val="Compact"/>
              <w:jc w:val="left"/>
            </w:pPr>
            <w:r>
              <w:t xml:space="preserve">BAD</w:t>
            </w:r>
          </w:p>
        </w:tc>
        <w:tc>
          <w:tcPr>
            <w:tcW w:w="2427" w:type="dxa"/>
          </w:tcPr>
          <w:tcPr/>
          <w:p>
            <w:pPr>
              <w:pStyle w:val="Compact"/>
              <w:jc w:val="left"/>
            </w:pPr>
            <w:r>
              <w:t xml:space="preserve">Environ 38,46 M USD (EWS) ; 211,53 M USD dans le pacte</w:t>
            </w:r>
          </w:p>
        </w:tc>
        <w:tc>
          <w:tcPr>
            <w:tcW w:w="1285" w:type="dxa"/>
          </w:tcPr>
          <w:tcPr/>
          <w:p>
            <w:pPr>
              <w:pStyle w:val="Compact"/>
              <w:jc w:val="left"/>
            </w:pPr>
            <w:r>
              <w:t xml:space="preserve">Vote 16/12/2019</w:t>
            </w:r>
          </w:p>
        </w:tc>
        <w:tc>
          <w:tcPr>
            <w:tcW w:w="2798" w:type="dxa"/>
          </w:tcPr>
          <w:tcPr/>
          <w:p>
            <w:pPr>
              <w:pStyle w:val="Compact"/>
              <w:jc w:val="left"/>
            </w:pPr>
            <w:r>
              <w:t xml:space="preserve">Transport Antananarivo–Toamasina</w:t>
            </w:r>
          </w:p>
        </w:tc>
        <w:tc>
          <w:tcPr>
            <w:tcW w:w="1947" w:type="dxa"/>
          </w:tcPr>
          <w:tcPr/>
          <w:p>
            <w:pPr>
              <w:pStyle w:val="Compact"/>
              <w:jc w:val="left"/>
            </w:pPr>
            <w:r>
              <w:t xml:space="preserve">[?]</w:t>
            </w:r>
          </w:p>
        </w:tc>
        <w:tc>
          <w:tcPr>
            <w:tcW w:w="1701" w:type="dxa"/>
          </w:tcPr>
          <w:tcPr/>
          <w:p>
            <w:pPr>
              <w:pStyle w:val="Compact"/>
              <w:jc w:val="left"/>
            </w:pPr>
            <w:r>
              <w:t xml:space="preserve">[?]</w:t>
            </w:r>
          </w:p>
        </w:tc>
        <w:tc>
          <w:tcPr>
            <w:tcW w:w="705" w:type="dxa"/>
          </w:tcPr>
          <w:tcPr/>
          <w:p>
            <w:pPr>
              <w:pStyle w:val="Compact"/>
              <w:jc w:val="left"/>
            </w:pPr>
            <w:r>
              <w:t xml:space="preserve">[16][S]</w:t>
            </w:r>
          </w:p>
        </w:tc>
      </w:tr>
      <w:tr>
        <w:tc>
          <w:tcPr>
            <w:tcW w:w="3008" w:type="dxa"/>
          </w:tcPr>
          <w:tcPr/>
          <w:p>
            <w:pPr>
              <w:pStyle w:val="Compact"/>
              <w:jc w:val="left"/>
            </w:pPr>
            <w:r>
              <w:t xml:space="preserve">PRIRTEM II, P-MG-F00-006</w:t>
            </w:r>
          </w:p>
        </w:tc>
        <w:tc>
          <w:tcPr>
            <w:tcW w:w="696" w:type="dxa"/>
          </w:tcPr>
          <w:tcPr/>
          <w:p>
            <w:pPr>
              <w:pStyle w:val="Compact"/>
              <w:jc w:val="left"/>
            </w:pPr>
            <w:r>
              <w:t xml:space="preserve">BAD (FAD + FAT)</w:t>
            </w:r>
          </w:p>
        </w:tc>
        <w:tc>
          <w:tcPr>
            <w:tcW w:w="2427" w:type="dxa"/>
          </w:tcPr>
          <w:tcPr/>
          <w:p>
            <w:pPr>
              <w:pStyle w:val="Compact"/>
              <w:jc w:val="left"/>
            </w:pPr>
            <w:r>
              <w:t xml:space="preserve">UA 30 M (environ 42,9 M USD) ; 110,05 M USD dans le pacte</w:t>
            </w:r>
          </w:p>
        </w:tc>
        <w:tc>
          <w:tcPr>
            <w:tcW w:w="1285" w:type="dxa"/>
          </w:tcPr>
          <w:tcPr/>
          <w:p>
            <w:pPr>
              <w:pStyle w:val="Compact"/>
              <w:jc w:val="left"/>
            </w:pPr>
            <w:r>
              <w:t xml:space="preserve">2024</w:t>
            </w:r>
          </w:p>
        </w:tc>
        <w:tc>
          <w:tcPr>
            <w:tcW w:w="2798" w:type="dxa"/>
          </w:tcPr>
          <w:tcPr/>
          <w:p>
            <w:pPr>
              <w:pStyle w:val="Compact"/>
              <w:jc w:val="left"/>
            </w:pPr>
            <w:r>
              <w:t xml:space="preserve">Ligne 220 kV Antananarivo–Antsirabe (évacuation de Sahofika)</w:t>
            </w:r>
          </w:p>
        </w:tc>
        <w:tc>
          <w:tcPr>
            <w:tcW w:w="1947" w:type="dxa"/>
          </w:tcPr>
          <w:tcPr/>
          <w:p>
            <w:pPr>
              <w:pStyle w:val="Compact"/>
              <w:jc w:val="left"/>
            </w:pPr>
            <w:r>
              <w:t xml:space="preserve">[?]</w:t>
            </w:r>
          </w:p>
        </w:tc>
        <w:tc>
          <w:tcPr>
            <w:tcW w:w="1701" w:type="dxa"/>
          </w:tcPr>
          <w:tcPr/>
          <w:p>
            <w:pPr>
              <w:pStyle w:val="Compact"/>
              <w:jc w:val="left"/>
            </w:pPr>
            <w:r>
              <w:t xml:space="preserve">Approuvé</w:t>
            </w:r>
          </w:p>
        </w:tc>
        <w:tc>
          <w:tcPr>
            <w:tcW w:w="705" w:type="dxa"/>
          </w:tcPr>
          <w:tcPr/>
          <w:p>
            <w:pPr>
              <w:pStyle w:val="Compact"/>
              <w:jc w:val="left"/>
            </w:pPr>
            <w:r>
              <w:t xml:space="preserve">[16][S]</w:t>
            </w:r>
          </w:p>
        </w:tc>
      </w:tr>
      <w:tr>
        <w:tc>
          <w:tcPr>
            <w:tcW w:w="3008" w:type="dxa"/>
          </w:tcPr>
          <w:tcPr/>
          <w:p>
            <w:pPr>
              <w:pStyle w:val="Compact"/>
              <w:jc w:val="left"/>
            </w:pPr>
            <w:r>
              <w:t xml:space="preserve">Garantie partielle de risque, Sahofika (205 MW)</w:t>
            </w:r>
          </w:p>
        </w:tc>
        <w:tc>
          <w:tcPr>
            <w:tcW w:w="696" w:type="dxa"/>
          </w:tcPr>
          <w:tcPr/>
          <w:p>
            <w:pPr>
              <w:pStyle w:val="Compact"/>
              <w:jc w:val="left"/>
            </w:pPr>
            <w:r>
              <w:t xml:space="preserve">BAD</w:t>
            </w:r>
          </w:p>
        </w:tc>
        <w:tc>
          <w:tcPr>
            <w:tcW w:w="2427" w:type="dxa"/>
          </w:tcPr>
          <w:tcPr/>
          <w:p>
            <w:pPr>
              <w:pStyle w:val="Compact"/>
              <w:jc w:val="left"/>
            </w:pPr>
            <w:r>
              <w:t xml:space="preserve">100 M USD ; 108,7 M dans le pacte</w:t>
            </w:r>
          </w:p>
        </w:tc>
        <w:tc>
          <w:tcPr>
            <w:tcW w:w="1285" w:type="dxa"/>
          </w:tcPr>
          <w:tcPr/>
          <w:p>
            <w:pPr>
              <w:pStyle w:val="Compact"/>
              <w:jc w:val="left"/>
            </w:pPr>
            <w:r>
              <w:t xml:space="preserve">Approbation 17/12/2019</w:t>
            </w:r>
          </w:p>
        </w:tc>
        <w:tc>
          <w:tcPr>
            <w:tcW w:w="2798" w:type="dxa"/>
          </w:tcPr>
          <w:tcPr/>
          <w:p>
            <w:pPr>
              <w:pStyle w:val="Compact"/>
              <w:jc w:val="left"/>
            </w:pPr>
            <w:r>
              <w:t xml:space="preserve">Couvre les obligations de paiement de la JIRAMA (acheteur)</w:t>
            </w:r>
          </w:p>
        </w:tc>
        <w:tc>
          <w:tcPr>
            <w:tcW w:w="1947" w:type="dxa"/>
          </w:tcPr>
          <w:tcPr/>
          <w:p>
            <w:pPr>
              <w:pStyle w:val="Compact"/>
              <w:jc w:val="left"/>
            </w:pPr>
            <w:r>
              <w:t xml:space="preserve">—</w:t>
            </w:r>
          </w:p>
        </w:tc>
        <w:tc>
          <w:tcPr>
            <w:tcW w:w="1701" w:type="dxa"/>
          </w:tcPr>
          <w:tcPr/>
          <w:p>
            <w:pPr>
              <w:pStyle w:val="Compact"/>
              <w:jc w:val="left"/>
            </w:pPr>
            <w:r>
              <w:t xml:space="preserve">Relance en 2025 (49 % État via le Fonds souverain)</w:t>
            </w:r>
          </w:p>
        </w:tc>
        <w:tc>
          <w:tcPr>
            <w:tcW w:w="705" w:type="dxa"/>
          </w:tcPr>
          <w:tcPr/>
          <w:p>
            <w:pPr>
              <w:pStyle w:val="Compact"/>
              <w:jc w:val="left"/>
            </w:pPr>
            <w:r>
              <w:t xml:space="preserve">[17][S]</w:t>
            </w:r>
          </w:p>
        </w:tc>
      </w:tr>
      <w:tr>
        <w:tc>
          <w:tcPr>
            <w:tcW w:w="3008" w:type="dxa"/>
          </w:tcPr>
          <w:tcPr/>
          <w:p>
            <w:pPr>
              <w:pStyle w:val="Compact"/>
              <w:jc w:val="left"/>
            </w:pPr>
            <w:r>
              <w:t xml:space="preserve">AESTAP Mission 300 Phase II</w:t>
            </w:r>
          </w:p>
        </w:tc>
        <w:tc>
          <w:tcPr>
            <w:tcW w:w="696" w:type="dxa"/>
          </w:tcPr>
          <w:tcPr/>
          <w:p>
            <w:pPr>
              <w:pStyle w:val="Compact"/>
              <w:jc w:val="left"/>
            </w:pPr>
            <w:r>
              <w:t xml:space="preserve">BAD</w:t>
            </w:r>
          </w:p>
        </w:tc>
        <w:tc>
          <w:tcPr>
            <w:tcW w:w="2427" w:type="dxa"/>
          </w:tcPr>
          <w:tcPr/>
          <w:p>
            <w:pPr>
              <w:pStyle w:val="Compact"/>
              <w:jc w:val="left"/>
            </w:pPr>
            <w:r>
              <w:t xml:space="preserve">3,9 M USD pour 13 pays, dont Madagascar</w:t>
            </w:r>
          </w:p>
        </w:tc>
        <w:tc>
          <w:tcPr>
            <w:tcW w:w="1285" w:type="dxa"/>
          </w:tcPr>
          <w:tcPr/>
          <w:p>
            <w:pPr>
              <w:pStyle w:val="Compact"/>
              <w:jc w:val="left"/>
            </w:pPr>
            <w:r>
              <w:t xml:space="preserve">Approbation fin janv. 2026</w:t>
            </w:r>
          </w:p>
        </w:tc>
        <w:tc>
          <w:tcPr>
            <w:tcW w:w="2798" w:type="dxa"/>
          </w:tcPr>
          <w:tcPr/>
          <w:p>
            <w:pPr>
              <w:pStyle w:val="Compact"/>
              <w:jc w:val="left"/>
            </w:pPr>
            <w:r>
              <w:t xml:space="preserve">Conseillers dans la CDMU (tarifs, régulation, performance de l’opérateur)</w:t>
            </w:r>
          </w:p>
        </w:tc>
        <w:tc>
          <w:tcPr>
            <w:tcW w:w="1947" w:type="dxa"/>
          </w:tcPr>
          <w:tcPr/>
          <w:p>
            <w:pPr>
              <w:pStyle w:val="Compact"/>
              <w:jc w:val="left"/>
            </w:pPr>
            <w:r>
              <w:t xml:space="preserve">—</w:t>
            </w:r>
          </w:p>
        </w:tc>
        <w:tc>
          <w:tcPr>
            <w:tcW w:w="1701" w:type="dxa"/>
          </w:tcPr>
          <w:tcPr/>
          <w:p>
            <w:pPr>
              <w:pStyle w:val="Compact"/>
              <w:jc w:val="left"/>
            </w:pPr>
            <w:r>
              <w:t xml:space="preserve">Approuvé</w:t>
            </w:r>
          </w:p>
        </w:tc>
        <w:tc>
          <w:tcPr>
            <w:tcW w:w="705" w:type="dxa"/>
          </w:tcPr>
          <w:tcPr/>
          <w:p>
            <w:pPr>
              <w:pStyle w:val="Compact"/>
              <w:jc w:val="left"/>
            </w:pPr>
            <w:r>
              <w:t xml:space="preserve">[18][S]</w:t>
            </w:r>
          </w:p>
        </w:tc>
      </w:tr>
    </w:tbl>
    <w:bookmarkEnd w:id="237"/>
    <w:bookmarkStart w:id="238" w:name="écart-pacte-réalité-19"/>
    <w:p>
      <w:pPr>
        <w:pStyle w:val="Heading3"/>
      </w:pPr>
      <w:r>
        <w:t xml:space="preserve">5. Écart pacte ↔ réalité</w:t>
      </w:r>
    </w:p>
    <w:p>
      <w:pPr>
        <w:numPr>
          <w:ilvl w:val="0"/>
          <w:numId w:val="1128"/>
        </w:numPr>
        <w:pStyle w:val="Compact"/>
      </w:pPr>
      <w:r>
        <w:rPr>
          <w:bCs/>
          <w:b/>
        </w:rPr>
        <w:t xml:space="preserve">Comptes « publiés »</w:t>
      </w:r>
      <w:r>
        <w:t xml:space="preserve"> </w:t>
      </w:r>
      <w:r>
        <w:t xml:space="preserve">: le pacte présente la publication des états financiers comme un acquis (2019-2022 publiés en nov. 2024, 2023 attendus en févr. 2025).</w:t>
      </w:r>
    </w:p>
    <w:p>
      <w:pPr>
        <w:numPr>
          <w:ilvl w:val="1"/>
          <w:numId w:val="1129"/>
        </w:numPr>
        <w:pStyle w:val="Compact"/>
      </w:pPr>
      <w:r>
        <w:t xml:space="preserve">En réalité, les comptes 2023 et 2024 sont publiés (mars 2026) mais avec une</w:t>
      </w:r>
      <w:r>
        <w:t xml:space="preserve"> </w:t>
      </w:r>
      <w:r>
        <w:rPr>
          <w:bCs/>
          <w:b/>
        </w:rPr>
        <w:t xml:space="preserve">opinion défavorable</w:t>
      </w:r>
      <w:r>
        <w:t xml:space="preserve">. Le CAC parle de « cessation de paiement virtuelle » [V][1][2].</w:t>
      </w:r>
    </w:p>
    <w:p>
      <w:pPr>
        <w:numPr>
          <w:ilvl w:val="1"/>
          <w:numId w:val="1129"/>
        </w:numPr>
        <w:pStyle w:val="Compact"/>
      </w:pPr>
      <w:r>
        <w:t xml:space="preserve">Le PforR fait encore de la publication des comptes 2025 un DLI (au plus tard le 30/06/2027) [V][8].</w:t>
      </w:r>
    </w:p>
    <w:p>
      <w:pPr>
        <w:numPr>
          <w:ilvl w:val="0"/>
          <w:numId w:val="1128"/>
        </w:numPr>
        <w:pStyle w:val="Compact"/>
      </w:pPr>
      <w:r>
        <w:rPr>
          <w:bCs/>
          <w:b/>
        </w:rPr>
        <w:t xml:space="preserve">Arriérés</w:t>
      </w:r>
      <w:r>
        <w:t xml:space="preserve"> </w:t>
      </w:r>
      <w:r>
        <w:t xml:space="preserve">: le pacte avance environ 400 M USD (2024). Le PforR retient une base de 350 M USD au 31/12/2025, limitée aux arriérés envers le privé, l’ADER et l’ARELEC [V][7]. Le FMI chiffre la dette envers le privé, arriérés compris, à 1 880 Mds MGA (2,7 % du PIB) fin 2023, et à 5 316 Mds MGA (7,6 % du PIB) avec la dette envers l’État [V][3]. Le chiffre du pacte n’est donc qu’un sous-ensemble.</w:t>
      </w:r>
    </w:p>
    <w:p>
      <w:pPr>
        <w:numPr>
          <w:ilvl w:val="0"/>
          <w:numId w:val="1128"/>
        </w:numPr>
        <w:pStyle w:val="Compact"/>
      </w:pPr>
      <w:r>
        <w:rPr>
          <w:bCs/>
          <w:b/>
        </w:rPr>
        <w:t xml:space="preserve">Déficit annuel</w:t>
      </w:r>
      <w:r>
        <w:t xml:space="preserve"> </w:t>
      </w:r>
      <w:r>
        <w:t xml:space="preserve">: le pacte avance environ 250 M USD. Les sources primaires donnent 1 268 Mds MGA de besoin de trésorerie net (1,8 % du PIB, 2023) et 895 Mds MGA de transferts [V][3]. En 2024, la subvention d’exploitation comptabilisée est de 699 Mds MGA [V][1]. Le PforR retient une base de subvention de 195 M USD [V][7]. Les ordres de grandeur sont comparables à ceux du pacte, selon le taux de change retenu [E].</w:t>
      </w:r>
    </w:p>
    <w:p>
      <w:pPr>
        <w:numPr>
          <w:ilvl w:val="0"/>
          <w:numId w:val="1128"/>
        </w:numPr>
        <w:pStyle w:val="Compact"/>
      </w:pPr>
      <w:r>
        <w:rPr>
          <w:bCs/>
          <w:b/>
        </w:rPr>
        <w:t xml:space="preserve">Pertes</w:t>
      </w:r>
      <w:r>
        <w:t xml:space="preserve"> </w:t>
      </w:r>
      <w:r>
        <w:t xml:space="preserve">: le pacte avance environ 30 % ; le PforR retient 28 % [V][7] ; le FMI donne environ 31 % hors non-recouvrement [V][3]. La cible du pacte (moins de 16 % en 2030) est</w:t>
      </w:r>
      <w:r>
        <w:t xml:space="preserve"> </w:t>
      </w:r>
      <w:r>
        <w:rPr>
          <w:bCs/>
          <w:b/>
        </w:rPr>
        <w:t xml:space="preserve">beaucoup plus ambitieuse</w:t>
      </w:r>
      <w:r>
        <w:t xml:space="preserve"> </w:t>
      </w:r>
      <w:r>
        <w:t xml:space="preserve">que celle du PforR (21 % en 2030) [V][7].</w:t>
      </w:r>
    </w:p>
    <w:p>
      <w:pPr>
        <w:numPr>
          <w:ilvl w:val="0"/>
          <w:numId w:val="1128"/>
        </w:numPr>
        <w:pStyle w:val="Compact"/>
      </w:pPr>
      <w:r>
        <w:rPr>
          <w:bCs/>
          <w:b/>
        </w:rPr>
        <w:t xml:space="preserve">Recouvrement</w:t>
      </w:r>
      <w:r>
        <w:t xml:space="preserve"> </w:t>
      </w:r>
      <w:r>
        <w:t xml:space="preserve">: le pacte avance environ 80 %. C’est cohérent avec les « pertes de non-recouvrement » d’environ 20 % citées par le FMI (données récentes de la JIRAMA) [V][3]. Le ratio encaissements/factures 2024 est d’environ 94 %, mais il inclut le recouvrement d’arriérés [E][1]. Les créances administratives (474 Mds MGA, environ 61 % des créances clients) montrent que l’État paie mal ses propres factures [V][1].</w:t>
      </w:r>
    </w:p>
    <w:p>
      <w:pPr>
        <w:numPr>
          <w:ilvl w:val="0"/>
          <w:numId w:val="1128"/>
        </w:numPr>
        <w:pStyle w:val="Compact"/>
      </w:pPr>
      <w:r>
        <w:rPr>
          <w:bCs/>
          <w:b/>
        </w:rPr>
        <w:t xml:space="preserve">Échéances du pacte</w:t>
      </w:r>
      <w:r>
        <w:t xml:space="preserve"> </w:t>
      </w:r>
      <w:r>
        <w:t xml:space="preserve">: la stratégie d’apurement de la dette, attendue en juin 2025, n’a été adoptée par le CA qu’en janvier 2026 [V][8]. La méthodologie tarifaire, attendue en déc. 2025, est « Delayed » (rapport d’avancement) et reste un déclencheur de la DPO3 [V][5].</w:t>
      </w:r>
    </w:p>
    <w:bookmarkEnd w:id="238"/>
    <w:bookmarkStart w:id="239" w:name="diagnostic-synthétique-19"/>
    <w:p>
      <w:pPr>
        <w:pStyle w:val="Heading3"/>
      </w:pPr>
      <w:r>
        <w:t xml:space="preserve">6. Diagnostic synthétique</w:t>
      </w:r>
    </w:p>
    <w:p>
      <w:pPr>
        <w:numPr>
          <w:ilvl w:val="0"/>
          <w:numId w:val="1130"/>
        </w:numPr>
        <w:pStyle w:val="Compact"/>
      </w:pPr>
      <w:r>
        <w:rPr>
          <w:bCs/>
          <w:b/>
        </w:rPr>
        <w:t xml:space="preserve">Financière : faible.</w:t>
      </w:r>
      <w:r>
        <w:t xml:space="preserve"> </w:t>
      </w:r>
      <w:r>
        <w:t xml:space="preserve">Capitaux propres de −3 523 Mds MGA. Valeur ajoutée négative chaque année (2020-2024). Opinion défavorable. Dettes fiscales non reversées. Dépendance totale aux paiements directs de l’État aux fournisseurs [V][1].</w:t>
      </w:r>
    </w:p>
    <w:p>
      <w:pPr>
        <w:numPr>
          <w:ilvl w:val="0"/>
          <w:numId w:val="1130"/>
        </w:numPr>
        <w:pStyle w:val="Compact"/>
      </w:pPr>
      <w:r>
        <w:rPr>
          <w:bCs/>
          <w:b/>
        </w:rPr>
        <w:t xml:space="preserve">Technique : faible.</w:t>
      </w:r>
      <w:r>
        <w:t xml:space="preserve"> </w:t>
      </w:r>
      <w:r>
        <w:t xml:space="preserve">Pertes de 28 à 30 %. Disponibilité thermique d’environ 45 %. Coupures quotidiennes [V][3][7].</w:t>
      </w:r>
    </w:p>
    <w:p>
      <w:pPr>
        <w:numPr>
          <w:ilvl w:val="0"/>
          <w:numId w:val="1130"/>
        </w:numPr>
        <w:pStyle w:val="Compact"/>
      </w:pPr>
      <w:r>
        <w:rPr>
          <w:bCs/>
          <w:b/>
        </w:rPr>
        <w:t xml:space="preserve">Gouvernance : faible mais en amélioration.</w:t>
      </w:r>
      <w:r>
        <w:t xml:space="preserve"> </w:t>
      </w:r>
      <w:r>
        <w:t xml:space="preserve">Nouveaux statuts, nouvel organigramme, plan de redressement, conditionnalités BM et FMI. Mais affaires de corruption (2024) et contrôle interne défaillant [V][1][3][7].</w:t>
      </w:r>
    </w:p>
    <w:p>
      <w:pPr>
        <w:numPr>
          <w:ilvl w:val="0"/>
          <w:numId w:val="1130"/>
        </w:numPr>
        <w:pStyle w:val="Compact"/>
      </w:pPr>
      <w:r>
        <w:rPr>
          <w:bCs/>
          <w:b/>
        </w:rPr>
        <w:t xml:space="preserve">Trois causes racines</w:t>
      </w:r>
      <w:r>
        <w:t xml:space="preserve"> </w:t>
      </w:r>
      <w:r>
        <w:t xml:space="preserve">:</w:t>
      </w:r>
    </w:p>
    <w:p>
      <w:pPr>
        <w:numPr>
          <w:ilvl w:val="1"/>
          <w:numId w:val="1131"/>
        </w:numPr>
        <w:pStyle w:val="Compact"/>
      </w:pPr>
      <w:r>
        <w:t xml:space="preserve">Un parc dominé par le thermique loué et cher : combustible et achats d’énergie représentent environ 86 % des coûts [V][3].</w:t>
      </w:r>
    </w:p>
    <w:p>
      <w:pPr>
        <w:numPr>
          <w:ilvl w:val="1"/>
          <w:numId w:val="1131"/>
        </w:numPr>
        <w:pStyle w:val="Compact"/>
      </w:pPr>
      <w:r>
        <w:t xml:space="preserve">Un tarif d’environ 13-17 USc/kWh, contre un coût environ deux fois plus élevé [V][3][6].</w:t>
      </w:r>
    </w:p>
    <w:p>
      <w:pPr>
        <w:numPr>
          <w:ilvl w:val="1"/>
          <w:numId w:val="1131"/>
        </w:numPr>
        <w:pStyle w:val="Compact"/>
      </w:pPr>
      <w:r>
        <w:t xml:space="preserve">Une gouvernance et une discipline de paiement faibles : arriérés de l’État client, fiscalité non reversée, contrats mal négociés [V][1][3].</w:t>
      </w:r>
    </w:p>
    <w:p>
      <w:pPr>
        <w:numPr>
          <w:ilvl w:val="0"/>
          <w:numId w:val="1130"/>
        </w:numPr>
        <w:pStyle w:val="Compact"/>
      </w:pPr>
      <w:r>
        <w:rPr>
          <w:bCs/>
          <w:b/>
        </w:rPr>
        <w:t xml:space="preserve">À approfondir en phase 3</w:t>
      </w:r>
      <w:r>
        <w:t xml:space="preserve"> </w:t>
      </w:r>
      <w:r>
        <w:t xml:space="preserve">: grille tarifaire par catégorie (décrets d’indexation) ; coût par segment (thermique loué vs hydro vs IPP) ; montant et calendrier de l’affacturage des arriérés (POM du PforR) ; séparation comptable eau/électricité.</w:t>
      </w:r>
    </w:p>
    <w:bookmarkEnd w:id="239"/>
    <w:bookmarkStart w:id="240" w:name="inconnus-19"/>
    <w:p>
      <w:pPr>
        <w:pStyle w:val="Heading3"/>
      </w:pPr>
      <w:r>
        <w:t xml:space="preserve">7. Inconnus</w:t>
      </w:r>
    </w:p>
    <w:p>
      <w:pPr>
        <w:numPr>
          <w:ilvl w:val="0"/>
          <w:numId w:val="1132"/>
        </w:numPr>
        <w:pStyle w:val="Compact"/>
      </w:pPr>
      <w:r>
        <w:t xml:space="preserve">SAIDI/SAIFI, nombre de clients électricité 2024-2025, part prépayée totale : [?].</w:t>
      </w:r>
    </w:p>
    <w:p>
      <w:pPr>
        <w:numPr>
          <w:ilvl w:val="0"/>
          <w:numId w:val="1132"/>
        </w:numPr>
        <w:pStyle w:val="Compact"/>
      </w:pPr>
      <w:r>
        <w:t xml:space="preserve">Montant exact de la dette totale en USD au 31/12/2024 (rapport Forvis Mazars non publié) : [?].</w:t>
      </w:r>
    </w:p>
    <w:p>
      <w:pPr>
        <w:numPr>
          <w:ilvl w:val="0"/>
          <w:numId w:val="1132"/>
        </w:numPr>
        <w:pStyle w:val="Compact"/>
      </w:pPr>
      <w:r>
        <w:t xml:space="preserve">Unité exacte de l’indicateur EBITDA de l’ISR ASCENT (−591) : [?].</w:t>
      </w:r>
    </w:p>
    <w:p>
      <w:pPr>
        <w:numPr>
          <w:ilvl w:val="0"/>
          <w:numId w:val="1132"/>
        </w:numPr>
        <w:pStyle w:val="Compact"/>
      </w:pPr>
      <w:r>
        <w:t xml:space="preserve">Montants et statut d’exécution des projets BAD PRIRTEM I et II, de PAGFRE et de la garantie Sahofika après 2024 : [?]. afdb.org n’a pas été consulté directement.</w:t>
      </w:r>
    </w:p>
    <w:p>
      <w:pPr>
        <w:numPr>
          <w:ilvl w:val="0"/>
          <w:numId w:val="1132"/>
        </w:numPr>
        <w:pStyle w:val="Compact"/>
      </w:pPr>
      <w:r>
        <w:t xml:space="preserve">Actions préalables de la DPO P166752 (2019) : non vérifiées.</w:t>
      </w:r>
    </w:p>
    <w:bookmarkEnd w:id="240"/>
    <w:bookmarkStart w:id="241" w:name="sources-20"/>
    <w:p>
      <w:pPr>
        <w:pStyle w:val="Heading3"/>
      </w:pPr>
      <w:r>
        <w:t xml:space="preserve">Sources</w:t>
      </w:r>
    </w:p>
    <w:p>
      <w:pPr>
        <w:pStyle w:val="FirstParagraph"/>
      </w:pPr>
      <w:r>
        <w:t xml:space="preserve">[1] Commissaire aux comptes, « Mémorandum relatif au commissariat aux comptes de l’exercice clos le 31 décembre 2024 – JIRAMA », 21/01/2026. https://www.jirama.mg/wp-content/uploads/2026/03/JIRAMA_CAC_2024_ME_01.pdf</w:t>
      </w:r>
      <w:r>
        <w:t xml:space="preserve"> </w:t>
      </w:r>
      <w:r>
        <w:t xml:space="preserve">[2] JIRAMA, rapport du CAC et états financiers de l’exercice clos le 31/12/2023 (signé le 26/03/2025). https://www.jirama.mg/wp-content/uploads/2026/03/JIRAMA_CAC_2023_RP_26mars25-signe.pdf</w:t>
      </w:r>
      <w:r>
        <w:t xml:space="preserve"> </w:t>
      </w:r>
      <w:r>
        <w:t xml:space="preserve">[3] FMI, de Soyres, Tan, Wendling, « The Electricity Sector and Jirama », Selected Issues Paper SIP/2025/026 (aussi CR 25/61), avril 2025. https://www.imf.org/-/media/files/publications/selected-issues-papers/2025/english/sipea2025026.pdf</w:t>
      </w:r>
      <w:r>
        <w:t xml:space="preserve"> </w:t>
      </w:r>
      <w:r>
        <w:t xml:space="preserve">[4] Pacte national (fiche phase 1 MDG). ../../phase1/fiches/MDG_madagascar.md</w:t>
      </w:r>
      <w:r>
        <w:t xml:space="preserve"> </w:t>
      </w:r>
      <w:r>
        <w:t xml:space="preserve">[5] Banque mondiale, Program Document, « Madagascar Second Equitable and Resilient Growth DPO » (P509948), mai 2025. https://documents.worldbank.org/curated/en/099052825141069158/pdf/BOSIB-09968310-4a5e-49e2-8770-1d32ff1c411e.pdf</w:t>
      </w:r>
      <w:r>
        <w:t xml:space="preserve"> </w:t>
      </w:r>
      <w:r>
        <w:t xml:space="preserve">[6] Banque mondiale, Appraisal PID ASCENT Madagascar (P515164), 31/03/2026. https://documents.worldbank.org/curated/en/099033126072021016/pdf/P515164-054eeccc-ffa9-469c-83c3-2dd00001f909.pdf</w:t>
      </w:r>
      <w:r>
        <w:t xml:space="preserve"> </w:t>
      </w:r>
      <w:r>
        <w:t xml:space="preserve">[7] Banque mondiale, ISR n° 1 ASCENT Madagascar (P515164), 06/08/2026. https://documents.worldbank.org/curated/en/099080626125532783/pdf/P515164-d952b752-7c34-4f43-b1ad-bf0df6ce4025.pdf</w:t>
      </w:r>
      <w:r>
        <w:t xml:space="preserve"> </w:t>
      </w:r>
      <w:r>
        <w:t xml:space="preserve">[8] Banque mondiale, Financing Agreement, crédits 8030-MG et 8031-MG (P515164), 08/05/2026. https://documents.worldbank.org/curated/en/099050826091047462/pdf/P515164-1559dc7d-2edf-4c17-966f-ff53bd134dc7.pdf</w:t>
      </w:r>
      <w:r>
        <w:t xml:space="preserve"> </w:t>
      </w:r>
      <w:r>
        <w:t xml:space="preserve">[9] FMI, communiqué de presse 25/239 (2e revue FEC/FRD), 03/07/2025, et page du rapport des services (juillet 2025). https://www.imf.org/en/news/articles/2025/07/03/pr-25239-madagascar-imf-completes-2nd-rev-under-ecf-and-rsf-arrang ; https://www.imf.org/en/publications/cr/issues/2025/07/31/republic-of-madagascar-second-review-under-the-extend-credit-facility-arrangement-request-569222</w:t>
      </w:r>
      <w:r>
        <w:t xml:space="preserve"> </w:t>
      </w:r>
      <w:r>
        <w:t xml:space="preserve">[10] FMI, communiqué de presse 26/312, 30/09/2026. https://www.imf.org/en/news/articles/2026/09/30/pr26312-republic-of-madagascar</w:t>
      </w:r>
      <w:r>
        <w:t xml:space="preserve"> </w:t>
      </w:r>
      <w:r>
        <w:t xml:space="preserve">[11] Banque mondiale, API Projects et Documents (search.worldbank.org), consultée le 18/10/2026 (fiches P163870, P178701, P151785, P164318, P166752, P180288).</w:t>
      </w:r>
      <w:r>
        <w:t xml:space="preserve"> </w:t>
      </w:r>
      <w:r>
        <w:t xml:space="preserve">[12] L’Express de Madagascar, « Énergie – La Jirama cherche une issue », oct. 2026. https://www.lexpress.mg/2026/10/energie-la-jirama-cherche-une-issue.html [S]</w:t>
      </w:r>
      <w:r>
        <w:t xml:space="preserve"> </w:t>
      </w:r>
      <w:r>
        <w:t xml:space="preserve">[13] Banque mondiale, fiches projets P180288, P509948, P151785, P166752 (projects.worldbank.org / API), consultées le 18/10/2026.</w:t>
      </w:r>
      <w:r>
        <w:t xml:space="preserve"> </w:t>
      </w:r>
      <w:r>
        <w:t xml:space="preserve">[14] Banque mondiale, ISR DECIM (P178701), 29/06/2026. https://documents.worldbank.org/curated/en/099062926143516566/pdf/P178701-6cba198c-c60d-4fdd-ba37-f1734ad32b96.pdf</w:t>
      </w:r>
      <w:r>
        <w:t xml:space="preserve"> </w:t>
      </w:r>
      <w:r>
        <w:t xml:space="preserve">[15] Banque mondiale, ISR LEAD (P163870), 29/06/2026, et Project Paper AF (19/06/2025). https://documents.worldbank.org/curated/en/099062926071028168/pdf/P163870-b7ea8bff-f0cc-4878-a83c-756bdb4d0472.pdf ; https://documents.worldbank.org/curated/en/099062325153010534/pdf/BOSIB-d64d2125-b2af-40cc-80d2-7089923d47bc.pdf</w:t>
      </w:r>
      <w:r>
        <w:t xml:space="preserve"> </w:t>
      </w:r>
      <w:r>
        <w:t xml:space="preserve">[16] Early Warning System (rightsindevelopment.org), AFDB-P-MG-FA0-019 et AFDB-P-MG-F00-006 ; presse (African Review, Afrik21), 2024. https://ewsdata.rightsindevelopment.org/files/documents/06/AFDB-P-MG-F00-006.pdf [S]</w:t>
      </w:r>
      <w:r>
        <w:t xml:space="preserve"> </w:t>
      </w:r>
      <w:r>
        <w:t xml:space="preserve">[17] BAD via APO, « Madagascar: African Development Bank approves guarantee of $100 million to hydropower project », déc. 2019 ; Afrik.com, 2025. https://afdb.africa-newsroom.com/press/madagascar-african-development-bank-approves-guarantee-of-100-million-to-hydropower-project-to-benefit-over-2-million-people [S]</w:t>
      </w:r>
      <w:r>
        <w:t xml:space="preserve"> </w:t>
      </w:r>
      <w:r>
        <w:t xml:space="preserve">[18] BAD via APO, « AfDB approves new program to help African countries turn energy promises into power », 30/01/2026. https://afdb.africa-newsroom.com/press/african-development-bank-afdb-approves-new-program-to-help-african-countries-turn-energy-promises-into-power-for-millions [S]</w:t>
      </w:r>
    </w:p>
    <w:p>
      <w:r>
        <w:br w:type="page"/>
      </w:r>
    </w:p>
    <w:bookmarkEnd w:id="241"/>
    <w:bookmarkEnd w:id="242"/>
    <w:bookmarkStart w:id="252" w:name="X73a00212a3199a5520f8bc0a4fbb7acd618722a"/>
    <w:p>
      <w:pPr>
        <w:pStyle w:val="Heading2"/>
      </w:pPr>
      <w:r>
        <w:t xml:space="preserve">Diagnostic opérateur — EDM, Electricidade de Moçambique E.P. (Mozambique)</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le pacte : ../../phase1/fiches/MOZ_mozambique.md (« pacte » = National Energy Compact, sept. 2025).</w:t>
      </w:r>
    </w:p>
    <w:bookmarkStart w:id="243" w:name="identité-20"/>
    <w:p>
      <w:pPr>
        <w:pStyle w:val="Heading3"/>
      </w:pPr>
      <w:r>
        <w:t xml:space="preserve">0. Identité</w:t>
      </w:r>
    </w:p>
    <w:p>
      <w:pPr>
        <w:numPr>
          <w:ilvl w:val="0"/>
          <w:numId w:val="1133"/>
        </w:numPr>
        <w:pStyle w:val="Compact"/>
      </w:pPr>
      <w:r>
        <w:rPr>
          <w:bCs/>
          <w:b/>
        </w:rPr>
        <w:t xml:space="preserve">EDM</w:t>
      </w:r>
      <w:r>
        <w:t xml:space="preserve"> </w:t>
      </w:r>
      <w:r>
        <w:t xml:space="preserve">: entreprise publique (E.P.) — transport, distribution, commercialisation, une partie de la production ; acheteur auprès de</w:t>
      </w:r>
      <w:r>
        <w:t xml:space="preserve"> </w:t>
      </w:r>
      <w:r>
        <w:rPr>
          <w:bCs/>
          <w:b/>
        </w:rPr>
        <w:t xml:space="preserve">HCB</w:t>
      </w:r>
      <w:r>
        <w:t xml:space="preserve"> </w:t>
      </w:r>
      <w:r>
        <w:t xml:space="preserve">(Cahora Bassa, 2 075 MW) et des IPP (dont une centrale flottante au fioul lourd au large de Nampula, l’une des sources les plus chères) [1] [V]. Effectif 4 350 agents (2025) [7] [S].</w:t>
      </w:r>
    </w:p>
    <w:p>
      <w:pPr>
        <w:numPr>
          <w:ilvl w:val="0"/>
          <w:numId w:val="1133"/>
        </w:numPr>
        <w:pStyle w:val="Compact"/>
      </w:pPr>
      <w:r>
        <w:t xml:space="preserve">Statut : entreprise publique ; participations de l’État gérées par l’</w:t>
      </w:r>
      <w:r>
        <w:rPr>
          <w:bCs/>
          <w:b/>
        </w:rPr>
        <w:t xml:space="preserve">IGEPE</w:t>
      </w:r>
      <w:r>
        <w:t xml:space="preserve">, qui publie les comptes [6] [S]. Augmentation de capital de 600,9 M€ autorisée en 2021 et</w:t>
      </w:r>
      <w:r>
        <w:t xml:space="preserve"> </w:t>
      </w:r>
      <w:r>
        <w:rPr>
          <w:bCs/>
          <w:b/>
        </w:rPr>
        <w:t xml:space="preserve">non formalisée juridiquement</w:t>
      </w:r>
      <w:r>
        <w:t xml:space="preserve"> </w:t>
      </w:r>
      <w:r>
        <w:t xml:space="preserve">selon les auditeurs (2025) [7] [S].</w:t>
      </w:r>
    </w:p>
    <w:p>
      <w:pPr>
        <w:numPr>
          <w:ilvl w:val="0"/>
          <w:numId w:val="1133"/>
        </w:numPr>
        <w:pStyle w:val="Compact"/>
      </w:pPr>
      <w:r>
        <w:t xml:space="preserve">Régulateur :</w:t>
      </w:r>
      <w:r>
        <w:t xml:space="preserve"> </w:t>
      </w:r>
      <w:r>
        <w:rPr>
          <w:bCs/>
          <w:b/>
        </w:rPr>
        <w:t xml:space="preserve">ARENE</w:t>
      </w:r>
      <w:r>
        <w:t xml:space="preserve"> </w:t>
      </w:r>
      <w:r>
        <w:t xml:space="preserve">(créée en 2017) ; mais la structure tarifaire est approuvée par décret du</w:t>
      </w:r>
      <w:r>
        <w:t xml:space="preserve"> </w:t>
      </w:r>
      <w:r>
        <w:rPr>
          <w:bCs/>
          <w:b/>
        </w:rPr>
        <w:t xml:space="preserve">Conseil des ministres</w:t>
      </w:r>
      <w:r>
        <w:t xml:space="preserve"> </w:t>
      </w:r>
      <w:r>
        <w:t xml:space="preserve">(décret 2023, action préalable DPF) [3] [V] — indépendance tarifaire limitée [E].</w:t>
      </w:r>
    </w:p>
    <w:p>
      <w:pPr>
        <w:numPr>
          <w:ilvl w:val="0"/>
          <w:numId w:val="1133"/>
        </w:numPr>
        <w:pStyle w:val="Compact"/>
      </w:pPr>
      <w:r>
        <w:t xml:space="preserve">Dernier exercice publié :</w:t>
      </w:r>
      <w:r>
        <w:t xml:space="preserve"> </w:t>
      </w:r>
      <w:r>
        <w:rPr>
          <w:bCs/>
          <w:b/>
        </w:rPr>
        <w:t xml:space="preserve">2025</w:t>
      </w:r>
      <w:r>
        <w:t xml:space="preserve"> </w:t>
      </w:r>
      <w:r>
        <w:t xml:space="preserve">(Relatório e Contas 2025, diffusé par l’IGEPE, juillet 2026, avec rapport des auditeurs) [6][7] [S] — document primaire non consulté directement.</w:t>
      </w:r>
    </w:p>
    <w:bookmarkEnd w:id="243"/>
    <w:bookmarkStart w:id="244" w:name="situation-financière-20"/>
    <w:p>
      <w:pPr>
        <w:pStyle w:val="Heading3"/>
      </w:pPr>
      <w:r>
        <w:t xml:space="preserve">1. Situation financière</w:t>
      </w:r>
    </w:p>
    <w:tbl>
      <w:tblPr>
        <w:tblStyle w:val="Table"/>
        <w:tblW w:type="dxa" w:w="14570"/>
        <w:tblLook w:firstRow="1" w:lastRow="0" w:firstColumn="0" w:lastColumn="0" w:noHBand="0" w:noVBand="0" w:val="0020"/>
        <w:jc w:val="start"/>
      </w:tblPr>
      <w:tblGrid>
        <w:gridCol w:w="2833"/>
        <w:gridCol w:w="8357"/>
        <w:gridCol w:w="1400"/>
        <w:gridCol w:w="1002"/>
        <w:gridCol w:w="977"/>
      </w:tblGrid>
      <w:tr>
        <w:trPr>
          <w:tblHeader w:val="true"/>
        </w:trPr>
        <w:tc>
          <w:tcPr>
            <w:tcW w:w="2833" w:type="dxa"/>
          </w:tcPr>
          <w:tcPr/>
          <w:p>
            <w:pPr>
              <w:pStyle w:val="Compact"/>
              <w:jc w:val="left"/>
            </w:pPr>
            <w:r>
              <w:t xml:space="preserve">Indicateur</w:t>
            </w:r>
          </w:p>
        </w:tc>
        <w:tc>
          <w:tcPr>
            <w:tcW w:w="8357" w:type="dxa"/>
          </w:tcPr>
          <w:tcPr/>
          <w:p>
            <w:pPr>
              <w:pStyle w:val="Compact"/>
              <w:jc w:val="left"/>
            </w:pPr>
            <w:r>
              <w:t xml:space="preserve">Valeur</w:t>
            </w:r>
          </w:p>
        </w:tc>
        <w:tc>
          <w:tcPr>
            <w:tcW w:w="1400" w:type="dxa"/>
          </w:tcPr>
          <w:tcPr/>
          <w:p>
            <w:pPr>
              <w:pStyle w:val="Compact"/>
              <w:jc w:val="left"/>
            </w:pPr>
            <w:r>
              <w:t xml:space="preserve">Année</w:t>
            </w:r>
          </w:p>
        </w:tc>
        <w:tc>
          <w:tcPr>
            <w:tcW w:w="1002" w:type="dxa"/>
          </w:tcPr>
          <w:tcPr/>
          <w:p>
            <w:pPr>
              <w:pStyle w:val="Compact"/>
              <w:jc w:val="left"/>
            </w:pPr>
            <w:r>
              <w:t xml:space="preserve">Statut</w:t>
            </w:r>
          </w:p>
        </w:tc>
        <w:tc>
          <w:tcPr>
            <w:tcW w:w="977" w:type="dxa"/>
          </w:tcPr>
          <w:tcPr/>
          <w:p>
            <w:pPr>
              <w:pStyle w:val="Compact"/>
              <w:jc w:val="left"/>
            </w:pPr>
            <w:r>
              <w:t xml:space="preserve">Source</w:t>
            </w:r>
          </w:p>
        </w:tc>
      </w:tr>
      <w:tr>
        <w:tc>
          <w:tcPr>
            <w:tcW w:w="2833" w:type="dxa"/>
          </w:tcPr>
          <w:tcPr/>
          <w:p>
            <w:pPr>
              <w:pStyle w:val="Compact"/>
              <w:jc w:val="left"/>
            </w:pPr>
            <w:r>
              <w:t xml:space="preserve">Chiffre d’affaires</w:t>
            </w:r>
          </w:p>
        </w:tc>
        <w:tc>
          <w:tcPr>
            <w:tcW w:w="8357" w:type="dxa"/>
          </w:tcPr>
          <w:tcPr/>
          <w:p>
            <w:pPr>
              <w:pStyle w:val="Compact"/>
              <w:jc w:val="left"/>
            </w:pPr>
            <w:r>
              <w:t xml:space="preserve">Ventes ≈ 59,6 Md MZN (2024) ;</w:t>
            </w:r>
            <w:r>
              <w:t xml:space="preserve"> </w:t>
            </w:r>
            <w:r>
              <w:rPr>
                <w:bCs/>
                <w:b/>
              </w:rPr>
              <w:t xml:space="preserve">58,7 Md MZN (2025, -1,5 %)</w:t>
            </w:r>
            <w:r>
              <w:t xml:space="preserve">, dont ventes d’énergie 52,8 Md MZN</w:t>
            </w:r>
          </w:p>
        </w:tc>
        <w:tc>
          <w:tcPr>
            <w:tcW w:w="1400" w:type="dxa"/>
          </w:tcPr>
          <w:tcPr/>
          <w:p>
            <w:pPr>
              <w:pStyle w:val="Compact"/>
              <w:jc w:val="left"/>
            </w:pPr>
            <w:r>
              <w:t xml:space="preserve">2024-2025</w:t>
            </w:r>
          </w:p>
        </w:tc>
        <w:tc>
          <w:tcPr>
            <w:tcW w:w="1002" w:type="dxa"/>
          </w:tcPr>
          <w:tcPr/>
          <w:p>
            <w:pPr>
              <w:pStyle w:val="Compact"/>
              <w:jc w:val="left"/>
            </w:pPr>
            <w:r>
              <w:t xml:space="preserve">[S]</w:t>
            </w:r>
          </w:p>
        </w:tc>
        <w:tc>
          <w:tcPr>
            <w:tcW w:w="977" w:type="dxa"/>
          </w:tcPr>
          <w:tcPr/>
          <w:p>
            <w:pPr>
              <w:pStyle w:val="Compact"/>
              <w:jc w:val="left"/>
            </w:pPr>
            <w:r>
              <w:t xml:space="preserve">[6][7]</w:t>
            </w:r>
          </w:p>
        </w:tc>
      </w:tr>
      <w:tr>
        <w:tc>
          <w:tcPr>
            <w:tcW w:w="2833" w:type="dxa"/>
          </w:tcPr>
          <w:tcPr/>
          <w:p>
            <w:pPr>
              <w:pStyle w:val="Compact"/>
              <w:jc w:val="left"/>
            </w:pPr>
            <w:r>
              <w:t xml:space="preserve">Exportations</w:t>
            </w:r>
          </w:p>
        </w:tc>
        <w:tc>
          <w:tcPr>
            <w:tcW w:w="8357" w:type="dxa"/>
          </w:tcPr>
          <w:tcPr/>
          <w:p>
            <w:pPr>
              <w:pStyle w:val="Compact"/>
              <w:jc w:val="left"/>
            </w:pPr>
            <w:r>
              <w:t xml:space="preserve">13,5 Md MZN (2025, -11,8 %, sécheresse)</w:t>
            </w:r>
          </w:p>
        </w:tc>
        <w:tc>
          <w:tcPr>
            <w:tcW w:w="1400" w:type="dxa"/>
          </w:tcPr>
          <w:tcPr/>
          <w:p>
            <w:pPr>
              <w:pStyle w:val="Compact"/>
              <w:jc w:val="left"/>
            </w:pPr>
            <w:r>
              <w:t xml:space="preserve">2025</w:t>
            </w:r>
          </w:p>
        </w:tc>
        <w:tc>
          <w:tcPr>
            <w:tcW w:w="1002" w:type="dxa"/>
          </w:tcPr>
          <w:tcPr/>
          <w:p>
            <w:pPr>
              <w:pStyle w:val="Compact"/>
              <w:jc w:val="left"/>
            </w:pPr>
            <w:r>
              <w:t xml:space="preserve">[S]</w:t>
            </w:r>
          </w:p>
        </w:tc>
        <w:tc>
          <w:tcPr>
            <w:tcW w:w="977" w:type="dxa"/>
          </w:tcPr>
          <w:tcPr/>
          <w:p>
            <w:pPr>
              <w:pStyle w:val="Compact"/>
              <w:jc w:val="left"/>
            </w:pPr>
            <w:r>
              <w:t xml:space="preserve">[7]</w:t>
            </w:r>
          </w:p>
        </w:tc>
      </w:tr>
      <w:tr>
        <w:tc>
          <w:tcPr>
            <w:tcW w:w="2833" w:type="dxa"/>
          </w:tcPr>
          <w:tcPr/>
          <w:p>
            <w:pPr>
              <w:pStyle w:val="Compact"/>
              <w:jc w:val="left"/>
            </w:pPr>
            <w:r>
              <w:t xml:space="preserve">Résultat net</w:t>
            </w:r>
          </w:p>
        </w:tc>
        <w:tc>
          <w:tcPr>
            <w:tcW w:w="8357" w:type="dxa"/>
          </w:tcPr>
          <w:tcPr/>
          <w:p>
            <w:pPr>
              <w:pStyle w:val="Compact"/>
              <w:jc w:val="left"/>
            </w:pPr>
            <w:r>
              <w:t xml:space="preserve">~4,8 Md MZN (2023) ;</w:t>
            </w:r>
            <w:r>
              <w:t xml:space="preserve"> </w:t>
            </w:r>
            <w:r>
              <w:rPr>
                <w:bCs/>
                <w:b/>
              </w:rPr>
              <w:t xml:space="preserve">8,62 Md MZN (2024)</w:t>
            </w:r>
            <w:r>
              <w:t xml:space="preserve"> </w:t>
            </w:r>
            <w:r>
              <w:t xml:space="preserve">;</w:t>
            </w:r>
            <w:r>
              <w:t xml:space="preserve"> </w:t>
            </w:r>
            <w:r>
              <w:rPr>
                <w:bCs/>
                <w:b/>
              </w:rPr>
              <w:t xml:space="preserve">7,23 Md MZN (2025, -16 %)</w:t>
            </w:r>
            <w:r>
              <w:t xml:space="preserve"> </w:t>
            </w:r>
            <w:r>
              <w:t xml:space="preserve">— 3e, 4e et 5e exercices bénéficiaires consécutifs</w:t>
            </w:r>
          </w:p>
        </w:tc>
        <w:tc>
          <w:tcPr>
            <w:tcW w:w="1400" w:type="dxa"/>
          </w:tcPr>
          <w:tcPr/>
          <w:p>
            <w:pPr>
              <w:pStyle w:val="Compact"/>
              <w:jc w:val="left"/>
            </w:pPr>
            <w:r>
              <w:t xml:space="preserve">2023-2025</w:t>
            </w:r>
          </w:p>
        </w:tc>
        <w:tc>
          <w:tcPr>
            <w:tcW w:w="1002" w:type="dxa"/>
          </w:tcPr>
          <w:tcPr/>
          <w:p>
            <w:pPr>
              <w:pStyle w:val="Compact"/>
              <w:jc w:val="left"/>
            </w:pPr>
            <w:r>
              <w:t xml:space="preserve">[S]</w:t>
            </w:r>
          </w:p>
        </w:tc>
        <w:tc>
          <w:tcPr>
            <w:tcW w:w="977" w:type="dxa"/>
          </w:tcPr>
          <w:tcPr/>
          <w:p>
            <w:pPr>
              <w:pStyle w:val="Compact"/>
              <w:jc w:val="left"/>
            </w:pPr>
            <w:r>
              <w:t xml:space="preserve">[6][7][8]</w:t>
            </w:r>
          </w:p>
        </w:tc>
      </w:tr>
      <w:tr>
        <w:tc>
          <w:tcPr>
            <w:tcW w:w="2833" w:type="dxa"/>
          </w:tcPr>
          <w:tcPr/>
          <w:p>
            <w:pPr>
              <w:pStyle w:val="Compact"/>
              <w:jc w:val="left"/>
            </w:pPr>
            <w:r>
              <w:t xml:space="preserve">Qualité du résultat</w:t>
            </w:r>
          </w:p>
        </w:tc>
        <w:tc>
          <w:tcPr>
            <w:tcW w:w="8357" w:type="dxa"/>
          </w:tcPr>
          <w:tcPr/>
          <w:p>
            <w:pPr>
              <w:pStyle w:val="Compact"/>
              <w:jc w:val="left"/>
            </w:pPr>
            <w:r>
              <w:t xml:space="preserve">Résultat opérationnel 2,47 Md MZN (2024) et 2,07 Md MZN (2025) ;</w:t>
            </w:r>
            <w:r>
              <w:t xml:space="preserve"> </w:t>
            </w:r>
            <w:r>
              <w:rPr>
                <w:bCs/>
                <w:b/>
              </w:rPr>
              <w:t xml:space="preserve">gains financiers 9,49 Md (2024) et 7,63 Md MZN (2025)</w:t>
            </w:r>
            <w:r>
              <w:t xml:space="preserve"> </w:t>
            </w:r>
            <w:r>
              <w:t xml:space="preserve">— le bénéfice repose surtout sur des produits financiers</w:t>
            </w:r>
          </w:p>
        </w:tc>
        <w:tc>
          <w:tcPr>
            <w:tcW w:w="1400" w:type="dxa"/>
          </w:tcPr>
          <w:tcPr/>
          <w:p>
            <w:pPr>
              <w:pStyle w:val="Compact"/>
              <w:jc w:val="left"/>
            </w:pPr>
            <w:r>
              <w:t xml:space="preserve">2024-2025</w:t>
            </w:r>
          </w:p>
        </w:tc>
        <w:tc>
          <w:tcPr>
            <w:tcW w:w="1002" w:type="dxa"/>
          </w:tcPr>
          <w:tcPr/>
          <w:p>
            <w:pPr>
              <w:pStyle w:val="Compact"/>
              <w:jc w:val="left"/>
            </w:pPr>
            <w:r>
              <w:t xml:space="preserve">[S]</w:t>
            </w:r>
          </w:p>
        </w:tc>
        <w:tc>
          <w:tcPr>
            <w:tcW w:w="977" w:type="dxa"/>
          </w:tcPr>
          <w:tcPr/>
          <w:p>
            <w:pPr>
              <w:pStyle w:val="Compact"/>
              <w:jc w:val="left"/>
            </w:pPr>
            <w:r>
              <w:t xml:space="preserve">[6]</w:t>
            </w:r>
          </w:p>
        </w:tc>
      </w:tr>
      <w:tr>
        <w:tc>
          <w:tcPr>
            <w:tcW w:w="2833" w:type="dxa"/>
          </w:tcPr>
          <w:tcPr/>
          <w:p>
            <w:pPr>
              <w:pStyle w:val="Compact"/>
              <w:jc w:val="left"/>
            </w:pPr>
            <w:r>
              <w:t xml:space="preserve">EBITDA</w:t>
            </w:r>
          </w:p>
        </w:tc>
        <w:tc>
          <w:tcPr>
            <w:tcW w:w="8357" w:type="dxa"/>
          </w:tcPr>
          <w:tcPr/>
          <w:p>
            <w:pPr>
              <w:pStyle w:val="Compact"/>
              <w:jc w:val="left"/>
            </w:pPr>
            <w:r>
              <w:t xml:space="preserve">Marge opérationnelle (EBITDA) de -2,2 % (2017) à</w:t>
            </w:r>
            <w:r>
              <w:t xml:space="preserve"> </w:t>
            </w:r>
            <w:r>
              <w:rPr>
                <w:bCs/>
                <w:b/>
              </w:rPr>
              <w:t xml:space="preserve">15,7 % (2022)</w:t>
            </w:r>
          </w:p>
        </w:tc>
        <w:tc>
          <w:tcPr>
            <w:tcW w:w="1400" w:type="dxa"/>
          </w:tcPr>
          <w:tcPr/>
          <w:p>
            <w:pPr>
              <w:pStyle w:val="Compact"/>
              <w:jc w:val="left"/>
            </w:pPr>
            <w:r>
              <w:t xml:space="preserve">2017-2022</w:t>
            </w:r>
          </w:p>
        </w:tc>
        <w:tc>
          <w:tcPr>
            <w:tcW w:w="1002" w:type="dxa"/>
          </w:tcPr>
          <w:tcPr/>
          <w:p>
            <w:pPr>
              <w:pStyle w:val="Compact"/>
              <w:jc w:val="left"/>
            </w:pPr>
            <w:r>
              <w:t xml:space="preserve">[V]</w:t>
            </w:r>
          </w:p>
        </w:tc>
        <w:tc>
          <w:tcPr>
            <w:tcW w:w="977" w:type="dxa"/>
          </w:tcPr>
          <w:tcPr/>
          <w:p>
            <w:pPr>
              <w:pStyle w:val="Compact"/>
              <w:jc w:val="left"/>
            </w:pPr>
            <w:r>
              <w:t xml:space="preserve">[1]</w:t>
            </w:r>
          </w:p>
        </w:tc>
      </w:tr>
      <w:tr>
        <w:tc>
          <w:tcPr>
            <w:tcW w:w="2833" w:type="dxa"/>
          </w:tcPr>
          <w:tcPr/>
          <w:p>
            <w:pPr>
              <w:pStyle w:val="Compact"/>
              <w:jc w:val="left"/>
            </w:pPr>
            <w:r>
              <w:t xml:space="preserve">Bilan</w:t>
            </w:r>
          </w:p>
        </w:tc>
        <w:tc>
          <w:tcPr>
            <w:tcW w:w="8357" w:type="dxa"/>
          </w:tcPr>
          <w:tcPr/>
          <w:p>
            <w:pPr>
              <w:pStyle w:val="Compact"/>
              <w:jc w:val="left"/>
            </w:pPr>
            <w:r>
              <w:t xml:space="preserve">Actif 289,8 Md MZN ; capitaux propres 124,3 Md MZN (en baisse) ; passif 165,5 Md MZN (en hausse) (2025) ; recapitalisation de la dette d’EDM réalisée dans le cadre du FSP</w:t>
            </w:r>
          </w:p>
        </w:tc>
        <w:tc>
          <w:tcPr>
            <w:tcW w:w="1400" w:type="dxa"/>
          </w:tcPr>
          <w:tcPr/>
          <w:p>
            <w:pPr>
              <w:pStyle w:val="Compact"/>
              <w:jc w:val="left"/>
            </w:pPr>
            <w:r>
              <w:t xml:space="preserve">2020-2025</w:t>
            </w:r>
          </w:p>
        </w:tc>
        <w:tc>
          <w:tcPr>
            <w:tcW w:w="1002" w:type="dxa"/>
          </w:tcPr>
          <w:tcPr/>
          <w:p>
            <w:pPr>
              <w:pStyle w:val="Compact"/>
              <w:jc w:val="left"/>
            </w:pPr>
            <w:r>
              <w:t xml:space="preserve">[S]/[V]</w:t>
            </w:r>
          </w:p>
        </w:tc>
        <w:tc>
          <w:tcPr>
            <w:tcW w:w="977" w:type="dxa"/>
          </w:tcPr>
          <w:tcPr/>
          <w:p>
            <w:pPr>
              <w:pStyle w:val="Compact"/>
              <w:jc w:val="left"/>
            </w:pPr>
            <w:r>
              <w:t xml:space="preserve">[1][7]</w:t>
            </w:r>
          </w:p>
        </w:tc>
      </w:tr>
      <w:tr>
        <w:tc>
          <w:tcPr>
            <w:tcW w:w="2833" w:type="dxa"/>
          </w:tcPr>
          <w:tcPr/>
          <w:p>
            <w:pPr>
              <w:pStyle w:val="Compact"/>
              <w:jc w:val="left"/>
            </w:pPr>
            <w:r>
              <w:t xml:space="preserve">Dette envers IPP / HCB</w:t>
            </w:r>
          </w:p>
        </w:tc>
        <w:tc>
          <w:tcPr>
            <w:tcW w:w="8357" w:type="dxa"/>
          </w:tcPr>
          <w:tcPr/>
          <w:p>
            <w:pPr>
              <w:pStyle w:val="Compact"/>
              <w:jc w:val="left"/>
            </w:pPr>
            <w:r>
              <w:t xml:space="preserve">Arriérés envers les principaux IPP :</w:t>
            </w:r>
            <w:r>
              <w:t xml:space="preserve"> </w:t>
            </w:r>
            <w:r>
              <w:rPr>
                <w:bCs/>
                <w:b/>
              </w:rPr>
              <w:t xml:space="preserve">192 M US$ (2020) → 161 M US$ (2022)</w:t>
            </w:r>
            <w:r>
              <w:t xml:space="preserve"> </w:t>
            </w:r>
            <w:r>
              <w:t xml:space="preserve">[1] ; pacte : ≈ 137 M US$ dus aux IPP et 351 M US$ à HCB (pacte)</w:t>
            </w:r>
          </w:p>
        </w:tc>
        <w:tc>
          <w:tcPr>
            <w:tcW w:w="1400" w:type="dxa"/>
          </w:tcPr>
          <w:tcPr/>
          <w:p>
            <w:pPr>
              <w:pStyle w:val="Compact"/>
              <w:jc w:val="left"/>
            </w:pPr>
            <w:r>
              <w:t xml:space="preserve">2020-2022</w:t>
            </w:r>
          </w:p>
        </w:tc>
        <w:tc>
          <w:tcPr>
            <w:tcW w:w="1002" w:type="dxa"/>
          </w:tcPr>
          <w:tcPr/>
          <w:p>
            <w:pPr>
              <w:pStyle w:val="Compact"/>
              <w:jc w:val="left"/>
            </w:pPr>
            <w:r>
              <w:t xml:space="preserve">[V] (BM)</w:t>
            </w:r>
          </w:p>
        </w:tc>
        <w:tc>
          <w:tcPr>
            <w:tcW w:w="977" w:type="dxa"/>
          </w:tcPr>
          <w:tcPr/>
          <w:p>
            <w:pPr>
              <w:pStyle w:val="Compact"/>
              <w:jc w:val="left"/>
            </w:pPr>
            <w:r>
              <w:t xml:space="preserve">[1]</w:t>
            </w:r>
          </w:p>
        </w:tc>
      </w:tr>
      <w:tr>
        <w:tc>
          <w:tcPr>
            <w:tcW w:w="2833" w:type="dxa"/>
          </w:tcPr>
          <w:tcPr/>
          <w:p>
            <w:pPr>
              <w:pStyle w:val="Compact"/>
              <w:jc w:val="left"/>
            </w:pPr>
            <w:r>
              <w:t xml:space="preserve">Arriérés de l’État</w:t>
            </w:r>
          </w:p>
        </w:tc>
        <w:tc>
          <w:tcPr>
            <w:tcW w:w="8357" w:type="dxa"/>
          </w:tcPr>
          <w:tcPr/>
          <w:p>
            <w:pPr>
              <w:pStyle w:val="Compact"/>
              <w:jc w:val="left"/>
            </w:pPr>
            <w:r>
              <w:t xml:space="preserve">Créances sur EDM : 8,7 Md MZN dont</w:t>
            </w:r>
            <w:r>
              <w:t xml:space="preserve"> </w:t>
            </w:r>
            <w:r>
              <w:rPr>
                <w:bCs/>
                <w:b/>
              </w:rPr>
              <w:t xml:space="preserve">6,5 Md MZN dus par la Direction nationale du Trésor</w:t>
            </w:r>
            <w:r>
              <w:t xml:space="preserve"> </w:t>
            </w:r>
            <w:r>
              <w:t xml:space="preserve">(2025)</w:t>
            </w:r>
          </w:p>
        </w:tc>
        <w:tc>
          <w:tcPr>
            <w:tcW w:w="1400" w:type="dxa"/>
          </w:tcPr>
          <w:tcPr/>
          <w:p>
            <w:pPr>
              <w:pStyle w:val="Compact"/>
              <w:jc w:val="left"/>
            </w:pPr>
            <w:r>
              <w:t xml:space="preserve">2025</w:t>
            </w:r>
          </w:p>
        </w:tc>
        <w:tc>
          <w:tcPr>
            <w:tcW w:w="1002" w:type="dxa"/>
          </w:tcPr>
          <w:tcPr/>
          <w:p>
            <w:pPr>
              <w:pStyle w:val="Compact"/>
              <w:jc w:val="left"/>
            </w:pPr>
            <w:r>
              <w:t xml:space="preserve">[S]</w:t>
            </w:r>
          </w:p>
        </w:tc>
        <w:tc>
          <w:tcPr>
            <w:tcW w:w="977" w:type="dxa"/>
          </w:tcPr>
          <w:tcPr/>
          <w:p>
            <w:pPr>
              <w:pStyle w:val="Compact"/>
              <w:jc w:val="left"/>
            </w:pPr>
            <w:r>
              <w:t xml:space="preserve">[6]</w:t>
            </w:r>
          </w:p>
        </w:tc>
      </w:tr>
      <w:tr>
        <w:tc>
          <w:tcPr>
            <w:tcW w:w="2833" w:type="dxa"/>
          </w:tcPr>
          <w:tcPr/>
          <w:p>
            <w:pPr>
              <w:pStyle w:val="Compact"/>
              <w:jc w:val="left"/>
            </w:pPr>
            <w:r>
              <w:t xml:space="preserve">Créances clients</w:t>
            </w:r>
          </w:p>
        </w:tc>
        <w:tc>
          <w:tcPr>
            <w:tcW w:w="8357" w:type="dxa"/>
          </w:tcPr>
          <w:tcPr/>
          <w:p>
            <w:pPr>
              <w:pStyle w:val="Compact"/>
              <w:jc w:val="left"/>
            </w:pPr>
            <w:r>
              <w:t xml:space="preserve">Clients nets 7,67 Md MZN ; dépréciation cumulée 2,79 Md MZN (2025) contre 4,54 Md (2024)</w:t>
            </w:r>
          </w:p>
        </w:tc>
        <w:tc>
          <w:tcPr>
            <w:tcW w:w="1400" w:type="dxa"/>
          </w:tcPr>
          <w:tcPr/>
          <w:p>
            <w:pPr>
              <w:pStyle w:val="Compact"/>
              <w:jc w:val="left"/>
            </w:pPr>
            <w:r>
              <w:t xml:space="preserve">2025</w:t>
            </w:r>
          </w:p>
        </w:tc>
        <w:tc>
          <w:tcPr>
            <w:tcW w:w="1002" w:type="dxa"/>
          </w:tcPr>
          <w:tcPr/>
          <w:p>
            <w:pPr>
              <w:pStyle w:val="Compact"/>
              <w:jc w:val="left"/>
            </w:pPr>
            <w:r>
              <w:t xml:space="preserve">[S]</w:t>
            </w:r>
          </w:p>
        </w:tc>
        <w:tc>
          <w:tcPr>
            <w:tcW w:w="977" w:type="dxa"/>
          </w:tcPr>
          <w:tcPr/>
          <w:p>
            <w:pPr>
              <w:pStyle w:val="Compact"/>
              <w:jc w:val="left"/>
            </w:pPr>
            <w:r>
              <w:t xml:space="preserve">[7]</w:t>
            </w:r>
          </w:p>
        </w:tc>
      </w:tr>
      <w:tr>
        <w:tc>
          <w:tcPr>
            <w:tcW w:w="2833" w:type="dxa"/>
          </w:tcPr>
          <w:tcPr/>
          <w:p>
            <w:pPr>
              <w:pStyle w:val="Compact"/>
              <w:jc w:val="left"/>
            </w:pPr>
            <w:r>
              <w:t xml:space="preserve">Transferts / subventions</w:t>
            </w:r>
          </w:p>
        </w:tc>
        <w:tc>
          <w:tcPr>
            <w:tcW w:w="8357" w:type="dxa"/>
          </w:tcPr>
          <w:tcPr/>
          <w:p>
            <w:pPr>
              <w:pStyle w:val="Compact"/>
              <w:jc w:val="left"/>
            </w:pPr>
            <w:r>
              <w:t xml:space="preserve">Allocation de 200 MW supplémentaires de HCB au marché domestique (mesure du FSP) ; financement de l’électrification sorti du bilan d’EDM (en cours)</w:t>
            </w:r>
          </w:p>
        </w:tc>
        <w:tc>
          <w:tcPr>
            <w:tcW w:w="1400" w:type="dxa"/>
          </w:tcPr>
          <w:tcPr/>
          <w:p>
            <w:pPr>
              <w:pStyle w:val="Compact"/>
              <w:jc w:val="left"/>
            </w:pPr>
            <w:r>
              <w:t xml:space="preserve">2020-2024</w:t>
            </w:r>
          </w:p>
        </w:tc>
        <w:tc>
          <w:tcPr>
            <w:tcW w:w="1002" w:type="dxa"/>
          </w:tcPr>
          <w:tcPr/>
          <w:p>
            <w:pPr>
              <w:pStyle w:val="Compact"/>
              <w:jc w:val="left"/>
            </w:pPr>
            <w:r>
              <w:t xml:space="preserve">[V]</w:t>
            </w:r>
          </w:p>
        </w:tc>
        <w:tc>
          <w:tcPr>
            <w:tcW w:w="977" w:type="dxa"/>
          </w:tcPr>
          <w:tcPr/>
          <w:p>
            <w:pPr>
              <w:pStyle w:val="Compact"/>
              <w:jc w:val="left"/>
            </w:pPr>
            <w:r>
              <w:t xml:space="preserve">[1]</w:t>
            </w:r>
          </w:p>
        </w:tc>
      </w:tr>
      <w:tr>
        <w:tc>
          <w:tcPr>
            <w:tcW w:w="2833" w:type="dxa"/>
          </w:tcPr>
          <w:tcPr/>
          <w:p>
            <w:pPr>
              <w:pStyle w:val="Compact"/>
              <w:jc w:val="left"/>
            </w:pPr>
            <w:r>
              <w:t xml:space="preserve">Taux de recouvrement</w:t>
            </w:r>
          </w:p>
        </w:tc>
        <w:tc>
          <w:tcPr>
            <w:tcW w:w="8357" w:type="dxa"/>
          </w:tcPr>
          <w:tcPr/>
          <w:p>
            <w:pPr>
              <w:pStyle w:val="Compact"/>
              <w:jc w:val="left"/>
            </w:pPr>
            <w:r>
              <w:t xml:space="preserve">[?] non trouvé</w:t>
            </w:r>
          </w:p>
        </w:tc>
        <w:tc>
          <w:tcPr>
            <w:tcW w:w="1400" w:type="dxa"/>
          </w:tcPr>
          <w:tcPr/>
          <w:p>
            <w:pPr>
              <w:pStyle w:val="Compact"/>
              <w:jc w:val="left"/>
            </w:pPr>
            <w:r>
              <w:t xml:space="preserve">—</w:t>
            </w:r>
          </w:p>
        </w:tc>
        <w:tc>
          <w:tcPr>
            <w:tcW w:w="1002" w:type="dxa"/>
          </w:tcPr>
          <w:tcPr/>
          <w:p>
            <w:pPr>
              <w:pStyle w:val="Compact"/>
              <w:jc w:val="left"/>
            </w:pPr>
            <w:r>
              <w:t xml:space="preserve">[?]</w:t>
            </w:r>
          </w:p>
        </w:tc>
        <w:tc>
          <w:tcPr>
            <w:tcW w:w="977" w:type="dxa"/>
          </w:tcPr>
          <w:tcPr/>
          <w:p>
            <w:pPr>
              <w:pStyle w:val="Compact"/>
              <w:jc w:val="left"/>
            </w:pPr>
            <w:r>
              <w:t xml:space="preserve">—</w:t>
            </w:r>
          </w:p>
        </w:tc>
      </w:tr>
      <w:tr>
        <w:tc>
          <w:tcPr>
            <w:tcW w:w="2833" w:type="dxa"/>
          </w:tcPr>
          <w:tcPr/>
          <w:p>
            <w:pPr>
              <w:pStyle w:val="Compact"/>
              <w:jc w:val="left"/>
            </w:pPr>
            <w:r>
              <w:t xml:space="preserve">Recouvrement des coûts</w:t>
            </w:r>
          </w:p>
        </w:tc>
        <w:tc>
          <w:tcPr>
            <w:tcW w:w="8357" w:type="dxa"/>
          </w:tcPr>
          <w:tcPr/>
          <w:p>
            <w:pPr>
              <w:pStyle w:val="Compact"/>
              <w:jc w:val="left"/>
            </w:pPr>
            <w:r>
              <w:t xml:space="preserve">Les recettes tarifaires couvrent</w:t>
            </w:r>
            <w:r>
              <w:t xml:space="preserve"> </w:t>
            </w:r>
            <w:r>
              <w:rPr>
                <w:bCs/>
                <w:b/>
              </w:rPr>
              <w:t xml:space="preserve">~85 % des coûts d’exploitation du secteur</w:t>
            </w:r>
            <w:r>
              <w:t xml:space="preserve"> </w:t>
            </w:r>
            <w:r>
              <w:t xml:space="preserve">(BM, 2023) ; le pacte affirme ≥ 100 % de recouvrement des coûts d’EDM en 2023</w:t>
            </w:r>
          </w:p>
        </w:tc>
        <w:tc>
          <w:tcPr>
            <w:tcW w:w="1400" w:type="dxa"/>
          </w:tcPr>
          <w:tcPr/>
          <w:p>
            <w:pPr>
              <w:pStyle w:val="Compact"/>
              <w:jc w:val="left"/>
            </w:pPr>
            <w:r>
              <w:t xml:space="preserve">2023</w:t>
            </w:r>
          </w:p>
        </w:tc>
        <w:tc>
          <w:tcPr>
            <w:tcW w:w="1002" w:type="dxa"/>
          </w:tcPr>
          <w:tcPr/>
          <w:p>
            <w:pPr>
              <w:pStyle w:val="Compact"/>
              <w:jc w:val="left"/>
            </w:pPr>
            <w:r>
              <w:t xml:space="preserve">[V]</w:t>
            </w:r>
          </w:p>
        </w:tc>
        <w:tc>
          <w:tcPr>
            <w:tcW w:w="977" w:type="dxa"/>
          </w:tcPr>
          <w:tcPr/>
          <w:p>
            <w:pPr>
              <w:pStyle w:val="Compact"/>
              <w:jc w:val="left"/>
            </w:pPr>
            <w:r>
              <w:t xml:space="preserve">[3]</w:t>
            </w:r>
          </w:p>
        </w:tc>
      </w:tr>
      <w:tr>
        <w:tc>
          <w:tcPr>
            <w:tcW w:w="2833" w:type="dxa"/>
          </w:tcPr>
          <w:tcPr/>
          <w:p>
            <w:pPr>
              <w:pStyle w:val="Compact"/>
              <w:jc w:val="left"/>
            </w:pPr>
            <w:r>
              <w:t xml:space="preserve">Recette moyenne vs coût par kWh</w:t>
            </w:r>
          </w:p>
        </w:tc>
        <w:tc>
          <w:tcPr>
            <w:tcW w:w="8357" w:type="dxa"/>
          </w:tcPr>
          <w:tcPr/>
          <w:p>
            <w:pPr>
              <w:pStyle w:val="Compact"/>
              <w:jc w:val="left"/>
            </w:pPr>
            <w:r>
              <w:t xml:space="preserve">[?] non trouvé ; tarifs d’achat IPP solaires : 0,13 US$/kWh (Metoro, 2020) → ~0,05 US$/kWh (enchères PROLER, 2022)</w:t>
            </w:r>
          </w:p>
        </w:tc>
        <w:tc>
          <w:tcPr>
            <w:tcW w:w="1400" w:type="dxa"/>
          </w:tcPr>
          <w:tcPr/>
          <w:p>
            <w:pPr>
              <w:pStyle w:val="Compact"/>
              <w:jc w:val="left"/>
            </w:pPr>
            <w:r>
              <w:t xml:space="preserve">2020-2022</w:t>
            </w:r>
          </w:p>
        </w:tc>
        <w:tc>
          <w:tcPr>
            <w:tcW w:w="1002" w:type="dxa"/>
          </w:tcPr>
          <w:tcPr/>
          <w:p>
            <w:pPr>
              <w:pStyle w:val="Compact"/>
              <w:jc w:val="left"/>
            </w:pPr>
            <w:r>
              <w:t xml:space="preserve">[V]</w:t>
            </w:r>
          </w:p>
        </w:tc>
        <w:tc>
          <w:tcPr>
            <w:tcW w:w="977" w:type="dxa"/>
          </w:tcPr>
          <w:tcPr/>
          <w:p>
            <w:pPr>
              <w:pStyle w:val="Compact"/>
              <w:jc w:val="left"/>
            </w:pPr>
            <w:r>
              <w:t xml:space="preserve">[1]</w:t>
            </w:r>
          </w:p>
        </w:tc>
      </w:tr>
      <w:tr>
        <w:tc>
          <w:tcPr>
            <w:tcW w:w="2833" w:type="dxa"/>
          </w:tcPr>
          <w:tcPr/>
          <w:p>
            <w:pPr>
              <w:pStyle w:val="Compact"/>
              <w:jc w:val="left"/>
            </w:pPr>
            <w:r>
              <w:t xml:space="preserve">Déficit quasi-budgétaire</w:t>
            </w:r>
          </w:p>
        </w:tc>
        <w:tc>
          <w:tcPr>
            <w:tcW w:w="8357" w:type="dxa"/>
          </w:tcPr>
          <w:tcPr/>
          <w:p>
            <w:pPr>
              <w:pStyle w:val="Compact"/>
              <w:jc w:val="left"/>
            </w:pPr>
            <w:r>
              <w:t xml:space="preserve">[?] ; le FMI mentionne le risque lié aux tarifs d’électricité de Mozal</w:t>
            </w:r>
          </w:p>
        </w:tc>
        <w:tc>
          <w:tcPr>
            <w:tcW w:w="1400" w:type="dxa"/>
          </w:tcPr>
          <w:tcPr/>
          <w:p>
            <w:pPr>
              <w:pStyle w:val="Compact"/>
              <w:jc w:val="left"/>
            </w:pPr>
            <w:r>
              <w:t xml:space="preserve">2026</w:t>
            </w:r>
          </w:p>
        </w:tc>
        <w:tc>
          <w:tcPr>
            <w:tcW w:w="1002" w:type="dxa"/>
          </w:tcPr>
          <w:tcPr/>
          <w:p>
            <w:pPr>
              <w:pStyle w:val="Compact"/>
              <w:jc w:val="left"/>
            </w:pPr>
            <w:r>
              <w:t xml:space="preserve">[V]</w:t>
            </w:r>
          </w:p>
        </w:tc>
        <w:tc>
          <w:tcPr>
            <w:tcW w:w="977" w:type="dxa"/>
          </w:tcPr>
          <w:tcPr/>
          <w:p>
            <w:pPr>
              <w:pStyle w:val="Compact"/>
              <w:jc w:val="left"/>
            </w:pPr>
            <w:r>
              <w:t xml:space="preserve">[5]</w:t>
            </w:r>
          </w:p>
        </w:tc>
      </w:tr>
      <w:tr>
        <w:tc>
          <w:tcPr>
            <w:tcW w:w="2833" w:type="dxa"/>
          </w:tcPr>
          <w:tcPr/>
          <w:p>
            <w:pPr>
              <w:pStyle w:val="Compact"/>
              <w:jc w:val="left"/>
            </w:pPr>
            <w:r>
              <w:t xml:space="preserve">Notation</w:t>
            </w:r>
          </w:p>
        </w:tc>
        <w:tc>
          <w:tcPr>
            <w:tcW w:w="8357" w:type="dxa"/>
          </w:tcPr>
          <w:tcPr/>
          <w:p>
            <w:pPr>
              <w:pStyle w:val="Compact"/>
              <w:jc w:val="left"/>
            </w:pPr>
            <w:r>
              <w:t xml:space="preserve">[?]</w:t>
            </w:r>
          </w:p>
        </w:tc>
        <w:tc>
          <w:tcPr>
            <w:tcW w:w="1400" w:type="dxa"/>
          </w:tcPr>
          <w:tcPr/>
          <w:p>
            <w:pPr>
              <w:pStyle w:val="Compact"/>
              <w:jc w:val="left"/>
            </w:pPr>
            <w:r>
              <w:t xml:space="preserve">—</w:t>
            </w:r>
          </w:p>
        </w:tc>
        <w:tc>
          <w:tcPr>
            <w:tcW w:w="1002" w:type="dxa"/>
          </w:tcPr>
          <w:tcPr/>
          <w:p>
            <w:pPr>
              <w:pStyle w:val="Compact"/>
              <w:jc w:val="left"/>
            </w:pPr>
            <w:r>
              <w:t xml:space="preserve">[?]</w:t>
            </w:r>
          </w:p>
        </w:tc>
        <w:tc>
          <w:tcPr>
            <w:tcW w:w="977" w:type="dxa"/>
          </w:tcPr>
          <w:tcPr/>
          <w:p>
            <w:pPr>
              <w:pStyle w:val="Compact"/>
              <w:jc w:val="left"/>
            </w:pPr>
            <w:r>
              <w:t xml:space="preserve">—</w:t>
            </w:r>
          </w:p>
        </w:tc>
      </w:tr>
    </w:tbl>
    <w:bookmarkEnd w:id="244"/>
    <w:bookmarkStart w:id="245" w:name="situation-technique-20"/>
    <w:p>
      <w:pPr>
        <w:pStyle w:val="Heading3"/>
      </w:pPr>
      <w:r>
        <w:t xml:space="preserve">2. Situation technique</w:t>
      </w:r>
    </w:p>
    <w:tbl>
      <w:tblPr>
        <w:tblStyle w:val="Table"/>
        <w:tblW w:type="dxa" w:w="14570"/>
        <w:tblLook w:firstRow="1" w:lastRow="0" w:firstColumn="0" w:lastColumn="0" w:noHBand="0" w:noVBand="0" w:val="0020"/>
        <w:jc w:val="start"/>
      </w:tblPr>
      <w:tblGrid>
        <w:gridCol w:w="2476"/>
        <w:gridCol w:w="8264"/>
        <w:gridCol w:w="1404"/>
        <w:gridCol w:w="1204"/>
        <w:gridCol w:w="1220"/>
      </w:tblGrid>
      <w:tr>
        <w:trPr>
          <w:tblHeader w:val="true"/>
        </w:trPr>
        <w:tc>
          <w:tcPr>
            <w:tcW w:w="2476" w:type="dxa"/>
          </w:tcPr>
          <w:tcPr/>
          <w:p>
            <w:pPr>
              <w:pStyle w:val="Compact"/>
              <w:jc w:val="left"/>
            </w:pPr>
            <w:r>
              <w:t xml:space="preserve">Indicateur</w:t>
            </w:r>
          </w:p>
        </w:tc>
        <w:tc>
          <w:tcPr>
            <w:tcW w:w="8264" w:type="dxa"/>
          </w:tcPr>
          <w:tcPr/>
          <w:p>
            <w:pPr>
              <w:pStyle w:val="Compact"/>
              <w:jc w:val="left"/>
            </w:pPr>
            <w:r>
              <w:t xml:space="preserve">Valeur</w:t>
            </w:r>
          </w:p>
        </w:tc>
        <w:tc>
          <w:tcPr>
            <w:tcW w:w="1404" w:type="dxa"/>
          </w:tcPr>
          <w:tcPr/>
          <w:p>
            <w:pPr>
              <w:pStyle w:val="Compact"/>
              <w:jc w:val="left"/>
            </w:pPr>
            <w:r>
              <w:t xml:space="preserve">Année</w:t>
            </w:r>
          </w:p>
        </w:tc>
        <w:tc>
          <w:tcPr>
            <w:tcW w:w="1204" w:type="dxa"/>
          </w:tcPr>
          <w:tcPr/>
          <w:p>
            <w:pPr>
              <w:pStyle w:val="Compact"/>
              <w:jc w:val="left"/>
            </w:pPr>
            <w:r>
              <w:t xml:space="preserve">Statut</w:t>
            </w:r>
          </w:p>
        </w:tc>
        <w:tc>
          <w:tcPr>
            <w:tcW w:w="1220" w:type="dxa"/>
          </w:tcPr>
          <w:tcPr/>
          <w:p>
            <w:pPr>
              <w:pStyle w:val="Compact"/>
              <w:jc w:val="left"/>
            </w:pPr>
            <w:r>
              <w:t xml:space="preserve">Source</w:t>
            </w:r>
          </w:p>
        </w:tc>
      </w:tr>
      <w:tr>
        <w:tc>
          <w:tcPr>
            <w:tcW w:w="2476" w:type="dxa"/>
          </w:tcPr>
          <w:tcPr/>
          <w:p>
            <w:pPr>
              <w:pStyle w:val="Compact"/>
              <w:jc w:val="left"/>
            </w:pPr>
            <w:r>
              <w:t xml:space="preserve">Pertes du système</w:t>
            </w:r>
          </w:p>
        </w:tc>
        <w:tc>
          <w:tcPr>
            <w:tcW w:w="8264" w:type="dxa"/>
          </w:tcPr>
          <w:tcPr/>
          <w:p>
            <w:pPr>
              <w:pStyle w:val="Compact"/>
              <w:jc w:val="left"/>
            </w:pPr>
            <w:r>
              <w:t xml:space="preserve">Baisse de 3,1 points entre 2021 et 2022 ;</w:t>
            </w:r>
            <w:r>
              <w:t xml:space="preserve"> </w:t>
            </w:r>
            <w:r>
              <w:rPr>
                <w:bCs/>
                <w:b/>
              </w:rPr>
              <w:t xml:space="preserve">26 % « en 2024 »</w:t>
            </w:r>
            <w:r>
              <w:t xml:space="preserve"> </w:t>
            </w:r>
            <w:r>
              <w:t xml:space="preserve">(PAD daté de mars 2024 : probablement la donnée 2023) ; objectif FSP : -2 points par an</w:t>
            </w:r>
          </w:p>
        </w:tc>
        <w:tc>
          <w:tcPr>
            <w:tcW w:w="1404" w:type="dxa"/>
          </w:tcPr>
          <w:tcPr/>
          <w:p>
            <w:pPr>
              <w:pStyle w:val="Compact"/>
              <w:jc w:val="left"/>
            </w:pPr>
            <w:r>
              <w:t xml:space="preserve">2021-2024</w:t>
            </w:r>
          </w:p>
        </w:tc>
        <w:tc>
          <w:tcPr>
            <w:tcW w:w="1204" w:type="dxa"/>
          </w:tcPr>
          <w:tcPr/>
          <w:p>
            <w:pPr>
              <w:pStyle w:val="Compact"/>
              <w:jc w:val="left"/>
            </w:pPr>
            <w:r>
              <w:t xml:space="preserve">[V]</w:t>
            </w:r>
          </w:p>
        </w:tc>
        <w:tc>
          <w:tcPr>
            <w:tcW w:w="1220" w:type="dxa"/>
          </w:tcPr>
          <w:tcPr/>
          <w:p>
            <w:pPr>
              <w:pStyle w:val="Compact"/>
              <w:jc w:val="left"/>
            </w:pPr>
            <w:r>
              <w:t xml:space="preserve">[1]</w:t>
            </w:r>
          </w:p>
        </w:tc>
      </w:tr>
      <w:tr>
        <w:tc>
          <w:tcPr>
            <w:tcW w:w="2476" w:type="dxa"/>
          </w:tcPr>
          <w:tcPr/>
          <w:p>
            <w:pPr>
              <w:pStyle w:val="Compact"/>
              <w:jc w:val="left"/>
            </w:pPr>
            <w:r>
              <w:t xml:space="preserve">Clients</w:t>
            </w:r>
          </w:p>
        </w:tc>
        <w:tc>
          <w:tcPr>
            <w:tcW w:w="8264" w:type="dxa"/>
          </w:tcPr>
          <w:tcPr/>
          <w:p>
            <w:pPr>
              <w:pStyle w:val="Compact"/>
              <w:jc w:val="left"/>
            </w:pPr>
            <w:r>
              <w:rPr>
                <w:bCs/>
                <w:b/>
              </w:rPr>
              <w:t xml:space="preserve">3,33 millions</w:t>
            </w:r>
            <w:r>
              <w:t xml:space="preserve"> </w:t>
            </w:r>
            <w:r>
              <w:t xml:space="preserve">(2023), dont 1,04 M ajoutés en 2021-2023</w:t>
            </w:r>
          </w:p>
        </w:tc>
        <w:tc>
          <w:tcPr>
            <w:tcW w:w="1404" w:type="dxa"/>
          </w:tcPr>
          <w:tcPr/>
          <w:p>
            <w:pPr>
              <w:pStyle w:val="Compact"/>
              <w:jc w:val="left"/>
            </w:pPr>
            <w:r>
              <w:t xml:space="preserve">2023</w:t>
            </w:r>
          </w:p>
        </w:tc>
        <w:tc>
          <w:tcPr>
            <w:tcW w:w="1204" w:type="dxa"/>
          </w:tcPr>
          <w:tcPr/>
          <w:p>
            <w:pPr>
              <w:pStyle w:val="Compact"/>
              <w:jc w:val="left"/>
            </w:pPr>
            <w:r>
              <w:t xml:space="preserve">[V]</w:t>
            </w:r>
          </w:p>
        </w:tc>
        <w:tc>
          <w:tcPr>
            <w:tcW w:w="1220" w:type="dxa"/>
          </w:tcPr>
          <w:tcPr/>
          <w:p>
            <w:pPr>
              <w:pStyle w:val="Compact"/>
              <w:jc w:val="left"/>
            </w:pPr>
            <w:r>
              <w:t xml:space="preserve">[1]</w:t>
            </w:r>
          </w:p>
        </w:tc>
      </w:tr>
      <w:tr>
        <w:tc>
          <w:tcPr>
            <w:tcW w:w="2476" w:type="dxa"/>
          </w:tcPr>
          <w:tcPr/>
          <w:p>
            <w:pPr>
              <w:pStyle w:val="Compact"/>
              <w:jc w:val="left"/>
            </w:pPr>
            <w:r>
              <w:t xml:space="preserve">Mix</w:t>
            </w:r>
          </w:p>
        </w:tc>
        <w:tc>
          <w:tcPr>
            <w:tcW w:w="8264" w:type="dxa"/>
          </w:tcPr>
          <w:tcPr/>
          <w:p>
            <w:pPr>
              <w:pStyle w:val="Compact"/>
              <w:jc w:val="left"/>
            </w:pPr>
            <w:r>
              <w:t xml:space="preserve">&gt; 80 % hydro (HCB) ; nord du pays alimenté par une centrale flottante au fioul lourd</w:t>
            </w:r>
          </w:p>
        </w:tc>
        <w:tc>
          <w:tcPr>
            <w:tcW w:w="1404" w:type="dxa"/>
          </w:tcPr>
          <w:tcPr/>
          <w:p>
            <w:pPr>
              <w:pStyle w:val="Compact"/>
              <w:jc w:val="left"/>
            </w:pPr>
            <w:r>
              <w:t xml:space="preserve">2023</w:t>
            </w:r>
          </w:p>
        </w:tc>
        <w:tc>
          <w:tcPr>
            <w:tcW w:w="1204" w:type="dxa"/>
          </w:tcPr>
          <w:tcPr/>
          <w:p>
            <w:pPr>
              <w:pStyle w:val="Compact"/>
              <w:jc w:val="left"/>
            </w:pPr>
            <w:r>
              <w:t xml:space="preserve">[V]</w:t>
            </w:r>
          </w:p>
        </w:tc>
        <w:tc>
          <w:tcPr>
            <w:tcW w:w="1220" w:type="dxa"/>
          </w:tcPr>
          <w:tcPr/>
          <w:p>
            <w:pPr>
              <w:pStyle w:val="Compact"/>
              <w:jc w:val="left"/>
            </w:pPr>
            <w:r>
              <w:t xml:space="preserve">[1][3]</w:t>
            </w:r>
          </w:p>
        </w:tc>
      </w:tr>
      <w:tr>
        <w:tc>
          <w:tcPr>
            <w:tcW w:w="2476" w:type="dxa"/>
          </w:tcPr>
          <w:tcPr/>
          <w:p>
            <w:pPr>
              <w:pStyle w:val="Compact"/>
              <w:jc w:val="left"/>
            </w:pPr>
            <w:r>
              <w:t xml:space="preserve">SAIDI / SAIFI</w:t>
            </w:r>
          </w:p>
        </w:tc>
        <w:tc>
          <w:tcPr>
            <w:tcW w:w="8264" w:type="dxa"/>
          </w:tcPr>
          <w:tcPr/>
          <w:p>
            <w:pPr>
              <w:pStyle w:val="Compact"/>
              <w:jc w:val="left"/>
            </w:pPr>
            <w:r>
              <w:t xml:space="preserve">[?] non trouvé</w:t>
            </w:r>
          </w:p>
        </w:tc>
        <w:tc>
          <w:tcPr>
            <w:tcW w:w="1404" w:type="dxa"/>
          </w:tcPr>
          <w:tcPr/>
          <w:p>
            <w:pPr>
              <w:pStyle w:val="Compact"/>
              <w:jc w:val="left"/>
            </w:pPr>
            <w:r>
              <w:t xml:space="preserve">—</w:t>
            </w:r>
          </w:p>
        </w:tc>
        <w:tc>
          <w:tcPr>
            <w:tcW w:w="1204" w:type="dxa"/>
          </w:tcPr>
          <w:tcPr/>
          <w:p>
            <w:pPr>
              <w:pStyle w:val="Compact"/>
              <w:jc w:val="left"/>
            </w:pPr>
            <w:r>
              <w:t xml:space="preserve">[?]</w:t>
            </w:r>
          </w:p>
        </w:tc>
        <w:tc>
          <w:tcPr>
            <w:tcW w:w="1220" w:type="dxa"/>
          </w:tcPr>
          <w:tcPr/>
          <w:p>
            <w:pPr>
              <w:pStyle w:val="Compact"/>
              <w:jc w:val="left"/>
            </w:pPr>
            <w:r>
              <w:t xml:space="preserve">—</w:t>
            </w:r>
          </w:p>
        </w:tc>
      </w:tr>
      <w:tr>
        <w:tc>
          <w:tcPr>
            <w:tcW w:w="2476" w:type="dxa"/>
          </w:tcPr>
          <w:tcPr/>
          <w:p>
            <w:pPr>
              <w:pStyle w:val="Compact"/>
              <w:jc w:val="left"/>
            </w:pPr>
            <w:r>
              <w:t xml:space="preserve">Délestages</w:t>
            </w:r>
          </w:p>
        </w:tc>
        <w:tc>
          <w:tcPr>
            <w:tcW w:w="8264" w:type="dxa"/>
          </w:tcPr>
          <w:tcPr/>
          <w:p>
            <w:pPr>
              <w:pStyle w:val="Compact"/>
              <w:jc w:val="left"/>
            </w:pPr>
            <w:r>
              <w:t xml:space="preserve">[?] ; exportations réduites en 2025 faute d’énergie disponible (sécheresse)</w:t>
            </w:r>
          </w:p>
        </w:tc>
        <w:tc>
          <w:tcPr>
            <w:tcW w:w="1404" w:type="dxa"/>
          </w:tcPr>
          <w:tcPr/>
          <w:p>
            <w:pPr>
              <w:pStyle w:val="Compact"/>
              <w:jc w:val="left"/>
            </w:pPr>
            <w:r>
              <w:t xml:space="preserve">2025</w:t>
            </w:r>
          </w:p>
        </w:tc>
        <w:tc>
          <w:tcPr>
            <w:tcW w:w="1204" w:type="dxa"/>
          </w:tcPr>
          <w:tcPr/>
          <w:p>
            <w:pPr>
              <w:pStyle w:val="Compact"/>
              <w:jc w:val="left"/>
            </w:pPr>
            <w:r>
              <w:t xml:space="preserve">[S]</w:t>
            </w:r>
          </w:p>
        </w:tc>
        <w:tc>
          <w:tcPr>
            <w:tcW w:w="1220" w:type="dxa"/>
          </w:tcPr>
          <w:tcPr/>
          <w:p>
            <w:pPr>
              <w:pStyle w:val="Compact"/>
              <w:jc w:val="left"/>
            </w:pPr>
            <w:r>
              <w:t xml:space="preserve">[7]</w:t>
            </w:r>
          </w:p>
        </w:tc>
      </w:tr>
    </w:tbl>
    <w:bookmarkEnd w:id="245"/>
    <w:bookmarkStart w:id="246" w:name="situation-économique-et-gouvernance-20"/>
    <w:p>
      <w:pPr>
        <w:pStyle w:val="Heading3"/>
      </w:pPr>
      <w:r>
        <w:t xml:space="preserve">3. Situation économique et gouvernance</w:t>
      </w:r>
    </w:p>
    <w:p>
      <w:pPr>
        <w:numPr>
          <w:ilvl w:val="0"/>
          <w:numId w:val="1134"/>
        </w:numPr>
        <w:pStyle w:val="Compact"/>
      </w:pPr>
      <w:r>
        <w:rPr>
          <w:bCs/>
          <w:b/>
        </w:rPr>
        <w:t xml:space="preserve">PPA / HCB</w:t>
      </w:r>
      <w:r>
        <w:t xml:space="preserve"> </w:t>
      </w:r>
      <w:r>
        <w:t xml:space="preserve">: dépendance à l’énergie de HCB et aux IPP ; prix HCB non publiés dans les sources lues [?]. Les risques de contrepartie EDM (arriérés IPP, pertes, change) ont empêché le bouclage financier des projets PROLER [1] [V].</w:t>
      </w:r>
    </w:p>
    <w:p>
      <w:pPr>
        <w:numPr>
          <w:ilvl w:val="0"/>
          <w:numId w:val="1134"/>
        </w:numPr>
        <w:pStyle w:val="Compact"/>
      </w:pPr>
      <w:r>
        <w:rPr>
          <w:bCs/>
          <w:b/>
        </w:rPr>
        <w:t xml:space="preserve">Change</w:t>
      </w:r>
      <w:r>
        <w:t xml:space="preserve"> </w:t>
      </w:r>
      <w:r>
        <w:t xml:space="preserve">: exposition aux achats en devises ; la méthodologie tarifaire de 2022 prévoit la répercussion du change et de l’inflation, non appliquée selon le pacte.</w:t>
      </w:r>
    </w:p>
    <w:p>
      <w:pPr>
        <w:numPr>
          <w:ilvl w:val="0"/>
          <w:numId w:val="1134"/>
        </w:numPr>
        <w:pStyle w:val="Compact"/>
      </w:pPr>
      <w:r>
        <w:rPr>
          <w:bCs/>
          <w:b/>
        </w:rPr>
        <w:t xml:space="preserve">Plan de redressement</w:t>
      </w:r>
      <w:r>
        <w:t xml:space="preserve"> </w:t>
      </w:r>
      <w:r>
        <w:t xml:space="preserve">:</w:t>
      </w:r>
      <w:r>
        <w:t xml:space="preserve"> </w:t>
      </w:r>
      <w:r>
        <w:rPr>
          <w:bCs/>
          <w:b/>
        </w:rPr>
        <w:t xml:space="preserve">Financial Strengthening Plan (FSP)</w:t>
      </w:r>
      <w:r>
        <w:t xml:space="preserve"> </w:t>
      </w:r>
      <w:r>
        <w:t xml:space="preserve">depuis 2020 (appui BM) : pertes -2 pts/an, +200 MW HCB, nouvelle méthodologie tarifaire, recapitalisation, électrification hors bilan [1] [V]. Décret sur le système tarifaire approuvé (DPF2, action préalable #7) ; déclencheur DPF3 : structure tarifaire et calcul des charges permettant le recouvrement des coûts [3] [V].</w:t>
      </w:r>
    </w:p>
    <w:p>
      <w:pPr>
        <w:numPr>
          <w:ilvl w:val="0"/>
          <w:numId w:val="1134"/>
        </w:numPr>
        <w:pStyle w:val="Compact"/>
      </w:pPr>
      <w:r>
        <w:rPr>
          <w:bCs/>
          <w:b/>
        </w:rPr>
        <w:t xml:space="preserve">Gouvernance</w:t>
      </w:r>
      <w:r>
        <w:t xml:space="preserve"> </w:t>
      </w:r>
      <w:r>
        <w:t xml:space="preserve">: audits de projets par le Tribunal administratif en retard (FY2022, dérogation jusqu’à avril 2024) [1] [V] ; comptes annuels publiés via l’IGEPE dans les ~6 mois suivant la clôture (2025) [6] [S].</w:t>
      </w:r>
    </w:p>
    <w:bookmarkEnd w:id="246"/>
    <w:bookmarkStart w:id="247" w:name="X3660cf2db56b4348daf363259e074991b00f043"/>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708"/>
        <w:gridCol w:w="1909"/>
        <w:gridCol w:w="1545"/>
        <w:gridCol w:w="1408"/>
        <w:gridCol w:w="2327"/>
        <w:gridCol w:w="1362"/>
        <w:gridCol w:w="1556"/>
        <w:gridCol w:w="752"/>
      </w:tblGrid>
      <w:tr>
        <w:trPr>
          <w:tblHeader w:val="true"/>
        </w:trPr>
        <w:tc>
          <w:tcPr>
            <w:tcW w:w="3708" w:type="dxa"/>
          </w:tcPr>
          <w:tcPr/>
          <w:p>
            <w:pPr>
              <w:pStyle w:val="Compact"/>
              <w:jc w:val="left"/>
            </w:pPr>
            <w:r>
              <w:t xml:space="preserve">Programme / projet</w:t>
            </w:r>
          </w:p>
        </w:tc>
        <w:tc>
          <w:tcPr>
            <w:tcW w:w="1909" w:type="dxa"/>
          </w:tcPr>
          <w:tcPr/>
          <w:p>
            <w:pPr>
              <w:pStyle w:val="Compact"/>
              <w:jc w:val="left"/>
            </w:pPr>
            <w:r>
              <w:t xml:space="preserve">Bailleur</w:t>
            </w:r>
          </w:p>
        </w:tc>
        <w:tc>
          <w:tcPr>
            <w:tcW w:w="1545" w:type="dxa"/>
          </w:tcPr>
          <w:tcPr/>
          <w:p>
            <w:pPr>
              <w:pStyle w:val="Compact"/>
              <w:jc w:val="left"/>
            </w:pPr>
            <w:r>
              <w:t xml:space="preserve">Montant</w:t>
            </w:r>
          </w:p>
        </w:tc>
        <w:tc>
          <w:tcPr>
            <w:tcW w:w="1408" w:type="dxa"/>
          </w:tcPr>
          <w:tcPr/>
          <w:p>
            <w:pPr>
              <w:pStyle w:val="Compact"/>
              <w:jc w:val="left"/>
            </w:pPr>
            <w:r>
              <w:t xml:space="preserve">Années</w:t>
            </w:r>
          </w:p>
        </w:tc>
        <w:tc>
          <w:tcPr>
            <w:tcW w:w="2327" w:type="dxa"/>
          </w:tcPr>
          <w:tcPr/>
          <w:p>
            <w:pPr>
              <w:pStyle w:val="Compact"/>
              <w:jc w:val="left"/>
            </w:pPr>
            <w:r>
              <w:t xml:space="preserve">Objectifs liés à l’opérateur</w:t>
            </w:r>
          </w:p>
        </w:tc>
        <w:tc>
          <w:tcPr>
            <w:tcW w:w="1362" w:type="dxa"/>
          </w:tcPr>
          <w:tcPr/>
          <w:p>
            <w:pPr>
              <w:pStyle w:val="Compact"/>
              <w:jc w:val="left"/>
            </w:pPr>
            <w:r>
              <w:t xml:space="preserve">Conditions / indicateurs</w:t>
            </w:r>
          </w:p>
        </w:tc>
        <w:tc>
          <w:tcPr>
            <w:tcW w:w="1556" w:type="dxa"/>
          </w:tcPr>
          <w:tcPr/>
          <w:p>
            <w:pPr>
              <w:pStyle w:val="Compact"/>
              <w:jc w:val="left"/>
            </w:pPr>
            <w:r>
              <w:t xml:space="preserve">Statut</w:t>
            </w:r>
          </w:p>
        </w:tc>
        <w:tc>
          <w:tcPr>
            <w:tcW w:w="752" w:type="dxa"/>
          </w:tcPr>
          <w:tcPr/>
          <w:p>
            <w:pPr>
              <w:pStyle w:val="Compact"/>
              <w:jc w:val="left"/>
            </w:pPr>
            <w:r>
              <w:t xml:space="preserve">Source</w:t>
            </w:r>
          </w:p>
        </w:tc>
      </w:tr>
      <w:tr>
        <w:tc>
          <w:tcPr>
            <w:tcW w:w="3708" w:type="dxa"/>
          </w:tcPr>
          <w:tcPr/>
          <w:p>
            <w:pPr>
              <w:pStyle w:val="Compact"/>
              <w:jc w:val="left"/>
            </w:pPr>
            <w:r>
              <w:rPr>
                <w:bCs/>
                <w:b/>
              </w:rPr>
              <w:t xml:space="preserve">ASCENT Mozambique</w:t>
            </w:r>
            <w:r>
              <w:t xml:space="preserve">, P507759</w:t>
            </w:r>
          </w:p>
        </w:tc>
        <w:tc>
          <w:tcPr>
            <w:tcW w:w="1909" w:type="dxa"/>
          </w:tcPr>
          <w:tcPr/>
          <w:p>
            <w:pPr>
              <w:pStyle w:val="Compact"/>
              <w:jc w:val="left"/>
            </w:pPr>
            <w:r>
              <w:t xml:space="preserve">BM (don IDA 100 M US$) + fonds fiduciaire Mozambique Energy for All (Suède, Norvège) 31 M US$</w:t>
            </w:r>
          </w:p>
        </w:tc>
        <w:tc>
          <w:tcPr>
            <w:tcW w:w="1545" w:type="dxa"/>
          </w:tcPr>
          <w:tcPr/>
          <w:p>
            <w:pPr>
              <w:pStyle w:val="Compact"/>
              <w:jc w:val="left"/>
            </w:pPr>
            <w:r>
              <w:rPr>
                <w:bCs/>
                <w:b/>
              </w:rPr>
              <w:t xml:space="preserve">131 M US$</w:t>
            </w:r>
            <w:r>
              <w:t xml:space="preserve"> </w:t>
            </w:r>
            <w:r>
              <w:t xml:space="preserve">(117 M gérés par EDM)</w:t>
            </w:r>
          </w:p>
        </w:tc>
        <w:tc>
          <w:tcPr>
            <w:tcW w:w="1408" w:type="dxa"/>
          </w:tcPr>
          <w:tcPr/>
          <w:p>
            <w:pPr>
              <w:pStyle w:val="Compact"/>
              <w:jc w:val="left"/>
            </w:pPr>
            <w:r>
              <w:t xml:space="preserve">approuvé 21/03/2025 ; 2025-2030</w:t>
            </w:r>
          </w:p>
        </w:tc>
        <w:tc>
          <w:tcPr>
            <w:tcW w:w="2327" w:type="dxa"/>
          </w:tcPr>
          <w:tcPr/>
          <w:p>
            <w:pPr>
              <w:pStyle w:val="Compact"/>
              <w:jc w:val="left"/>
            </w:pPr>
            <w:r>
              <w:t xml:space="preserve">~1 M de personnes raccordées ; 3 300 km BT, 2 200 km MT, 2 200 transformateurs</w:t>
            </w:r>
          </w:p>
        </w:tc>
        <w:tc>
          <w:tcPr>
            <w:tcW w:w="1362" w:type="dxa"/>
          </w:tcPr>
          <w:tcPr/>
          <w:p>
            <w:pPr>
              <w:pStyle w:val="Compact"/>
              <w:jc w:val="left"/>
            </w:pPr>
            <w:r>
              <w:t xml:space="preserve">[?]</w:t>
            </w:r>
          </w:p>
        </w:tc>
        <w:tc>
          <w:tcPr>
            <w:tcW w:w="1556" w:type="dxa"/>
          </w:tcPr>
          <w:tcPr/>
          <w:p>
            <w:pPr>
              <w:pStyle w:val="Compact"/>
              <w:jc w:val="left"/>
            </w:pPr>
            <w:r>
              <w:t xml:space="preserve">approuvé</w:t>
            </w:r>
          </w:p>
        </w:tc>
        <w:tc>
          <w:tcPr>
            <w:tcW w:w="752" w:type="dxa"/>
          </w:tcPr>
          <w:tcPr/>
          <w:p>
            <w:pPr>
              <w:pStyle w:val="Compact"/>
              <w:jc w:val="left"/>
            </w:pPr>
            <w:r>
              <w:t xml:space="preserve">[9]</w:t>
            </w:r>
          </w:p>
        </w:tc>
      </w:tr>
      <w:tr>
        <w:tc>
          <w:tcPr>
            <w:tcW w:w="3708" w:type="dxa"/>
          </w:tcPr>
          <w:tcPr/>
          <w:p>
            <w:pPr>
              <w:pStyle w:val="Compact"/>
              <w:jc w:val="left"/>
            </w:pPr>
            <w:r>
              <w:rPr>
                <w:bCs/>
                <w:b/>
              </w:rPr>
              <w:t xml:space="preserve">Sustainable Energy and Broadband Access in Rural Mozambique (ProEnergia+)</w:t>
            </w:r>
            <w:r>
              <w:t xml:space="preserve">, P175295</w:t>
            </w:r>
          </w:p>
        </w:tc>
        <w:tc>
          <w:tcPr>
            <w:tcW w:w="1909" w:type="dxa"/>
          </w:tcPr>
          <w:tcPr/>
          <w:p>
            <w:pPr>
              <w:pStyle w:val="Compact"/>
              <w:jc w:val="left"/>
            </w:pPr>
            <w:r>
              <w:t xml:space="preserve">BM (IDA D9340)</w:t>
            </w:r>
          </w:p>
        </w:tc>
        <w:tc>
          <w:tcPr>
            <w:tcW w:w="1545" w:type="dxa"/>
          </w:tcPr>
          <w:tcPr/>
          <w:p>
            <w:pPr>
              <w:pStyle w:val="Compact"/>
              <w:jc w:val="left"/>
            </w:pPr>
            <w:r>
              <w:t xml:space="preserve">300 M US$ (révisé 278,9 M)</w:t>
            </w:r>
          </w:p>
        </w:tc>
        <w:tc>
          <w:tcPr>
            <w:tcW w:w="1408" w:type="dxa"/>
          </w:tcPr>
          <w:tcPr/>
          <w:p>
            <w:pPr>
              <w:pStyle w:val="Compact"/>
              <w:jc w:val="left"/>
            </w:pPr>
            <w:r>
              <w:t xml:space="preserve">14/12/2021-30/11/2027</w:t>
            </w:r>
          </w:p>
        </w:tc>
        <w:tc>
          <w:tcPr>
            <w:tcW w:w="2327" w:type="dxa"/>
          </w:tcPr>
          <w:tcPr/>
          <w:p>
            <w:pPr>
              <w:pStyle w:val="Compact"/>
              <w:jc w:val="left"/>
            </w:pPr>
            <w:r>
              <w:t xml:space="preserve">Raccordements EDM, FUNAE, haut débit</w:t>
            </w:r>
          </w:p>
        </w:tc>
        <w:tc>
          <w:tcPr>
            <w:tcW w:w="1362" w:type="dxa"/>
          </w:tcPr>
          <w:tcPr/>
          <w:p>
            <w:pPr>
              <w:pStyle w:val="Compact"/>
              <w:jc w:val="left"/>
            </w:pPr>
            <w:r>
              <w:t xml:space="preserve">—</w:t>
            </w:r>
          </w:p>
        </w:tc>
        <w:tc>
          <w:tcPr>
            <w:tcW w:w="1556" w:type="dxa"/>
          </w:tcPr>
          <w:tcPr/>
          <w:p>
            <w:pPr>
              <w:pStyle w:val="Compact"/>
              <w:jc w:val="left"/>
            </w:pPr>
            <w:r>
              <w:t xml:space="preserve">ISR déc. 2024 : Modérément satisfaisant ;</w:t>
            </w:r>
            <w:r>
              <w:t xml:space="preserve"> </w:t>
            </w:r>
            <w:r>
              <w:rPr>
                <w:bCs/>
                <w:b/>
              </w:rPr>
              <w:t xml:space="preserve">31,8 % décaissés</w:t>
            </w:r>
          </w:p>
        </w:tc>
        <w:tc>
          <w:tcPr>
            <w:tcW w:w="752" w:type="dxa"/>
          </w:tcPr>
          <w:tcPr/>
          <w:p>
            <w:pPr>
              <w:pStyle w:val="Compact"/>
              <w:jc w:val="left"/>
            </w:pPr>
            <w:r>
              <w:t xml:space="preserve">[2]</w:t>
            </w:r>
          </w:p>
        </w:tc>
      </w:tr>
      <w:tr>
        <w:tc>
          <w:tcPr>
            <w:tcW w:w="3708" w:type="dxa"/>
          </w:tcPr>
          <w:tcPr/>
          <w:p>
            <w:pPr>
              <w:pStyle w:val="Compact"/>
              <w:jc w:val="left"/>
            </w:pPr>
            <w:r>
              <w:rPr>
                <w:bCs/>
                <w:b/>
              </w:rPr>
              <w:t xml:space="preserve">Green Energy Corridors Project</w:t>
            </w:r>
            <w:r>
              <w:t xml:space="preserve">, P179797 — phase 1 d’un MPA (enveloppe 1 553,6 M US$)</w:t>
            </w:r>
          </w:p>
        </w:tc>
        <w:tc>
          <w:tcPr>
            <w:tcW w:w="1909" w:type="dxa"/>
          </w:tcPr>
          <w:tcPr/>
          <w:p>
            <w:pPr>
              <w:pStyle w:val="Compact"/>
              <w:jc w:val="left"/>
            </w:pPr>
            <w:r>
              <w:t xml:space="preserve">BM (don IDA E3030)</w:t>
            </w:r>
          </w:p>
        </w:tc>
        <w:tc>
          <w:tcPr>
            <w:tcW w:w="1545" w:type="dxa"/>
          </w:tcPr>
          <w:tcPr/>
          <w:p>
            <w:pPr>
              <w:pStyle w:val="Compact"/>
              <w:jc w:val="left"/>
            </w:pPr>
            <w:r>
              <w:rPr>
                <w:bCs/>
                <w:b/>
              </w:rPr>
              <w:t xml:space="preserve">100 M US$</w:t>
            </w:r>
            <w:r>
              <w:t xml:space="preserve"> </w:t>
            </w:r>
            <w:r>
              <w:t xml:space="preserve">(MPA jusqu’à 600 M US$ selon le PAD)</w:t>
            </w:r>
          </w:p>
        </w:tc>
        <w:tc>
          <w:tcPr>
            <w:tcW w:w="1408" w:type="dxa"/>
          </w:tcPr>
          <w:tcPr/>
          <w:p>
            <w:pPr>
              <w:pStyle w:val="Compact"/>
              <w:jc w:val="left"/>
            </w:pPr>
            <w:r>
              <w:t xml:space="preserve">approuvé 29/03/2024 ; effectif 14/08/2024 ; clôture 30/06/2030</w:t>
            </w:r>
          </w:p>
        </w:tc>
        <w:tc>
          <w:tcPr>
            <w:tcW w:w="2327" w:type="dxa"/>
          </w:tcPr>
          <w:tcPr/>
          <w:p>
            <w:pPr>
              <w:pStyle w:val="Compact"/>
              <w:jc w:val="left"/>
            </w:pPr>
            <w:r>
              <w:t xml:space="preserve">Transport pour EnR, cadre d’achats concurrentiels</w:t>
            </w:r>
          </w:p>
        </w:tc>
        <w:tc>
          <w:tcPr>
            <w:tcW w:w="1362" w:type="dxa"/>
          </w:tcPr>
          <w:tcPr/>
          <w:p>
            <w:pPr>
              <w:pStyle w:val="Compact"/>
              <w:jc w:val="left"/>
            </w:pPr>
            <w:r>
              <w:t xml:space="preserve">—</w:t>
            </w:r>
          </w:p>
        </w:tc>
        <w:tc>
          <w:tcPr>
            <w:tcW w:w="1556" w:type="dxa"/>
          </w:tcPr>
          <w:tcPr/>
          <w:p>
            <w:pPr>
              <w:pStyle w:val="Compact"/>
              <w:jc w:val="left"/>
            </w:pPr>
            <w:r>
              <w:t xml:space="preserve">ISR déc. 2024 : Satisfaisant ;</w:t>
            </w:r>
            <w:r>
              <w:t xml:space="preserve"> </w:t>
            </w:r>
            <w:r>
              <w:rPr>
                <w:bCs/>
                <w:b/>
              </w:rPr>
              <w:t xml:space="preserve">0 % décaissé</w:t>
            </w:r>
          </w:p>
        </w:tc>
        <w:tc>
          <w:tcPr>
            <w:tcW w:w="752" w:type="dxa"/>
          </w:tcPr>
          <w:tcPr/>
          <w:p>
            <w:pPr>
              <w:pStyle w:val="Compact"/>
              <w:jc w:val="left"/>
            </w:pPr>
            <w:r>
              <w:t xml:space="preserve">[1][4]</w:t>
            </w:r>
          </w:p>
        </w:tc>
      </w:tr>
      <w:tr>
        <w:tc>
          <w:tcPr>
            <w:tcW w:w="3708" w:type="dxa"/>
          </w:tcPr>
          <w:tcPr/>
          <w:p>
            <w:pPr>
              <w:pStyle w:val="Compact"/>
              <w:jc w:val="left"/>
            </w:pPr>
            <w:r>
              <w:t xml:space="preserve">Second Institutions and Economic Transformation DPF, P178668</w:t>
            </w:r>
          </w:p>
        </w:tc>
        <w:tc>
          <w:tcPr>
            <w:tcW w:w="1909" w:type="dxa"/>
          </w:tcPr>
          <w:tcPr/>
          <w:p>
            <w:pPr>
              <w:pStyle w:val="Compact"/>
              <w:jc w:val="left"/>
            </w:pPr>
            <w:r>
              <w:t xml:space="preserve">BM (DPF)</w:t>
            </w:r>
          </w:p>
        </w:tc>
        <w:tc>
          <w:tcPr>
            <w:tcW w:w="1545" w:type="dxa"/>
          </w:tcPr>
          <w:tcPr/>
          <w:p>
            <w:pPr>
              <w:pStyle w:val="Compact"/>
              <w:jc w:val="left"/>
            </w:pPr>
            <w:r>
              <w:t xml:space="preserve">300 M US$</w:t>
            </w:r>
          </w:p>
        </w:tc>
        <w:tc>
          <w:tcPr>
            <w:tcW w:w="1408" w:type="dxa"/>
          </w:tcPr>
          <w:tcPr/>
          <w:p>
            <w:pPr>
              <w:pStyle w:val="Compact"/>
              <w:jc w:val="left"/>
            </w:pPr>
            <w:r>
              <w:t xml:space="preserve">22/11/2023</w:t>
            </w:r>
          </w:p>
        </w:tc>
        <w:tc>
          <w:tcPr>
            <w:tcW w:w="2327" w:type="dxa"/>
          </w:tcPr>
          <w:tcPr/>
          <w:p>
            <w:pPr>
              <w:pStyle w:val="Compact"/>
              <w:jc w:val="left"/>
            </w:pPr>
            <w:r>
              <w:t xml:space="preserve">Tarifs EDM</w:t>
            </w:r>
          </w:p>
        </w:tc>
        <w:tc>
          <w:tcPr>
            <w:tcW w:w="1362" w:type="dxa"/>
          </w:tcPr>
          <w:tcPr/>
          <w:p>
            <w:pPr>
              <w:pStyle w:val="Compact"/>
              <w:jc w:val="left"/>
            </w:pPr>
            <w:r>
              <w:rPr>
                <w:bCs/>
                <w:b/>
              </w:rPr>
              <w:t xml:space="preserve">PA #7</w:t>
            </w:r>
            <w:r>
              <w:t xml:space="preserve"> </w:t>
            </w:r>
            <w:r>
              <w:t xml:space="preserve">: décret sur le système tarifaire (structure de recouvrement des coûts fixes, de puissance et d’énergie ; tarifs abordables pour les ménages pauvres) ; DPF1 PA #6 : méthodologie tarifaire 2022 ; indicateur : tarifs ajustés par formule</w:t>
            </w:r>
          </w:p>
        </w:tc>
        <w:tc>
          <w:tcPr>
            <w:tcW w:w="1556" w:type="dxa"/>
          </w:tcPr>
          <w:tcPr/>
          <w:p>
            <w:pPr>
              <w:pStyle w:val="Compact"/>
              <w:jc w:val="left"/>
            </w:pPr>
            <w:r>
              <w:t xml:space="preserve">actif</w:t>
            </w:r>
          </w:p>
        </w:tc>
        <w:tc>
          <w:tcPr>
            <w:tcW w:w="752" w:type="dxa"/>
          </w:tcPr>
          <w:tcPr/>
          <w:p>
            <w:pPr>
              <w:pStyle w:val="Compact"/>
              <w:jc w:val="left"/>
            </w:pPr>
            <w:r>
              <w:t xml:space="preserve">[3]</w:t>
            </w:r>
          </w:p>
        </w:tc>
      </w:tr>
      <w:tr>
        <w:tc>
          <w:tcPr>
            <w:tcW w:w="3708" w:type="dxa"/>
          </w:tcPr>
          <w:tcPr/>
          <w:p>
            <w:pPr>
              <w:pStyle w:val="Compact"/>
              <w:jc w:val="left"/>
            </w:pPr>
            <w:r>
              <w:t xml:space="preserve">Institutions and Economic Transformation DPF (3e opération), P179047</w:t>
            </w:r>
          </w:p>
        </w:tc>
        <w:tc>
          <w:tcPr>
            <w:tcW w:w="1909" w:type="dxa"/>
          </w:tcPr>
          <w:tcPr/>
          <w:p>
            <w:pPr>
              <w:pStyle w:val="Compact"/>
              <w:jc w:val="left"/>
            </w:pPr>
            <w:r>
              <w:t xml:space="preserve">BM</w:t>
            </w:r>
          </w:p>
        </w:tc>
        <w:tc>
          <w:tcPr>
            <w:tcW w:w="1545" w:type="dxa"/>
          </w:tcPr>
          <w:tcPr/>
          <w:p>
            <w:pPr>
              <w:pStyle w:val="Compact"/>
              <w:jc w:val="left"/>
            </w:pPr>
            <w:r>
              <w:t xml:space="preserve">150 M US$</w:t>
            </w:r>
          </w:p>
        </w:tc>
        <w:tc>
          <w:tcPr>
            <w:tcW w:w="1408" w:type="dxa"/>
          </w:tcPr>
          <w:tcPr/>
          <w:p>
            <w:pPr>
              <w:pStyle w:val="Compact"/>
              <w:jc w:val="left"/>
            </w:pPr>
            <w:r>
              <w:t xml:space="preserve">pipeline</w:t>
            </w:r>
          </w:p>
        </w:tc>
        <w:tc>
          <w:tcPr>
            <w:tcW w:w="2327" w:type="dxa"/>
          </w:tcPr>
          <w:tcPr/>
          <w:p>
            <w:pPr>
              <w:pStyle w:val="Compact"/>
              <w:jc w:val="left"/>
            </w:pPr>
            <w:r>
              <w:t xml:space="preserve">Tarifs</w:t>
            </w:r>
          </w:p>
        </w:tc>
        <w:tc>
          <w:tcPr>
            <w:tcW w:w="1362" w:type="dxa"/>
          </w:tcPr>
          <w:tcPr/>
          <w:p>
            <w:pPr>
              <w:pStyle w:val="Compact"/>
              <w:jc w:val="left"/>
            </w:pPr>
            <w:r>
              <w:t xml:space="preserve">Déclencheur : nouvelle structure tarifaire approuvée et charges calculées</w:t>
            </w:r>
          </w:p>
        </w:tc>
        <w:tc>
          <w:tcPr>
            <w:tcW w:w="1556" w:type="dxa"/>
          </w:tcPr>
          <w:tcPr/>
          <w:p>
            <w:pPr>
              <w:pStyle w:val="Compact"/>
              <w:jc w:val="left"/>
            </w:pPr>
            <w:r>
              <w:t xml:space="preserve">pipeline (API)</w:t>
            </w:r>
          </w:p>
        </w:tc>
        <w:tc>
          <w:tcPr>
            <w:tcW w:w="752" w:type="dxa"/>
          </w:tcPr>
          <w:tcPr/>
          <w:p>
            <w:pPr>
              <w:pStyle w:val="Compact"/>
              <w:jc w:val="left"/>
            </w:pPr>
            <w:r>
              <w:t xml:space="preserve">API BM ; [3]</w:t>
            </w:r>
          </w:p>
        </w:tc>
      </w:tr>
      <w:tr>
        <w:tc>
          <w:tcPr>
            <w:tcW w:w="3708" w:type="dxa"/>
          </w:tcPr>
          <w:tcPr/>
          <w:p>
            <w:pPr>
              <w:pStyle w:val="Compact"/>
              <w:jc w:val="left"/>
            </w:pPr>
            <w:r>
              <w:t xml:space="preserve">Temane Regional Electricity Project, P160427 / P170397</w:t>
            </w:r>
          </w:p>
        </w:tc>
        <w:tc>
          <w:tcPr>
            <w:tcW w:w="1909" w:type="dxa"/>
          </w:tcPr>
          <w:tcPr/>
          <w:p>
            <w:pPr>
              <w:pStyle w:val="Compact"/>
              <w:jc w:val="left"/>
            </w:pPr>
            <w:r>
              <w:t xml:space="preserve">BM (IDA, garanties) + BAD, BIsD, Norvège</w:t>
            </w:r>
          </w:p>
        </w:tc>
        <w:tc>
          <w:tcPr>
            <w:tcW w:w="1545" w:type="dxa"/>
          </w:tcPr>
          <w:tcPr/>
          <w:p>
            <w:pPr>
              <w:pStyle w:val="Compact"/>
              <w:jc w:val="left"/>
            </w:pPr>
            <w:r>
              <w:t xml:space="preserve">300 M US$ (P160427)</w:t>
            </w:r>
          </w:p>
        </w:tc>
        <w:tc>
          <w:tcPr>
            <w:tcW w:w="1408" w:type="dxa"/>
          </w:tcPr>
          <w:tcPr/>
          <w:p>
            <w:pPr>
              <w:pStyle w:val="Compact"/>
              <w:jc w:val="left"/>
            </w:pPr>
            <w:r>
              <w:t xml:space="preserve">2019-</w:t>
            </w:r>
          </w:p>
        </w:tc>
        <w:tc>
          <w:tcPr>
            <w:tcW w:w="2327" w:type="dxa"/>
          </w:tcPr>
          <w:tcPr/>
          <w:p>
            <w:pPr>
              <w:pStyle w:val="Compact"/>
              <w:jc w:val="left"/>
            </w:pPr>
            <w:r>
              <w:t xml:space="preserve">Ligne 400 kV Temane-Maputo (EDM)</w:t>
            </w:r>
          </w:p>
        </w:tc>
        <w:tc>
          <w:tcPr>
            <w:tcW w:w="1362" w:type="dxa"/>
          </w:tcPr>
          <w:tcPr/>
          <w:p>
            <w:pPr>
              <w:pStyle w:val="Compact"/>
              <w:jc w:val="left"/>
            </w:pPr>
            <w:r>
              <w:t xml:space="preserve">—</w:t>
            </w:r>
          </w:p>
        </w:tc>
        <w:tc>
          <w:tcPr>
            <w:tcW w:w="1556" w:type="dxa"/>
          </w:tcPr>
          <w:tcPr/>
          <w:p>
            <w:pPr>
              <w:pStyle w:val="Compact"/>
              <w:jc w:val="left"/>
            </w:pPr>
            <w:r>
              <w:t xml:space="preserve">ISR sept. 2024</w:t>
            </w:r>
          </w:p>
        </w:tc>
        <w:tc>
          <w:tcPr>
            <w:tcW w:w="752" w:type="dxa"/>
          </w:tcPr>
          <w:tcPr/>
          <w:p>
            <w:pPr>
              <w:pStyle w:val="Compact"/>
              <w:jc w:val="left"/>
            </w:pPr>
            <w:r>
              <w:t xml:space="preserve">API BM</w:t>
            </w:r>
          </w:p>
        </w:tc>
      </w:tr>
      <w:tr>
        <w:tc>
          <w:tcPr>
            <w:tcW w:w="3708" w:type="dxa"/>
          </w:tcPr>
          <w:tcPr/>
          <w:p>
            <w:pPr>
              <w:pStyle w:val="Compact"/>
              <w:jc w:val="left"/>
            </w:pPr>
            <w:r>
              <w:t xml:space="preserve">Mozambique-Malawi Regional Interconnector, P164354</w:t>
            </w:r>
          </w:p>
        </w:tc>
        <w:tc>
          <w:tcPr>
            <w:tcW w:w="1909" w:type="dxa"/>
          </w:tcPr>
          <w:tcPr/>
          <w:p>
            <w:pPr>
              <w:pStyle w:val="Compact"/>
              <w:jc w:val="left"/>
            </w:pPr>
            <w:r>
              <w:t xml:space="preserve">BM + KfW, UE</w:t>
            </w:r>
          </w:p>
        </w:tc>
        <w:tc>
          <w:tcPr>
            <w:tcW w:w="1545" w:type="dxa"/>
          </w:tcPr>
          <w:tcPr/>
          <w:p>
            <w:pPr>
              <w:pStyle w:val="Compact"/>
              <w:jc w:val="left"/>
            </w:pPr>
            <w:r>
              <w:t xml:space="preserve">57 M US$ (BM)</w:t>
            </w:r>
          </w:p>
        </w:tc>
        <w:tc>
          <w:tcPr>
            <w:tcW w:w="1408" w:type="dxa"/>
          </w:tcPr>
          <w:tcPr/>
          <w:p>
            <w:pPr>
              <w:pStyle w:val="Compact"/>
              <w:jc w:val="left"/>
            </w:pPr>
            <w:r>
              <w:t xml:space="preserve">2019-</w:t>
            </w:r>
          </w:p>
        </w:tc>
        <w:tc>
          <w:tcPr>
            <w:tcW w:w="2327" w:type="dxa"/>
          </w:tcPr>
          <w:tcPr/>
          <w:p>
            <w:pPr>
              <w:pStyle w:val="Compact"/>
              <w:jc w:val="left"/>
            </w:pPr>
            <w:r>
              <w:t xml:space="preserve">Interconnexion EDM-ESCOM</w:t>
            </w:r>
          </w:p>
        </w:tc>
        <w:tc>
          <w:tcPr>
            <w:tcW w:w="1362" w:type="dxa"/>
          </w:tcPr>
          <w:tcPr/>
          <w:p>
            <w:pPr>
              <w:pStyle w:val="Compact"/>
              <w:jc w:val="left"/>
            </w:pPr>
            <w:r>
              <w:t xml:space="preserve">—</w:t>
            </w:r>
          </w:p>
        </w:tc>
        <w:tc>
          <w:tcPr>
            <w:tcW w:w="1556" w:type="dxa"/>
          </w:tcPr>
          <w:tcPr/>
          <w:p>
            <w:pPr>
              <w:pStyle w:val="Compact"/>
              <w:jc w:val="left"/>
            </w:pPr>
            <w:r>
              <w:t xml:space="preserve">en cours</w:t>
            </w:r>
          </w:p>
        </w:tc>
        <w:tc>
          <w:tcPr>
            <w:tcW w:w="752" w:type="dxa"/>
          </w:tcPr>
          <w:tcPr/>
          <w:p>
            <w:pPr>
              <w:pStyle w:val="Compact"/>
              <w:jc w:val="left"/>
            </w:pPr>
            <w:r>
              <w:t xml:space="preserve">API BM</w:t>
            </w:r>
          </w:p>
        </w:tc>
      </w:tr>
      <w:tr>
        <w:tc>
          <w:tcPr>
            <w:tcW w:w="3708" w:type="dxa"/>
          </w:tcPr>
          <w:tcPr/>
          <w:p>
            <w:pPr>
              <w:pStyle w:val="Compact"/>
              <w:jc w:val="left"/>
            </w:pPr>
            <w:r>
              <w:t xml:space="preserve">Power Efficiency and Reliability Improvement Project (PERIP), P158249</w:t>
            </w:r>
          </w:p>
        </w:tc>
        <w:tc>
          <w:tcPr>
            <w:tcW w:w="1909" w:type="dxa"/>
          </w:tcPr>
          <w:tcPr/>
          <w:p>
            <w:pPr>
              <w:pStyle w:val="Compact"/>
              <w:jc w:val="left"/>
            </w:pPr>
            <w:r>
              <w:t xml:space="preserve">BM</w:t>
            </w:r>
          </w:p>
        </w:tc>
        <w:tc>
          <w:tcPr>
            <w:tcW w:w="1545" w:type="dxa"/>
          </w:tcPr>
          <w:tcPr/>
          <w:p>
            <w:pPr>
              <w:pStyle w:val="Compact"/>
              <w:jc w:val="left"/>
            </w:pPr>
            <w:r>
              <w:t xml:space="preserve">150 M US$</w:t>
            </w:r>
          </w:p>
        </w:tc>
        <w:tc>
          <w:tcPr>
            <w:tcW w:w="1408" w:type="dxa"/>
          </w:tcPr>
          <w:tcPr/>
          <w:p>
            <w:pPr>
              <w:pStyle w:val="Compact"/>
              <w:jc w:val="left"/>
            </w:pPr>
            <w:r>
              <w:t xml:space="preserve">2017-2024</w:t>
            </w:r>
          </w:p>
        </w:tc>
        <w:tc>
          <w:tcPr>
            <w:tcW w:w="2327" w:type="dxa"/>
          </w:tcPr>
          <w:tcPr/>
          <w:p>
            <w:pPr>
              <w:pStyle w:val="Compact"/>
              <w:jc w:val="left"/>
            </w:pPr>
            <w:r>
              <w:t xml:space="preserve">Pertes, distribution EDM</w:t>
            </w:r>
          </w:p>
        </w:tc>
        <w:tc>
          <w:tcPr>
            <w:tcW w:w="1362" w:type="dxa"/>
          </w:tcPr>
          <w:tcPr/>
          <w:p>
            <w:pPr>
              <w:pStyle w:val="Compact"/>
              <w:jc w:val="left"/>
            </w:pPr>
            <w:r>
              <w:t xml:space="preserve">—</w:t>
            </w:r>
          </w:p>
        </w:tc>
        <w:tc>
          <w:tcPr>
            <w:tcW w:w="1556" w:type="dxa"/>
          </w:tcPr>
          <w:tcPr/>
          <w:p>
            <w:pPr>
              <w:pStyle w:val="Compact"/>
              <w:jc w:val="left"/>
            </w:pPr>
            <w:r>
              <w:t xml:space="preserve">clos</w:t>
            </w:r>
          </w:p>
        </w:tc>
        <w:tc>
          <w:tcPr>
            <w:tcW w:w="752" w:type="dxa"/>
          </w:tcPr>
          <w:tcPr/>
          <w:p>
            <w:pPr>
              <w:pStyle w:val="Compact"/>
              <w:jc w:val="left"/>
            </w:pPr>
            <w:r>
              <w:t xml:space="preserve">API BM</w:t>
            </w:r>
          </w:p>
        </w:tc>
      </w:tr>
      <w:tr>
        <w:tc>
          <w:tcPr>
            <w:tcW w:w="3708" w:type="dxa"/>
          </w:tcPr>
          <w:tcPr/>
          <w:p>
            <w:pPr>
              <w:pStyle w:val="Compact"/>
              <w:jc w:val="left"/>
            </w:pPr>
            <w:r>
              <w:t xml:space="preserve">Ligne Namaacha–Boane (parc éolien Namaacha 120 MW)</w:t>
            </w:r>
          </w:p>
        </w:tc>
        <w:tc>
          <w:tcPr>
            <w:tcW w:w="1909" w:type="dxa"/>
          </w:tcPr>
          <w:tcPr/>
          <w:p>
            <w:pPr>
              <w:pStyle w:val="Compact"/>
              <w:jc w:val="left"/>
            </w:pPr>
            <w:r>
              <w:t xml:space="preserve">BAD (FAD 33,2 M US$ + Climate Action Window 10,4 M US$)</w:t>
            </w:r>
          </w:p>
        </w:tc>
        <w:tc>
          <w:tcPr>
            <w:tcW w:w="1545" w:type="dxa"/>
          </w:tcPr>
          <w:tcPr/>
          <w:p>
            <w:pPr>
              <w:pStyle w:val="Compact"/>
              <w:jc w:val="left"/>
            </w:pPr>
            <w:r>
              <w:rPr>
                <w:bCs/>
                <w:b/>
              </w:rPr>
              <w:t xml:space="preserve">43,6 M US$</w:t>
            </w:r>
          </w:p>
        </w:tc>
        <w:tc>
          <w:tcPr>
            <w:tcW w:w="1408" w:type="dxa"/>
          </w:tcPr>
          <w:tcPr/>
          <w:p>
            <w:pPr>
              <w:pStyle w:val="Compact"/>
              <w:jc w:val="left"/>
            </w:pPr>
            <w:r>
              <w:t xml:space="preserve">approuvé mai 2025</w:t>
            </w:r>
          </w:p>
        </w:tc>
        <w:tc>
          <w:tcPr>
            <w:tcW w:w="2327" w:type="dxa"/>
          </w:tcPr>
          <w:tcPr/>
          <w:p>
            <w:pPr>
              <w:pStyle w:val="Compact"/>
              <w:jc w:val="left"/>
            </w:pPr>
            <w:r>
              <w:t xml:space="preserve">Transport ; EDM maître d’ouvrage</w:t>
            </w:r>
          </w:p>
        </w:tc>
        <w:tc>
          <w:tcPr>
            <w:tcW w:w="1362" w:type="dxa"/>
          </w:tcPr>
          <w:tcPr/>
          <w:p>
            <w:pPr>
              <w:pStyle w:val="Compact"/>
              <w:jc w:val="left"/>
            </w:pPr>
            <w:r>
              <w:t xml:space="preserve">—</w:t>
            </w:r>
          </w:p>
        </w:tc>
        <w:tc>
          <w:tcPr>
            <w:tcW w:w="1556" w:type="dxa"/>
          </w:tcPr>
          <w:tcPr/>
          <w:p>
            <w:pPr>
              <w:pStyle w:val="Compact"/>
              <w:jc w:val="left"/>
            </w:pPr>
            <w:r>
              <w:t xml:space="preserve">approuvé</w:t>
            </w:r>
          </w:p>
        </w:tc>
        <w:tc>
          <w:tcPr>
            <w:tcW w:w="752" w:type="dxa"/>
          </w:tcPr>
          <w:tcPr/>
          <w:p>
            <w:pPr>
              <w:pStyle w:val="Compact"/>
              <w:jc w:val="left"/>
            </w:pPr>
            <w:r>
              <w:t xml:space="preserve">[10] [S]</w:t>
            </w:r>
          </w:p>
        </w:tc>
      </w:tr>
      <w:tr>
        <w:tc>
          <w:tcPr>
            <w:tcW w:w="3708" w:type="dxa"/>
          </w:tcPr>
          <w:tcPr/>
          <w:p>
            <w:pPr>
              <w:pStyle w:val="Compact"/>
              <w:jc w:val="left"/>
            </w:pPr>
            <w:r>
              <w:t xml:space="preserve">Chimuara-Nacala ; Songo-Matambo ; centre national de contrôle</w:t>
            </w:r>
          </w:p>
        </w:tc>
        <w:tc>
          <w:tcPr>
            <w:tcW w:w="1909" w:type="dxa"/>
          </w:tcPr>
          <w:tcPr/>
          <w:p>
            <w:pPr>
              <w:pStyle w:val="Compact"/>
              <w:jc w:val="left"/>
            </w:pPr>
            <w:r>
              <w:t xml:space="preserve">BAD, JICA, BIsD (pacte)</w:t>
            </w:r>
          </w:p>
        </w:tc>
        <w:tc>
          <w:tcPr>
            <w:tcW w:w="1545" w:type="dxa"/>
          </w:tcPr>
          <w:tcPr/>
          <w:p>
            <w:pPr>
              <w:pStyle w:val="Compact"/>
              <w:jc w:val="left"/>
            </w:pPr>
            <w:r>
              <w:t xml:space="preserve">(pacte)</w:t>
            </w:r>
          </w:p>
        </w:tc>
        <w:tc>
          <w:tcPr>
            <w:tcW w:w="1408" w:type="dxa"/>
          </w:tcPr>
          <w:tcPr/>
          <w:p>
            <w:pPr>
              <w:pStyle w:val="Compact"/>
              <w:jc w:val="left"/>
            </w:pPr>
            <w:r>
              <w:t xml:space="preserve">—</w:t>
            </w:r>
          </w:p>
        </w:tc>
        <w:tc>
          <w:tcPr>
            <w:tcW w:w="2327" w:type="dxa"/>
          </w:tcPr>
          <w:tcPr/>
          <w:p>
            <w:pPr>
              <w:pStyle w:val="Compact"/>
              <w:jc w:val="left"/>
            </w:pPr>
            <w:r>
              <w:t xml:space="preserve">Transport EDM</w:t>
            </w:r>
          </w:p>
        </w:tc>
        <w:tc>
          <w:tcPr>
            <w:tcW w:w="1362" w:type="dxa"/>
          </w:tcPr>
          <w:tcPr/>
          <w:p>
            <w:pPr>
              <w:pStyle w:val="Compact"/>
              <w:jc w:val="left"/>
            </w:pPr>
            <w:r>
              <w:t xml:space="preserve">—</w:t>
            </w:r>
          </w:p>
        </w:tc>
        <w:tc>
          <w:tcPr>
            <w:tcW w:w="1556" w:type="dxa"/>
          </w:tcPr>
          <w:tcPr/>
          <w:p>
            <w:pPr>
              <w:pStyle w:val="Compact"/>
              <w:jc w:val="left"/>
            </w:pPr>
            <w:r>
              <w:t xml:space="preserve">[?] non vérifié (afdb.org 403)</w:t>
            </w:r>
          </w:p>
        </w:tc>
        <w:tc>
          <w:tcPr>
            <w:tcW w:w="752" w:type="dxa"/>
          </w:tcPr>
          <w:tcPr/>
          <w:p>
            <w:pPr>
              <w:pStyle w:val="Compact"/>
              <w:jc w:val="left"/>
            </w:pPr>
            <w:r>
              <w:t xml:space="preserve">pacte</w:t>
            </w:r>
          </w:p>
        </w:tc>
      </w:tr>
    </w:tbl>
    <w:bookmarkEnd w:id="247"/>
    <w:bookmarkStart w:id="248" w:name="écart-pacte-réalité-20"/>
    <w:p>
      <w:pPr>
        <w:pStyle w:val="Heading3"/>
      </w:pPr>
      <w:r>
        <w:t xml:space="preserve">5. Écart pacte ↔ réalité</w:t>
      </w:r>
    </w:p>
    <w:p>
      <w:pPr>
        <w:numPr>
          <w:ilvl w:val="0"/>
          <w:numId w:val="1135"/>
        </w:numPr>
        <w:pStyle w:val="Compact"/>
      </w:pPr>
      <w:r>
        <w:rPr>
          <w:bCs/>
          <w:b/>
        </w:rPr>
        <w:t xml:space="preserve">« EDM ≥ 100 % de recouvrement des coûts d’exploitation en 2023 »</w:t>
      </w:r>
      <w:r>
        <w:t xml:space="preserve"> </w:t>
      </w:r>
      <w:r>
        <w:t xml:space="preserve">(pacte) vs</w:t>
      </w:r>
      <w:r>
        <w:t xml:space="preserve"> </w:t>
      </w:r>
      <w:r>
        <w:rPr>
          <w:bCs/>
          <w:b/>
        </w:rPr>
        <w:t xml:space="preserve">~85 % de couverture des coûts d’exploitation du secteur par les tarifs</w:t>
      </w:r>
      <w:r>
        <w:t xml:space="preserve"> </w:t>
      </w:r>
      <w:r>
        <w:t xml:space="preserve">(BM, DPF2, 2023) [3] : définitions différentes (EDM seule et service de la dette vs secteur) ; la rentabilité comptable d’EDM repose sur des</w:t>
      </w:r>
      <w:r>
        <w:t xml:space="preserve"> </w:t>
      </w:r>
      <w:r>
        <w:rPr>
          <w:bCs/>
          <w:b/>
        </w:rPr>
        <w:t xml:space="preserve">gains financiers</w:t>
      </w:r>
      <w:r>
        <w:t xml:space="preserve"> </w:t>
      </w:r>
      <w:r>
        <w:t xml:space="preserve">(9,5 Md MZN en 2024) plus que sur l’exploitation (2,5 Md MZN) [6].</w:t>
      </w:r>
    </w:p>
    <w:p>
      <w:pPr>
        <w:numPr>
          <w:ilvl w:val="0"/>
          <w:numId w:val="1135"/>
        </w:numPr>
        <w:pStyle w:val="Compact"/>
      </w:pPr>
      <w:r>
        <w:rPr>
          <w:bCs/>
          <w:b/>
        </w:rPr>
        <w:t xml:space="preserve">Pertes 29 % → 24 %</w:t>
      </w:r>
      <w:r>
        <w:t xml:space="preserve"> </w:t>
      </w:r>
      <w:r>
        <w:t xml:space="preserve">(pacte) vs</w:t>
      </w:r>
      <w:r>
        <w:t xml:space="preserve"> </w:t>
      </w:r>
      <w:r>
        <w:rPr>
          <w:bCs/>
          <w:b/>
        </w:rPr>
        <w:t xml:space="preserve">26 %</w:t>
      </w:r>
      <w:r>
        <w:t xml:space="preserve"> </w:t>
      </w:r>
      <w:r>
        <w:t xml:space="preserve">(BM, PAD 2024) [1] — la trajectoire est plausible mais non confirmée par une source primaire récente.</w:t>
      </w:r>
    </w:p>
    <w:p>
      <w:pPr>
        <w:numPr>
          <w:ilvl w:val="0"/>
          <w:numId w:val="1135"/>
        </w:numPr>
        <w:pStyle w:val="Compact"/>
      </w:pPr>
      <w:r>
        <w:rPr>
          <w:bCs/>
          <w:b/>
        </w:rPr>
        <w:t xml:space="preserve">Méthodologie tarifaire 2022 « non appliquée »</w:t>
      </w:r>
      <w:r>
        <w:t xml:space="preserve"> </w:t>
      </w:r>
      <w:r>
        <w:t xml:space="preserve">(pacte, 2025) alors que la BM a validé dès 2023 un décret tarifaire en action préalable : le décalage entre réformes « papier » et application confirme le risque d’exécution.</w:t>
      </w:r>
    </w:p>
    <w:p>
      <w:pPr>
        <w:numPr>
          <w:ilvl w:val="0"/>
          <w:numId w:val="1135"/>
        </w:numPr>
        <w:pStyle w:val="Compact"/>
      </w:pPr>
      <w:r>
        <w:rPr>
          <w:bCs/>
          <w:b/>
        </w:rPr>
        <w:t xml:space="preserve">Arriérés HCB 351 M US$</w:t>
      </w:r>
      <w:r>
        <w:t xml:space="preserve"> </w:t>
      </w:r>
      <w:r>
        <w:t xml:space="preserve">(pacte) : non vérifiés en source primaire ; l’IGEPE/presse ne les mentionne pas [?].</w:t>
      </w:r>
    </w:p>
    <w:bookmarkEnd w:id="248"/>
    <w:bookmarkStart w:id="249" w:name="diagnostic-synthétique-20"/>
    <w:p>
      <w:pPr>
        <w:pStyle w:val="Heading3"/>
      </w:pPr>
      <w:r>
        <w:t xml:space="preserve">6. Diagnostic synthétique</w:t>
      </w:r>
    </w:p>
    <w:p>
      <w:pPr>
        <w:numPr>
          <w:ilvl w:val="0"/>
          <w:numId w:val="1136"/>
        </w:numPr>
        <w:pStyle w:val="Compact"/>
      </w:pPr>
      <w:r>
        <w:rPr>
          <w:bCs/>
          <w:b/>
        </w:rPr>
        <w:t xml:space="preserve">Financière : moyenne</w:t>
      </w:r>
      <w:r>
        <w:t xml:space="preserve"> </w:t>
      </w:r>
      <w:r>
        <w:t xml:space="preserve">— 5 exercices bénéficiaires, mais résultat dépendant des produits financiers et des exportations ; capitaux propres en baisse et passif en hausse en 2025 ; recapitalisation non formalisée.</w:t>
      </w:r>
    </w:p>
    <w:p>
      <w:pPr>
        <w:numPr>
          <w:ilvl w:val="0"/>
          <w:numId w:val="1136"/>
        </w:numPr>
        <w:pStyle w:val="Compact"/>
      </w:pPr>
      <w:r>
        <w:rPr>
          <w:bCs/>
          <w:b/>
        </w:rPr>
        <w:t xml:space="preserve">Technique : faible à moyenne</w:t>
      </w:r>
      <w:r>
        <w:t xml:space="preserve"> </w:t>
      </w:r>
      <w:r>
        <w:t xml:space="preserve">— pertes ~26 %, dépendance HCB et sécheresse, nord dépendant du fioul lourd.</w:t>
      </w:r>
    </w:p>
    <w:p>
      <w:pPr>
        <w:numPr>
          <w:ilvl w:val="0"/>
          <w:numId w:val="1136"/>
        </w:numPr>
        <w:pStyle w:val="Compact"/>
      </w:pPr>
      <w:r>
        <w:rPr>
          <w:bCs/>
          <w:b/>
        </w:rPr>
        <w:t xml:space="preserve">Gouvernance : moyenne</w:t>
      </w:r>
      <w:r>
        <w:t xml:space="preserve"> </w:t>
      </w:r>
      <w:r>
        <w:t xml:space="preserve">— comptes audités publiés via l’IGEPE ; tarifs décidés par le Conseil des ministres.</w:t>
      </w:r>
    </w:p>
    <w:p>
      <w:pPr>
        <w:numPr>
          <w:ilvl w:val="0"/>
          <w:numId w:val="1136"/>
        </w:numPr>
        <w:pStyle w:val="Compact"/>
      </w:pPr>
      <w:r>
        <w:rPr>
          <w:bCs/>
          <w:b/>
        </w:rPr>
        <w:t xml:space="preserve">Causes racines</w:t>
      </w:r>
      <w:r>
        <w:t xml:space="preserve"> </w:t>
      </w:r>
      <w:r>
        <w:t xml:space="preserve">: (1) tarifs politisés et non indexés (méthodologie de 2022 non appliquée) ; (2) pertes élevées et réseau étendu à faible densité de consommation ; (3) dépendance à HCB/exportations et arriérés envers les producteurs.</w:t>
      </w:r>
    </w:p>
    <w:p>
      <w:pPr>
        <w:numPr>
          <w:ilvl w:val="0"/>
          <w:numId w:val="1136"/>
        </w:numPr>
        <w:pStyle w:val="Compact"/>
      </w:pPr>
      <w:r>
        <w:rPr>
          <w:bCs/>
          <w:b/>
        </w:rPr>
        <w:t xml:space="preserve">Phase 3</w:t>
      </w:r>
      <w:r>
        <w:t xml:space="preserve"> </w:t>
      </w:r>
      <w:r>
        <w:t xml:space="preserve">: prix d’achat HCB, coût de la centrale flottante, structure tarifaire du décret 2023, contribution des exportations aux marges.</w:t>
      </w:r>
    </w:p>
    <w:bookmarkEnd w:id="249"/>
    <w:bookmarkStart w:id="250" w:name="inconnus-20"/>
    <w:p>
      <w:pPr>
        <w:pStyle w:val="Heading3"/>
      </w:pPr>
      <w:r>
        <w:t xml:space="preserve">7. Inconnus</w:t>
      </w:r>
    </w:p>
    <w:p>
      <w:pPr>
        <w:numPr>
          <w:ilvl w:val="0"/>
          <w:numId w:val="1137"/>
        </w:numPr>
        <w:pStyle w:val="Compact"/>
      </w:pPr>
      <w:r>
        <w:t xml:space="preserve">[?] Relatório e Contas 2024 et 2025 (document primaire non consulté ; chiffres via presse citant l’IGEPE).</w:t>
      </w:r>
    </w:p>
    <w:p>
      <w:pPr>
        <w:numPr>
          <w:ilvl w:val="0"/>
          <w:numId w:val="1137"/>
        </w:numPr>
        <w:pStyle w:val="Compact"/>
      </w:pPr>
      <w:r>
        <w:t xml:space="preserve">[?] Taux de recouvrement, pertes 2024-2025, SAIDI/SAIFI.</w:t>
      </w:r>
    </w:p>
    <w:p>
      <w:pPr>
        <w:numPr>
          <w:ilvl w:val="0"/>
          <w:numId w:val="1137"/>
        </w:numPr>
        <w:pStyle w:val="Compact"/>
      </w:pPr>
      <w:r>
        <w:t xml:space="preserve">[?] Encours actuel des arriérés envers HCB et les IPP.</w:t>
      </w:r>
    </w:p>
    <w:p>
      <w:pPr>
        <w:numPr>
          <w:ilvl w:val="0"/>
          <w:numId w:val="1137"/>
        </w:numPr>
        <w:pStyle w:val="Compact"/>
      </w:pPr>
      <w:r>
        <w:t xml:space="preserve">[?] Recette moyenne et coût par kWh.</w:t>
      </w:r>
    </w:p>
    <w:p>
      <w:pPr>
        <w:numPr>
          <w:ilvl w:val="0"/>
          <w:numId w:val="1137"/>
        </w:numPr>
        <w:pStyle w:val="Compact"/>
      </w:pPr>
      <w:r>
        <w:t xml:space="preserve">[?] Détails des opérations BAD (Chimuara-Nacala, Songo-Matambo) — afdb.org inaccessible.</w:t>
      </w:r>
    </w:p>
    <w:bookmarkEnd w:id="250"/>
    <w:bookmarkStart w:id="251" w:name="sources-21"/>
    <w:p>
      <w:pPr>
        <w:pStyle w:val="Heading3"/>
      </w:pPr>
      <w:r>
        <w:t xml:space="preserve">Sources</w:t>
      </w:r>
    </w:p>
    <w:p>
      <w:pPr>
        <w:pStyle w:val="FirstParagraph"/>
      </w:pPr>
      <w:r>
        <w:t xml:space="preserve">[1] Banque mondiale,</w:t>
      </w:r>
      <w:r>
        <w:t xml:space="preserve"> </w:t>
      </w:r>
      <w:r>
        <w:rPr>
          <w:iCs/>
          <w:i/>
        </w:rPr>
        <w:t xml:space="preserve">Project Appraisal Document — Green Energy Corridors Project (P179797)</w:t>
      </w:r>
      <w:r>
        <w:t xml:space="preserve">, 08/03/2024. http://documents.worldbank.org/curated/en/099031224152036621/pdf/BOSIB18a5ab5990011a1b419c11659daa58.pdf</w:t>
      </w:r>
      <w:r>
        <w:t xml:space="preserve"> </w:t>
      </w:r>
      <w:r>
        <w:t xml:space="preserve">[2] Banque mondiale,</w:t>
      </w:r>
      <w:r>
        <w:t xml:space="preserve"> </w:t>
      </w:r>
      <w:r>
        <w:rPr>
          <w:iCs/>
          <w:i/>
        </w:rPr>
        <w:t xml:space="preserve">ISR — Sustainable Energy and Broadband Access in Rural Mozambique (P175295)</w:t>
      </w:r>
      <w:r>
        <w:t xml:space="preserve">, 10/12/2024. http://documents.worldbank.org/curated/en/099121024065013560/pdf/P17529517aacca0af1b8b412ea1c41b822c.pdf</w:t>
      </w:r>
      <w:r>
        <w:t xml:space="preserve"> </w:t>
      </w:r>
      <w:r>
        <w:t xml:space="preserve">[3] Banque mondiale,</w:t>
      </w:r>
      <w:r>
        <w:t xml:space="preserve"> </w:t>
      </w:r>
      <w:r>
        <w:rPr>
          <w:iCs/>
          <w:i/>
        </w:rPr>
        <w:t xml:space="preserve">Program Document — Mozambique Second Institutions and Economic Transformation DPF (P178668)</w:t>
      </w:r>
      <w:r>
        <w:t xml:space="preserve">, 25/10/2023. http://documents.worldbank.org/curated/en/099110123145514633/pdf/BOSIB014b796ea0350a27001b711b96e7bb.pdf</w:t>
      </w:r>
      <w:r>
        <w:t xml:space="preserve"> </w:t>
      </w:r>
      <w:r>
        <w:t xml:space="preserve">[4] Banque mondiale,</w:t>
      </w:r>
      <w:r>
        <w:t xml:space="preserve"> </w:t>
      </w:r>
      <w:r>
        <w:rPr>
          <w:iCs/>
          <w:i/>
        </w:rPr>
        <w:t xml:space="preserve">ISR Seq. 2 — Green Energy Corridors Project (P179797)</w:t>
      </w:r>
      <w:r>
        <w:t xml:space="preserve">, 20/12/2024. http://documents.worldbank.org/curated/en/099122024113542887/pdf/P17979713ec3680761bda61451fa22f22ab.pdf</w:t>
      </w:r>
      <w:r>
        <w:t xml:space="preserve"> </w:t>
      </w:r>
      <w:r>
        <w:t xml:space="preserve">[5] FMI,</w:t>
      </w:r>
      <w:r>
        <w:t xml:space="preserve"> </w:t>
      </w:r>
      <w:r>
        <w:rPr>
          <w:iCs/>
          <w:i/>
        </w:rPr>
        <w:t xml:space="preserve">Republic of Mozambique — 2025 Article IV Consultation</w:t>
      </w:r>
      <w:r>
        <w:t xml:space="preserve">, IMF Country Report No. 26/45, février 2026. https://www.imf.org/-/media/files/publications/cr/2026/english/1mozea2026001-source-pdf.pdf</w:t>
      </w:r>
      <w:r>
        <w:t xml:space="preserve"> </w:t>
      </w:r>
      <w:r>
        <w:t xml:space="preserve">[6] Carta de Moçambique, 06/07/2026, « Lucros da EDM baixam em 1.4 mil milhões de Meticais em 2025 » (Relatório e Contas 2025, IGEPE). https://cartamz.com/economia-e-negocios/51924/lucros-da-edm-baixam-em-1-4-mil-milhoes-de-meticais-em-2025/ [S]</w:t>
      </w:r>
      <w:r>
        <w:t xml:space="preserve"> </w:t>
      </w:r>
      <w:r>
        <w:t xml:space="preserve">[7] Forbes África Lusófona, 02/07/2026, et Diário Económico, 01/07/2026 (Relatório e Contas 2025). https://forbesafricalusofona.com/lucros-da-electricidade-de-mocambique-caem-16-em-2025/ ; https://www.diarioeconomico.co.mz/2026/07/01/energia-3/quebra-nas-exportacoes-de-energia-reduziu-lucros-da-edm-em-16-em-2025/ [S]</w:t>
      </w:r>
      <w:r>
        <w:t xml:space="preserve"> </w:t>
      </w:r>
      <w:r>
        <w:t xml:space="preserve">[8] AIM, 08/05/2024, « EDM regista resultados positivos pelo terceiro ano consecutivo ». https://aimnews.org/2024/05/08/edm-regista-resultados-positivos-pelo-terceiro-ano-consecutivo/ [S]</w:t>
      </w:r>
      <w:r>
        <w:t xml:space="preserve"> </w:t>
      </w:r>
      <w:r>
        <w:t xml:space="preserve">[9] Banque mondiale, communiqué du 21/03/2025, « Mozambique: New Energy Project to Bring Electricity Access to Nearly One Million People » https://www.worldbank.org/en/news/press-release/2025/03/21/mozambique-afe-new-energy-project-to-bring-electricity-access-to-nearly-one-million-people ; répartition EDM (117 M US$) selon la presse [S].</w:t>
      </w:r>
      <w:r>
        <w:t xml:space="preserve"> </w:t>
      </w:r>
      <w:r>
        <w:t xml:space="preserve">[10] AIM, 26/05/2025, « African bank approves 43.6 million dollars for electricity project ». https://aimnews.org/2025/05/26/african-bank-approves-43-6-million-dollars-for-electricity-project/ [S]</w:t>
      </w:r>
      <w:r>
        <w:t xml:space="preserve"> </w:t>
      </w:r>
      <w:r>
        <w:t xml:space="preserve">[11] API projets Banque mondiale, consultée le 18/10/2026 (P158249, P160427, P164354, P179047, P507759).</w:t>
      </w:r>
    </w:p>
    <w:p>
      <w:r>
        <w:br w:type="page"/>
      </w:r>
    </w:p>
    <w:bookmarkEnd w:id="251"/>
    <w:bookmarkEnd w:id="252"/>
    <w:bookmarkStart w:id="262" w:name="diagnostic-opérateur-somelec-mauritanie"/>
    <w:p>
      <w:pPr>
        <w:pStyle w:val="Heading2"/>
      </w:pPr>
      <w:r>
        <w:t xml:space="preserve">Diagnostic opérateur — SOMELEC (Mauritanie)</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la fiche phase 1 : ../../phase1/fiches/MRT_mauritanie.md (« pacte »).</w:t>
      </w:r>
    </w:p>
    <w:bookmarkStart w:id="253" w:name="identité-21"/>
    <w:p>
      <w:pPr>
        <w:pStyle w:val="Heading3"/>
      </w:pPr>
      <w:r>
        <w:t xml:space="preserve">0. Identité</w:t>
      </w:r>
    </w:p>
    <w:p>
      <w:pPr>
        <w:numPr>
          <w:ilvl w:val="0"/>
          <w:numId w:val="1138"/>
        </w:numPr>
        <w:pStyle w:val="Compact"/>
      </w:pPr>
      <w:r>
        <w:rPr>
          <w:bCs/>
          <w:b/>
        </w:rPr>
        <w:t xml:space="preserve">Opérateur</w:t>
      </w:r>
      <w:r>
        <w:t xml:space="preserve"> </w:t>
      </w:r>
      <w:r>
        <w:t xml:space="preserve">: SOMELEC (Société mauritanienne d’électricité), société nationale verticalement intégrée (production, transport, distribution) [3] [V].</w:t>
      </w:r>
    </w:p>
    <w:p>
      <w:pPr>
        <w:numPr>
          <w:ilvl w:val="0"/>
          <w:numId w:val="1138"/>
        </w:numPr>
        <w:pStyle w:val="Compact"/>
      </w:pPr>
      <w:r>
        <w:rPr>
          <w:bCs/>
          <w:b/>
        </w:rPr>
        <w:t xml:space="preserve">Restructuration</w:t>
      </w:r>
      <w:r>
        <w:t xml:space="preserve"> </w:t>
      </w:r>
      <w:r>
        <w:t xml:space="preserve">: le</w:t>
      </w:r>
      <w:r>
        <w:t xml:space="preserve"> </w:t>
      </w:r>
      <w:r>
        <w:rPr>
          <w:bCs/>
          <w:b/>
        </w:rPr>
        <w:t xml:space="preserve">décret n° 2024-012 du 16/01/2024</w:t>
      </w:r>
      <w:r>
        <w:t xml:space="preserve"> </w:t>
      </w:r>
      <w:r>
        <w:t xml:space="preserve">transforme SOMELEC en « Groupe-SOMELEC ». Il comprend une société mère et trois filiales : SPT (Production et Transport), SDC (Distribution et Commercialisation) et SER (Électrification rurale). Les cahiers des charges sont en cours de finalisation avec l’appui de l’UE [1] [V].</w:t>
      </w:r>
    </w:p>
    <w:p>
      <w:pPr>
        <w:numPr>
          <w:ilvl w:val="0"/>
          <w:numId w:val="1138"/>
        </w:numPr>
        <w:pStyle w:val="Compact"/>
      </w:pPr>
      <w:r>
        <w:rPr>
          <w:bCs/>
          <w:b/>
        </w:rPr>
        <w:t xml:space="preserve">Centres isolés</w:t>
      </w:r>
      <w:r>
        <w:t xml:space="preserve"> </w:t>
      </w:r>
      <w:r>
        <w:t xml:space="preserve">: 21 centres isolés relèvent de délégations de service public (DSPE) régulées par l’ARE. Le gasoil représente plus de 80 % de leurs charges d’exploitation [1] [V].</w:t>
      </w:r>
    </w:p>
    <w:p>
      <w:pPr>
        <w:numPr>
          <w:ilvl w:val="0"/>
          <w:numId w:val="1138"/>
        </w:numPr>
        <w:pStyle w:val="Compact"/>
      </w:pPr>
      <w:r>
        <w:rPr>
          <w:bCs/>
          <w:b/>
        </w:rPr>
        <w:t xml:space="preserve">Tutelle</w:t>
      </w:r>
      <w:r>
        <w:t xml:space="preserve"> </w:t>
      </w:r>
      <w:r>
        <w:t xml:space="preserve">: ministère de l’Énergie et du Pétrole [2] [V].</w:t>
      </w:r>
    </w:p>
    <w:p>
      <w:pPr>
        <w:numPr>
          <w:ilvl w:val="0"/>
          <w:numId w:val="1138"/>
        </w:numPr>
        <w:pStyle w:val="Compact"/>
      </w:pPr>
      <w:r>
        <w:rPr>
          <w:bCs/>
          <w:b/>
        </w:rPr>
        <w:t xml:space="preserve">Régulateur</w:t>
      </w:r>
      <w:r>
        <w:t xml:space="preserve"> </w:t>
      </w:r>
      <w:r>
        <w:t xml:space="preserve">: ARE, régulateur multisectoriel (télécoms, électricité, etc.). Il a publié son rapport 2024, mais celui-ci ne contient</w:t>
      </w:r>
      <w:r>
        <w:t xml:space="preserve"> </w:t>
      </w:r>
      <w:r>
        <w:rPr>
          <w:bCs/>
          <w:b/>
        </w:rPr>
        <w:t xml:space="preserve">aucun indicateur financier de SOMELEC</w:t>
      </w:r>
      <w:r>
        <w:t xml:space="preserve"> </w:t>
      </w:r>
      <w:r>
        <w:t xml:space="preserve">[1] [V].</w:t>
      </w:r>
    </w:p>
    <w:p>
      <w:pPr>
        <w:numPr>
          <w:ilvl w:val="0"/>
          <w:numId w:val="1138"/>
        </w:numPr>
        <w:pStyle w:val="Compact"/>
      </w:pPr>
      <w:r>
        <w:rPr>
          <w:bCs/>
          <w:b/>
        </w:rPr>
        <w:t xml:space="preserve">Dernier exercice publié</w:t>
      </w:r>
      <w:r>
        <w:t xml:space="preserve"> </w:t>
      </w:r>
      <w:r>
        <w:t xml:space="preserve">:</w:t>
      </w:r>
      <w:r>
        <w:t xml:space="preserve"> </w:t>
      </w:r>
      <w:r>
        <w:rPr>
          <w:bCs/>
          <w:b/>
        </w:rPr>
        <w:t xml:space="preserve">aucun état financier de SOMELEC trouvé en ligne</w:t>
      </w:r>
      <w:r>
        <w:t xml:space="preserve"> </w:t>
      </w:r>
      <w:r>
        <w:t xml:space="preserve">→ [?]. La BM relève que SOMELEC « maintains a strong culture of auditing annual financial statements », sans en publier [3, §81] [V]. Le pacte promettait une « publication régulière des états financiers audités ».</w:t>
      </w:r>
    </w:p>
    <w:bookmarkEnd w:id="253"/>
    <w:bookmarkStart w:id="254" w:name="situation-financière-21"/>
    <w:p>
      <w:pPr>
        <w:pStyle w:val="Heading3"/>
      </w:pPr>
      <w:r>
        <w:t xml:space="preserve">1. Situation financière</w:t>
      </w:r>
    </w:p>
    <w:tbl>
      <w:tblPr>
        <w:tblStyle w:val="Table"/>
        <w:tblW w:type="dxa" w:w="14570"/>
        <w:tblLook w:firstRow="1" w:lastRow="0" w:firstColumn="0" w:lastColumn="0" w:noHBand="0" w:noVBand="0" w:val="0020"/>
        <w:jc w:val="start"/>
      </w:tblPr>
      <w:tblGrid>
        <w:gridCol w:w="3820"/>
        <w:gridCol w:w="7060"/>
        <w:gridCol w:w="996"/>
        <w:gridCol w:w="1384"/>
        <w:gridCol w:w="1308"/>
      </w:tblGrid>
      <w:tr>
        <w:trPr>
          <w:tblHeader w:val="true"/>
        </w:trPr>
        <w:tc>
          <w:tcPr>
            <w:tcW w:w="3820" w:type="dxa"/>
          </w:tcPr>
          <w:tcPr/>
          <w:p>
            <w:pPr>
              <w:pStyle w:val="Compact"/>
              <w:jc w:val="left"/>
            </w:pPr>
            <w:r>
              <w:t xml:space="preserve">Indicateur</w:t>
            </w:r>
          </w:p>
        </w:tc>
        <w:tc>
          <w:tcPr>
            <w:tcW w:w="7060" w:type="dxa"/>
          </w:tcPr>
          <w:tcPr/>
          <w:p>
            <w:pPr>
              <w:pStyle w:val="Compact"/>
              <w:jc w:val="left"/>
            </w:pPr>
            <w:r>
              <w:t xml:space="preserve">Valeur</w:t>
            </w:r>
          </w:p>
        </w:tc>
        <w:tc>
          <w:tcPr>
            <w:tcW w:w="996" w:type="dxa"/>
          </w:tcPr>
          <w:tcPr/>
          <w:p>
            <w:pPr>
              <w:pStyle w:val="Compact"/>
              <w:jc w:val="left"/>
            </w:pPr>
            <w:r>
              <w:t xml:space="preserve">Année</w:t>
            </w:r>
          </w:p>
        </w:tc>
        <w:tc>
          <w:tcPr>
            <w:tcW w:w="1384" w:type="dxa"/>
          </w:tcPr>
          <w:tcPr/>
          <w:p>
            <w:pPr>
              <w:pStyle w:val="Compact"/>
              <w:jc w:val="left"/>
            </w:pPr>
            <w:r>
              <w:t xml:space="preserve">Statut</w:t>
            </w:r>
          </w:p>
        </w:tc>
        <w:tc>
          <w:tcPr>
            <w:tcW w:w="1308" w:type="dxa"/>
          </w:tcPr>
          <w:tcPr/>
          <w:p>
            <w:pPr>
              <w:pStyle w:val="Compact"/>
              <w:jc w:val="left"/>
            </w:pPr>
            <w:r>
              <w:t xml:space="preserve">Source</w:t>
            </w:r>
          </w:p>
        </w:tc>
      </w:tr>
      <w:tr>
        <w:tc>
          <w:tcPr>
            <w:tcW w:w="3820" w:type="dxa"/>
          </w:tcPr>
          <w:tcPr/>
          <w:p>
            <w:pPr>
              <w:pStyle w:val="Compact"/>
              <w:jc w:val="left"/>
            </w:pPr>
            <w:r>
              <w:t xml:space="preserve">Chiffre d’affaires</w:t>
            </w:r>
          </w:p>
        </w:tc>
        <w:tc>
          <w:tcPr>
            <w:tcW w:w="7060" w:type="dxa"/>
          </w:tcPr>
          <w:tcPr/>
          <w:p>
            <w:pPr>
              <w:pStyle w:val="Compact"/>
              <w:jc w:val="left"/>
            </w:pPr>
            <w:r>
              <w:t xml:space="preserve">207,27 M USD (pacte)</w:t>
            </w:r>
          </w:p>
        </w:tc>
        <w:tc>
          <w:tcPr>
            <w:tcW w:w="996" w:type="dxa"/>
          </w:tcPr>
          <w:tcPr/>
          <w:p>
            <w:pPr>
              <w:pStyle w:val="Compact"/>
              <w:jc w:val="left"/>
            </w:pPr>
            <w:r>
              <w:t xml:space="preserve">2023</w:t>
            </w:r>
          </w:p>
        </w:tc>
        <w:tc>
          <w:tcPr>
            <w:tcW w:w="1384" w:type="dxa"/>
          </w:tcPr>
          <w:tcPr/>
          <w:p>
            <w:pPr>
              <w:pStyle w:val="Compact"/>
              <w:jc w:val="left"/>
            </w:pPr>
            <w:r>
              <w:t xml:space="preserve">pacte</w:t>
            </w:r>
          </w:p>
        </w:tc>
        <w:tc>
          <w:tcPr>
            <w:tcW w:w="1308" w:type="dxa"/>
          </w:tcPr>
          <w:tcPr/>
          <w:p>
            <w:pPr>
              <w:pStyle w:val="Compact"/>
              <w:jc w:val="left"/>
            </w:pPr>
            <w:r>
              <w:t xml:space="preserve">phase 1</w:t>
            </w:r>
          </w:p>
        </w:tc>
      </w:tr>
      <w:tr>
        <w:tc>
          <w:tcPr>
            <w:tcW w:w="3820" w:type="dxa"/>
          </w:tcPr>
          <w:tcPr/>
          <w:p>
            <w:pPr>
              <w:pStyle w:val="Compact"/>
              <w:jc w:val="left"/>
            </w:pPr>
            <w:r>
              <w:t xml:space="preserve">Résultat net / marge</w:t>
            </w:r>
          </w:p>
        </w:tc>
        <w:tc>
          <w:tcPr>
            <w:tcW w:w="7060" w:type="dxa"/>
          </w:tcPr>
          <w:tcPr/>
          <w:p>
            <w:pPr>
              <w:pStyle w:val="Compact"/>
              <w:jc w:val="left"/>
            </w:pPr>
            <w:r>
              <w:t xml:space="preserve">[?] non trouvé</w:t>
            </w:r>
          </w:p>
        </w:tc>
        <w:tc>
          <w:tcPr>
            <w:tcW w:w="996" w:type="dxa"/>
          </w:tcPr>
          <w:tcPr/>
          <w:p>
            <w:pPr>
              <w:pStyle w:val="Compact"/>
              <w:jc w:val="left"/>
            </w:pPr>
            <w:r>
              <w:t xml:space="preserve">—</w:t>
            </w:r>
          </w:p>
        </w:tc>
        <w:tc>
          <w:tcPr>
            <w:tcW w:w="1384" w:type="dxa"/>
          </w:tcPr>
          <w:tcPr/>
          <w:p>
            <w:pPr>
              <w:pStyle w:val="Compact"/>
              <w:jc w:val="left"/>
            </w:pPr>
            <w:r>
              <w:t xml:space="preserve">[?]</w:t>
            </w:r>
          </w:p>
        </w:tc>
        <w:tc>
          <w:tcPr>
            <w:tcW w:w="1308" w:type="dxa"/>
          </w:tcPr>
          <w:tcPr/>
          <w:p>
            <w:pPr>
              <w:pStyle w:val="Compact"/>
              <w:jc w:val="left"/>
            </w:pPr>
            <w:r>
              <w:t xml:space="preserve">—</w:t>
            </w:r>
          </w:p>
        </w:tc>
      </w:tr>
      <w:tr>
        <w:tc>
          <w:tcPr>
            <w:tcW w:w="3820" w:type="dxa"/>
          </w:tcPr>
          <w:tcPr/>
          <w:p>
            <w:pPr>
              <w:pStyle w:val="Compact"/>
              <w:jc w:val="left"/>
            </w:pPr>
            <w:r>
              <w:t xml:space="preserve">EBITDA</w:t>
            </w:r>
          </w:p>
        </w:tc>
        <w:tc>
          <w:tcPr>
            <w:tcW w:w="7060" w:type="dxa"/>
          </w:tcPr>
          <w:tcPr/>
          <w:p>
            <w:pPr>
              <w:pStyle w:val="Compact"/>
              <w:jc w:val="left"/>
            </w:pPr>
            <w:r>
              <w:t xml:space="preserve">[?] non trouvé</w:t>
            </w:r>
          </w:p>
        </w:tc>
        <w:tc>
          <w:tcPr>
            <w:tcW w:w="996" w:type="dxa"/>
          </w:tcPr>
          <w:tcPr/>
          <w:p>
            <w:pPr>
              <w:pStyle w:val="Compact"/>
              <w:jc w:val="left"/>
            </w:pPr>
            <w:r>
              <w:t xml:space="preserve">—</w:t>
            </w:r>
          </w:p>
        </w:tc>
        <w:tc>
          <w:tcPr>
            <w:tcW w:w="1384" w:type="dxa"/>
          </w:tcPr>
          <w:tcPr/>
          <w:p>
            <w:pPr>
              <w:pStyle w:val="Compact"/>
              <w:jc w:val="left"/>
            </w:pPr>
            <w:r>
              <w:t xml:space="preserve">[?]</w:t>
            </w:r>
          </w:p>
        </w:tc>
        <w:tc>
          <w:tcPr>
            <w:tcW w:w="1308" w:type="dxa"/>
          </w:tcPr>
          <w:tcPr/>
          <w:p>
            <w:pPr>
              <w:pStyle w:val="Compact"/>
              <w:jc w:val="left"/>
            </w:pPr>
            <w:r>
              <w:t xml:space="preserve">—</w:t>
            </w:r>
          </w:p>
        </w:tc>
      </w:tr>
      <w:tr>
        <w:tc>
          <w:tcPr>
            <w:tcW w:w="3820" w:type="dxa"/>
          </w:tcPr>
          <w:tcPr/>
          <w:p>
            <w:pPr>
              <w:pStyle w:val="Compact"/>
              <w:jc w:val="left"/>
            </w:pPr>
            <w:r>
              <w:t xml:space="preserve">Dette totale ; dette fournisseurs</w:t>
            </w:r>
          </w:p>
        </w:tc>
        <w:tc>
          <w:tcPr>
            <w:tcW w:w="7060" w:type="dxa"/>
          </w:tcPr>
          <w:tcPr/>
          <w:p>
            <w:pPr>
              <w:pStyle w:val="Compact"/>
              <w:jc w:val="left"/>
            </w:pPr>
            <w:r>
              <w:t xml:space="preserve">[?] non trouvé</w:t>
            </w:r>
          </w:p>
        </w:tc>
        <w:tc>
          <w:tcPr>
            <w:tcW w:w="996" w:type="dxa"/>
          </w:tcPr>
          <w:tcPr/>
          <w:p>
            <w:pPr>
              <w:pStyle w:val="Compact"/>
              <w:jc w:val="left"/>
            </w:pPr>
            <w:r>
              <w:t xml:space="preserve">—</w:t>
            </w:r>
          </w:p>
        </w:tc>
        <w:tc>
          <w:tcPr>
            <w:tcW w:w="1384" w:type="dxa"/>
          </w:tcPr>
          <w:tcPr/>
          <w:p>
            <w:pPr>
              <w:pStyle w:val="Compact"/>
              <w:jc w:val="left"/>
            </w:pPr>
            <w:r>
              <w:t xml:space="preserve">[?]</w:t>
            </w:r>
          </w:p>
        </w:tc>
        <w:tc>
          <w:tcPr>
            <w:tcW w:w="1308" w:type="dxa"/>
          </w:tcPr>
          <w:tcPr/>
          <w:p>
            <w:pPr>
              <w:pStyle w:val="Compact"/>
              <w:jc w:val="left"/>
            </w:pPr>
            <w:r>
              <w:t xml:space="preserve">—</w:t>
            </w:r>
          </w:p>
        </w:tc>
      </w:tr>
      <w:tr>
        <w:tc>
          <w:tcPr>
            <w:tcW w:w="3820" w:type="dxa"/>
          </w:tcPr>
          <w:tcPr/>
          <w:p>
            <w:pPr>
              <w:pStyle w:val="Compact"/>
              <w:jc w:val="left"/>
            </w:pPr>
            <w:r>
              <w:t xml:space="preserve">Arriérés de l’État envers SOMELEC</w:t>
            </w:r>
          </w:p>
        </w:tc>
        <w:tc>
          <w:tcPr>
            <w:tcW w:w="7060" w:type="dxa"/>
          </w:tcPr>
          <w:tcPr/>
          <w:p>
            <w:pPr>
              <w:pStyle w:val="Compact"/>
              <w:jc w:val="left"/>
            </w:pPr>
            <w:r>
              <w:t xml:space="preserve">non chiffrés. La définition des arriérés intérieurs du programme FMI inclut explicitement les « cumulative payment arrears to public enterprises (water, electricity, etc.) »</w:t>
            </w:r>
          </w:p>
        </w:tc>
        <w:tc>
          <w:tcPr>
            <w:tcW w:w="996" w:type="dxa"/>
          </w:tcPr>
          <w:tcPr/>
          <w:p>
            <w:pPr>
              <w:pStyle w:val="Compact"/>
              <w:jc w:val="left"/>
            </w:pPr>
            <w:r>
              <w:t xml:space="preserve">2026</w:t>
            </w:r>
          </w:p>
        </w:tc>
        <w:tc>
          <w:tcPr>
            <w:tcW w:w="1384" w:type="dxa"/>
          </w:tcPr>
          <w:tcPr/>
          <w:p>
            <w:pPr>
              <w:pStyle w:val="Compact"/>
              <w:jc w:val="left"/>
            </w:pPr>
            <w:r>
              <w:t xml:space="preserve">[V]</w:t>
            </w:r>
          </w:p>
        </w:tc>
        <w:tc>
          <w:tcPr>
            <w:tcW w:w="1308" w:type="dxa"/>
          </w:tcPr>
          <w:tcPr/>
          <w:p>
            <w:pPr>
              <w:pStyle w:val="Compact"/>
              <w:jc w:val="left"/>
            </w:pPr>
            <w:r>
              <w:t xml:space="preserve">[2, TMU]</w:t>
            </w:r>
          </w:p>
        </w:tc>
      </w:tr>
      <w:tr>
        <w:tc>
          <w:tcPr>
            <w:tcW w:w="3820" w:type="dxa"/>
          </w:tcPr>
          <w:tcPr/>
          <w:p>
            <w:pPr>
              <w:pStyle w:val="Compact"/>
              <w:jc w:val="left"/>
            </w:pPr>
            <w:r>
              <w:t xml:space="preserve">Transferts / subventions de l’État</w:t>
            </w:r>
          </w:p>
        </w:tc>
        <w:tc>
          <w:tcPr>
            <w:tcW w:w="7060" w:type="dxa"/>
          </w:tcPr>
          <w:tcPr/>
          <w:p>
            <w:pPr>
              <w:pStyle w:val="Compact"/>
              <w:jc w:val="left"/>
            </w:pPr>
            <w:r>
              <w:t xml:space="preserve">transfert supplémentaire estimé à</w:t>
            </w:r>
            <w:r>
              <w:t xml:space="preserve"> </w:t>
            </w:r>
            <w:r>
              <w:rPr>
                <w:bCs/>
                <w:b/>
              </w:rPr>
              <w:t xml:space="preserve">1 Md MRU (environ 0,2 % du PIB) en 2026</w:t>
            </w:r>
            <w:r>
              <w:t xml:space="preserve">, lié au choc pétrolier [2]. Le pacte cite 2 % du PIB par an en moyenne sur une décennie et plus de 250 M USD en 2019</w:t>
            </w:r>
          </w:p>
        </w:tc>
        <w:tc>
          <w:tcPr>
            <w:tcW w:w="996" w:type="dxa"/>
          </w:tcPr>
          <w:tcPr/>
          <w:p>
            <w:pPr>
              <w:pStyle w:val="Compact"/>
              <w:jc w:val="left"/>
            </w:pPr>
            <w:r>
              <w:t xml:space="preserve">2026</w:t>
            </w:r>
          </w:p>
        </w:tc>
        <w:tc>
          <w:tcPr>
            <w:tcW w:w="1384" w:type="dxa"/>
          </w:tcPr>
          <w:tcPr/>
          <w:p>
            <w:pPr>
              <w:pStyle w:val="Compact"/>
              <w:jc w:val="left"/>
            </w:pPr>
            <w:r>
              <w:t xml:space="preserve">[V]</w:t>
            </w:r>
          </w:p>
        </w:tc>
        <w:tc>
          <w:tcPr>
            <w:tcW w:w="1308" w:type="dxa"/>
          </w:tcPr>
          <w:tcPr/>
          <w:p>
            <w:pPr>
              <w:pStyle w:val="Compact"/>
              <w:jc w:val="left"/>
            </w:pPr>
            <w:r>
              <w:t xml:space="preserve">[2 ; pacte]</w:t>
            </w:r>
          </w:p>
        </w:tc>
      </w:tr>
      <w:tr>
        <w:tc>
          <w:tcPr>
            <w:tcW w:w="3820" w:type="dxa"/>
          </w:tcPr>
          <w:tcPr/>
          <w:p>
            <w:pPr>
              <w:pStyle w:val="Compact"/>
              <w:jc w:val="left"/>
            </w:pPr>
            <w:r>
              <w:rPr>
                <w:bCs/>
                <w:b/>
              </w:rPr>
              <w:t xml:space="preserve">Taux de recouvrement</w:t>
            </w:r>
          </w:p>
        </w:tc>
        <w:tc>
          <w:tcPr>
            <w:tcW w:w="7060" w:type="dxa"/>
          </w:tcPr>
          <w:tcPr/>
          <w:p>
            <w:pPr>
              <w:pStyle w:val="Compact"/>
              <w:jc w:val="left"/>
            </w:pPr>
            <w:r>
              <w:rPr>
                <w:bCs/>
                <w:b/>
              </w:rPr>
              <w:t xml:space="preserve">35 %</w:t>
            </w:r>
            <w:r>
              <w:t xml:space="preserve"> </w:t>
            </w:r>
            <w:r>
              <w:t xml:space="preserve">(« low bill collection rate of 35 percent »)</w:t>
            </w:r>
          </w:p>
        </w:tc>
        <w:tc>
          <w:tcPr>
            <w:tcW w:w="996" w:type="dxa"/>
          </w:tcPr>
          <w:tcPr/>
          <w:p>
            <w:pPr>
              <w:pStyle w:val="Compact"/>
              <w:jc w:val="left"/>
            </w:pPr>
            <w:r>
              <w:t xml:space="preserve">2025</w:t>
            </w:r>
          </w:p>
        </w:tc>
        <w:tc>
          <w:tcPr>
            <w:tcW w:w="1384" w:type="dxa"/>
          </w:tcPr>
          <w:tcPr/>
          <w:p>
            <w:pPr>
              <w:pStyle w:val="Compact"/>
              <w:jc w:val="left"/>
            </w:pPr>
            <w:r>
              <w:t xml:space="preserve">[V]</w:t>
            </w:r>
          </w:p>
        </w:tc>
        <w:tc>
          <w:tcPr>
            <w:tcW w:w="1308" w:type="dxa"/>
          </w:tcPr>
          <w:tcPr/>
          <w:p>
            <w:pPr>
              <w:pStyle w:val="Compact"/>
              <w:jc w:val="left"/>
            </w:pPr>
            <w:r>
              <w:t xml:space="preserve">[4, §64]</w:t>
            </w:r>
          </w:p>
        </w:tc>
      </w:tr>
      <w:tr>
        <w:tc>
          <w:tcPr>
            <w:tcW w:w="3820" w:type="dxa"/>
          </w:tcPr>
          <w:tcPr/>
          <w:p>
            <w:pPr>
              <w:pStyle w:val="Compact"/>
              <w:jc w:val="left"/>
            </w:pPr>
            <w:r>
              <w:t xml:space="preserve">Recette moyenne par kWh</w:t>
            </w:r>
          </w:p>
        </w:tc>
        <w:tc>
          <w:tcPr>
            <w:tcW w:w="7060" w:type="dxa"/>
          </w:tcPr>
          <w:tcPr/>
          <w:p>
            <w:pPr>
              <w:pStyle w:val="Compact"/>
              <w:jc w:val="left"/>
            </w:pPr>
            <w:r>
              <w:t xml:space="preserve">[?]. Grille du pacte : tarif social de 6,47 c$/kWh, autres BT 15,53 c$, MT 9,5 c$</w:t>
            </w:r>
          </w:p>
        </w:tc>
        <w:tc>
          <w:tcPr>
            <w:tcW w:w="996" w:type="dxa"/>
          </w:tcPr>
          <w:tcPr/>
          <w:p>
            <w:pPr>
              <w:pStyle w:val="Compact"/>
              <w:jc w:val="left"/>
            </w:pPr>
            <w:r>
              <w:t xml:space="preserve">2024</w:t>
            </w:r>
          </w:p>
        </w:tc>
        <w:tc>
          <w:tcPr>
            <w:tcW w:w="1384" w:type="dxa"/>
          </w:tcPr>
          <w:tcPr/>
          <w:p>
            <w:pPr>
              <w:pStyle w:val="Compact"/>
              <w:jc w:val="left"/>
            </w:pPr>
            <w:r>
              <w:t xml:space="preserve">pacte</w:t>
            </w:r>
          </w:p>
        </w:tc>
        <w:tc>
          <w:tcPr>
            <w:tcW w:w="1308" w:type="dxa"/>
          </w:tcPr>
          <w:tcPr/>
          <w:p>
            <w:pPr>
              <w:pStyle w:val="Compact"/>
              <w:jc w:val="left"/>
            </w:pPr>
            <w:r>
              <w:t xml:space="preserve">phase 1</w:t>
            </w:r>
          </w:p>
        </w:tc>
      </w:tr>
      <w:tr>
        <w:tc>
          <w:tcPr>
            <w:tcW w:w="3820" w:type="dxa"/>
          </w:tcPr>
          <w:tcPr/>
          <w:p>
            <w:pPr>
              <w:pStyle w:val="Compact"/>
              <w:jc w:val="left"/>
            </w:pPr>
            <w:r>
              <w:t xml:space="preserve">Coût complet par kWh</w:t>
            </w:r>
          </w:p>
        </w:tc>
        <w:tc>
          <w:tcPr>
            <w:tcW w:w="7060" w:type="dxa"/>
          </w:tcPr>
          <w:tcPr/>
          <w:p>
            <w:pPr>
              <w:pStyle w:val="Compact"/>
              <w:jc w:val="left"/>
            </w:pPr>
            <w:r>
              <w:t xml:space="preserve">[?]. Pacte : thermique d’environ 40 c$/kWh, EnR d’environ 10 c$. Tarif minimum de couverture de la ligne Nouakchott-Kiffa : 7,66 c$/kWh [3, ann. économique]</w:t>
            </w:r>
          </w:p>
        </w:tc>
        <w:tc>
          <w:tcPr>
            <w:tcW w:w="996" w:type="dxa"/>
          </w:tcPr>
          <w:tcPr/>
          <w:p>
            <w:pPr>
              <w:pStyle w:val="Compact"/>
              <w:jc w:val="left"/>
            </w:pPr>
            <w:r>
              <w:t xml:space="preserve">2024</w:t>
            </w:r>
          </w:p>
        </w:tc>
        <w:tc>
          <w:tcPr>
            <w:tcW w:w="1384" w:type="dxa"/>
          </w:tcPr>
          <w:tcPr/>
          <w:p>
            <w:pPr>
              <w:pStyle w:val="Compact"/>
              <w:jc w:val="left"/>
            </w:pPr>
            <w:r>
              <w:t xml:space="preserve">[V partiel]</w:t>
            </w:r>
          </w:p>
        </w:tc>
        <w:tc>
          <w:tcPr>
            <w:tcW w:w="1308" w:type="dxa"/>
          </w:tcPr>
          <w:tcPr/>
          <w:p>
            <w:pPr>
              <w:pStyle w:val="Compact"/>
              <w:jc w:val="left"/>
            </w:pPr>
            <w:r>
              <w:t xml:space="preserve">[3]</w:t>
            </w:r>
          </w:p>
        </w:tc>
      </w:tr>
      <w:tr>
        <w:tc>
          <w:tcPr>
            <w:tcW w:w="3820" w:type="dxa"/>
          </w:tcPr>
          <w:tcPr/>
          <w:p>
            <w:pPr>
              <w:pStyle w:val="Compact"/>
              <w:jc w:val="left"/>
            </w:pPr>
            <w:r>
              <w:t xml:space="preserve">Déficit quasi-budgétaire</w:t>
            </w:r>
          </w:p>
        </w:tc>
        <w:tc>
          <w:tcPr>
            <w:tcW w:w="7060" w:type="dxa"/>
          </w:tcPr>
          <w:tcPr/>
          <w:p>
            <w:pPr>
              <w:pStyle w:val="Compact"/>
              <w:jc w:val="left"/>
            </w:pPr>
            <w:r>
              <w:t xml:space="preserve">« structural financial deficit » du secteur [3] [V]. Pertes quasi-fiscales d’environ 2 % du PIB (pacte)</w:t>
            </w:r>
          </w:p>
        </w:tc>
        <w:tc>
          <w:tcPr>
            <w:tcW w:w="996" w:type="dxa"/>
          </w:tcPr>
          <w:tcPr/>
          <w:p>
            <w:pPr>
              <w:pStyle w:val="Compact"/>
              <w:jc w:val="left"/>
            </w:pPr>
            <w:r>
              <w:t xml:space="preserve">2024</w:t>
            </w:r>
          </w:p>
        </w:tc>
        <w:tc>
          <w:tcPr>
            <w:tcW w:w="1384" w:type="dxa"/>
          </w:tcPr>
          <w:tcPr/>
          <w:p>
            <w:pPr>
              <w:pStyle w:val="Compact"/>
              <w:jc w:val="left"/>
            </w:pPr>
            <w:r>
              <w:t xml:space="preserve">[V] / pacte</w:t>
            </w:r>
          </w:p>
        </w:tc>
        <w:tc>
          <w:tcPr>
            <w:tcW w:w="1308" w:type="dxa"/>
          </w:tcPr>
          <w:tcPr/>
          <w:p>
            <w:pPr>
              <w:pStyle w:val="Compact"/>
              <w:jc w:val="left"/>
            </w:pPr>
            <w:r>
              <w:t xml:space="preserve">[3]</w:t>
            </w:r>
          </w:p>
        </w:tc>
      </w:tr>
      <w:tr>
        <w:tc>
          <w:tcPr>
            <w:tcW w:w="3820" w:type="dxa"/>
          </w:tcPr>
          <w:tcPr/>
          <w:p>
            <w:pPr>
              <w:pStyle w:val="Compact"/>
              <w:jc w:val="left"/>
            </w:pPr>
            <w:r>
              <w:t xml:space="preserve">Notation</w:t>
            </w:r>
          </w:p>
        </w:tc>
        <w:tc>
          <w:tcPr>
            <w:tcW w:w="7060" w:type="dxa"/>
          </w:tcPr>
          <w:tcPr/>
          <w:p>
            <w:pPr>
              <w:pStyle w:val="Compact"/>
              <w:jc w:val="left"/>
            </w:pPr>
            <w:r>
              <w:t xml:space="preserve">[?]</w:t>
            </w:r>
          </w:p>
        </w:tc>
        <w:tc>
          <w:tcPr>
            <w:tcW w:w="996" w:type="dxa"/>
          </w:tcPr>
          <w:tcPr/>
          <w:p>
            <w:pPr>
              <w:pStyle w:val="Compact"/>
              <w:jc w:val="left"/>
            </w:pPr>
            <w:r>
              <w:t xml:space="preserve">—</w:t>
            </w:r>
          </w:p>
        </w:tc>
        <w:tc>
          <w:tcPr>
            <w:tcW w:w="1384" w:type="dxa"/>
          </w:tcPr>
          <w:tcPr/>
          <w:p>
            <w:pPr>
              <w:pStyle w:val="Compact"/>
              <w:jc w:val="left"/>
            </w:pPr>
            <w:r>
              <w:t xml:space="preserve">[?]</w:t>
            </w:r>
          </w:p>
        </w:tc>
        <w:tc>
          <w:tcPr>
            <w:tcW w:w="1308" w:type="dxa"/>
          </w:tcPr>
          <w:tcPr/>
          <w:p>
            <w:pPr>
              <w:pStyle w:val="Compact"/>
              <w:jc w:val="left"/>
            </w:pPr>
            <w:r>
              <w:t xml:space="preserve">—</w:t>
            </w:r>
          </w:p>
        </w:tc>
      </w:tr>
    </w:tbl>
    <w:bookmarkEnd w:id="254"/>
    <w:bookmarkStart w:id="255" w:name="situation-technique-21"/>
    <w:p>
      <w:pPr>
        <w:pStyle w:val="Heading3"/>
      </w:pPr>
      <w:r>
        <w:t xml:space="preserve">2. Situation technique</w:t>
      </w:r>
    </w:p>
    <w:tbl>
      <w:tblPr>
        <w:tblStyle w:val="Table"/>
        <w:tblW w:type="dxa" w:w="14570"/>
        <w:tblLook w:firstRow="1" w:lastRow="0" w:firstColumn="0" w:lastColumn="0" w:noHBand="0" w:noVBand="0" w:val="0020"/>
        <w:jc w:val="start"/>
      </w:tblPr>
      <w:tblGrid>
        <w:gridCol w:w="2551"/>
        <w:gridCol w:w="8248"/>
        <w:gridCol w:w="1223"/>
        <w:gridCol w:w="1438"/>
        <w:gridCol w:w="1109"/>
      </w:tblGrid>
      <w:tr>
        <w:trPr>
          <w:tblHeader w:val="true"/>
        </w:trPr>
        <w:tc>
          <w:tcPr>
            <w:tcW w:w="2551" w:type="dxa"/>
          </w:tcPr>
          <w:tcPr/>
          <w:p>
            <w:pPr>
              <w:pStyle w:val="Compact"/>
              <w:jc w:val="left"/>
            </w:pPr>
            <w:r>
              <w:t xml:space="preserve">Indicateur</w:t>
            </w:r>
          </w:p>
        </w:tc>
        <w:tc>
          <w:tcPr>
            <w:tcW w:w="8248" w:type="dxa"/>
          </w:tcPr>
          <w:tcPr/>
          <w:p>
            <w:pPr>
              <w:pStyle w:val="Compact"/>
              <w:jc w:val="left"/>
            </w:pPr>
            <w:r>
              <w:t xml:space="preserve">Valeur</w:t>
            </w:r>
          </w:p>
        </w:tc>
        <w:tc>
          <w:tcPr>
            <w:tcW w:w="1223" w:type="dxa"/>
          </w:tcPr>
          <w:tcPr/>
          <w:p>
            <w:pPr>
              <w:pStyle w:val="Compact"/>
              <w:jc w:val="left"/>
            </w:pPr>
            <w:r>
              <w:t xml:space="preserve">Année</w:t>
            </w:r>
          </w:p>
        </w:tc>
        <w:tc>
          <w:tcPr>
            <w:tcW w:w="1438" w:type="dxa"/>
          </w:tcPr>
          <w:tcPr/>
          <w:p>
            <w:pPr>
              <w:pStyle w:val="Compact"/>
              <w:jc w:val="left"/>
            </w:pPr>
            <w:r>
              <w:t xml:space="preserve">Statut</w:t>
            </w:r>
          </w:p>
        </w:tc>
        <w:tc>
          <w:tcPr>
            <w:tcW w:w="1109" w:type="dxa"/>
          </w:tcPr>
          <w:tcPr/>
          <w:p>
            <w:pPr>
              <w:pStyle w:val="Compact"/>
              <w:jc w:val="left"/>
            </w:pPr>
            <w:r>
              <w:t xml:space="preserve">Source</w:t>
            </w:r>
          </w:p>
        </w:tc>
      </w:tr>
      <w:tr>
        <w:tc>
          <w:tcPr>
            <w:tcW w:w="2551" w:type="dxa"/>
          </w:tcPr>
          <w:tcPr/>
          <w:p>
            <w:pPr>
              <w:pStyle w:val="Compact"/>
              <w:jc w:val="left"/>
            </w:pPr>
            <w:r>
              <w:t xml:space="preserve">Capacité installée</w:t>
            </w:r>
          </w:p>
        </w:tc>
        <w:tc>
          <w:tcPr>
            <w:tcW w:w="8248" w:type="dxa"/>
          </w:tcPr>
          <w:tcPr/>
          <w:p>
            <w:pPr>
              <w:pStyle w:val="Compact"/>
              <w:jc w:val="left"/>
            </w:pPr>
            <w:r>
              <w:t xml:space="preserve">615,1 MW, dont 520,1 MW disponibles (pacte, 2023). Le parc des DSPE (centres isolés) est à 98 % thermique</w:t>
            </w:r>
          </w:p>
        </w:tc>
        <w:tc>
          <w:tcPr>
            <w:tcW w:w="1223" w:type="dxa"/>
          </w:tcPr>
          <w:tcPr/>
          <w:p>
            <w:pPr>
              <w:pStyle w:val="Compact"/>
              <w:jc w:val="left"/>
            </w:pPr>
            <w:r>
              <w:t xml:space="preserve">2023-24</w:t>
            </w:r>
          </w:p>
        </w:tc>
        <w:tc>
          <w:tcPr>
            <w:tcW w:w="1438" w:type="dxa"/>
          </w:tcPr>
          <w:tcPr/>
          <w:p>
            <w:pPr>
              <w:pStyle w:val="Compact"/>
              <w:jc w:val="left"/>
            </w:pPr>
            <w:r>
              <w:t xml:space="preserve">pacte / [V]</w:t>
            </w:r>
          </w:p>
        </w:tc>
        <w:tc>
          <w:tcPr>
            <w:tcW w:w="1109" w:type="dxa"/>
          </w:tcPr>
          <w:tcPr/>
          <w:p>
            <w:pPr>
              <w:pStyle w:val="Compact"/>
              <w:jc w:val="left"/>
            </w:pPr>
            <w:r>
              <w:t xml:space="preserve">[1]</w:t>
            </w:r>
          </w:p>
        </w:tc>
      </w:tr>
      <w:tr>
        <w:tc>
          <w:tcPr>
            <w:tcW w:w="2551" w:type="dxa"/>
          </w:tcPr>
          <w:tcPr/>
          <w:p>
            <w:pPr>
              <w:pStyle w:val="Compact"/>
              <w:jc w:val="left"/>
            </w:pPr>
            <w:r>
              <w:rPr>
                <w:bCs/>
                <w:b/>
              </w:rPr>
              <w:t xml:space="preserve">Pertes totales</w:t>
            </w:r>
          </w:p>
        </w:tc>
        <w:tc>
          <w:tcPr>
            <w:tcW w:w="8248" w:type="dxa"/>
          </w:tcPr>
          <w:tcPr/>
          <w:p>
            <w:pPr>
              <w:pStyle w:val="Compact"/>
              <w:jc w:val="left"/>
            </w:pPr>
            <w:r>
              <w:rPr>
                <w:bCs/>
                <w:b/>
              </w:rPr>
              <w:t xml:space="preserve">35 %</w:t>
            </w:r>
            <w:r>
              <w:t xml:space="preserve"> </w:t>
            </w:r>
            <w:r>
              <w:t xml:space="preserve">de pertes système selon la BM 2025, cible de 30 % en 2028 [4] ; le pacte donne un rendement de 77,47 % fin 2023, soit environ 22,5 % de pertes. La ligne Nouakchott-Kiffa doit réduire les pertes de transport de 15 % [3]</w:t>
            </w:r>
          </w:p>
        </w:tc>
        <w:tc>
          <w:tcPr>
            <w:tcW w:w="1223" w:type="dxa"/>
          </w:tcPr>
          <w:tcPr/>
          <w:p>
            <w:pPr>
              <w:pStyle w:val="Compact"/>
              <w:jc w:val="left"/>
            </w:pPr>
            <w:r>
              <w:t xml:space="preserve">2023-28</w:t>
            </w:r>
          </w:p>
        </w:tc>
        <w:tc>
          <w:tcPr>
            <w:tcW w:w="1438" w:type="dxa"/>
          </w:tcPr>
          <w:tcPr/>
          <w:p>
            <w:pPr>
              <w:pStyle w:val="Compact"/>
              <w:jc w:val="left"/>
            </w:pPr>
            <w:r>
              <w:t xml:space="preserve">[V]</w:t>
            </w:r>
          </w:p>
        </w:tc>
        <w:tc>
          <w:tcPr>
            <w:tcW w:w="1109" w:type="dxa"/>
          </w:tcPr>
          <w:tcPr/>
          <w:p>
            <w:pPr>
              <w:pStyle w:val="Compact"/>
              <w:jc w:val="left"/>
            </w:pPr>
            <w:r>
              <w:t xml:space="preserve">[4 ; 3]</w:t>
            </w:r>
          </w:p>
        </w:tc>
      </w:tr>
      <w:tr>
        <w:tc>
          <w:tcPr>
            <w:tcW w:w="2551" w:type="dxa"/>
          </w:tcPr>
          <w:tcPr/>
          <w:p>
            <w:pPr>
              <w:pStyle w:val="Compact"/>
              <w:jc w:val="left"/>
            </w:pPr>
            <w:r>
              <w:t xml:space="preserve">SAIDI / SAIFI</w:t>
            </w:r>
          </w:p>
        </w:tc>
        <w:tc>
          <w:tcPr>
            <w:tcW w:w="8248" w:type="dxa"/>
          </w:tcPr>
          <w:tcPr/>
          <w:p>
            <w:pPr>
              <w:pStyle w:val="Compact"/>
              <w:jc w:val="left"/>
            </w:pPr>
            <w:r>
              <w:t xml:space="preserve">[?] non trouvé</w:t>
            </w:r>
          </w:p>
        </w:tc>
        <w:tc>
          <w:tcPr>
            <w:tcW w:w="1223" w:type="dxa"/>
          </w:tcPr>
          <w:tcPr/>
          <w:p>
            <w:pPr>
              <w:pStyle w:val="Compact"/>
              <w:jc w:val="left"/>
            </w:pPr>
            <w:r>
              <w:t xml:space="preserve">—</w:t>
            </w:r>
          </w:p>
        </w:tc>
        <w:tc>
          <w:tcPr>
            <w:tcW w:w="1438" w:type="dxa"/>
          </w:tcPr>
          <w:tcPr/>
          <w:p>
            <w:pPr>
              <w:pStyle w:val="Compact"/>
              <w:jc w:val="left"/>
            </w:pPr>
            <w:r>
              <w:t xml:space="preserve">[?]</w:t>
            </w:r>
          </w:p>
        </w:tc>
        <w:tc>
          <w:tcPr>
            <w:tcW w:w="1109" w:type="dxa"/>
          </w:tcPr>
          <w:tcPr/>
          <w:p>
            <w:pPr>
              <w:pStyle w:val="Compact"/>
              <w:jc w:val="left"/>
            </w:pPr>
            <w:r>
              <w:t xml:space="preserve">—</w:t>
            </w:r>
          </w:p>
        </w:tc>
      </w:tr>
      <w:tr>
        <w:tc>
          <w:tcPr>
            <w:tcW w:w="2551" w:type="dxa"/>
          </w:tcPr>
          <w:tcPr/>
          <w:p>
            <w:pPr>
              <w:pStyle w:val="Compact"/>
              <w:jc w:val="left"/>
            </w:pPr>
            <w:r>
              <w:t xml:space="preserve">Clients ; prépaiement</w:t>
            </w:r>
          </w:p>
        </w:tc>
        <w:tc>
          <w:tcPr>
            <w:tcW w:w="8248" w:type="dxa"/>
          </w:tcPr>
          <w:tcPr/>
          <w:p>
            <w:pPr>
              <w:pStyle w:val="Compact"/>
              <w:jc w:val="left"/>
            </w:pPr>
            <w:r>
              <w:t xml:space="preserve">452 000 abonnés (pacte) ; 12 000 compteurs posés sur 350 000 commandés (pacte). Les DSPE comptent 6 992 abonnés (2024)</w:t>
            </w:r>
          </w:p>
        </w:tc>
        <w:tc>
          <w:tcPr>
            <w:tcW w:w="1223" w:type="dxa"/>
          </w:tcPr>
          <w:tcPr/>
          <w:p>
            <w:pPr>
              <w:pStyle w:val="Compact"/>
              <w:jc w:val="left"/>
            </w:pPr>
            <w:r>
              <w:t xml:space="preserve">2024</w:t>
            </w:r>
          </w:p>
        </w:tc>
        <w:tc>
          <w:tcPr>
            <w:tcW w:w="1438" w:type="dxa"/>
          </w:tcPr>
          <w:tcPr/>
          <w:p>
            <w:pPr>
              <w:pStyle w:val="Compact"/>
              <w:jc w:val="left"/>
            </w:pPr>
            <w:r>
              <w:t xml:space="preserve">pacte / [V]</w:t>
            </w:r>
          </w:p>
        </w:tc>
        <w:tc>
          <w:tcPr>
            <w:tcW w:w="1109" w:type="dxa"/>
          </w:tcPr>
          <w:tcPr/>
          <w:p>
            <w:pPr>
              <w:pStyle w:val="Compact"/>
              <w:jc w:val="left"/>
            </w:pPr>
            <w:r>
              <w:t xml:space="preserve">[1]</w:t>
            </w:r>
          </w:p>
        </w:tc>
      </w:tr>
      <w:tr>
        <w:tc>
          <w:tcPr>
            <w:tcW w:w="2551" w:type="dxa"/>
          </w:tcPr>
          <w:tcPr/>
          <w:p>
            <w:pPr>
              <w:pStyle w:val="Compact"/>
              <w:jc w:val="left"/>
            </w:pPr>
            <w:r>
              <w:t xml:space="preserve">Mix</w:t>
            </w:r>
          </w:p>
        </w:tc>
        <w:tc>
          <w:tcPr>
            <w:tcW w:w="8248" w:type="dxa"/>
          </w:tcPr>
          <w:tcPr/>
          <w:p>
            <w:pPr>
              <w:pStyle w:val="Compact"/>
              <w:jc w:val="left"/>
            </w:pPr>
            <w:r>
              <w:t xml:space="preserve">EnR : 44 % de la production en 2023 [4, §61] ; environ 48 % en 2024 et 60 % visés en 2030 [3]</w:t>
            </w:r>
          </w:p>
        </w:tc>
        <w:tc>
          <w:tcPr>
            <w:tcW w:w="1223" w:type="dxa"/>
          </w:tcPr>
          <w:tcPr/>
          <w:p>
            <w:pPr>
              <w:pStyle w:val="Compact"/>
              <w:jc w:val="left"/>
            </w:pPr>
            <w:r>
              <w:t xml:space="preserve">2023-24</w:t>
            </w:r>
          </w:p>
        </w:tc>
        <w:tc>
          <w:tcPr>
            <w:tcW w:w="1438" w:type="dxa"/>
          </w:tcPr>
          <w:tcPr/>
          <w:p>
            <w:pPr>
              <w:pStyle w:val="Compact"/>
              <w:jc w:val="left"/>
            </w:pPr>
            <w:r>
              <w:t xml:space="preserve">[V]</w:t>
            </w:r>
          </w:p>
        </w:tc>
        <w:tc>
          <w:tcPr>
            <w:tcW w:w="1109" w:type="dxa"/>
          </w:tcPr>
          <w:tcPr/>
          <w:p>
            <w:pPr>
              <w:pStyle w:val="Compact"/>
              <w:jc w:val="left"/>
            </w:pPr>
            <w:r>
              <w:t xml:space="preserve">[3 ; 4]</w:t>
            </w:r>
          </w:p>
        </w:tc>
      </w:tr>
      <w:tr>
        <w:tc>
          <w:tcPr>
            <w:tcW w:w="2551" w:type="dxa"/>
          </w:tcPr>
          <w:tcPr/>
          <w:p>
            <w:pPr>
              <w:pStyle w:val="Compact"/>
              <w:jc w:val="left"/>
            </w:pPr>
            <w:r>
              <w:t xml:space="preserve">Délestages</w:t>
            </w:r>
          </w:p>
        </w:tc>
        <w:tc>
          <w:tcPr>
            <w:tcW w:w="8248" w:type="dxa"/>
          </w:tcPr>
          <w:tcPr/>
          <w:p>
            <w:pPr>
              <w:pStyle w:val="Compact"/>
              <w:jc w:val="left"/>
            </w:pPr>
            <w:r>
              <w:t xml:space="preserve">[?] non documentés dans les sources consultées</w:t>
            </w:r>
          </w:p>
        </w:tc>
        <w:tc>
          <w:tcPr>
            <w:tcW w:w="1223" w:type="dxa"/>
          </w:tcPr>
          <w:tcPr/>
          <w:p>
            <w:pPr>
              <w:pStyle w:val="Compact"/>
              <w:jc w:val="left"/>
            </w:pPr>
            <w:r>
              <w:t xml:space="preserve">—</w:t>
            </w:r>
          </w:p>
        </w:tc>
        <w:tc>
          <w:tcPr>
            <w:tcW w:w="1438" w:type="dxa"/>
          </w:tcPr>
          <w:tcPr/>
          <w:p>
            <w:pPr>
              <w:pStyle w:val="Compact"/>
              <w:jc w:val="left"/>
            </w:pPr>
            <w:r>
              <w:t xml:space="preserve">[?]</w:t>
            </w:r>
          </w:p>
        </w:tc>
        <w:tc>
          <w:tcPr>
            <w:tcW w:w="1109" w:type="dxa"/>
          </w:tcPr>
          <w:tcPr/>
          <w:p>
            <w:pPr>
              <w:pStyle w:val="Compact"/>
              <w:jc w:val="left"/>
            </w:pPr>
            <w:r>
              <w:t xml:space="preserve">—</w:t>
            </w:r>
          </w:p>
        </w:tc>
      </w:tr>
    </w:tbl>
    <w:bookmarkEnd w:id="255"/>
    <w:bookmarkStart w:id="256" w:name="situation-économique-et-gouvernance-21"/>
    <w:p>
      <w:pPr>
        <w:pStyle w:val="Heading3"/>
      </w:pPr>
      <w:r>
        <w:t xml:space="preserve">3. Situation économique et gouvernance</w:t>
      </w:r>
    </w:p>
    <w:p>
      <w:pPr>
        <w:numPr>
          <w:ilvl w:val="0"/>
          <w:numId w:val="1139"/>
        </w:numPr>
        <w:pStyle w:val="Compact"/>
      </w:pPr>
      <w:r>
        <w:rPr>
          <w:bCs/>
          <w:b/>
        </w:rPr>
        <w:t xml:space="preserve">PPA</w:t>
      </w:r>
      <w:r>
        <w:t xml:space="preserve"> </w:t>
      </w:r>
      <w:r>
        <w:t xml:space="preserve">: un premier accord PPA/PPP a été signé en novembre 2025, en application du décret sur l’accès des IPP et l’accès des tiers au réseau de transport de SOMELEC (mars 2025, mesure de réforme RSF n° VIII) [2] [V]. Les termes ne sont pas publics [?].</w:t>
      </w:r>
    </w:p>
    <w:p>
      <w:pPr>
        <w:numPr>
          <w:ilvl w:val="0"/>
          <w:numId w:val="1139"/>
        </w:numPr>
        <w:pStyle w:val="Compact"/>
      </w:pPr>
      <w:r>
        <w:rPr>
          <w:bCs/>
          <w:b/>
        </w:rPr>
        <w:t xml:space="preserve">Change et combustible</w:t>
      </w:r>
      <w:r>
        <w:t xml:space="preserve"> </w:t>
      </w:r>
      <w:r>
        <w:t xml:space="preserve">: forte dépendance au fioul et au gasoil importés. En 2026, les coûts budgétaires liés aux carburants et au gaz augmentent de 0,9 point de PIB [2] [V].</w:t>
      </w:r>
    </w:p>
    <w:p>
      <w:pPr>
        <w:numPr>
          <w:ilvl w:val="0"/>
          <w:numId w:val="1139"/>
        </w:numPr>
        <w:pStyle w:val="Compact"/>
      </w:pPr>
      <w:r>
        <w:rPr>
          <w:bCs/>
          <w:b/>
        </w:rPr>
        <w:t xml:space="preserve">Contrat de performance</w:t>
      </w:r>
      <w:r>
        <w:t xml:space="preserve"> </w:t>
      </w:r>
      <w:r>
        <w:t xml:space="preserve">: le contrat-programme État-SOMELEC « is a quarter century old ». La DPF prévoit une</w:t>
      </w:r>
      <w:r>
        <w:t xml:space="preserve"> </w:t>
      </w:r>
      <w:r>
        <w:rPr>
          <w:bCs/>
          <w:b/>
        </w:rPr>
        <w:t xml:space="preserve">nouvelle loi</w:t>
      </w:r>
      <w:r>
        <w:t xml:space="preserve"> </w:t>
      </w:r>
      <w:r>
        <w:t xml:space="preserve">qui le remplacera par des indicateurs financiers, techniques et de transparence avec vérification indépendante : c’est le déclencheur indicatif n° 2 [4] [V]. Le projet WA-REMP finance l’élaboration d’un nouveau contrat-programme et un</w:t>
      </w:r>
      <w:r>
        <w:t xml:space="preserve"> </w:t>
      </w:r>
      <w:r>
        <w:rPr>
          <w:iCs/>
          <w:i/>
        </w:rPr>
        <w:t xml:space="preserve">Performance Implementation Plan</w:t>
      </w:r>
      <w:r>
        <w:t xml:space="preserve"> </w:t>
      </w:r>
      <w:r>
        <w:t xml:space="preserve">[3] [V].</w:t>
      </w:r>
    </w:p>
    <w:p>
      <w:pPr>
        <w:numPr>
          <w:ilvl w:val="0"/>
          <w:numId w:val="1139"/>
        </w:numPr>
        <w:pStyle w:val="Compact"/>
      </w:pPr>
      <w:r>
        <w:rPr>
          <w:bCs/>
          <w:b/>
        </w:rPr>
        <w:t xml:space="preserve">Tarifs</w:t>
      </w:r>
      <w:r>
        <w:t xml:space="preserve"> </w:t>
      </w:r>
      <w:r>
        <w:t xml:space="preserve">: le FMI (MEFP, juin 2026) prévoit une « stratégie intégrée à moyen terme pour rationaliser le niveau et le modèle de détermination des tarifs fondée sur les coûts d’approvisionnement,</w:t>
      </w:r>
      <w:r>
        <w:t xml:space="preserve"> </w:t>
      </w:r>
      <w:r>
        <w:rPr>
          <w:bCs/>
          <w:b/>
        </w:rPr>
        <w:t xml:space="preserve">à partir de septembre 2027</w:t>
      </w:r>
      <w:r>
        <w:t xml:space="preserve"> </w:t>
      </w:r>
      <w:r>
        <w:t xml:space="preserve">» [2] [V].</w:t>
      </w:r>
    </w:p>
    <w:p>
      <w:pPr>
        <w:numPr>
          <w:ilvl w:val="0"/>
          <w:numId w:val="1139"/>
        </w:numPr>
        <w:pStyle w:val="Compact"/>
      </w:pPr>
      <w:r>
        <w:rPr>
          <w:bCs/>
          <w:b/>
        </w:rPr>
        <w:t xml:space="preserve">Gouvernance</w:t>
      </w:r>
      <w:r>
        <w:t xml:space="preserve"> </w:t>
      </w:r>
      <w:r>
        <w:t xml:space="preserve">: la séparation comptable par métier a été décrétée (action préalable n° 9 de la DPF1) [4] [V]. Côté projets, l’unité de gestion SOMELEC n’a pas encore d’auditeur interne ni d’auditeur externe recruté, et seuls 4,3 % du WA-REMP sont décaissés en février 2026 [5] [V]. La BAD finance un projet d’appui à la gouvernance des entreprises publiques (PEGSP) [6] [V].</w:t>
      </w:r>
    </w:p>
    <w:bookmarkEnd w:id="256"/>
    <w:bookmarkStart w:id="257" w:name="X5ec424b121367d6c55a4e041b6eddc2308dde39"/>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741"/>
        <w:gridCol w:w="822"/>
        <w:gridCol w:w="1573"/>
        <w:gridCol w:w="1497"/>
        <w:gridCol w:w="3620"/>
        <w:gridCol w:w="1378"/>
        <w:gridCol w:w="1236"/>
        <w:gridCol w:w="699"/>
      </w:tblGrid>
      <w:tr>
        <w:trPr>
          <w:tblHeader w:val="true"/>
        </w:trPr>
        <w:tc>
          <w:tcPr>
            <w:tcW w:w="3741" w:type="dxa"/>
          </w:tcPr>
          <w:tcPr/>
          <w:p>
            <w:pPr>
              <w:pStyle w:val="Compact"/>
              <w:jc w:val="left"/>
            </w:pPr>
            <w:r>
              <w:t xml:space="preserve">Programme / projet</w:t>
            </w:r>
          </w:p>
        </w:tc>
        <w:tc>
          <w:tcPr>
            <w:tcW w:w="822" w:type="dxa"/>
          </w:tcPr>
          <w:tcPr/>
          <w:p>
            <w:pPr>
              <w:pStyle w:val="Compact"/>
              <w:jc w:val="left"/>
            </w:pPr>
            <w:r>
              <w:t xml:space="preserve">Bailleur</w:t>
            </w:r>
          </w:p>
        </w:tc>
        <w:tc>
          <w:tcPr>
            <w:tcW w:w="1573" w:type="dxa"/>
          </w:tcPr>
          <w:tcPr/>
          <w:p>
            <w:pPr>
              <w:pStyle w:val="Compact"/>
              <w:jc w:val="left"/>
            </w:pPr>
            <w:r>
              <w:t xml:space="preserve">Montant</w:t>
            </w:r>
          </w:p>
        </w:tc>
        <w:tc>
          <w:tcPr>
            <w:tcW w:w="1497" w:type="dxa"/>
          </w:tcPr>
          <w:tcPr/>
          <w:p>
            <w:pPr>
              <w:pStyle w:val="Compact"/>
              <w:jc w:val="left"/>
            </w:pPr>
            <w:r>
              <w:t xml:space="preserve">Années</w:t>
            </w:r>
          </w:p>
        </w:tc>
        <w:tc>
          <w:tcPr>
            <w:tcW w:w="3620" w:type="dxa"/>
          </w:tcPr>
          <w:tcPr/>
          <w:p>
            <w:pPr>
              <w:pStyle w:val="Compact"/>
              <w:jc w:val="left"/>
            </w:pPr>
            <w:r>
              <w:t xml:space="preserve">Objectifs liés à l’opérateur</w:t>
            </w:r>
          </w:p>
        </w:tc>
        <w:tc>
          <w:tcPr>
            <w:tcW w:w="1378" w:type="dxa"/>
          </w:tcPr>
          <w:tcPr/>
          <w:p>
            <w:pPr>
              <w:pStyle w:val="Compact"/>
              <w:jc w:val="left"/>
            </w:pPr>
            <w:r>
              <w:t xml:space="preserve">Conditions / indicateurs</w:t>
            </w:r>
          </w:p>
        </w:tc>
        <w:tc>
          <w:tcPr>
            <w:tcW w:w="1236" w:type="dxa"/>
          </w:tcPr>
          <w:tcPr/>
          <w:p>
            <w:pPr>
              <w:pStyle w:val="Compact"/>
              <w:jc w:val="left"/>
            </w:pPr>
            <w:r>
              <w:t xml:space="preserve">Statut</w:t>
            </w:r>
          </w:p>
        </w:tc>
        <w:tc>
          <w:tcPr>
            <w:tcW w:w="699" w:type="dxa"/>
          </w:tcPr>
          <w:tcPr/>
          <w:p>
            <w:pPr>
              <w:pStyle w:val="Compact"/>
              <w:jc w:val="left"/>
            </w:pPr>
            <w:r>
              <w:t xml:space="preserve">Source</w:t>
            </w:r>
          </w:p>
        </w:tc>
      </w:tr>
      <w:tr>
        <w:tc>
          <w:tcPr>
            <w:tcW w:w="3741" w:type="dxa"/>
          </w:tcPr>
          <w:tcPr/>
          <w:p>
            <w:pPr>
              <w:pStyle w:val="Compact"/>
              <w:jc w:val="left"/>
            </w:pPr>
            <w:r>
              <w:t xml:space="preserve">WA-REMP MPA Ph. 1 – Mauritania Transmission Corridor Project,</w:t>
            </w:r>
            <w:r>
              <w:t xml:space="preserve"> </w:t>
            </w:r>
            <w:r>
              <w:rPr>
                <w:bCs/>
                <w:b/>
              </w:rPr>
              <w:t xml:space="preserve">P505173</w:t>
            </w:r>
          </w:p>
        </w:tc>
        <w:tc>
          <w:tcPr>
            <w:tcW w:w="822" w:type="dxa"/>
          </w:tcPr>
          <w:tcPr/>
          <w:p>
            <w:pPr>
              <w:pStyle w:val="Compact"/>
              <w:jc w:val="left"/>
            </w:pPr>
            <w:r>
              <w:t xml:space="preserve">BM (IDA), cofinancement BAD (115 M), BEI/UE (120 M), AFD (71 M) et JICA (30 M)</w:t>
            </w:r>
          </w:p>
        </w:tc>
        <w:tc>
          <w:tcPr>
            <w:tcW w:w="1573" w:type="dxa"/>
          </w:tcPr>
          <w:tcPr/>
          <w:p>
            <w:pPr>
              <w:pStyle w:val="Compact"/>
              <w:jc w:val="left"/>
            </w:pPr>
            <w:r>
              <w:t xml:space="preserve">129 M USD IDA (total de 465 M USD)</w:t>
            </w:r>
          </w:p>
        </w:tc>
        <w:tc>
          <w:tcPr>
            <w:tcW w:w="1497" w:type="dxa"/>
          </w:tcPr>
          <w:tcPr/>
          <w:p>
            <w:pPr>
              <w:pStyle w:val="Compact"/>
              <w:jc w:val="left"/>
            </w:pPr>
            <w:r>
              <w:t xml:space="preserve">approuvé le 24/01/2025, entré en vigueur le 30/09/2025, clôture le 31/01/2030</w:t>
            </w:r>
          </w:p>
        </w:tc>
        <w:tc>
          <w:tcPr>
            <w:tcW w:w="3620" w:type="dxa"/>
          </w:tcPr>
          <w:tcPr/>
          <w:p>
            <w:pPr>
              <w:pStyle w:val="Compact"/>
              <w:jc w:val="left"/>
            </w:pPr>
            <w:r>
              <w:t xml:space="preserve">ligne 225 kV Nouakchott–Kiffa (Aleg–El Ghaira) ; EnR ; nouveau contrat-programme et plan de performance de SOMELEC (sous-composante 3.1)</w:t>
            </w:r>
          </w:p>
        </w:tc>
        <w:tc>
          <w:tcPr>
            <w:tcW w:w="1378" w:type="dxa"/>
          </w:tcPr>
          <w:tcPr/>
          <w:p>
            <w:pPr>
              <w:pStyle w:val="Compact"/>
              <w:jc w:val="left"/>
            </w:pPr>
            <w:r>
              <w:t xml:space="preserve">réduction des pertes de transport de 15 % ; MW EnR</w:t>
            </w:r>
          </w:p>
        </w:tc>
        <w:tc>
          <w:tcPr>
            <w:tcW w:w="1236" w:type="dxa"/>
          </w:tcPr>
          <w:tcPr/>
          <w:p>
            <w:pPr>
              <w:pStyle w:val="Compact"/>
              <w:jc w:val="left"/>
            </w:pPr>
            <w:r>
              <w:t xml:space="preserve">actif, notes « S » ; 4,3 % décaissé (02/2026)</w:t>
            </w:r>
          </w:p>
        </w:tc>
        <w:tc>
          <w:tcPr>
            <w:tcW w:w="699" w:type="dxa"/>
          </w:tcPr>
          <w:tcPr/>
          <w:p>
            <w:pPr>
              <w:pStyle w:val="Compact"/>
              <w:jc w:val="left"/>
            </w:pPr>
            <w:r>
              <w:t xml:space="preserve">[3 ; 5 ; 7]</w:t>
            </w:r>
          </w:p>
        </w:tc>
      </w:tr>
      <w:tr>
        <w:tc>
          <w:tcPr>
            <w:tcW w:w="3741" w:type="dxa"/>
          </w:tcPr>
          <w:tcPr/>
          <w:p>
            <w:pPr>
              <w:pStyle w:val="Compact"/>
              <w:jc w:val="left"/>
            </w:pPr>
            <w:r>
              <w:t xml:space="preserve">Mauritania First Reforms for Inclusive and Sustainable Growth</w:t>
            </w:r>
            <w:r>
              <w:t xml:space="preserve"> </w:t>
            </w:r>
            <w:r>
              <w:rPr>
                <w:bCs/>
                <w:b/>
              </w:rPr>
              <w:t xml:space="preserve">DPF, P511001</w:t>
            </w:r>
          </w:p>
        </w:tc>
        <w:tc>
          <w:tcPr>
            <w:tcW w:w="822" w:type="dxa"/>
          </w:tcPr>
          <w:tcPr/>
          <w:p>
            <w:pPr>
              <w:pStyle w:val="Compact"/>
              <w:jc w:val="left"/>
            </w:pPr>
            <w:r>
              <w:t xml:space="preserve">BM</w:t>
            </w:r>
          </w:p>
        </w:tc>
        <w:tc>
          <w:tcPr>
            <w:tcW w:w="1573" w:type="dxa"/>
          </w:tcPr>
          <w:tcPr/>
          <w:p>
            <w:pPr>
              <w:pStyle w:val="Compact"/>
              <w:jc w:val="left"/>
            </w:pPr>
            <w:r>
              <w:t xml:space="preserve">30 M USD</w:t>
            </w:r>
          </w:p>
        </w:tc>
        <w:tc>
          <w:tcPr>
            <w:tcW w:w="1497" w:type="dxa"/>
          </w:tcPr>
          <w:tcPr/>
          <w:p>
            <w:pPr>
              <w:pStyle w:val="Compact"/>
              <w:jc w:val="left"/>
            </w:pPr>
            <w:r>
              <w:t xml:space="preserve">25/11/2025</w:t>
            </w:r>
          </w:p>
        </w:tc>
        <w:tc>
          <w:tcPr>
            <w:tcW w:w="3620" w:type="dxa"/>
          </w:tcPr>
          <w:tcPr/>
          <w:p>
            <w:pPr>
              <w:pStyle w:val="Compact"/>
              <w:jc w:val="left"/>
            </w:pPr>
            <w:r>
              <w:t xml:space="preserve">séparation comptable de SOMELEC ; EnR ; Fonds d’électrification rurale</w:t>
            </w:r>
          </w:p>
        </w:tc>
        <w:tc>
          <w:tcPr>
            <w:tcW w:w="1378" w:type="dxa"/>
          </w:tcPr>
          <w:tcPr/>
          <w:p>
            <w:pPr>
              <w:pStyle w:val="Compact"/>
              <w:jc w:val="left"/>
            </w:pPr>
            <w:r>
              <w:t xml:space="preserve">AP n° 7 (fonds d’électrification rurale), AP n° 8 (licences EnR, priorité réseau),</w:t>
            </w:r>
            <w:r>
              <w:t xml:space="preserve"> </w:t>
            </w:r>
            <w:r>
              <w:rPr>
                <w:bCs/>
                <w:b/>
              </w:rPr>
              <w:t xml:space="preserve">AP n° 9 (séparation comptable de SOMELEC)</w:t>
            </w:r>
            <w:r>
              <w:t xml:space="preserve"> </w:t>
            </w:r>
            <w:r>
              <w:t xml:space="preserve">; déclencheur n° 2 : loi sur la performance de SOMELEC ;</w:t>
            </w:r>
            <w:r>
              <w:t xml:space="preserve"> </w:t>
            </w:r>
            <w:r>
              <w:rPr>
                <w:bCs/>
                <w:b/>
              </w:rPr>
              <w:t xml:space="preserve">pertes de 35 % ramenées à 30 % (2028)</w:t>
            </w:r>
          </w:p>
        </w:tc>
        <w:tc>
          <w:tcPr>
            <w:tcW w:w="1236" w:type="dxa"/>
          </w:tcPr>
          <w:tcPr/>
          <w:p>
            <w:pPr>
              <w:pStyle w:val="Compact"/>
              <w:jc w:val="left"/>
            </w:pPr>
            <w:r>
              <w:t xml:space="preserve">active</w:t>
            </w:r>
          </w:p>
        </w:tc>
        <w:tc>
          <w:tcPr>
            <w:tcW w:w="699" w:type="dxa"/>
          </w:tcPr>
          <w:tcPr/>
          <w:p>
            <w:pPr>
              <w:pStyle w:val="Compact"/>
              <w:jc w:val="left"/>
            </w:pPr>
            <w:r>
              <w:t xml:space="preserve">[4 ; 7]</w:t>
            </w:r>
          </w:p>
        </w:tc>
      </w:tr>
      <w:tr>
        <w:tc>
          <w:tcPr>
            <w:tcW w:w="3741" w:type="dxa"/>
          </w:tcPr>
          <w:tcPr/>
          <w:p>
            <w:pPr>
              <w:pStyle w:val="Compact"/>
              <w:jc w:val="left"/>
            </w:pPr>
            <w:r>
              <w:t xml:space="preserve">Second Reforms for Inclusive and Sustainable Growth DPF,</w:t>
            </w:r>
            <w:r>
              <w:t xml:space="preserve"> </w:t>
            </w:r>
            <w:r>
              <w:rPr>
                <w:bCs/>
                <w:b/>
              </w:rPr>
              <w:t xml:space="preserve">P513420</w:t>
            </w:r>
          </w:p>
        </w:tc>
        <w:tc>
          <w:tcPr>
            <w:tcW w:w="822" w:type="dxa"/>
          </w:tcPr>
          <w:tcPr/>
          <w:p>
            <w:pPr>
              <w:pStyle w:val="Compact"/>
              <w:jc w:val="left"/>
            </w:pPr>
            <w:r>
              <w:t xml:space="preserve">BM</w:t>
            </w:r>
          </w:p>
        </w:tc>
        <w:tc>
          <w:tcPr>
            <w:tcW w:w="1573" w:type="dxa"/>
          </w:tcPr>
          <w:tcPr/>
          <w:p>
            <w:pPr>
              <w:pStyle w:val="Compact"/>
              <w:jc w:val="left"/>
            </w:pPr>
            <w:r>
              <w:t xml:space="preserve">40 M USD</w:t>
            </w:r>
          </w:p>
        </w:tc>
        <w:tc>
          <w:tcPr>
            <w:tcW w:w="1497" w:type="dxa"/>
          </w:tcPr>
          <w:tcPr/>
          <w:p>
            <w:pPr>
              <w:pStyle w:val="Compact"/>
              <w:jc w:val="left"/>
            </w:pPr>
            <w:r>
              <w:t xml:space="preserve">prévu le 12/11/2026</w:t>
            </w:r>
          </w:p>
        </w:tc>
        <w:tc>
          <w:tcPr>
            <w:tcW w:w="3620" w:type="dxa"/>
          </w:tcPr>
          <w:tcPr/>
          <w:p>
            <w:pPr>
              <w:pStyle w:val="Compact"/>
              <w:jc w:val="left"/>
            </w:pPr>
            <w:r>
              <w:t xml:space="preserve">contenu probable : loi sur la performance de SOMELEC [E]</w:t>
            </w:r>
          </w:p>
        </w:tc>
        <w:tc>
          <w:tcPr>
            <w:tcW w:w="1378" w:type="dxa"/>
          </w:tcPr>
          <w:tcPr/>
          <w:p>
            <w:pPr>
              <w:pStyle w:val="Compact"/>
              <w:jc w:val="left"/>
            </w:pPr>
            <w:r>
              <w:t xml:space="preserve">[?]</w:t>
            </w:r>
          </w:p>
        </w:tc>
        <w:tc>
          <w:tcPr>
            <w:tcW w:w="1236" w:type="dxa"/>
          </w:tcPr>
          <w:tcPr/>
          <w:p>
            <w:pPr>
              <w:pStyle w:val="Compact"/>
              <w:jc w:val="left"/>
            </w:pPr>
            <w:r>
              <w:t xml:space="preserve">en préparation</w:t>
            </w:r>
          </w:p>
        </w:tc>
        <w:tc>
          <w:tcPr>
            <w:tcW w:w="699" w:type="dxa"/>
          </w:tcPr>
          <w:tcPr/>
          <w:p>
            <w:pPr>
              <w:pStyle w:val="Compact"/>
              <w:jc w:val="left"/>
            </w:pPr>
            <w:r>
              <w:t xml:space="preserve">[7]</w:t>
            </w:r>
          </w:p>
        </w:tc>
      </w:tr>
      <w:tr>
        <w:tc>
          <w:tcPr>
            <w:tcW w:w="3741" w:type="dxa"/>
          </w:tcPr>
          <w:tcPr/>
          <w:p>
            <w:pPr>
              <w:pStyle w:val="Compact"/>
              <w:jc w:val="left"/>
            </w:pPr>
            <w:r>
              <w:t xml:space="preserve">Development of Energy Resources and Mining Sector Support Ph. 1 (DREAM),</w:t>
            </w:r>
            <w:r>
              <w:t xml:space="preserve"> </w:t>
            </w:r>
            <w:r>
              <w:rPr>
                <w:bCs/>
                <w:b/>
              </w:rPr>
              <w:t xml:space="preserve">P179383</w:t>
            </w:r>
          </w:p>
        </w:tc>
        <w:tc>
          <w:tcPr>
            <w:tcW w:w="822" w:type="dxa"/>
          </w:tcPr>
          <w:tcPr/>
          <w:p>
            <w:pPr>
              <w:pStyle w:val="Compact"/>
              <w:jc w:val="left"/>
            </w:pPr>
            <w:r>
              <w:t xml:space="preserve">BM</w:t>
            </w:r>
          </w:p>
        </w:tc>
        <w:tc>
          <w:tcPr>
            <w:tcW w:w="1573" w:type="dxa"/>
          </w:tcPr>
          <w:tcPr/>
          <w:p>
            <w:pPr>
              <w:pStyle w:val="Compact"/>
              <w:jc w:val="left"/>
            </w:pPr>
            <w:r>
              <w:t xml:space="preserve">82,5 M USD</w:t>
            </w:r>
          </w:p>
        </w:tc>
        <w:tc>
          <w:tcPr>
            <w:tcW w:w="1497" w:type="dxa"/>
          </w:tcPr>
          <w:tcPr/>
          <w:p>
            <w:pPr>
              <w:pStyle w:val="Compact"/>
              <w:jc w:val="left"/>
            </w:pPr>
            <w:r>
              <w:t xml:space="preserve">2025-2030</w:t>
            </w:r>
          </w:p>
        </w:tc>
        <w:tc>
          <w:tcPr>
            <w:tcW w:w="3620" w:type="dxa"/>
          </w:tcPr>
          <w:tcPr/>
          <w:p>
            <w:pPr>
              <w:pStyle w:val="Compact"/>
              <w:jc w:val="left"/>
            </w:pPr>
            <w:r>
              <w:t xml:space="preserve">composante B exécutée par l’unité de gestion SOMELEC (transition énergétique, stockage)</w:t>
            </w:r>
          </w:p>
        </w:tc>
        <w:tc>
          <w:tcPr>
            <w:tcW w:w="1378" w:type="dxa"/>
          </w:tcPr>
          <w:tcPr/>
          <w:p>
            <w:pPr>
              <w:pStyle w:val="Compact"/>
              <w:jc w:val="left"/>
            </w:pPr>
            <w:r>
              <w:t xml:space="preserve">—</w:t>
            </w:r>
          </w:p>
        </w:tc>
        <w:tc>
          <w:tcPr>
            <w:tcW w:w="1236" w:type="dxa"/>
          </w:tcPr>
          <w:tcPr/>
          <w:p>
            <w:pPr>
              <w:pStyle w:val="Compact"/>
              <w:jc w:val="left"/>
            </w:pPr>
            <w:r>
              <w:t xml:space="preserve">actif ; 4,9 % décaissé (02/2026)</w:t>
            </w:r>
          </w:p>
        </w:tc>
        <w:tc>
          <w:tcPr>
            <w:tcW w:w="699" w:type="dxa"/>
          </w:tcPr>
          <w:tcPr/>
          <w:p>
            <w:pPr>
              <w:pStyle w:val="Compact"/>
              <w:jc w:val="left"/>
            </w:pPr>
            <w:r>
              <w:t xml:space="preserve">[5 ; 7]</w:t>
            </w:r>
          </w:p>
        </w:tc>
      </w:tr>
      <w:tr>
        <w:tc>
          <w:tcPr>
            <w:tcW w:w="3741" w:type="dxa"/>
          </w:tcPr>
          <w:tcPr/>
          <w:p>
            <w:pPr>
              <w:pStyle w:val="Compact"/>
              <w:jc w:val="left"/>
            </w:pPr>
            <w:r>
              <w:t xml:space="preserve">Regional Electricity Access and BEST,</w:t>
            </w:r>
            <w:r>
              <w:t xml:space="preserve"> </w:t>
            </w:r>
            <w:r>
              <w:rPr>
                <w:bCs/>
                <w:b/>
              </w:rPr>
              <w:t xml:space="preserve">P167569</w:t>
            </w:r>
          </w:p>
        </w:tc>
        <w:tc>
          <w:tcPr>
            <w:tcW w:w="822" w:type="dxa"/>
          </w:tcPr>
          <w:tcPr/>
          <w:p>
            <w:pPr>
              <w:pStyle w:val="Compact"/>
              <w:jc w:val="left"/>
            </w:pPr>
            <w:r>
              <w:t xml:space="preserve">BM</w:t>
            </w:r>
          </w:p>
        </w:tc>
        <w:tc>
          <w:tcPr>
            <w:tcW w:w="1573" w:type="dxa"/>
          </w:tcPr>
          <w:tcPr/>
          <w:p>
            <w:pPr>
              <w:pStyle w:val="Compact"/>
              <w:jc w:val="left"/>
            </w:pPr>
            <w:r>
              <w:t xml:space="preserve">465 M USD (régional) ; 90 M USD pour la Mauritanie (pacte)</w:t>
            </w:r>
          </w:p>
        </w:tc>
        <w:tc>
          <w:tcPr>
            <w:tcW w:w="1497" w:type="dxa"/>
          </w:tcPr>
          <w:tcPr/>
          <w:p>
            <w:pPr>
              <w:pStyle w:val="Compact"/>
              <w:jc w:val="left"/>
            </w:pPr>
            <w:r>
              <w:t xml:space="preserve">2021-2028</w:t>
            </w:r>
          </w:p>
        </w:tc>
        <w:tc>
          <w:tcPr>
            <w:tcW w:w="3620" w:type="dxa"/>
          </w:tcPr>
          <w:tcPr/>
          <w:p>
            <w:pPr>
              <w:pStyle w:val="Compact"/>
              <w:jc w:val="left"/>
            </w:pPr>
            <w:r>
              <w:t xml:space="preserve">accès, stockage</w:t>
            </w:r>
          </w:p>
        </w:tc>
        <w:tc>
          <w:tcPr>
            <w:tcW w:w="1378" w:type="dxa"/>
          </w:tcPr>
          <w:tcPr/>
          <w:p>
            <w:pPr>
              <w:pStyle w:val="Compact"/>
              <w:jc w:val="left"/>
            </w:pPr>
            <w:r>
              <w:t xml:space="preserve">—</w:t>
            </w:r>
          </w:p>
        </w:tc>
        <w:tc>
          <w:tcPr>
            <w:tcW w:w="1236" w:type="dxa"/>
          </w:tcPr>
          <w:tcPr/>
          <w:p>
            <w:pPr>
              <w:pStyle w:val="Compact"/>
              <w:jc w:val="left"/>
            </w:pPr>
            <w:r>
              <w:t xml:space="preserve">actif</w:t>
            </w:r>
          </w:p>
        </w:tc>
        <w:tc>
          <w:tcPr>
            <w:tcW w:w="699" w:type="dxa"/>
          </w:tcPr>
          <w:tcPr/>
          <w:p>
            <w:pPr>
              <w:pStyle w:val="Compact"/>
              <w:jc w:val="left"/>
            </w:pPr>
            <w:r>
              <w:t xml:space="preserve">[7 ; pacte]</w:t>
            </w:r>
          </w:p>
        </w:tc>
      </w:tr>
      <w:tr>
        <w:tc>
          <w:tcPr>
            <w:tcW w:w="3741" w:type="dxa"/>
          </w:tcPr>
          <w:tcPr/>
          <w:p>
            <w:pPr>
              <w:pStyle w:val="Compact"/>
              <w:jc w:val="left"/>
            </w:pPr>
            <w:r>
              <w:t xml:space="preserve">SMART GAS Ph. 1 (Sénégal–Mauritanie),</w:t>
            </w:r>
            <w:r>
              <w:t xml:space="preserve"> </w:t>
            </w:r>
            <w:r>
              <w:rPr>
                <w:bCs/>
                <w:b/>
              </w:rPr>
              <w:t xml:space="preserve">P516520</w:t>
            </w:r>
          </w:p>
        </w:tc>
        <w:tc>
          <w:tcPr>
            <w:tcW w:w="822" w:type="dxa"/>
          </w:tcPr>
          <w:tcPr/>
          <w:p>
            <w:pPr>
              <w:pStyle w:val="Compact"/>
              <w:jc w:val="left"/>
            </w:pPr>
            <w:r>
              <w:t xml:space="preserve">BM</w:t>
            </w:r>
          </w:p>
        </w:tc>
        <w:tc>
          <w:tcPr>
            <w:tcW w:w="1573" w:type="dxa"/>
          </w:tcPr>
          <w:tcPr/>
          <w:p>
            <w:pPr>
              <w:pStyle w:val="Compact"/>
              <w:jc w:val="left"/>
            </w:pPr>
            <w:r>
              <w:t xml:space="preserve">50 M USD</w:t>
            </w:r>
          </w:p>
        </w:tc>
        <w:tc>
          <w:tcPr>
            <w:tcW w:w="1497" w:type="dxa"/>
          </w:tcPr>
          <w:tcPr/>
          <w:p>
            <w:pPr>
              <w:pStyle w:val="Compact"/>
              <w:jc w:val="left"/>
            </w:pPr>
            <w:r>
              <w:t xml:space="preserve">prévu le 22/12/2026</w:t>
            </w:r>
          </w:p>
        </w:tc>
        <w:tc>
          <w:tcPr>
            <w:tcW w:w="3620" w:type="dxa"/>
          </w:tcPr>
          <w:tcPr/>
          <w:p>
            <w:pPr>
              <w:pStyle w:val="Compact"/>
              <w:jc w:val="left"/>
            </w:pPr>
            <w:r>
              <w:t xml:space="preserve">gas-to-power, production privée</w:t>
            </w:r>
          </w:p>
        </w:tc>
        <w:tc>
          <w:tcPr>
            <w:tcW w:w="1378" w:type="dxa"/>
          </w:tcPr>
          <w:tcPr/>
          <w:p>
            <w:pPr>
              <w:pStyle w:val="Compact"/>
              <w:jc w:val="left"/>
            </w:pPr>
            <w:r>
              <w:t xml:space="preserve">—</w:t>
            </w:r>
          </w:p>
        </w:tc>
        <w:tc>
          <w:tcPr>
            <w:tcW w:w="1236" w:type="dxa"/>
          </w:tcPr>
          <w:tcPr/>
          <w:p>
            <w:pPr>
              <w:pStyle w:val="Compact"/>
              <w:jc w:val="left"/>
            </w:pPr>
            <w:r>
              <w:t xml:space="preserve">en préparation</w:t>
            </w:r>
          </w:p>
        </w:tc>
        <w:tc>
          <w:tcPr>
            <w:tcW w:w="699" w:type="dxa"/>
          </w:tcPr>
          <w:tcPr/>
          <w:p>
            <w:pPr>
              <w:pStyle w:val="Compact"/>
              <w:jc w:val="left"/>
            </w:pPr>
            <w:r>
              <w:t xml:space="preserve">[7]</w:t>
            </w:r>
          </w:p>
        </w:tc>
      </w:tr>
      <w:tr>
        <w:tc>
          <w:tcPr>
            <w:tcW w:w="3741" w:type="dxa"/>
          </w:tcPr>
          <w:tcPr/>
          <w:p>
            <w:pPr>
              <w:pStyle w:val="Compact"/>
              <w:jc w:val="left"/>
            </w:pPr>
            <w:r>
              <w:t xml:space="preserve">Desert to Power – Interconnexion 225 kV Mauritanie–Mali et centrales solaires associées (PIEMM), 46002-P-Z1-FA0-214</w:t>
            </w:r>
          </w:p>
        </w:tc>
        <w:tc>
          <w:tcPr>
            <w:tcW w:w="822" w:type="dxa"/>
          </w:tcPr>
          <w:tcPr/>
          <w:p>
            <w:pPr>
              <w:pStyle w:val="Compact"/>
              <w:jc w:val="left"/>
            </w:pPr>
            <w:r>
              <w:t xml:space="preserve">BAD</w:t>
            </w:r>
          </w:p>
        </w:tc>
        <w:tc>
          <w:tcPr>
            <w:tcW w:w="1573" w:type="dxa"/>
          </w:tcPr>
          <w:tcPr/>
          <w:p>
            <w:pPr>
              <w:pStyle w:val="Compact"/>
              <w:jc w:val="left"/>
            </w:pPr>
            <w:r>
              <w:t xml:space="preserve">environ 271,1 M USD (IATI)</w:t>
            </w:r>
          </w:p>
        </w:tc>
        <w:tc>
          <w:tcPr>
            <w:tcW w:w="1497" w:type="dxa"/>
          </w:tcPr>
          <w:tcPr/>
          <w:p>
            <w:pPr>
              <w:pStyle w:val="Compact"/>
              <w:jc w:val="left"/>
            </w:pPr>
            <w:r>
              <w:t xml:space="preserve">début 01/2024</w:t>
            </w:r>
          </w:p>
        </w:tc>
        <w:tc>
          <w:tcPr>
            <w:tcW w:w="3620" w:type="dxa"/>
          </w:tcPr>
          <w:tcPr/>
          <w:p>
            <w:pPr>
              <w:pStyle w:val="Compact"/>
              <w:jc w:val="left"/>
            </w:pPr>
            <w:r>
              <w:t xml:space="preserve">interconnexion, solaire (Kiffa), efficacité énergétique</w:t>
            </w:r>
          </w:p>
        </w:tc>
        <w:tc>
          <w:tcPr>
            <w:tcW w:w="1378" w:type="dxa"/>
          </w:tcPr>
          <w:tcPr/>
          <w:p>
            <w:pPr>
              <w:pStyle w:val="Compact"/>
              <w:jc w:val="left"/>
            </w:pPr>
            <w:r>
              <w:t xml:space="preserve">[?]</w:t>
            </w:r>
          </w:p>
        </w:tc>
        <w:tc>
          <w:tcPr>
            <w:tcW w:w="1236" w:type="dxa"/>
          </w:tcPr>
          <w:tcPr/>
          <w:p>
            <w:pPr>
              <w:pStyle w:val="Compact"/>
              <w:jc w:val="left"/>
            </w:pPr>
            <w:r>
              <w:t xml:space="preserve">en cours</w:t>
            </w:r>
          </w:p>
        </w:tc>
        <w:tc>
          <w:tcPr>
            <w:tcW w:w="699" w:type="dxa"/>
          </w:tcPr>
          <w:tcPr/>
          <w:p>
            <w:pPr>
              <w:pStyle w:val="Compact"/>
              <w:jc w:val="left"/>
            </w:pPr>
            <w:r>
              <w:t xml:space="preserve">[6]</w:t>
            </w:r>
          </w:p>
        </w:tc>
      </w:tr>
      <w:tr>
        <w:tc>
          <w:tcPr>
            <w:tcW w:w="3741" w:type="dxa"/>
          </w:tcPr>
          <w:tcPr/>
          <w:p>
            <w:pPr>
              <w:pStyle w:val="Compact"/>
              <w:jc w:val="left"/>
            </w:pPr>
            <w:r>
              <w:t xml:space="preserve">Projet d’appui à la gouvernance des entreprises publiques (PEGSP), 46002-P-MR-K00-019</w:t>
            </w:r>
          </w:p>
        </w:tc>
        <w:tc>
          <w:tcPr>
            <w:tcW w:w="822" w:type="dxa"/>
          </w:tcPr>
          <w:tcPr/>
          <w:p>
            <w:pPr>
              <w:pStyle w:val="Compact"/>
              <w:jc w:val="left"/>
            </w:pPr>
            <w:r>
              <w:t xml:space="preserve">BAD</w:t>
            </w:r>
          </w:p>
        </w:tc>
        <w:tc>
          <w:tcPr>
            <w:tcW w:w="1573" w:type="dxa"/>
          </w:tcPr>
          <w:tcPr/>
          <w:p>
            <w:pPr>
              <w:pStyle w:val="Compact"/>
              <w:jc w:val="left"/>
            </w:pPr>
            <w:r>
              <w:t xml:space="preserve">environ 8,9 M USD</w:t>
            </w:r>
          </w:p>
        </w:tc>
        <w:tc>
          <w:tcPr>
            <w:tcW w:w="1497" w:type="dxa"/>
          </w:tcPr>
          <w:tcPr/>
          <w:p>
            <w:pPr>
              <w:pStyle w:val="Compact"/>
              <w:jc w:val="left"/>
            </w:pPr>
            <w:r>
              <w:t xml:space="preserve">11/2023</w:t>
            </w:r>
          </w:p>
        </w:tc>
        <w:tc>
          <w:tcPr>
            <w:tcW w:w="3620" w:type="dxa"/>
          </w:tcPr>
          <w:tcPr/>
          <w:p>
            <w:pPr>
              <w:pStyle w:val="Compact"/>
              <w:jc w:val="left"/>
            </w:pPr>
            <w:r>
              <w:t xml:space="preserve">gouvernance des entreprises publiques (SOMELEC incluse ? [?])</w:t>
            </w:r>
          </w:p>
        </w:tc>
        <w:tc>
          <w:tcPr>
            <w:tcW w:w="1378" w:type="dxa"/>
          </w:tcPr>
          <w:tcPr/>
          <w:p>
            <w:pPr>
              <w:pStyle w:val="Compact"/>
              <w:jc w:val="left"/>
            </w:pPr>
            <w:r>
              <w:t xml:space="preserve">[?]</w:t>
            </w:r>
          </w:p>
        </w:tc>
        <w:tc>
          <w:tcPr>
            <w:tcW w:w="1236" w:type="dxa"/>
          </w:tcPr>
          <w:tcPr/>
          <w:p>
            <w:pPr>
              <w:pStyle w:val="Compact"/>
              <w:jc w:val="left"/>
            </w:pPr>
            <w:r>
              <w:t xml:space="preserve">en cours</w:t>
            </w:r>
          </w:p>
        </w:tc>
        <w:tc>
          <w:tcPr>
            <w:tcW w:w="699" w:type="dxa"/>
          </w:tcPr>
          <w:tcPr/>
          <w:p>
            <w:pPr>
              <w:pStyle w:val="Compact"/>
              <w:jc w:val="left"/>
            </w:pPr>
            <w:r>
              <w:t xml:space="preserve">[6]</w:t>
            </w:r>
          </w:p>
        </w:tc>
      </w:tr>
      <w:tr>
        <w:tc>
          <w:tcPr>
            <w:tcW w:w="3741" w:type="dxa"/>
          </w:tcPr>
          <w:tcPr/>
          <w:p>
            <w:pPr>
              <w:pStyle w:val="Compact"/>
              <w:jc w:val="left"/>
            </w:pPr>
            <w:r>
              <w:t xml:space="preserve">Nouveaux accords FEC/MEDC (42 mois) ; FRD (5e revue)</w:t>
            </w:r>
          </w:p>
        </w:tc>
        <w:tc>
          <w:tcPr>
            <w:tcW w:w="822" w:type="dxa"/>
          </w:tcPr>
          <w:tcPr/>
          <w:p>
            <w:pPr>
              <w:pStyle w:val="Compact"/>
              <w:jc w:val="left"/>
            </w:pPr>
            <w:r>
              <w:t xml:space="preserve">FMI</w:t>
            </w:r>
          </w:p>
        </w:tc>
        <w:tc>
          <w:tcPr>
            <w:tcW w:w="1573" w:type="dxa"/>
          </w:tcPr>
          <w:tcPr/>
          <w:p>
            <w:pPr>
              <w:pStyle w:val="Compact"/>
              <w:jc w:val="left"/>
            </w:pPr>
            <w:r>
              <w:t xml:space="preserve">[?] montant non relevé</w:t>
            </w:r>
          </w:p>
        </w:tc>
        <w:tc>
          <w:tcPr>
            <w:tcW w:w="1497" w:type="dxa"/>
          </w:tcPr>
          <w:tcPr/>
          <w:p>
            <w:pPr>
              <w:pStyle w:val="Compact"/>
              <w:jc w:val="left"/>
            </w:pPr>
            <w:r>
              <w:t xml:space="preserve">approuvé en juin 2026</w:t>
            </w:r>
          </w:p>
        </w:tc>
        <w:tc>
          <w:tcPr>
            <w:tcW w:w="3620" w:type="dxa"/>
          </w:tcPr>
          <w:tcPr/>
          <w:p>
            <w:pPr>
              <w:pStyle w:val="Compact"/>
              <w:jc w:val="left"/>
            </w:pPr>
            <w:r>
              <w:t xml:space="preserve">réforme tarifaire à partir de 09/2027 ; transferts à SOMELEC ; accès des IPP au réseau (RM VIII, achevée)</w:t>
            </w:r>
          </w:p>
        </w:tc>
        <w:tc>
          <w:tcPr>
            <w:tcW w:w="1378" w:type="dxa"/>
          </w:tcPr>
          <w:tcPr/>
          <w:p>
            <w:pPr>
              <w:pStyle w:val="Compact"/>
              <w:jc w:val="left"/>
            </w:pPr>
            <w:r>
              <w:t xml:space="preserve">MEFP §19</w:t>
            </w:r>
          </w:p>
        </w:tc>
        <w:tc>
          <w:tcPr>
            <w:tcW w:w="1236" w:type="dxa"/>
          </w:tcPr>
          <w:tcPr/>
          <w:p>
            <w:pPr>
              <w:pStyle w:val="Compact"/>
              <w:jc w:val="left"/>
            </w:pPr>
            <w:r>
              <w:t xml:space="preserve">actif</w:t>
            </w:r>
          </w:p>
        </w:tc>
        <w:tc>
          <w:tcPr>
            <w:tcW w:w="699" w:type="dxa"/>
          </w:tcPr>
          <w:tcPr/>
          <w:p>
            <w:pPr>
              <w:pStyle w:val="Compact"/>
              <w:jc w:val="left"/>
            </w:pPr>
            <w:r>
              <w:t xml:space="preserve">[2]</w:t>
            </w:r>
          </w:p>
        </w:tc>
      </w:tr>
    </w:tbl>
    <w:bookmarkEnd w:id="257"/>
    <w:bookmarkStart w:id="258" w:name="écart-pacte-réalité-21"/>
    <w:p>
      <w:pPr>
        <w:pStyle w:val="Heading3"/>
      </w:pPr>
      <w:r>
        <w:t xml:space="preserve">5. Écart pacte ↔ réalité</w:t>
      </w:r>
    </w:p>
    <w:p>
      <w:pPr>
        <w:numPr>
          <w:ilvl w:val="0"/>
          <w:numId w:val="1140"/>
        </w:numPr>
        <w:pStyle w:val="Compact"/>
      </w:pPr>
      <w:r>
        <w:rPr>
          <w:bCs/>
          <w:b/>
        </w:rPr>
        <w:t xml:space="preserve">Pertes</w:t>
      </w:r>
      <w:r>
        <w:t xml:space="preserve"> </w:t>
      </w:r>
      <w:r>
        <w:t xml:space="preserve">: le pacte affiche une amélioration régulière jusqu’à un rendement de 77,47 % fin 2023 (environ 22,5 % de pertes). La BM retient</w:t>
      </w:r>
      <w:r>
        <w:t xml:space="preserve"> </w:t>
      </w:r>
      <w:r>
        <w:rPr>
          <w:bCs/>
          <w:b/>
        </w:rPr>
        <w:t xml:space="preserve">35 % de pertes système</w:t>
      </w:r>
      <w:r>
        <w:t xml:space="preserve"> </w:t>
      </w:r>
      <w:r>
        <w:t xml:space="preserve">dans un document approuvé fin 2025 [4]. L’écart est majeur. Il peut tenir au périmètre (pertes techniques et commerciales contre ATC&amp;C) ou à la base de calcul, mais le pacte ne le signale pas.</w:t>
      </w:r>
    </w:p>
    <w:p>
      <w:pPr>
        <w:numPr>
          <w:ilvl w:val="0"/>
          <w:numId w:val="1140"/>
        </w:numPr>
        <w:pStyle w:val="Compact"/>
      </w:pPr>
      <w:r>
        <w:rPr>
          <w:bCs/>
          <w:b/>
        </w:rPr>
        <w:t xml:space="preserve">Recouvrement</w:t>
      </w:r>
      <w:r>
        <w:t xml:space="preserve"> </w:t>
      </w:r>
      <w:r>
        <w:t xml:space="preserve">: le pacte ne donne pas de taux. La BM indique</w:t>
      </w:r>
      <w:r>
        <w:t xml:space="preserve"> </w:t>
      </w:r>
      <w:r>
        <w:rPr>
          <w:bCs/>
          <w:b/>
        </w:rPr>
        <w:t xml:space="preserve">35 %</w:t>
      </w:r>
      <w:r>
        <w:t xml:space="preserve"> </w:t>
      </w:r>
      <w:r>
        <w:t xml:space="preserve">[4], ce qui ferait de SOMELEC l’un des recouvrements les plus faibles de la région. Ce chiffre surprenant mériterait vérification ; il pourrait s’agir d’un taux partiel, par exemple sur l’Administration [E].</w:t>
      </w:r>
    </w:p>
    <w:p>
      <w:pPr>
        <w:numPr>
          <w:ilvl w:val="0"/>
          <w:numId w:val="1140"/>
        </w:numPr>
        <w:pStyle w:val="Compact"/>
      </w:pPr>
      <w:r>
        <w:rPr>
          <w:bCs/>
          <w:b/>
        </w:rPr>
        <w:t xml:space="preserve">Tarifs</w:t>
      </w:r>
      <w:r>
        <w:t xml:space="preserve"> </w:t>
      </w:r>
      <w:r>
        <w:t xml:space="preserve">: le pacte écartait l’ajustement tarifaire (« alternatives à l’augmentation »). Le programme FMI de 2026 prévoit une réforme fondée sur les coûts à partir de</w:t>
      </w:r>
      <w:r>
        <w:t xml:space="preserve"> </w:t>
      </w:r>
      <w:r>
        <w:rPr>
          <w:bCs/>
          <w:b/>
        </w:rPr>
        <w:t xml:space="preserve">septembre 2027</w:t>
      </w:r>
      <w:r>
        <w:t xml:space="preserve"> </w:t>
      </w:r>
      <w:r>
        <w:t xml:space="preserve">[2] : c’est un engagement nouveau, plus tardif mais plus explicite.</w:t>
      </w:r>
    </w:p>
    <w:p>
      <w:pPr>
        <w:numPr>
          <w:ilvl w:val="0"/>
          <w:numId w:val="1140"/>
        </w:numPr>
        <w:pStyle w:val="Compact"/>
      </w:pPr>
      <w:r>
        <w:rPr>
          <w:bCs/>
          <w:b/>
        </w:rPr>
        <w:t xml:space="preserve">Transparence</w:t>
      </w:r>
      <w:r>
        <w:t xml:space="preserve"> </w:t>
      </w:r>
      <w:r>
        <w:t xml:space="preserve">: le pacte promettait la publication des états financiers audités, mais aucun n’est accessible publiquement (octobre 2026).</w:t>
      </w:r>
    </w:p>
    <w:p>
      <w:pPr>
        <w:numPr>
          <w:ilvl w:val="0"/>
          <w:numId w:val="1140"/>
        </w:numPr>
        <w:pStyle w:val="Compact"/>
      </w:pPr>
      <w:r>
        <w:rPr>
          <w:bCs/>
          <w:b/>
        </w:rPr>
        <w:t xml:space="preserve">Restructuration</w:t>
      </w:r>
      <w:r>
        <w:t xml:space="preserve"> </w:t>
      </w:r>
      <w:r>
        <w:t xml:space="preserve">: le pacte mentionne 4 entités ; le décret de 2024 crée une mère et 3 filiales [1]. Les deux descriptions concordent.</w:t>
      </w:r>
    </w:p>
    <w:bookmarkEnd w:id="258"/>
    <w:bookmarkStart w:id="259" w:name="diagnostic-synthétique-21"/>
    <w:p>
      <w:pPr>
        <w:pStyle w:val="Heading3"/>
      </w:pPr>
      <w:r>
        <w:t xml:space="preserve">6. Diagnostic synthétique</w:t>
      </w:r>
    </w:p>
    <w:p>
      <w:pPr>
        <w:numPr>
          <w:ilvl w:val="0"/>
          <w:numId w:val="1141"/>
        </w:numPr>
        <w:pStyle w:val="Compact"/>
      </w:pPr>
      <w:r>
        <w:rPr>
          <w:bCs/>
          <w:b/>
        </w:rPr>
        <w:t xml:space="preserve">Financière : faible.</w:t>
      </w:r>
      <w:r>
        <w:t xml:space="preserve"> </w:t>
      </w:r>
      <w:r>
        <w:t xml:space="preserve">Les comptes ne sont pas publiés, la dépendance aux transferts est récurrente (2 % du PIB en moyenne selon le pacte) et le recouvrement très faible (35 % selon la BM).</w:t>
      </w:r>
    </w:p>
    <w:p>
      <w:pPr>
        <w:numPr>
          <w:ilvl w:val="0"/>
          <w:numId w:val="1141"/>
        </w:numPr>
        <w:pStyle w:val="Compact"/>
      </w:pPr>
      <w:r>
        <w:rPr>
          <w:bCs/>
          <w:b/>
        </w:rPr>
        <w:t xml:space="preserve">Technique : faible-moyenne.</w:t>
      </w:r>
      <w:r>
        <w:t xml:space="preserve"> </w:t>
      </w:r>
      <w:r>
        <w:t xml:space="preserve">Les pertes sont élevées (22 à 35 % selon les sources) et le parc thermique est coûteux. La part d’EnR est en revanche élevée et croissante (44-48 %).</w:t>
      </w:r>
    </w:p>
    <w:p>
      <w:pPr>
        <w:numPr>
          <w:ilvl w:val="0"/>
          <w:numId w:val="1141"/>
        </w:numPr>
        <w:pStyle w:val="Compact"/>
      </w:pPr>
      <w:r>
        <w:rPr>
          <w:bCs/>
          <w:b/>
        </w:rPr>
        <w:t xml:space="preserve">Gouvernance : faible</w:t>
      </w:r>
      <w:r>
        <w:t xml:space="preserve">, avec une amélioration en cours : restructuration en groupe, séparation comptable, nouvelle loi de performance en préparation, accès des IPP. Le contrat-programme a 25 ans d’âge.</w:t>
      </w:r>
    </w:p>
    <w:p>
      <w:pPr>
        <w:numPr>
          <w:ilvl w:val="0"/>
          <w:numId w:val="1141"/>
        </w:numPr>
        <w:pStyle w:val="Compact"/>
      </w:pPr>
      <w:r>
        <w:rPr>
          <w:bCs/>
          <w:b/>
        </w:rPr>
        <w:t xml:space="preserve">Causes racines</w:t>
      </w:r>
      <w:r>
        <w:t xml:space="preserve"> </w:t>
      </w:r>
      <w:r>
        <w:t xml:space="preserve">: (1) une production thermique à environ 40 c$/kWh vendue entre 6,5 et 15,5 c$ ; (2) des pertes et un recouvrement très dégradés ; (3) une gouvernance contractuelle obsolète (contrat de 25 ans, comptes non publics).</w:t>
      </w:r>
    </w:p>
    <w:p>
      <w:pPr>
        <w:numPr>
          <w:ilvl w:val="0"/>
          <w:numId w:val="1141"/>
        </w:numPr>
        <w:pStyle w:val="Compact"/>
      </w:pPr>
      <w:r>
        <w:rPr>
          <w:bCs/>
          <w:b/>
        </w:rPr>
        <w:t xml:space="preserve">Phase 3</w:t>
      </w:r>
      <w:r>
        <w:t xml:space="preserve"> </w:t>
      </w:r>
      <w:r>
        <w:t xml:space="preserve">: coût de revient par segment après séparation comptable ; impact de la stratégie tarifaire de 2027 ; coût des PPA EnR signés en 2025-2026 ; tarifs des DSPE rurales.</w:t>
      </w:r>
    </w:p>
    <w:bookmarkEnd w:id="259"/>
    <w:bookmarkStart w:id="260" w:name="inconnus-21"/>
    <w:p>
      <w:pPr>
        <w:pStyle w:val="Heading3"/>
      </w:pPr>
      <w:r>
        <w:t xml:space="preserve">7. Inconnus</w:t>
      </w:r>
    </w:p>
    <w:p>
      <w:pPr>
        <w:numPr>
          <w:ilvl w:val="0"/>
          <w:numId w:val="1142"/>
        </w:numPr>
        <w:pStyle w:val="Compact"/>
      </w:pPr>
      <w:r>
        <w:t xml:space="preserve">États financiers de SOMELEC (toutes années) [?] ; dette et arriérés [?] ; SAIDI/SAIFI [?].</w:t>
      </w:r>
    </w:p>
    <w:p>
      <w:pPr>
        <w:numPr>
          <w:ilvl w:val="0"/>
          <w:numId w:val="1142"/>
        </w:numPr>
        <w:pStyle w:val="Compact"/>
      </w:pPr>
      <w:r>
        <w:t xml:space="preserve">Définition exacte des 35 % de pertes et des 35 % de recouvrement de la BM [?].</w:t>
      </w:r>
    </w:p>
    <w:p>
      <w:pPr>
        <w:numPr>
          <w:ilvl w:val="0"/>
          <w:numId w:val="1142"/>
        </w:numPr>
        <w:pStyle w:val="Compact"/>
      </w:pPr>
      <w:r>
        <w:t xml:space="preserve">Montant des nouveaux accords FMI de 2026 [?] ; contenu du PEGSP de la BAD [?].</w:t>
      </w:r>
    </w:p>
    <w:bookmarkEnd w:id="260"/>
    <w:bookmarkStart w:id="261" w:name="sources-22"/>
    <w:p>
      <w:pPr>
        <w:pStyle w:val="Heading3"/>
      </w:pPr>
      <w:r>
        <w:t xml:space="preserve">Sources</w:t>
      </w:r>
    </w:p>
    <w:p>
      <w:pPr>
        <w:pStyle w:val="FirstParagraph"/>
      </w:pPr>
      <w:r>
        <w:t xml:space="preserve">[1] Autorité de Régulation (ARE),</w:t>
      </w:r>
      <w:r>
        <w:t xml:space="preserve"> </w:t>
      </w:r>
      <w:r>
        <w:rPr>
          <w:iCs/>
          <w:i/>
        </w:rPr>
        <w:t xml:space="preserve">Rapport annuel 2024</w:t>
      </w:r>
      <w:r>
        <w:t xml:space="preserve">, section Électricité (décret 2024-012 ; DSPE). https://www.are.mr/pdfs/RapportAre2024.pdf (téléchargé le 18/10/2026).</w:t>
      </w:r>
      <w:r>
        <w:t xml:space="preserve"> </w:t>
      </w:r>
      <w:r>
        <w:t xml:space="preserve">[2] FMI,</w:t>
      </w:r>
      <w:r>
        <w:t xml:space="preserve"> </w:t>
      </w:r>
      <w:r>
        <w:rPr>
          <w:iCs/>
          <w:i/>
        </w:rPr>
        <w:t xml:space="preserve">Islamic Republic of Mauritania: Requests for an Extended Arrangement Under the EFF and an Arrangement Under the ECF, Cancellation of Current Arrangements, and Fifth Review Under the RSF</w:t>
      </w:r>
      <w:r>
        <w:t xml:space="preserve">, IMF Country Report No. 26/158, 09/06/2026 (staff report, MEFP §19, TMU, matrice RSF). https://www.imf.org/-/media/files/publications/cr/2026/english/1mrtea2026002.pdf</w:t>
      </w:r>
      <w:r>
        <w:t xml:space="preserve"> </w:t>
      </w:r>
      <w:r>
        <w:t xml:space="preserve">[3] Banque mondiale,</w:t>
      </w:r>
      <w:r>
        <w:t xml:space="preserve"> </w:t>
      </w:r>
      <w:r>
        <w:rPr>
          <w:iCs/>
          <w:i/>
        </w:rPr>
        <w:t xml:space="preserve">PAD — WA-REMP MPA Phase 1 — Mauritania Transmission Corridor Project (P505173)</w:t>
      </w:r>
      <w:r>
        <w:t xml:space="preserve">, 01/2025. https://documents.worldbank.org/curated/en/099010625165539511/text/BOSIB-bf33b197-547c-441e-9b7f-b39dc13c2f0c.txt</w:t>
      </w:r>
      <w:r>
        <w:t xml:space="preserve"> </w:t>
      </w:r>
      <w:r>
        <w:t xml:space="preserve">[4] Banque mondiale,</w:t>
      </w:r>
      <w:r>
        <w:t xml:space="preserve"> </w:t>
      </w:r>
      <w:r>
        <w:rPr>
          <w:iCs/>
          <w:i/>
        </w:rPr>
        <w:t xml:space="preserve">Program Document — Mauritania First Reform for Inclusive and Sustainable Growth DPF (P511001)</w:t>
      </w:r>
      <w:r>
        <w:t xml:space="preserve">, 10/2025. https://documents.worldbank.org/curated/en/099110725184538471/text/BOSIB-55c3161e-654e-449c-9275-5e2e2786e6c8.txt</w:t>
      </w:r>
      <w:r>
        <w:t xml:space="preserve"> </w:t>
      </w:r>
      <w:r>
        <w:t xml:space="preserve">[5] Banque mondiale,</w:t>
      </w:r>
      <w:r>
        <w:t xml:space="preserve"> </w:t>
      </w:r>
      <w:r>
        <w:rPr>
          <w:iCs/>
          <w:i/>
        </w:rPr>
        <w:t xml:space="preserve">Aide-mémoire, mission conjointe REMP (P505173) et DREAM (P179383)</w:t>
      </w:r>
      <w:r>
        <w:t xml:space="preserve">, janvier-février 2026. https://documents.worldbank.org/curated/en/099052026151038277/text/P505173-e38fdd47-da10-4931-af3e-0ab3388ad371.txt</w:t>
      </w:r>
      <w:r>
        <w:t xml:space="preserve"> </w:t>
      </w:r>
      <w:r>
        <w:t xml:space="preserve">[6] BAD, données IATI (XM-DAC-46002) via d-portal.org, consultées le 18/10/2026 (46002-P-Z1-FA0-214 ; 46002-P-MR-K00-019).</w:t>
      </w:r>
      <w:r>
        <w:t xml:space="preserve"> </w:t>
      </w:r>
      <w:r>
        <w:t xml:space="preserve">[7] Banque mondiale, API Projects v3, consultée le 18/10/2026.</w:t>
      </w:r>
    </w:p>
    <w:p>
      <w:r>
        <w:br w:type="page"/>
      </w:r>
    </w:p>
    <w:bookmarkEnd w:id="261"/>
    <w:bookmarkEnd w:id="262"/>
    <w:bookmarkStart w:id="272" w:name="Xf1fb0c804a7779632730a7e8787839c122f47ac"/>
    <w:p>
      <w:pPr>
        <w:pStyle w:val="Heading2"/>
      </w:pPr>
      <w:r>
        <w:t xml:space="preserve">Diagnostic opérateur — ESCOM et EGENCO (Malawi)</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le pacte : ../../phase1/fiches/MWI_malawi.md (« pacte » = National Energy Compact, janv. 2025).</w:t>
      </w:r>
    </w:p>
    <w:bookmarkStart w:id="263" w:name="identité-22"/>
    <w:p>
      <w:pPr>
        <w:pStyle w:val="Heading3"/>
      </w:pPr>
      <w:r>
        <w:t xml:space="preserve">0. Identité</w:t>
      </w:r>
    </w:p>
    <w:p>
      <w:pPr>
        <w:numPr>
          <w:ilvl w:val="0"/>
          <w:numId w:val="1143"/>
        </w:numPr>
        <w:pStyle w:val="Compact"/>
      </w:pPr>
      <w:r>
        <w:rPr>
          <w:bCs/>
          <w:b/>
        </w:rPr>
        <w:t xml:space="preserve">ESCOM</w:t>
      </w:r>
      <w:r>
        <w:t xml:space="preserve"> </w:t>
      </w:r>
      <w:r>
        <w:t xml:space="preserve">(Electricity Supply Corporation of Malawi Ltd) : transport, distribution, vente au détail, opérateur système et acheteur unique (« off-taker ») [1] [V].</w:t>
      </w:r>
      <w:r>
        <w:t xml:space="preserve"> </w:t>
      </w:r>
      <w:r>
        <w:rPr>
          <w:bCs/>
          <w:b/>
        </w:rPr>
        <w:t xml:space="preserve">EGENCO</w:t>
      </w:r>
      <w:r>
        <w:t xml:space="preserve"> </w:t>
      </w:r>
      <w:r>
        <w:t xml:space="preserve">(Electricity Generation Company Malawi Ltd) : production publique (essentiellement hydro sur la Shire), issue du dégroupage de 2016-2018 ; capacité 444,67 MW (2026) [6] [S]. IPP solaires (Salima, Golomoti, Serengeti, ~100 MW) [1] [V].</w:t>
      </w:r>
    </w:p>
    <w:p>
      <w:pPr>
        <w:numPr>
          <w:ilvl w:val="0"/>
          <w:numId w:val="1143"/>
        </w:numPr>
        <w:pStyle w:val="Compact"/>
      </w:pPr>
      <w:r>
        <w:t xml:space="preserve">Statut : sociétés publiques détenues par l’État [?] (actionnariat non vérifié dans les sources lues). Tutelle : ministère de l’Énergie ; suivi des entreprises publiques par le ministère des Finances.</w:t>
      </w:r>
    </w:p>
    <w:p>
      <w:pPr>
        <w:numPr>
          <w:ilvl w:val="0"/>
          <w:numId w:val="1143"/>
        </w:numPr>
        <w:pStyle w:val="Compact"/>
      </w:pPr>
      <w:r>
        <w:t xml:space="preserve">Régulateur :</w:t>
      </w:r>
      <w:r>
        <w:t xml:space="preserve"> </w:t>
      </w:r>
      <w:r>
        <w:rPr>
          <w:bCs/>
          <w:b/>
        </w:rPr>
        <w:t xml:space="preserve">MERA</w:t>
      </w:r>
      <w:r>
        <w:t xml:space="preserve"> </w:t>
      </w:r>
      <w:r>
        <w:t xml:space="preserve">(Malawi Energy Regulatory Authority). Indépendance limitée en pratique : la formule d’ajustement automatique (ATAM) a été appliquée</w:t>
      </w:r>
      <w:r>
        <w:t xml:space="preserve"> </w:t>
      </w:r>
      <w:r>
        <w:rPr>
          <w:bCs/>
          <w:b/>
        </w:rPr>
        <w:t xml:space="preserve">partiellement</w:t>
      </w:r>
      <w:r>
        <w:t xml:space="preserve"> </w:t>
      </w:r>
      <w:r>
        <w:t xml:space="preserve">après la dévaluation de nov. 2023 (ménages exclus en 2024) [1] [V] ; base tarifaire 2023-2027 approuvée avec tranches annuelles conditionnées à des KPI [4] [S].</w:t>
      </w:r>
    </w:p>
    <w:p>
      <w:pPr>
        <w:numPr>
          <w:ilvl w:val="0"/>
          <w:numId w:val="1143"/>
        </w:numPr>
        <w:pStyle w:val="Compact"/>
      </w:pPr>
      <w:r>
        <w:t xml:space="preserve">Exercice : clôture au</w:t>
      </w:r>
      <w:r>
        <w:t xml:space="preserve"> </w:t>
      </w:r>
      <w:r>
        <w:rPr>
          <w:bCs/>
          <w:b/>
        </w:rPr>
        <w:t xml:space="preserve">31 mars</w:t>
      </w:r>
      <w:r>
        <w:t xml:space="preserve"> </w:t>
      </w:r>
      <w:r>
        <w:t xml:space="preserve">(ESCOM) [5] [S]. Derniers résultats connus :</w:t>
      </w:r>
      <w:r>
        <w:t xml:space="preserve"> </w:t>
      </w:r>
      <w:r>
        <w:rPr>
          <w:bCs/>
          <w:b/>
        </w:rPr>
        <w:t xml:space="preserve">2024/25</w:t>
      </w:r>
      <w:r>
        <w:t xml:space="preserve"> </w:t>
      </w:r>
      <w:r>
        <w:t xml:space="preserve">(ESCOM et EGENCO, données du ministère des Finances rapportées par la presse) [6] [S].</w:t>
      </w:r>
      <w:r>
        <w:t xml:space="preserve"> </w:t>
      </w:r>
      <w:r>
        <w:rPr>
          <w:bCs/>
          <w:b/>
        </w:rPr>
        <w:t xml:space="preserve">Aucun état financier audité d’ESCOM ou d’EGENCO postérieur à 2020 n’a été trouvé en ligne</w:t>
      </w:r>
      <w:r>
        <w:t xml:space="preserve"> </w:t>
      </w:r>
      <w:r>
        <w:t xml:space="preserve">[?].</w:t>
      </w:r>
    </w:p>
    <w:bookmarkEnd w:id="263"/>
    <w:bookmarkStart w:id="264" w:name="situation-financière-22"/>
    <w:p>
      <w:pPr>
        <w:pStyle w:val="Heading3"/>
      </w:pPr>
      <w:r>
        <w:t xml:space="preserve">1. Situation financière</w:t>
      </w:r>
    </w:p>
    <w:tbl>
      <w:tblPr>
        <w:tblStyle w:val="Table"/>
        <w:tblW w:type="dxa" w:w="14570"/>
        <w:tblLook w:firstRow="1" w:lastRow="0" w:firstColumn="0" w:lastColumn="0" w:noHBand="0" w:noVBand="0" w:val="0020"/>
        <w:jc w:val="start"/>
      </w:tblPr>
      <w:tblGrid>
        <w:gridCol w:w="3291"/>
        <w:gridCol w:w="7751"/>
        <w:gridCol w:w="1370"/>
        <w:gridCol w:w="1185"/>
        <w:gridCol w:w="971"/>
      </w:tblGrid>
      <w:tr>
        <w:trPr>
          <w:tblHeader w:val="true"/>
        </w:trPr>
        <w:tc>
          <w:tcPr>
            <w:tcW w:w="3291" w:type="dxa"/>
          </w:tcPr>
          <w:tcPr/>
          <w:p>
            <w:pPr>
              <w:pStyle w:val="Compact"/>
              <w:jc w:val="left"/>
            </w:pPr>
            <w:r>
              <w:t xml:space="preserve">Indicateur</w:t>
            </w:r>
          </w:p>
        </w:tc>
        <w:tc>
          <w:tcPr>
            <w:tcW w:w="7751" w:type="dxa"/>
          </w:tcPr>
          <w:tcPr/>
          <w:p>
            <w:pPr>
              <w:pStyle w:val="Compact"/>
              <w:jc w:val="left"/>
            </w:pPr>
            <w:r>
              <w:t xml:space="preserve">Valeur</w:t>
            </w:r>
          </w:p>
        </w:tc>
        <w:tc>
          <w:tcPr>
            <w:tcW w:w="1370" w:type="dxa"/>
          </w:tcPr>
          <w:tcPr/>
          <w:p>
            <w:pPr>
              <w:pStyle w:val="Compact"/>
              <w:jc w:val="left"/>
            </w:pPr>
            <w:r>
              <w:t xml:space="preserve">Année</w:t>
            </w:r>
          </w:p>
        </w:tc>
        <w:tc>
          <w:tcPr>
            <w:tcW w:w="1185" w:type="dxa"/>
          </w:tcPr>
          <w:tcPr/>
          <w:p>
            <w:pPr>
              <w:pStyle w:val="Compact"/>
              <w:jc w:val="left"/>
            </w:pPr>
            <w:r>
              <w:t xml:space="preserve">Statut</w:t>
            </w:r>
          </w:p>
        </w:tc>
        <w:tc>
          <w:tcPr>
            <w:tcW w:w="971" w:type="dxa"/>
          </w:tcPr>
          <w:tcPr/>
          <w:p>
            <w:pPr>
              <w:pStyle w:val="Compact"/>
              <w:jc w:val="left"/>
            </w:pPr>
            <w:r>
              <w:t xml:space="preserve">Source</w:t>
            </w:r>
          </w:p>
        </w:tc>
      </w:tr>
      <w:tr>
        <w:tc>
          <w:tcPr>
            <w:tcW w:w="3291" w:type="dxa"/>
          </w:tcPr>
          <w:tcPr/>
          <w:p>
            <w:pPr>
              <w:pStyle w:val="Compact"/>
              <w:jc w:val="left"/>
            </w:pPr>
            <w:r>
              <w:t xml:space="preserve">Chiffre d’affaires</w:t>
            </w:r>
          </w:p>
        </w:tc>
        <w:tc>
          <w:tcPr>
            <w:tcW w:w="7751" w:type="dxa"/>
          </w:tcPr>
          <w:tcPr/>
          <w:p>
            <w:pPr>
              <w:pStyle w:val="Compact"/>
              <w:jc w:val="left"/>
            </w:pPr>
            <w:r>
              <w:t xml:space="preserve">ESCOM : [?] non trouvé ; EGENCO : ventes d’électricité 76 Md MWK</w:t>
            </w:r>
          </w:p>
        </w:tc>
        <w:tc>
          <w:tcPr>
            <w:tcW w:w="1370" w:type="dxa"/>
          </w:tcPr>
          <w:tcPr/>
          <w:p>
            <w:pPr>
              <w:pStyle w:val="Compact"/>
              <w:jc w:val="left"/>
            </w:pPr>
            <w:r>
              <w:t xml:space="preserve">2024/25</w:t>
            </w:r>
          </w:p>
        </w:tc>
        <w:tc>
          <w:tcPr>
            <w:tcW w:w="1185" w:type="dxa"/>
          </w:tcPr>
          <w:tcPr/>
          <w:p>
            <w:pPr>
              <w:pStyle w:val="Compact"/>
              <w:jc w:val="left"/>
            </w:pPr>
            <w:r>
              <w:t xml:space="preserve">[S]</w:t>
            </w:r>
          </w:p>
        </w:tc>
        <w:tc>
          <w:tcPr>
            <w:tcW w:w="971" w:type="dxa"/>
          </w:tcPr>
          <w:tcPr/>
          <w:p>
            <w:pPr>
              <w:pStyle w:val="Compact"/>
              <w:jc w:val="left"/>
            </w:pPr>
            <w:r>
              <w:t xml:space="preserve">[6]</w:t>
            </w:r>
          </w:p>
        </w:tc>
      </w:tr>
      <w:tr>
        <w:tc>
          <w:tcPr>
            <w:tcW w:w="3291" w:type="dxa"/>
          </w:tcPr>
          <w:tcPr/>
          <w:p>
            <w:pPr>
              <w:pStyle w:val="Compact"/>
              <w:jc w:val="left"/>
            </w:pPr>
            <w:r>
              <w:t xml:space="preserve">Résultat net ESCOM</w:t>
            </w:r>
          </w:p>
        </w:tc>
        <w:tc>
          <w:tcPr>
            <w:tcW w:w="7751" w:type="dxa"/>
          </w:tcPr>
          <w:tcPr/>
          <w:p>
            <w:pPr>
              <w:pStyle w:val="Compact"/>
              <w:jc w:val="left"/>
            </w:pPr>
            <w:r>
              <w:t xml:space="preserve">Bénéfice 10,3 Md MWK (2023, propos du DG) ; S1 2023/24 : +12,8 Md MWK ;</w:t>
            </w:r>
            <w:r>
              <w:t xml:space="preserve"> </w:t>
            </w:r>
            <w:r>
              <w:rPr>
                <w:bCs/>
                <w:b/>
              </w:rPr>
              <w:t xml:space="preserve">2023/24 : perte de 65,3 Md MWK</w:t>
            </w:r>
            <w:r>
              <w:t xml:space="preserve"> </w:t>
            </w:r>
            <w:r>
              <w:t xml:space="preserve">(MoF ; prévision antérieure -49,6 Md ; DG : -59,6 Md) ;</w:t>
            </w:r>
            <w:r>
              <w:t xml:space="preserve"> </w:t>
            </w:r>
            <w:r>
              <w:rPr>
                <w:bCs/>
                <w:b/>
              </w:rPr>
              <w:t xml:space="preserve">2024/25 : bénéfice 4,8 Md MWK</w:t>
            </w:r>
          </w:p>
        </w:tc>
        <w:tc>
          <w:tcPr>
            <w:tcW w:w="1370" w:type="dxa"/>
          </w:tcPr>
          <w:tcPr/>
          <w:p>
            <w:pPr>
              <w:pStyle w:val="Compact"/>
              <w:jc w:val="left"/>
            </w:pPr>
            <w:r>
              <w:t xml:space="preserve">2023-2025</w:t>
            </w:r>
          </w:p>
        </w:tc>
        <w:tc>
          <w:tcPr>
            <w:tcW w:w="1185" w:type="dxa"/>
          </w:tcPr>
          <w:tcPr/>
          <w:p>
            <w:pPr>
              <w:pStyle w:val="Compact"/>
              <w:jc w:val="left"/>
            </w:pPr>
            <w:r>
              <w:t xml:space="preserve">[S]</w:t>
            </w:r>
          </w:p>
        </w:tc>
        <w:tc>
          <w:tcPr>
            <w:tcW w:w="971" w:type="dxa"/>
          </w:tcPr>
          <w:tcPr/>
          <w:p>
            <w:pPr>
              <w:pStyle w:val="Compact"/>
              <w:jc w:val="left"/>
            </w:pPr>
            <w:r>
              <w:t xml:space="preserve">[5][6][7]</w:t>
            </w:r>
          </w:p>
        </w:tc>
      </w:tr>
      <w:tr>
        <w:tc>
          <w:tcPr>
            <w:tcW w:w="3291" w:type="dxa"/>
          </w:tcPr>
          <w:tcPr/>
          <w:p>
            <w:pPr>
              <w:pStyle w:val="Compact"/>
              <w:jc w:val="left"/>
            </w:pPr>
            <w:r>
              <w:t xml:space="preserve">Résultat net (vue BM)</w:t>
            </w:r>
          </w:p>
        </w:tc>
        <w:tc>
          <w:tcPr>
            <w:tcW w:w="7751" w:type="dxa"/>
          </w:tcPr>
          <w:tcPr/>
          <w:p>
            <w:pPr>
              <w:pStyle w:val="Compact"/>
              <w:jc w:val="left"/>
            </w:pPr>
            <w:r>
              <w:t xml:space="preserve">Bénéfice net modeste de</w:t>
            </w:r>
            <w:r>
              <w:t xml:space="preserve"> </w:t>
            </w:r>
            <w:r>
              <w:rPr>
                <w:bCs/>
                <w:b/>
              </w:rPr>
              <w:t xml:space="preserve">5-10 M US$</w:t>
            </w:r>
            <w:r>
              <w:t xml:space="preserve"> </w:t>
            </w:r>
            <w:r>
              <w:t xml:space="preserve">en 2022-2023 ; pertes estimées à</w:t>
            </w:r>
            <w:r>
              <w:t xml:space="preserve"> </w:t>
            </w:r>
            <w:r>
              <w:rPr>
                <w:bCs/>
                <w:b/>
              </w:rPr>
              <w:t xml:space="preserve">20 Md MWK (12 M US$)</w:t>
            </w:r>
            <w:r>
              <w:t xml:space="preserve"> </w:t>
            </w:r>
            <w:r>
              <w:t xml:space="preserve">sur S1 2024 faute d’ajustement tarifaire domestique</w:t>
            </w:r>
          </w:p>
        </w:tc>
        <w:tc>
          <w:tcPr>
            <w:tcW w:w="1370" w:type="dxa"/>
          </w:tcPr>
          <w:tcPr/>
          <w:p>
            <w:pPr>
              <w:pStyle w:val="Compact"/>
              <w:jc w:val="left"/>
            </w:pPr>
            <w:r>
              <w:t xml:space="preserve">2022-2024</w:t>
            </w:r>
          </w:p>
        </w:tc>
        <w:tc>
          <w:tcPr>
            <w:tcW w:w="1185" w:type="dxa"/>
          </w:tcPr>
          <w:tcPr/>
          <w:p>
            <w:pPr>
              <w:pStyle w:val="Compact"/>
              <w:jc w:val="left"/>
            </w:pPr>
            <w:r>
              <w:t xml:space="preserve">[V]</w:t>
            </w:r>
          </w:p>
        </w:tc>
        <w:tc>
          <w:tcPr>
            <w:tcW w:w="971" w:type="dxa"/>
          </w:tcPr>
          <w:tcPr/>
          <w:p>
            <w:pPr>
              <w:pStyle w:val="Compact"/>
              <w:jc w:val="left"/>
            </w:pPr>
            <w:r>
              <w:t xml:space="preserve">[1]</w:t>
            </w:r>
          </w:p>
        </w:tc>
      </w:tr>
      <w:tr>
        <w:tc>
          <w:tcPr>
            <w:tcW w:w="3291" w:type="dxa"/>
          </w:tcPr>
          <w:tcPr/>
          <w:p>
            <w:pPr>
              <w:pStyle w:val="Compact"/>
              <w:jc w:val="left"/>
            </w:pPr>
            <w:r>
              <w:t xml:space="preserve">Résultat net EGENCO</w:t>
            </w:r>
          </w:p>
        </w:tc>
        <w:tc>
          <w:tcPr>
            <w:tcW w:w="7751" w:type="dxa"/>
          </w:tcPr>
          <w:tcPr/>
          <w:p>
            <w:pPr>
              <w:pStyle w:val="Compact"/>
              <w:jc w:val="left"/>
            </w:pPr>
            <w:r>
              <w:t xml:space="preserve">+5,1 Md MWK (2022) ; -7,4 Md MWK (2023) ; +644,8 M MWK (2024/25, dont 7,1 Md MWK d’indemnité d’assurance)</w:t>
            </w:r>
          </w:p>
        </w:tc>
        <w:tc>
          <w:tcPr>
            <w:tcW w:w="1370" w:type="dxa"/>
          </w:tcPr>
          <w:tcPr/>
          <w:p>
            <w:pPr>
              <w:pStyle w:val="Compact"/>
              <w:jc w:val="left"/>
            </w:pPr>
            <w:r>
              <w:t xml:space="preserve">2022-2025</w:t>
            </w:r>
          </w:p>
        </w:tc>
        <w:tc>
          <w:tcPr>
            <w:tcW w:w="1185" w:type="dxa"/>
          </w:tcPr>
          <w:tcPr/>
          <w:p>
            <w:pPr>
              <w:pStyle w:val="Compact"/>
              <w:jc w:val="left"/>
            </w:pPr>
            <w:r>
              <w:t xml:space="preserve">[S]</w:t>
            </w:r>
          </w:p>
        </w:tc>
        <w:tc>
          <w:tcPr>
            <w:tcW w:w="971" w:type="dxa"/>
          </w:tcPr>
          <w:tcPr/>
          <w:p>
            <w:pPr>
              <w:pStyle w:val="Compact"/>
              <w:jc w:val="left"/>
            </w:pPr>
            <w:r>
              <w:t xml:space="preserve">[6]</w:t>
            </w:r>
          </w:p>
        </w:tc>
      </w:tr>
      <w:tr>
        <w:tc>
          <w:tcPr>
            <w:tcW w:w="3291" w:type="dxa"/>
          </w:tcPr>
          <w:tcPr/>
          <w:p>
            <w:pPr>
              <w:pStyle w:val="Compact"/>
              <w:jc w:val="left"/>
            </w:pPr>
            <w:r>
              <w:t xml:space="preserve">Cause de la perte 2023/24</w:t>
            </w:r>
          </w:p>
        </w:tc>
        <w:tc>
          <w:tcPr>
            <w:tcW w:w="7751" w:type="dxa"/>
          </w:tcPr>
          <w:tcPr/>
          <w:p>
            <w:pPr>
              <w:pStyle w:val="Compact"/>
              <w:jc w:val="left"/>
            </w:pPr>
            <w:r>
              <w:t xml:space="preserve">Pertes de change ≈ 83 Md MWK après la dévaluation de 44 % (nov. 2023)</w:t>
            </w:r>
          </w:p>
        </w:tc>
        <w:tc>
          <w:tcPr>
            <w:tcW w:w="1370" w:type="dxa"/>
          </w:tcPr>
          <w:tcPr/>
          <w:p>
            <w:pPr>
              <w:pStyle w:val="Compact"/>
              <w:jc w:val="left"/>
            </w:pPr>
            <w:r>
              <w:t xml:space="preserve">2023/24</w:t>
            </w:r>
          </w:p>
        </w:tc>
        <w:tc>
          <w:tcPr>
            <w:tcW w:w="1185" w:type="dxa"/>
          </w:tcPr>
          <w:tcPr/>
          <w:p>
            <w:pPr>
              <w:pStyle w:val="Compact"/>
              <w:jc w:val="left"/>
            </w:pPr>
            <w:r>
              <w:t xml:space="preserve">[S]</w:t>
            </w:r>
          </w:p>
        </w:tc>
        <w:tc>
          <w:tcPr>
            <w:tcW w:w="971" w:type="dxa"/>
          </w:tcPr>
          <w:tcPr/>
          <w:p>
            <w:pPr>
              <w:pStyle w:val="Compact"/>
              <w:jc w:val="left"/>
            </w:pPr>
            <w:r>
              <w:t xml:space="preserve">[7]</w:t>
            </w:r>
          </w:p>
        </w:tc>
      </w:tr>
      <w:tr>
        <w:tc>
          <w:tcPr>
            <w:tcW w:w="3291" w:type="dxa"/>
          </w:tcPr>
          <w:tcPr/>
          <w:p>
            <w:pPr>
              <w:pStyle w:val="Compact"/>
              <w:jc w:val="left"/>
            </w:pPr>
            <w:r>
              <w:t xml:space="preserve">EBITDA</w:t>
            </w:r>
          </w:p>
        </w:tc>
        <w:tc>
          <w:tcPr>
            <w:tcW w:w="7751" w:type="dxa"/>
          </w:tcPr>
          <w:tcPr/>
          <w:p>
            <w:pPr>
              <w:pStyle w:val="Compact"/>
              <w:jc w:val="left"/>
            </w:pPr>
            <w:r>
              <w:t xml:space="preserve">[?] non trouvé</w:t>
            </w:r>
          </w:p>
        </w:tc>
        <w:tc>
          <w:tcPr>
            <w:tcW w:w="1370" w:type="dxa"/>
          </w:tcPr>
          <w:tcPr/>
          <w:p>
            <w:pPr>
              <w:pStyle w:val="Compact"/>
              <w:jc w:val="left"/>
            </w:pPr>
            <w:r>
              <w:t xml:space="preserve">—</w:t>
            </w:r>
          </w:p>
        </w:tc>
        <w:tc>
          <w:tcPr>
            <w:tcW w:w="1185" w:type="dxa"/>
          </w:tcPr>
          <w:tcPr/>
          <w:p>
            <w:pPr>
              <w:pStyle w:val="Compact"/>
              <w:jc w:val="left"/>
            </w:pPr>
            <w:r>
              <w:t xml:space="preserve">[?]</w:t>
            </w:r>
          </w:p>
        </w:tc>
        <w:tc>
          <w:tcPr>
            <w:tcW w:w="971" w:type="dxa"/>
          </w:tcPr>
          <w:tcPr/>
          <w:p>
            <w:pPr>
              <w:pStyle w:val="Compact"/>
              <w:jc w:val="left"/>
            </w:pPr>
            <w:r>
              <w:t xml:space="preserve">—</w:t>
            </w:r>
          </w:p>
        </w:tc>
      </w:tr>
      <w:tr>
        <w:tc>
          <w:tcPr>
            <w:tcW w:w="3291" w:type="dxa"/>
          </w:tcPr>
          <w:tcPr/>
          <w:p>
            <w:pPr>
              <w:pStyle w:val="Compact"/>
              <w:jc w:val="left"/>
            </w:pPr>
            <w:r>
              <w:t xml:space="preserve">Dette ; dettes fournisseurs</w:t>
            </w:r>
          </w:p>
        </w:tc>
        <w:tc>
          <w:tcPr>
            <w:tcW w:w="7751" w:type="dxa"/>
          </w:tcPr>
          <w:tcPr/>
          <w:p>
            <w:pPr>
              <w:pStyle w:val="Compact"/>
              <w:jc w:val="left"/>
            </w:pPr>
            <w:r>
              <w:t xml:space="preserve">ESCOM : retards de paiement aux fournisseurs en 2024 (IPP payés en priorité) [1] ; dette « fraîche » d’ESCOM envers EGENCO ≈</w:t>
            </w:r>
            <w:r>
              <w:t xml:space="preserve"> </w:t>
            </w:r>
            <w:r>
              <w:rPr>
                <w:bCs/>
                <w:b/>
              </w:rPr>
              <w:t xml:space="preserve">30 Md MWK</w:t>
            </w:r>
            <w:r>
              <w:t xml:space="preserve"> </w:t>
            </w:r>
            <w:r>
              <w:t xml:space="preserve">(2026) ; EGENCO doit ~16 Md MWK dont 14 Md à des fournisseurs étrangers [6] ; pacte : 32,86 Md MWK dus aux IPP</w:t>
            </w:r>
          </w:p>
        </w:tc>
        <w:tc>
          <w:tcPr>
            <w:tcW w:w="1370" w:type="dxa"/>
          </w:tcPr>
          <w:tcPr/>
          <w:p>
            <w:pPr>
              <w:pStyle w:val="Compact"/>
              <w:jc w:val="left"/>
            </w:pPr>
            <w:r>
              <w:t xml:space="preserve">2024-2026</w:t>
            </w:r>
          </w:p>
        </w:tc>
        <w:tc>
          <w:tcPr>
            <w:tcW w:w="1185" w:type="dxa"/>
          </w:tcPr>
          <w:tcPr/>
          <w:p>
            <w:pPr>
              <w:pStyle w:val="Compact"/>
              <w:jc w:val="left"/>
            </w:pPr>
            <w:r>
              <w:t xml:space="preserve">[V]/[S]</w:t>
            </w:r>
          </w:p>
        </w:tc>
        <w:tc>
          <w:tcPr>
            <w:tcW w:w="971" w:type="dxa"/>
          </w:tcPr>
          <w:tcPr/>
          <w:p>
            <w:pPr>
              <w:pStyle w:val="Compact"/>
              <w:jc w:val="left"/>
            </w:pPr>
            <w:r>
              <w:t xml:space="preserve">[1][6]</w:t>
            </w:r>
          </w:p>
        </w:tc>
      </w:tr>
      <w:tr>
        <w:tc>
          <w:tcPr>
            <w:tcW w:w="3291" w:type="dxa"/>
          </w:tcPr>
          <w:tcPr/>
          <w:p>
            <w:pPr>
              <w:pStyle w:val="Compact"/>
              <w:jc w:val="left"/>
            </w:pPr>
            <w:r>
              <w:t xml:space="preserve">Annulations de dettes</w:t>
            </w:r>
          </w:p>
        </w:tc>
        <w:tc>
          <w:tcPr>
            <w:tcW w:w="7751" w:type="dxa"/>
          </w:tcPr>
          <w:tcPr/>
          <w:p>
            <w:pPr>
              <w:pStyle w:val="Compact"/>
              <w:jc w:val="left"/>
            </w:pPr>
            <w:r>
              <w:t xml:space="preserve">Trésor : ~97 Md MWK de créances d’EGENCO sur ESCOM annulées (≈30 Md en 2019,</w:t>
            </w:r>
            <w:r>
              <w:t xml:space="preserve"> </w:t>
            </w:r>
            <w:r>
              <w:rPr>
                <w:bCs/>
                <w:b/>
              </w:rPr>
              <w:t xml:space="preserve">67 Md en 2024</w:t>
            </w:r>
            <w:r>
              <w:t xml:space="preserve">) ; 65,9 Md MWK de « capacity charges » annulés (vers 2023/24)</w:t>
            </w:r>
          </w:p>
        </w:tc>
        <w:tc>
          <w:tcPr>
            <w:tcW w:w="1370" w:type="dxa"/>
          </w:tcPr>
          <w:tcPr/>
          <w:p>
            <w:pPr>
              <w:pStyle w:val="Compact"/>
              <w:jc w:val="left"/>
            </w:pPr>
            <w:r>
              <w:t xml:space="preserve">2019-2024</w:t>
            </w:r>
          </w:p>
        </w:tc>
        <w:tc>
          <w:tcPr>
            <w:tcW w:w="1185" w:type="dxa"/>
          </w:tcPr>
          <w:tcPr/>
          <w:p>
            <w:pPr>
              <w:pStyle w:val="Compact"/>
              <w:jc w:val="left"/>
            </w:pPr>
            <w:r>
              <w:t xml:space="preserve">[S]</w:t>
            </w:r>
          </w:p>
        </w:tc>
        <w:tc>
          <w:tcPr>
            <w:tcW w:w="971" w:type="dxa"/>
          </w:tcPr>
          <w:tcPr/>
          <w:p>
            <w:pPr>
              <w:pStyle w:val="Compact"/>
              <w:jc w:val="left"/>
            </w:pPr>
            <w:r>
              <w:t xml:space="preserve">[5][6]</w:t>
            </w:r>
          </w:p>
        </w:tc>
      </w:tr>
      <w:tr>
        <w:tc>
          <w:tcPr>
            <w:tcW w:w="3291" w:type="dxa"/>
          </w:tcPr>
          <w:tcPr/>
          <w:p>
            <w:pPr>
              <w:pStyle w:val="Compact"/>
              <w:jc w:val="left"/>
            </w:pPr>
            <w:r>
              <w:t xml:space="preserve">Arriérés de l’État / entités publiques</w:t>
            </w:r>
          </w:p>
        </w:tc>
        <w:tc>
          <w:tcPr>
            <w:tcW w:w="7751" w:type="dxa"/>
          </w:tcPr>
          <w:tcPr/>
          <w:p>
            <w:pPr>
              <w:pStyle w:val="Compact"/>
              <w:jc w:val="left"/>
            </w:pPr>
            <w:r>
              <w:t xml:space="preserve">MDA et entreprises publiques :</w:t>
            </w:r>
            <w:r>
              <w:t xml:space="preserve"> </w:t>
            </w:r>
            <w:r>
              <w:rPr>
                <w:bCs/>
                <w:b/>
              </w:rPr>
              <w:t xml:space="preserve">6,5 Md MWK</w:t>
            </w:r>
            <w:r>
              <w:t xml:space="preserve"> </w:t>
            </w:r>
            <w:r>
              <w:t xml:space="preserve">; régies d’eau :</w:t>
            </w:r>
            <w:r>
              <w:t xml:space="preserve"> </w:t>
            </w:r>
            <w:r>
              <w:rPr>
                <w:bCs/>
                <w:b/>
              </w:rPr>
              <w:t xml:space="preserve">20 Md MWK</w:t>
            </w:r>
            <w:r>
              <w:t xml:space="preserve"> </w:t>
            </w:r>
            <w:r>
              <w:t xml:space="preserve">(30/09/2023) ; plan d’apurement MoF-MoE-ESCOM-Blantyre Water Board convenu (2024)</w:t>
            </w:r>
          </w:p>
        </w:tc>
        <w:tc>
          <w:tcPr>
            <w:tcW w:w="1370" w:type="dxa"/>
          </w:tcPr>
          <w:tcPr/>
          <w:p>
            <w:pPr>
              <w:pStyle w:val="Compact"/>
              <w:jc w:val="left"/>
            </w:pPr>
            <w:r>
              <w:t xml:space="preserve">2023-2024</w:t>
            </w:r>
          </w:p>
        </w:tc>
        <w:tc>
          <w:tcPr>
            <w:tcW w:w="1185" w:type="dxa"/>
          </w:tcPr>
          <w:tcPr/>
          <w:p>
            <w:pPr>
              <w:pStyle w:val="Compact"/>
              <w:jc w:val="left"/>
            </w:pPr>
            <w:r>
              <w:t xml:space="preserve">[S]/[V]</w:t>
            </w:r>
          </w:p>
        </w:tc>
        <w:tc>
          <w:tcPr>
            <w:tcW w:w="971" w:type="dxa"/>
          </w:tcPr>
          <w:tcPr/>
          <w:p>
            <w:pPr>
              <w:pStyle w:val="Compact"/>
              <w:jc w:val="left"/>
            </w:pPr>
            <w:r>
              <w:t xml:space="preserve">[1][5]</w:t>
            </w:r>
          </w:p>
        </w:tc>
      </w:tr>
      <w:tr>
        <w:tc>
          <w:tcPr>
            <w:tcW w:w="3291" w:type="dxa"/>
          </w:tcPr>
          <w:tcPr/>
          <w:p>
            <w:pPr>
              <w:pStyle w:val="Compact"/>
              <w:jc w:val="left"/>
            </w:pPr>
            <w:r>
              <w:t xml:space="preserve">Transferts / subventions de l’État</w:t>
            </w:r>
          </w:p>
        </w:tc>
        <w:tc>
          <w:tcPr>
            <w:tcW w:w="7751" w:type="dxa"/>
          </w:tcPr>
          <w:tcPr/>
          <w:p>
            <w:pPr>
              <w:pStyle w:val="Compact"/>
              <w:jc w:val="left"/>
            </w:pPr>
            <w:r>
              <w:t xml:space="preserve">Pas de subvention d’exploitation identifiée ; soutien par annulation de dettes intra-secteur (ci-dessus)</w:t>
            </w:r>
          </w:p>
        </w:tc>
        <w:tc>
          <w:tcPr>
            <w:tcW w:w="1370" w:type="dxa"/>
          </w:tcPr>
          <w:tcPr/>
          <w:p>
            <w:pPr>
              <w:pStyle w:val="Compact"/>
              <w:jc w:val="left"/>
            </w:pPr>
            <w:r>
              <w:t xml:space="preserve">2019-2024</w:t>
            </w:r>
          </w:p>
        </w:tc>
        <w:tc>
          <w:tcPr>
            <w:tcW w:w="1185" w:type="dxa"/>
          </w:tcPr>
          <w:tcPr/>
          <w:p>
            <w:pPr>
              <w:pStyle w:val="Compact"/>
              <w:jc w:val="left"/>
            </w:pPr>
            <w:r>
              <w:t xml:space="preserve">[S]</w:t>
            </w:r>
          </w:p>
        </w:tc>
        <w:tc>
          <w:tcPr>
            <w:tcW w:w="971" w:type="dxa"/>
          </w:tcPr>
          <w:tcPr/>
          <w:p>
            <w:pPr>
              <w:pStyle w:val="Compact"/>
              <w:jc w:val="left"/>
            </w:pPr>
            <w:r>
              <w:t xml:space="preserve">[6]</w:t>
            </w:r>
          </w:p>
        </w:tc>
      </w:tr>
      <w:tr>
        <w:tc>
          <w:tcPr>
            <w:tcW w:w="3291" w:type="dxa"/>
          </w:tcPr>
          <w:tcPr/>
          <w:p>
            <w:pPr>
              <w:pStyle w:val="Compact"/>
              <w:jc w:val="left"/>
            </w:pPr>
            <w:r>
              <w:t xml:space="preserve">Taux de recouvrement</w:t>
            </w:r>
          </w:p>
        </w:tc>
        <w:tc>
          <w:tcPr>
            <w:tcW w:w="7751" w:type="dxa"/>
          </w:tcPr>
          <w:tcPr/>
          <w:p>
            <w:pPr>
              <w:pStyle w:val="Compact"/>
              <w:jc w:val="left"/>
            </w:pPr>
            <w:r>
              <w:t xml:space="preserve">[?] non trouvé en source primaire (pacte : 90-93 %)</w:t>
            </w:r>
          </w:p>
        </w:tc>
        <w:tc>
          <w:tcPr>
            <w:tcW w:w="1370" w:type="dxa"/>
          </w:tcPr>
          <w:tcPr/>
          <w:p>
            <w:pPr>
              <w:pStyle w:val="Compact"/>
              <w:jc w:val="left"/>
            </w:pPr>
            <w:r>
              <w:t xml:space="preserve">—</w:t>
            </w:r>
          </w:p>
        </w:tc>
        <w:tc>
          <w:tcPr>
            <w:tcW w:w="1185" w:type="dxa"/>
          </w:tcPr>
          <w:tcPr/>
          <w:p>
            <w:pPr>
              <w:pStyle w:val="Compact"/>
              <w:jc w:val="left"/>
            </w:pPr>
            <w:r>
              <w:t xml:space="preserve">[?]</w:t>
            </w:r>
          </w:p>
        </w:tc>
        <w:tc>
          <w:tcPr>
            <w:tcW w:w="971" w:type="dxa"/>
          </w:tcPr>
          <w:tcPr/>
          <w:p>
            <w:pPr>
              <w:pStyle w:val="Compact"/>
              <w:jc w:val="left"/>
            </w:pPr>
            <w:r>
              <w:t xml:space="preserve">—</w:t>
            </w:r>
          </w:p>
        </w:tc>
      </w:tr>
      <w:tr>
        <w:tc>
          <w:tcPr>
            <w:tcW w:w="3291" w:type="dxa"/>
          </w:tcPr>
          <w:tcPr/>
          <w:p>
            <w:pPr>
              <w:pStyle w:val="Compact"/>
              <w:jc w:val="left"/>
            </w:pPr>
            <w:r>
              <w:t xml:space="preserve">Recette moyenne vs coût par kWh</w:t>
            </w:r>
          </w:p>
        </w:tc>
        <w:tc>
          <w:tcPr>
            <w:tcW w:w="7751" w:type="dxa"/>
          </w:tcPr>
          <w:tcPr/>
          <w:p>
            <w:pPr>
              <w:pStyle w:val="Compact"/>
              <w:jc w:val="left"/>
            </w:pPr>
            <w:r>
              <w:t xml:space="preserve">Tarif moyen</w:t>
            </w:r>
            <w:r>
              <w:t xml:space="preserve"> </w:t>
            </w:r>
            <w:r>
              <w:rPr>
                <w:bCs/>
                <w:b/>
              </w:rPr>
              <w:t xml:space="preserve">12 USc/kWh vs coût de service 13 USc (2021)</w:t>
            </w:r>
            <w:r>
              <w:t xml:space="preserve"> </w:t>
            </w:r>
            <w:r>
              <w:t xml:space="preserve">;</w:t>
            </w:r>
            <w:r>
              <w:t xml:space="preserve"> </w:t>
            </w:r>
            <w:r>
              <w:rPr>
                <w:bCs/>
                <w:b/>
              </w:rPr>
              <w:t xml:space="preserve">10 USc vs 10 USc hors pertes de change (2024)</w:t>
            </w:r>
            <w:r>
              <w:t xml:space="preserve"> </w:t>
            </w:r>
            <w:r>
              <w:t xml:space="preserve">; tarif moyen 123,26 →</w:t>
            </w:r>
            <w:r>
              <w:t xml:space="preserve"> </w:t>
            </w:r>
            <w:r>
              <w:rPr>
                <w:bCs/>
                <w:b/>
              </w:rPr>
              <w:t xml:space="preserve">142,98 MWK/kWh</w:t>
            </w:r>
            <w:r>
              <w:t xml:space="preserve"> </w:t>
            </w:r>
            <w:r>
              <w:t xml:space="preserve">au 01/02/2025 (+16 %, 2e tranche)</w:t>
            </w:r>
          </w:p>
        </w:tc>
        <w:tc>
          <w:tcPr>
            <w:tcW w:w="1370" w:type="dxa"/>
          </w:tcPr>
          <w:tcPr/>
          <w:p>
            <w:pPr>
              <w:pStyle w:val="Compact"/>
              <w:jc w:val="left"/>
            </w:pPr>
            <w:r>
              <w:t xml:space="preserve">2021-2025</w:t>
            </w:r>
          </w:p>
        </w:tc>
        <w:tc>
          <w:tcPr>
            <w:tcW w:w="1185" w:type="dxa"/>
          </w:tcPr>
          <w:tcPr/>
          <w:p>
            <w:pPr>
              <w:pStyle w:val="Compact"/>
              <w:jc w:val="left"/>
            </w:pPr>
            <w:r>
              <w:t xml:space="preserve">[V] (BM) ; [S] (tarif 2025)</w:t>
            </w:r>
          </w:p>
        </w:tc>
        <w:tc>
          <w:tcPr>
            <w:tcW w:w="971" w:type="dxa"/>
          </w:tcPr>
          <w:tcPr/>
          <w:p>
            <w:pPr>
              <w:pStyle w:val="Compact"/>
              <w:jc w:val="left"/>
            </w:pPr>
            <w:r>
              <w:t xml:space="preserve">[1][4]</w:t>
            </w:r>
          </w:p>
        </w:tc>
      </w:tr>
      <w:tr>
        <w:tc>
          <w:tcPr>
            <w:tcW w:w="3291" w:type="dxa"/>
          </w:tcPr>
          <w:tcPr/>
          <w:p>
            <w:pPr>
              <w:pStyle w:val="Compact"/>
              <w:jc w:val="left"/>
            </w:pPr>
            <w:r>
              <w:t xml:space="preserve">Déficit quasi-budgétaire</w:t>
            </w:r>
          </w:p>
        </w:tc>
        <w:tc>
          <w:tcPr>
            <w:tcW w:w="7751" w:type="dxa"/>
          </w:tcPr>
          <w:tcPr/>
          <w:p>
            <w:pPr>
              <w:pStyle w:val="Compact"/>
              <w:jc w:val="left"/>
            </w:pPr>
            <w:r>
              <w:t xml:space="preserve">[?] non estimé</w:t>
            </w:r>
          </w:p>
        </w:tc>
        <w:tc>
          <w:tcPr>
            <w:tcW w:w="1370" w:type="dxa"/>
          </w:tcPr>
          <w:tcPr/>
          <w:p>
            <w:pPr>
              <w:pStyle w:val="Compact"/>
              <w:jc w:val="left"/>
            </w:pPr>
            <w:r>
              <w:t xml:space="preserve">—</w:t>
            </w:r>
          </w:p>
        </w:tc>
        <w:tc>
          <w:tcPr>
            <w:tcW w:w="1185" w:type="dxa"/>
          </w:tcPr>
          <w:tcPr/>
          <w:p>
            <w:pPr>
              <w:pStyle w:val="Compact"/>
              <w:jc w:val="left"/>
            </w:pPr>
            <w:r>
              <w:t xml:space="preserve">[?]</w:t>
            </w:r>
          </w:p>
        </w:tc>
        <w:tc>
          <w:tcPr>
            <w:tcW w:w="971" w:type="dxa"/>
          </w:tcPr>
          <w:tcPr/>
          <w:p>
            <w:pPr>
              <w:pStyle w:val="Compact"/>
              <w:jc w:val="left"/>
            </w:pPr>
            <w:r>
              <w:t xml:space="preserve">—</w:t>
            </w:r>
          </w:p>
        </w:tc>
      </w:tr>
      <w:tr>
        <w:tc>
          <w:tcPr>
            <w:tcW w:w="3291" w:type="dxa"/>
          </w:tcPr>
          <w:tcPr/>
          <w:p>
            <w:pPr>
              <w:pStyle w:val="Compact"/>
              <w:jc w:val="left"/>
            </w:pPr>
            <w:r>
              <w:t xml:space="preserve">Notation</w:t>
            </w:r>
          </w:p>
        </w:tc>
        <w:tc>
          <w:tcPr>
            <w:tcW w:w="7751" w:type="dxa"/>
          </w:tcPr>
          <w:tcPr/>
          <w:p>
            <w:pPr>
              <w:pStyle w:val="Compact"/>
              <w:jc w:val="left"/>
            </w:pPr>
            <w:r>
              <w:t xml:space="preserve">[?]</w:t>
            </w:r>
          </w:p>
        </w:tc>
        <w:tc>
          <w:tcPr>
            <w:tcW w:w="1370" w:type="dxa"/>
          </w:tcPr>
          <w:tcPr/>
          <w:p>
            <w:pPr>
              <w:pStyle w:val="Compact"/>
              <w:jc w:val="left"/>
            </w:pPr>
            <w:r>
              <w:t xml:space="preserve">—</w:t>
            </w:r>
          </w:p>
        </w:tc>
        <w:tc>
          <w:tcPr>
            <w:tcW w:w="1185" w:type="dxa"/>
          </w:tcPr>
          <w:tcPr/>
          <w:p>
            <w:pPr>
              <w:pStyle w:val="Compact"/>
              <w:jc w:val="left"/>
            </w:pPr>
            <w:r>
              <w:t xml:space="preserve">[?]</w:t>
            </w:r>
          </w:p>
        </w:tc>
        <w:tc>
          <w:tcPr>
            <w:tcW w:w="971" w:type="dxa"/>
          </w:tcPr>
          <w:tcPr/>
          <w:p>
            <w:pPr>
              <w:pStyle w:val="Compact"/>
              <w:jc w:val="left"/>
            </w:pPr>
            <w:r>
              <w:t xml:space="preserve">—</w:t>
            </w:r>
          </w:p>
        </w:tc>
      </w:tr>
    </w:tbl>
    <w:bookmarkEnd w:id="264"/>
    <w:bookmarkStart w:id="265" w:name="situation-technique-22"/>
    <w:p>
      <w:pPr>
        <w:pStyle w:val="Heading3"/>
      </w:pPr>
      <w:r>
        <w:t xml:space="preserve">2. Situation technique</w:t>
      </w:r>
    </w:p>
    <w:tbl>
      <w:tblPr>
        <w:tblStyle w:val="Table"/>
        <w:tblW w:type="dxa" w:w="14570"/>
        <w:tblLook w:firstRow="1" w:lastRow="0" w:firstColumn="0" w:lastColumn="0" w:noHBand="0" w:noVBand="0" w:val="0020"/>
        <w:jc w:val="start"/>
      </w:tblPr>
      <w:tblGrid>
        <w:gridCol w:w="2620"/>
        <w:gridCol w:w="8520"/>
        <w:gridCol w:w="1376"/>
        <w:gridCol w:w="986"/>
        <w:gridCol w:w="1067"/>
      </w:tblGrid>
      <w:tr>
        <w:trPr>
          <w:tblHeader w:val="true"/>
        </w:trPr>
        <w:tc>
          <w:tcPr>
            <w:tcW w:w="2620" w:type="dxa"/>
          </w:tcPr>
          <w:tcPr/>
          <w:p>
            <w:pPr>
              <w:pStyle w:val="Compact"/>
              <w:jc w:val="left"/>
            </w:pPr>
            <w:r>
              <w:t xml:space="preserve">Indicateur</w:t>
            </w:r>
          </w:p>
        </w:tc>
        <w:tc>
          <w:tcPr>
            <w:tcW w:w="8520" w:type="dxa"/>
          </w:tcPr>
          <w:tcPr/>
          <w:p>
            <w:pPr>
              <w:pStyle w:val="Compact"/>
              <w:jc w:val="left"/>
            </w:pPr>
            <w:r>
              <w:t xml:space="preserve">Valeur</w:t>
            </w:r>
          </w:p>
        </w:tc>
        <w:tc>
          <w:tcPr>
            <w:tcW w:w="1376" w:type="dxa"/>
          </w:tcPr>
          <w:tcPr/>
          <w:p>
            <w:pPr>
              <w:pStyle w:val="Compact"/>
              <w:jc w:val="left"/>
            </w:pPr>
            <w:r>
              <w:t xml:space="preserve">Année</w:t>
            </w:r>
          </w:p>
        </w:tc>
        <w:tc>
          <w:tcPr>
            <w:tcW w:w="986" w:type="dxa"/>
          </w:tcPr>
          <w:tcPr/>
          <w:p>
            <w:pPr>
              <w:pStyle w:val="Compact"/>
              <w:jc w:val="left"/>
            </w:pPr>
            <w:r>
              <w:t xml:space="preserve">Statut</w:t>
            </w:r>
          </w:p>
        </w:tc>
        <w:tc>
          <w:tcPr>
            <w:tcW w:w="1067" w:type="dxa"/>
          </w:tcPr>
          <w:tcPr/>
          <w:p>
            <w:pPr>
              <w:pStyle w:val="Compact"/>
              <w:jc w:val="left"/>
            </w:pPr>
            <w:r>
              <w:t xml:space="preserve">Source</w:t>
            </w:r>
          </w:p>
        </w:tc>
      </w:tr>
      <w:tr>
        <w:tc>
          <w:tcPr>
            <w:tcW w:w="2620" w:type="dxa"/>
          </w:tcPr>
          <w:tcPr/>
          <w:p>
            <w:pPr>
              <w:pStyle w:val="Compact"/>
              <w:jc w:val="left"/>
            </w:pPr>
            <w:r>
              <w:t xml:space="preserve">Capacité installée</w:t>
            </w:r>
          </w:p>
        </w:tc>
        <w:tc>
          <w:tcPr>
            <w:tcW w:w="8520" w:type="dxa"/>
          </w:tcPr>
          <w:tcPr/>
          <w:p>
            <w:pPr>
              <w:pStyle w:val="Compact"/>
              <w:jc w:val="left"/>
            </w:pPr>
            <w:r>
              <w:t xml:space="preserve">488 MW (2021) →</w:t>
            </w:r>
            <w:r>
              <w:t xml:space="preserve"> </w:t>
            </w:r>
            <w:r>
              <w:rPr>
                <w:bCs/>
                <w:b/>
              </w:rPr>
              <w:t xml:space="preserve">541 MW (2024)</w:t>
            </w:r>
            <w:r>
              <w:t xml:space="preserve"> </w:t>
            </w:r>
            <w:r>
              <w:t xml:space="preserve">; mix 2024 : 75 % hydro, 15 % solaire, 10 % thermique ; privé 15 %</w:t>
            </w:r>
          </w:p>
        </w:tc>
        <w:tc>
          <w:tcPr>
            <w:tcW w:w="1376" w:type="dxa"/>
          </w:tcPr>
          <w:tcPr/>
          <w:p>
            <w:pPr>
              <w:pStyle w:val="Compact"/>
              <w:jc w:val="left"/>
            </w:pPr>
            <w:r>
              <w:t xml:space="preserve">2021-2024</w:t>
            </w:r>
          </w:p>
        </w:tc>
        <w:tc>
          <w:tcPr>
            <w:tcW w:w="986" w:type="dxa"/>
          </w:tcPr>
          <w:tcPr/>
          <w:p>
            <w:pPr>
              <w:pStyle w:val="Compact"/>
              <w:jc w:val="left"/>
            </w:pPr>
            <w:r>
              <w:t xml:space="preserve">[V]</w:t>
            </w:r>
          </w:p>
        </w:tc>
        <w:tc>
          <w:tcPr>
            <w:tcW w:w="1067" w:type="dxa"/>
          </w:tcPr>
          <w:tcPr/>
          <w:p>
            <w:pPr>
              <w:pStyle w:val="Compact"/>
              <w:jc w:val="left"/>
            </w:pPr>
            <w:r>
              <w:t xml:space="preserve">[1]</w:t>
            </w:r>
          </w:p>
        </w:tc>
      </w:tr>
      <w:tr>
        <w:tc>
          <w:tcPr>
            <w:tcW w:w="2620" w:type="dxa"/>
          </w:tcPr>
          <w:tcPr/>
          <w:p>
            <w:pPr>
              <w:pStyle w:val="Compact"/>
              <w:jc w:val="left"/>
            </w:pPr>
            <w:r>
              <w:t xml:space="preserve">Pertes réseau</w:t>
            </w:r>
          </w:p>
        </w:tc>
        <w:tc>
          <w:tcPr>
            <w:tcW w:w="8520" w:type="dxa"/>
          </w:tcPr>
          <w:tcPr/>
          <w:p>
            <w:pPr>
              <w:pStyle w:val="Compact"/>
              <w:jc w:val="left"/>
            </w:pPr>
            <w:r>
              <w:rPr>
                <w:bCs/>
                <w:b/>
              </w:rPr>
              <w:t xml:space="preserve">22,8 % (2021)</w:t>
            </w:r>
            <w:r>
              <w:t xml:space="preserve"> </w:t>
            </w:r>
            <w:r>
              <w:t xml:space="preserve">→</w:t>
            </w:r>
            <w:r>
              <w:t xml:space="preserve"> </w:t>
            </w:r>
            <w:r>
              <w:rPr>
                <w:bCs/>
                <w:b/>
              </w:rPr>
              <w:t xml:space="preserve">22,6 % (2024)</w:t>
            </w:r>
            <w:r>
              <w:t xml:space="preserve"> </w:t>
            </w:r>
            <w:r>
              <w:t xml:space="preserve">(moyenne réseau, estimation BM) ; pertes de distribution « &gt; 20 % ces dernières années »</w:t>
            </w:r>
          </w:p>
        </w:tc>
        <w:tc>
          <w:tcPr>
            <w:tcW w:w="1376" w:type="dxa"/>
          </w:tcPr>
          <w:tcPr/>
          <w:p>
            <w:pPr>
              <w:pStyle w:val="Compact"/>
              <w:jc w:val="left"/>
            </w:pPr>
            <w:r>
              <w:t xml:space="preserve">2021-2024</w:t>
            </w:r>
          </w:p>
        </w:tc>
        <w:tc>
          <w:tcPr>
            <w:tcW w:w="986" w:type="dxa"/>
          </w:tcPr>
          <w:tcPr/>
          <w:p>
            <w:pPr>
              <w:pStyle w:val="Compact"/>
              <w:jc w:val="left"/>
            </w:pPr>
            <w:r>
              <w:t xml:space="preserve">[V]</w:t>
            </w:r>
          </w:p>
        </w:tc>
        <w:tc>
          <w:tcPr>
            <w:tcW w:w="1067" w:type="dxa"/>
          </w:tcPr>
          <w:tcPr/>
          <w:p>
            <w:pPr>
              <w:pStyle w:val="Compact"/>
              <w:jc w:val="left"/>
            </w:pPr>
            <w:r>
              <w:t xml:space="preserve">[1]</w:t>
            </w:r>
          </w:p>
        </w:tc>
      </w:tr>
      <w:tr>
        <w:tc>
          <w:tcPr>
            <w:tcW w:w="2620" w:type="dxa"/>
          </w:tcPr>
          <w:tcPr/>
          <w:p>
            <w:pPr>
              <w:pStyle w:val="Compact"/>
              <w:jc w:val="left"/>
            </w:pPr>
            <w:r>
              <w:t xml:space="preserve">Coupures</w:t>
            </w:r>
          </w:p>
        </w:tc>
        <w:tc>
          <w:tcPr>
            <w:tcW w:w="8520" w:type="dxa"/>
          </w:tcPr>
          <w:tcPr/>
          <w:p>
            <w:pPr>
              <w:pStyle w:val="Compact"/>
              <w:jc w:val="left"/>
            </w:pPr>
            <w:r>
              <w:t xml:space="preserve">Effondrement national du système le</w:t>
            </w:r>
            <w:r>
              <w:t xml:space="preserve"> </w:t>
            </w:r>
            <w:r>
              <w:rPr>
                <w:bCs/>
                <w:b/>
              </w:rPr>
              <w:t xml:space="preserve">22/04/2025</w:t>
            </w:r>
            <w:r>
              <w:t xml:space="preserve"> </w:t>
            </w:r>
            <w:r>
              <w:t xml:space="preserve">; unités de Tedzani et Kapichira hors service (&gt; 70 MW perdus) ; délestages longs en 2025</w:t>
            </w:r>
          </w:p>
        </w:tc>
        <w:tc>
          <w:tcPr>
            <w:tcW w:w="1376" w:type="dxa"/>
          </w:tcPr>
          <w:tcPr/>
          <w:p>
            <w:pPr>
              <w:pStyle w:val="Compact"/>
              <w:jc w:val="left"/>
            </w:pPr>
            <w:r>
              <w:t xml:space="preserve">2025</w:t>
            </w:r>
          </w:p>
        </w:tc>
        <w:tc>
          <w:tcPr>
            <w:tcW w:w="986" w:type="dxa"/>
          </w:tcPr>
          <w:tcPr/>
          <w:p>
            <w:pPr>
              <w:pStyle w:val="Compact"/>
              <w:jc w:val="left"/>
            </w:pPr>
            <w:r>
              <w:t xml:space="preserve">[S]</w:t>
            </w:r>
          </w:p>
        </w:tc>
        <w:tc>
          <w:tcPr>
            <w:tcW w:w="1067" w:type="dxa"/>
          </w:tcPr>
          <w:tcPr/>
          <w:p>
            <w:pPr>
              <w:pStyle w:val="Compact"/>
              <w:jc w:val="left"/>
            </w:pPr>
            <w:r>
              <w:t xml:space="preserve">[8]</w:t>
            </w:r>
          </w:p>
        </w:tc>
      </w:tr>
      <w:tr>
        <w:tc>
          <w:tcPr>
            <w:tcW w:w="2620" w:type="dxa"/>
          </w:tcPr>
          <w:tcPr/>
          <w:p>
            <w:pPr>
              <w:pStyle w:val="Compact"/>
              <w:jc w:val="left"/>
            </w:pPr>
            <w:r>
              <w:t xml:space="preserve">Clients / comptage</w:t>
            </w:r>
          </w:p>
        </w:tc>
        <w:tc>
          <w:tcPr>
            <w:tcW w:w="8520" w:type="dxa"/>
          </w:tcPr>
          <w:tcPr/>
          <w:p>
            <w:pPr>
              <w:pStyle w:val="Compact"/>
              <w:jc w:val="left"/>
            </w:pPr>
            <w:r>
              <w:t xml:space="preserve">Géolocalisation de ~75 % des clients seulement (2024) [1] ; MEAP : ~90 000 raccordements réseau sur 173 000 visés et 218 369 hors réseau (déc. 2024) [2]</w:t>
            </w:r>
          </w:p>
        </w:tc>
        <w:tc>
          <w:tcPr>
            <w:tcW w:w="1376" w:type="dxa"/>
          </w:tcPr>
          <w:tcPr/>
          <w:p>
            <w:pPr>
              <w:pStyle w:val="Compact"/>
              <w:jc w:val="left"/>
            </w:pPr>
            <w:r>
              <w:t xml:space="preserve">2024</w:t>
            </w:r>
          </w:p>
        </w:tc>
        <w:tc>
          <w:tcPr>
            <w:tcW w:w="986" w:type="dxa"/>
          </w:tcPr>
          <w:tcPr/>
          <w:p>
            <w:pPr>
              <w:pStyle w:val="Compact"/>
              <w:jc w:val="left"/>
            </w:pPr>
            <w:r>
              <w:t xml:space="preserve">[V]</w:t>
            </w:r>
          </w:p>
        </w:tc>
        <w:tc>
          <w:tcPr>
            <w:tcW w:w="1067" w:type="dxa"/>
          </w:tcPr>
          <w:tcPr/>
          <w:p>
            <w:pPr>
              <w:pStyle w:val="Compact"/>
              <w:jc w:val="left"/>
            </w:pPr>
            <w:r>
              <w:t xml:space="preserve">[1][2]</w:t>
            </w:r>
          </w:p>
        </w:tc>
      </w:tr>
      <w:tr>
        <w:tc>
          <w:tcPr>
            <w:tcW w:w="2620" w:type="dxa"/>
          </w:tcPr>
          <w:tcPr/>
          <w:p>
            <w:pPr>
              <w:pStyle w:val="Compact"/>
              <w:jc w:val="left"/>
            </w:pPr>
            <w:r>
              <w:t xml:space="preserve">Taux d’accès</w:t>
            </w:r>
          </w:p>
        </w:tc>
        <w:tc>
          <w:tcPr>
            <w:tcW w:w="8520" w:type="dxa"/>
          </w:tcPr>
          <w:tcPr/>
          <w:p>
            <w:pPr>
              <w:pStyle w:val="Compact"/>
              <w:jc w:val="left"/>
            </w:pPr>
            <w:r>
              <w:t xml:space="preserve">14,2 % (2021) →</w:t>
            </w:r>
            <w:r>
              <w:t xml:space="preserve"> </w:t>
            </w:r>
            <w:r>
              <w:rPr>
                <w:bCs/>
                <w:b/>
              </w:rPr>
              <w:t xml:space="preserve">25,9 % (2024)</w:t>
            </w:r>
          </w:p>
        </w:tc>
        <w:tc>
          <w:tcPr>
            <w:tcW w:w="1376" w:type="dxa"/>
          </w:tcPr>
          <w:tcPr/>
          <w:p>
            <w:pPr>
              <w:pStyle w:val="Compact"/>
              <w:jc w:val="left"/>
            </w:pPr>
            <w:r>
              <w:t xml:space="preserve">2024</w:t>
            </w:r>
          </w:p>
        </w:tc>
        <w:tc>
          <w:tcPr>
            <w:tcW w:w="986" w:type="dxa"/>
          </w:tcPr>
          <w:tcPr/>
          <w:p>
            <w:pPr>
              <w:pStyle w:val="Compact"/>
              <w:jc w:val="left"/>
            </w:pPr>
            <w:r>
              <w:t xml:space="preserve">[V]</w:t>
            </w:r>
          </w:p>
        </w:tc>
        <w:tc>
          <w:tcPr>
            <w:tcW w:w="1067" w:type="dxa"/>
          </w:tcPr>
          <w:tcPr/>
          <w:p>
            <w:pPr>
              <w:pStyle w:val="Compact"/>
              <w:jc w:val="left"/>
            </w:pPr>
            <w:r>
              <w:t xml:space="preserve">[1]</w:t>
            </w:r>
          </w:p>
        </w:tc>
      </w:tr>
      <w:tr>
        <w:tc>
          <w:tcPr>
            <w:tcW w:w="2620" w:type="dxa"/>
          </w:tcPr>
          <w:tcPr/>
          <w:p>
            <w:pPr>
              <w:pStyle w:val="Compact"/>
              <w:jc w:val="left"/>
            </w:pPr>
            <w:r>
              <w:t xml:space="preserve">Coût de production</w:t>
            </w:r>
          </w:p>
        </w:tc>
        <w:tc>
          <w:tcPr>
            <w:tcW w:w="8520" w:type="dxa"/>
          </w:tcPr>
          <w:tcPr/>
          <w:p>
            <w:pPr>
              <w:pStyle w:val="Compact"/>
              <w:jc w:val="left"/>
            </w:pPr>
            <w:r>
              <w:t xml:space="preserve">Tarif EGENCO inférieur à son coût de production (selon son DG)</w:t>
            </w:r>
          </w:p>
        </w:tc>
        <w:tc>
          <w:tcPr>
            <w:tcW w:w="1376" w:type="dxa"/>
          </w:tcPr>
          <w:tcPr/>
          <w:p>
            <w:pPr>
              <w:pStyle w:val="Compact"/>
              <w:jc w:val="left"/>
            </w:pPr>
            <w:r>
              <w:t xml:space="preserve">2026</w:t>
            </w:r>
          </w:p>
        </w:tc>
        <w:tc>
          <w:tcPr>
            <w:tcW w:w="986" w:type="dxa"/>
          </w:tcPr>
          <w:tcPr/>
          <w:p>
            <w:pPr>
              <w:pStyle w:val="Compact"/>
              <w:jc w:val="left"/>
            </w:pPr>
            <w:r>
              <w:t xml:space="preserve">[S]</w:t>
            </w:r>
          </w:p>
        </w:tc>
        <w:tc>
          <w:tcPr>
            <w:tcW w:w="1067" w:type="dxa"/>
          </w:tcPr>
          <w:tcPr/>
          <w:p>
            <w:pPr>
              <w:pStyle w:val="Compact"/>
              <w:jc w:val="left"/>
            </w:pPr>
            <w:r>
              <w:t xml:space="preserve">[6]</w:t>
            </w:r>
          </w:p>
        </w:tc>
      </w:tr>
    </w:tbl>
    <w:bookmarkEnd w:id="265"/>
    <w:bookmarkStart w:id="266" w:name="situation-économique-et-gouvernance-22"/>
    <w:p>
      <w:pPr>
        <w:pStyle w:val="Heading3"/>
      </w:pPr>
      <w:r>
        <w:t xml:space="preserve">3. Situation économique et gouvernance</w:t>
      </w:r>
    </w:p>
    <w:p>
      <w:pPr>
        <w:numPr>
          <w:ilvl w:val="0"/>
          <w:numId w:val="1144"/>
        </w:numPr>
        <w:pStyle w:val="Compact"/>
      </w:pPr>
      <w:r>
        <w:rPr>
          <w:bCs/>
          <w:b/>
        </w:rPr>
        <w:t xml:space="preserve">PPA</w:t>
      </w:r>
      <w:r>
        <w:t xml:space="preserve"> </w:t>
      </w:r>
      <w:r>
        <w:t xml:space="preserve">: renégociations des PPA (2022-2023) citées parmi les causes du redressement [1] [V] ; poids des IPP dans les coûts non chiffré [?].</w:t>
      </w:r>
    </w:p>
    <w:p>
      <w:pPr>
        <w:numPr>
          <w:ilvl w:val="0"/>
          <w:numId w:val="1144"/>
        </w:numPr>
        <w:pStyle w:val="Compact"/>
      </w:pPr>
      <w:r>
        <w:rPr>
          <w:bCs/>
          <w:b/>
        </w:rPr>
        <w:t xml:space="preserve">Change</w:t>
      </w:r>
      <w:r>
        <w:t xml:space="preserve"> </w:t>
      </w:r>
      <w:r>
        <w:t xml:space="preserve">: choc de la dévaluation de 44 % (nov. 2023) : +30 % de coûts sectoriels, pertes de change ≈ 83 Md MWK [1][7].</w:t>
      </w:r>
    </w:p>
    <w:p>
      <w:pPr>
        <w:numPr>
          <w:ilvl w:val="0"/>
          <w:numId w:val="1144"/>
        </w:numPr>
        <w:pStyle w:val="Compact"/>
      </w:pPr>
      <w:r>
        <w:rPr>
          <w:bCs/>
          <w:b/>
        </w:rPr>
        <w:t xml:space="preserve">Plan de redressement</w:t>
      </w:r>
      <w:r>
        <w:t xml:space="preserve"> </w:t>
      </w:r>
      <w:r>
        <w:t xml:space="preserve">: Integrated Strategic Plan ISP27 (2023-2027) d’ESCOM [9] [V, non lu en détail] ; revue fonctionnelle d’ESCOM « en retard » (pacte, janv. 2026).</w:t>
      </w:r>
    </w:p>
    <w:p>
      <w:pPr>
        <w:numPr>
          <w:ilvl w:val="0"/>
          <w:numId w:val="1144"/>
        </w:numPr>
        <w:pStyle w:val="Compact"/>
      </w:pPr>
      <w:r>
        <w:rPr>
          <w:bCs/>
          <w:b/>
        </w:rPr>
        <w:t xml:space="preserve">Gouvernance</w:t>
      </w:r>
      <w:r>
        <w:t xml:space="preserve"> </w:t>
      </w:r>
      <w:r>
        <w:t xml:space="preserve">: comptes audités non publiés depuis 2020 (pacte) ; résultats connus via le ministère des Finances (rapports sur les entreprises publiques) [6] [S]. Conflit tarifaire persistant entre ESCOM et EGENCO (PPA intra-sectoriel) [S].</w:t>
      </w:r>
    </w:p>
    <w:bookmarkEnd w:id="266"/>
    <w:bookmarkStart w:id="267" w:name="Xca1730e3f4202de8f6f5701593aec4b381233f0"/>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284"/>
        <w:gridCol w:w="1329"/>
        <w:gridCol w:w="1786"/>
        <w:gridCol w:w="1297"/>
        <w:gridCol w:w="2345"/>
        <w:gridCol w:w="1587"/>
        <w:gridCol w:w="2104"/>
        <w:gridCol w:w="834"/>
      </w:tblGrid>
      <w:tr>
        <w:trPr>
          <w:tblHeader w:val="true"/>
        </w:trPr>
        <w:tc>
          <w:tcPr>
            <w:tcW w:w="3284" w:type="dxa"/>
          </w:tcPr>
          <w:tcPr/>
          <w:p>
            <w:pPr>
              <w:pStyle w:val="Compact"/>
              <w:jc w:val="left"/>
            </w:pPr>
            <w:r>
              <w:t xml:space="preserve">Programme / projet</w:t>
            </w:r>
          </w:p>
        </w:tc>
        <w:tc>
          <w:tcPr>
            <w:tcW w:w="1329" w:type="dxa"/>
          </w:tcPr>
          <w:tcPr/>
          <w:p>
            <w:pPr>
              <w:pStyle w:val="Compact"/>
              <w:jc w:val="left"/>
            </w:pPr>
            <w:r>
              <w:t xml:space="preserve">Bailleur</w:t>
            </w:r>
          </w:p>
        </w:tc>
        <w:tc>
          <w:tcPr>
            <w:tcW w:w="1786" w:type="dxa"/>
          </w:tcPr>
          <w:tcPr/>
          <w:p>
            <w:pPr>
              <w:pStyle w:val="Compact"/>
              <w:jc w:val="left"/>
            </w:pPr>
            <w:r>
              <w:t xml:space="preserve">Montant</w:t>
            </w:r>
          </w:p>
        </w:tc>
        <w:tc>
          <w:tcPr>
            <w:tcW w:w="1297" w:type="dxa"/>
          </w:tcPr>
          <w:tcPr/>
          <w:p>
            <w:pPr>
              <w:pStyle w:val="Compact"/>
              <w:jc w:val="left"/>
            </w:pPr>
            <w:r>
              <w:t xml:space="preserve">Années</w:t>
            </w:r>
          </w:p>
        </w:tc>
        <w:tc>
          <w:tcPr>
            <w:tcW w:w="2345" w:type="dxa"/>
          </w:tcPr>
          <w:tcPr/>
          <w:p>
            <w:pPr>
              <w:pStyle w:val="Compact"/>
              <w:jc w:val="left"/>
            </w:pPr>
            <w:r>
              <w:t xml:space="preserve">Objectifs liés à l’opérateur</w:t>
            </w:r>
          </w:p>
        </w:tc>
        <w:tc>
          <w:tcPr>
            <w:tcW w:w="1587" w:type="dxa"/>
          </w:tcPr>
          <w:tcPr/>
          <w:p>
            <w:pPr>
              <w:pStyle w:val="Compact"/>
              <w:jc w:val="left"/>
            </w:pPr>
            <w:r>
              <w:t xml:space="preserve">Conditions / indicateurs</w:t>
            </w:r>
          </w:p>
        </w:tc>
        <w:tc>
          <w:tcPr>
            <w:tcW w:w="2104" w:type="dxa"/>
          </w:tcPr>
          <w:tcPr/>
          <w:p>
            <w:pPr>
              <w:pStyle w:val="Compact"/>
              <w:jc w:val="left"/>
            </w:pPr>
            <w:r>
              <w:t xml:space="preserve">Statut</w:t>
            </w:r>
          </w:p>
        </w:tc>
        <w:tc>
          <w:tcPr>
            <w:tcW w:w="834" w:type="dxa"/>
          </w:tcPr>
          <w:tcPr/>
          <w:p>
            <w:pPr>
              <w:pStyle w:val="Compact"/>
              <w:jc w:val="left"/>
            </w:pPr>
            <w:r>
              <w:t xml:space="preserve">Source</w:t>
            </w:r>
          </w:p>
        </w:tc>
      </w:tr>
      <w:tr>
        <w:tc>
          <w:tcPr>
            <w:tcW w:w="3284" w:type="dxa"/>
          </w:tcPr>
          <w:tcPr/>
          <w:p>
            <w:pPr>
              <w:pStyle w:val="Compact"/>
              <w:jc w:val="left"/>
            </w:pPr>
            <w:r>
              <w:rPr>
                <w:bCs/>
                <w:b/>
              </w:rPr>
              <w:t xml:space="preserve">ASCENT Malawi</w:t>
            </w:r>
            <w:r>
              <w:t xml:space="preserve">, phase 8 du MPA ASCENT,</w:t>
            </w:r>
            <w:r>
              <w:t xml:space="preserve"> </w:t>
            </w:r>
            <w:r>
              <w:rPr>
                <w:bCs/>
                <w:b/>
              </w:rPr>
              <w:t xml:space="preserve">P502464</w:t>
            </w:r>
          </w:p>
        </w:tc>
        <w:tc>
          <w:tcPr>
            <w:tcW w:w="1329" w:type="dxa"/>
          </w:tcPr>
          <w:tcPr/>
          <w:p>
            <w:pPr>
              <w:pStyle w:val="Compact"/>
              <w:jc w:val="left"/>
            </w:pPr>
            <w:r>
              <w:t xml:space="preserve">BM (don IDA) + ESMAP</w:t>
            </w:r>
          </w:p>
        </w:tc>
        <w:tc>
          <w:tcPr>
            <w:tcW w:w="1786" w:type="dxa"/>
          </w:tcPr>
          <w:tcPr/>
          <w:p>
            <w:pPr>
              <w:pStyle w:val="Compact"/>
              <w:jc w:val="left"/>
            </w:pPr>
            <w:r>
              <w:rPr>
                <w:bCs/>
                <w:b/>
              </w:rPr>
              <w:t xml:space="preserve">245,8 M US$</w:t>
            </w:r>
            <w:r>
              <w:t xml:space="preserve"> </w:t>
            </w:r>
            <w:r>
              <w:t xml:space="preserve">+ 5 M US$</w:t>
            </w:r>
          </w:p>
        </w:tc>
        <w:tc>
          <w:tcPr>
            <w:tcW w:w="1297" w:type="dxa"/>
          </w:tcPr>
          <w:tcPr/>
          <w:p>
            <w:pPr>
              <w:pStyle w:val="Compact"/>
              <w:jc w:val="left"/>
            </w:pPr>
            <w:r>
              <w:t xml:space="preserve">approbation prévue 23/12/2024 ; clôture 31/12/2030</w:t>
            </w:r>
          </w:p>
        </w:tc>
        <w:tc>
          <w:tcPr>
            <w:tcW w:w="2345" w:type="dxa"/>
          </w:tcPr>
          <w:tcPr/>
          <w:p>
            <w:pPr>
              <w:pStyle w:val="Compact"/>
              <w:jc w:val="left"/>
            </w:pPr>
            <w:r>
              <w:t xml:space="preserve">Raccordements réseau (ESCOM), SHS, écoles/santé</w:t>
            </w:r>
          </w:p>
        </w:tc>
        <w:tc>
          <w:tcPr>
            <w:tcW w:w="1587" w:type="dxa"/>
          </w:tcPr>
          <w:tcPr/>
          <w:p>
            <w:pPr>
              <w:pStyle w:val="Compact"/>
              <w:jc w:val="left"/>
            </w:pPr>
            <w:r>
              <w:rPr>
                <w:bCs/>
                <w:b/>
              </w:rPr>
              <w:t xml:space="preserve">30 % du financement des raccordements lié à 3 PBC ESCOM</w:t>
            </w:r>
            <w:r>
              <w:t xml:space="preserve"> </w:t>
            </w:r>
            <w:r>
              <w:t xml:space="preserve">: contrat-cadre d’achats standardisé ; géolocalisation de ≥ 95 % des clients ; tableau de bord MIS + 95 % des incidents de maintenance traités via le MIS</w:t>
            </w:r>
          </w:p>
        </w:tc>
        <w:tc>
          <w:tcPr>
            <w:tcW w:w="2104" w:type="dxa"/>
          </w:tcPr>
          <w:tcPr/>
          <w:p>
            <w:pPr>
              <w:pStyle w:val="Compact"/>
              <w:jc w:val="left"/>
            </w:pPr>
            <w:r>
              <w:t xml:space="preserve">approuvé [E] (base API : « pipeline »)</w:t>
            </w:r>
          </w:p>
        </w:tc>
        <w:tc>
          <w:tcPr>
            <w:tcW w:w="834" w:type="dxa"/>
          </w:tcPr>
          <w:tcPr/>
          <w:p>
            <w:pPr>
              <w:pStyle w:val="Compact"/>
              <w:jc w:val="left"/>
            </w:pPr>
            <w:r>
              <w:t xml:space="preserve">[1]</w:t>
            </w:r>
          </w:p>
        </w:tc>
      </w:tr>
      <w:tr>
        <w:tc>
          <w:tcPr>
            <w:tcW w:w="3284" w:type="dxa"/>
          </w:tcPr>
          <w:tcPr/>
          <w:p>
            <w:pPr>
              <w:pStyle w:val="Compact"/>
              <w:jc w:val="left"/>
            </w:pPr>
            <w:r>
              <w:rPr>
                <w:bCs/>
                <w:b/>
              </w:rPr>
              <w:t xml:space="preserve">Malawi Electricity Access Project (MEAP), P164331</w:t>
            </w:r>
          </w:p>
        </w:tc>
        <w:tc>
          <w:tcPr>
            <w:tcW w:w="1329" w:type="dxa"/>
          </w:tcPr>
          <w:tcPr/>
          <w:p>
            <w:pPr>
              <w:pStyle w:val="Compact"/>
              <w:jc w:val="left"/>
            </w:pPr>
            <w:r>
              <w:t xml:space="preserve">BM (IDA)</w:t>
            </w:r>
          </w:p>
        </w:tc>
        <w:tc>
          <w:tcPr>
            <w:tcW w:w="1786" w:type="dxa"/>
          </w:tcPr>
          <w:tcPr/>
          <w:p>
            <w:pPr>
              <w:pStyle w:val="Compact"/>
              <w:jc w:val="left"/>
            </w:pPr>
            <w:r>
              <w:t xml:space="preserve">150 M US$ (composantes : 66 M réseau, 20 M hors réseau, 14 M AT dans l’ISR)</w:t>
            </w:r>
          </w:p>
        </w:tc>
        <w:tc>
          <w:tcPr>
            <w:tcW w:w="1297" w:type="dxa"/>
          </w:tcPr>
          <w:tcPr/>
          <w:p>
            <w:pPr>
              <w:pStyle w:val="Compact"/>
              <w:jc w:val="left"/>
            </w:pPr>
            <w:r>
              <w:t xml:space="preserve">2019-2025</w:t>
            </w:r>
          </w:p>
        </w:tc>
        <w:tc>
          <w:tcPr>
            <w:tcW w:w="2345" w:type="dxa"/>
          </w:tcPr>
          <w:tcPr/>
          <w:p>
            <w:pPr>
              <w:pStyle w:val="Compact"/>
              <w:jc w:val="left"/>
            </w:pPr>
            <w:r>
              <w:t xml:space="preserve">Raccordements ESCOM</w:t>
            </w:r>
          </w:p>
        </w:tc>
        <w:tc>
          <w:tcPr>
            <w:tcW w:w="1587" w:type="dxa"/>
          </w:tcPr>
          <w:tcPr/>
          <w:p>
            <w:pPr>
              <w:pStyle w:val="Compact"/>
              <w:jc w:val="left"/>
            </w:pPr>
            <w:r>
              <w:t xml:space="preserve">—</w:t>
            </w:r>
          </w:p>
        </w:tc>
        <w:tc>
          <w:tcPr>
            <w:tcW w:w="2104" w:type="dxa"/>
          </w:tcPr>
          <w:tcPr/>
          <w:p>
            <w:pPr>
              <w:pStyle w:val="Compact"/>
              <w:jc w:val="left"/>
            </w:pPr>
            <w:r>
              <w:t xml:space="preserve">ISR fév. 2025 : Modérément satisfaisant ; 60 % de l’objectif réseau</w:t>
            </w:r>
          </w:p>
        </w:tc>
        <w:tc>
          <w:tcPr>
            <w:tcW w:w="834" w:type="dxa"/>
          </w:tcPr>
          <w:tcPr/>
          <w:p>
            <w:pPr>
              <w:pStyle w:val="Compact"/>
              <w:jc w:val="left"/>
            </w:pPr>
            <w:r>
              <w:t xml:space="preserve">[2]</w:t>
            </w:r>
          </w:p>
        </w:tc>
      </w:tr>
      <w:tr>
        <w:tc>
          <w:tcPr>
            <w:tcW w:w="3284" w:type="dxa"/>
          </w:tcPr>
          <w:tcPr/>
          <w:p>
            <w:pPr>
              <w:pStyle w:val="Compact"/>
              <w:jc w:val="left"/>
            </w:pPr>
            <w:r>
              <w:rPr>
                <w:bCs/>
                <w:b/>
              </w:rPr>
              <w:t xml:space="preserve">Emergency Power Restoration Project, P178914</w:t>
            </w:r>
          </w:p>
        </w:tc>
        <w:tc>
          <w:tcPr>
            <w:tcW w:w="1329" w:type="dxa"/>
          </w:tcPr>
          <w:tcPr/>
          <w:p>
            <w:pPr>
              <w:pStyle w:val="Compact"/>
              <w:jc w:val="left"/>
            </w:pPr>
            <w:r>
              <w:t xml:space="preserve">BM (IDA)</w:t>
            </w:r>
          </w:p>
        </w:tc>
        <w:tc>
          <w:tcPr>
            <w:tcW w:w="1786" w:type="dxa"/>
          </w:tcPr>
          <w:tcPr/>
          <w:p>
            <w:pPr>
              <w:pStyle w:val="Compact"/>
              <w:jc w:val="left"/>
            </w:pPr>
            <w:r>
              <w:t xml:space="preserve">60 M US$</w:t>
            </w:r>
          </w:p>
        </w:tc>
        <w:tc>
          <w:tcPr>
            <w:tcW w:w="1297" w:type="dxa"/>
          </w:tcPr>
          <w:tcPr/>
          <w:p>
            <w:pPr>
              <w:pStyle w:val="Compact"/>
              <w:jc w:val="left"/>
            </w:pPr>
            <w:r>
              <w:t xml:space="preserve">2022-nov. 2026</w:t>
            </w:r>
          </w:p>
        </w:tc>
        <w:tc>
          <w:tcPr>
            <w:tcW w:w="2345" w:type="dxa"/>
          </w:tcPr>
          <w:tcPr/>
          <w:p>
            <w:pPr>
              <w:pStyle w:val="Compact"/>
              <w:jc w:val="left"/>
            </w:pPr>
            <w:r>
              <w:t xml:space="preserve">Kapichira (EGENCO), réseau T&amp;D (ESCOM)</w:t>
            </w:r>
          </w:p>
        </w:tc>
        <w:tc>
          <w:tcPr>
            <w:tcW w:w="1587" w:type="dxa"/>
          </w:tcPr>
          <w:tcPr/>
          <w:p>
            <w:pPr>
              <w:pStyle w:val="Compact"/>
              <w:jc w:val="left"/>
            </w:pPr>
            <w:r>
              <w:t xml:space="preserve">—</w:t>
            </w:r>
          </w:p>
        </w:tc>
        <w:tc>
          <w:tcPr>
            <w:tcW w:w="2104" w:type="dxa"/>
          </w:tcPr>
          <w:tcPr/>
          <w:p>
            <w:pPr>
              <w:pStyle w:val="Compact"/>
              <w:jc w:val="left"/>
            </w:pPr>
            <w:r>
              <w:t xml:space="preserve">ISR nov. 2024 : Satisfaisant ; risque global élevé</w:t>
            </w:r>
          </w:p>
        </w:tc>
        <w:tc>
          <w:tcPr>
            <w:tcW w:w="834" w:type="dxa"/>
          </w:tcPr>
          <w:tcPr/>
          <w:p>
            <w:pPr>
              <w:pStyle w:val="Compact"/>
              <w:jc w:val="left"/>
            </w:pPr>
            <w:r>
              <w:t xml:space="preserve">[3]</w:t>
            </w:r>
          </w:p>
        </w:tc>
      </w:tr>
      <w:tr>
        <w:tc>
          <w:tcPr>
            <w:tcW w:w="3284" w:type="dxa"/>
          </w:tcPr>
          <w:tcPr/>
          <w:p>
            <w:pPr>
              <w:pStyle w:val="Compact"/>
              <w:jc w:val="left"/>
            </w:pPr>
            <w:r>
              <w:t xml:space="preserve">Malawi First Growth and Resilience DPO with Cat-DDO,</w:t>
            </w:r>
            <w:r>
              <w:t xml:space="preserve"> </w:t>
            </w:r>
            <w:r>
              <w:rPr>
                <w:bCs/>
                <w:b/>
              </w:rPr>
              <w:t xml:space="preserve">P175072</w:t>
            </w:r>
          </w:p>
        </w:tc>
        <w:tc>
          <w:tcPr>
            <w:tcW w:w="1329" w:type="dxa"/>
          </w:tcPr>
          <w:tcPr/>
          <w:p>
            <w:pPr>
              <w:pStyle w:val="Compact"/>
              <w:jc w:val="left"/>
            </w:pPr>
            <w:r>
              <w:t xml:space="preserve">BM (DPF)</w:t>
            </w:r>
          </w:p>
        </w:tc>
        <w:tc>
          <w:tcPr>
            <w:tcW w:w="1786" w:type="dxa"/>
          </w:tcPr>
          <w:tcPr/>
          <w:p>
            <w:pPr>
              <w:pStyle w:val="Compact"/>
              <w:jc w:val="left"/>
            </w:pPr>
            <w:r>
              <w:t xml:space="preserve">137 M US$</w:t>
            </w:r>
          </w:p>
        </w:tc>
        <w:tc>
          <w:tcPr>
            <w:tcW w:w="1297" w:type="dxa"/>
          </w:tcPr>
          <w:tcPr/>
          <w:p>
            <w:pPr>
              <w:pStyle w:val="Compact"/>
              <w:jc w:val="left"/>
            </w:pPr>
            <w:r>
              <w:t xml:space="preserve">12/12/2023</w:t>
            </w:r>
          </w:p>
        </w:tc>
        <w:tc>
          <w:tcPr>
            <w:tcW w:w="2345" w:type="dxa"/>
          </w:tcPr>
          <w:tcPr/>
          <w:p>
            <w:pPr>
              <w:pStyle w:val="Compact"/>
              <w:jc w:val="left"/>
            </w:pPr>
            <w:r>
              <w:t xml:space="preserve">Tarifs</w:t>
            </w:r>
          </w:p>
        </w:tc>
        <w:tc>
          <w:tcPr>
            <w:tcW w:w="1587" w:type="dxa"/>
          </w:tcPr>
          <w:tcPr/>
          <w:p>
            <w:pPr>
              <w:pStyle w:val="Compact"/>
              <w:jc w:val="left"/>
            </w:pPr>
            <w:r>
              <w:t xml:space="preserve">Action préalable citée :</w:t>
            </w:r>
            <w:r>
              <w:t xml:space="preserve"> </w:t>
            </w:r>
            <w:r>
              <w:rPr>
                <w:bCs/>
                <w:b/>
              </w:rPr>
              <w:t xml:space="preserve">ordonnance tarifaire pluriannuelle reflétant les coûts approuvée par MERA</w:t>
            </w:r>
          </w:p>
        </w:tc>
        <w:tc>
          <w:tcPr>
            <w:tcW w:w="2104" w:type="dxa"/>
          </w:tcPr>
          <w:tcPr/>
          <w:p>
            <w:pPr>
              <w:pStyle w:val="Compact"/>
              <w:jc w:val="left"/>
            </w:pPr>
            <w:r>
              <w:t xml:space="preserve">actif</w:t>
            </w:r>
          </w:p>
        </w:tc>
        <w:tc>
          <w:tcPr>
            <w:tcW w:w="834" w:type="dxa"/>
          </w:tcPr>
          <w:tcPr/>
          <w:p>
            <w:pPr>
              <w:pStyle w:val="Compact"/>
              <w:jc w:val="left"/>
            </w:pPr>
            <w:r>
              <w:t xml:space="preserve">[1]</w:t>
            </w:r>
          </w:p>
        </w:tc>
      </w:tr>
      <w:tr>
        <w:tc>
          <w:tcPr>
            <w:tcW w:w="3284" w:type="dxa"/>
          </w:tcPr>
          <w:tcPr/>
          <w:p>
            <w:pPr>
              <w:pStyle w:val="Compact"/>
              <w:jc w:val="left"/>
            </w:pPr>
            <w:r>
              <w:t xml:space="preserve">Malawi Second Growth and Resilience DPO, P502806</w:t>
            </w:r>
          </w:p>
        </w:tc>
        <w:tc>
          <w:tcPr>
            <w:tcW w:w="1329" w:type="dxa"/>
          </w:tcPr>
          <w:tcPr/>
          <w:p>
            <w:pPr>
              <w:pStyle w:val="Compact"/>
              <w:jc w:val="left"/>
            </w:pPr>
            <w:r>
              <w:t xml:space="preserve">BM</w:t>
            </w:r>
          </w:p>
        </w:tc>
        <w:tc>
          <w:tcPr>
            <w:tcW w:w="1786" w:type="dxa"/>
          </w:tcPr>
          <w:tcPr/>
          <w:p>
            <w:pPr>
              <w:pStyle w:val="Compact"/>
              <w:jc w:val="left"/>
            </w:pPr>
            <w:r>
              <w:t xml:space="preserve">80 M US$</w:t>
            </w:r>
          </w:p>
        </w:tc>
        <w:tc>
          <w:tcPr>
            <w:tcW w:w="1297" w:type="dxa"/>
          </w:tcPr>
          <w:tcPr/>
          <w:p>
            <w:pPr>
              <w:pStyle w:val="Compact"/>
              <w:jc w:val="left"/>
            </w:pPr>
            <w:r>
              <w:t xml:space="preserve">pipeline</w:t>
            </w:r>
          </w:p>
        </w:tc>
        <w:tc>
          <w:tcPr>
            <w:tcW w:w="2345" w:type="dxa"/>
          </w:tcPr>
          <w:tcPr/>
          <w:p>
            <w:pPr>
              <w:pStyle w:val="Compact"/>
              <w:jc w:val="left"/>
            </w:pPr>
            <w:r>
              <w:t xml:space="preserve">[?]</w:t>
            </w:r>
          </w:p>
        </w:tc>
        <w:tc>
          <w:tcPr>
            <w:tcW w:w="1587" w:type="dxa"/>
          </w:tcPr>
          <w:tcPr/>
          <w:p>
            <w:pPr>
              <w:pStyle w:val="Compact"/>
              <w:jc w:val="left"/>
            </w:pPr>
            <w:r>
              <w:t xml:space="preserve">[?]</w:t>
            </w:r>
          </w:p>
        </w:tc>
        <w:tc>
          <w:tcPr>
            <w:tcW w:w="2104" w:type="dxa"/>
          </w:tcPr>
          <w:tcPr/>
          <w:p>
            <w:pPr>
              <w:pStyle w:val="Compact"/>
              <w:jc w:val="left"/>
            </w:pPr>
            <w:r>
              <w:t xml:space="preserve">pipeline</w:t>
            </w:r>
          </w:p>
        </w:tc>
        <w:tc>
          <w:tcPr>
            <w:tcW w:w="834" w:type="dxa"/>
          </w:tcPr>
          <w:tcPr/>
          <w:p>
            <w:pPr>
              <w:pStyle w:val="Compact"/>
              <w:jc w:val="left"/>
            </w:pPr>
            <w:r>
              <w:t xml:space="preserve">API BM</w:t>
            </w:r>
          </w:p>
        </w:tc>
      </w:tr>
      <w:tr>
        <w:tc>
          <w:tcPr>
            <w:tcW w:w="3284" w:type="dxa"/>
          </w:tcPr>
          <w:tcPr/>
          <w:p>
            <w:pPr>
              <w:pStyle w:val="Compact"/>
              <w:jc w:val="left"/>
            </w:pPr>
            <w:r>
              <w:t xml:space="preserve">Mozambique-Malawi Regional Interconnector, P164354</w:t>
            </w:r>
          </w:p>
        </w:tc>
        <w:tc>
          <w:tcPr>
            <w:tcW w:w="1329" w:type="dxa"/>
          </w:tcPr>
          <w:tcPr/>
          <w:p>
            <w:pPr>
              <w:pStyle w:val="Compact"/>
              <w:jc w:val="left"/>
            </w:pPr>
            <w:r>
              <w:t xml:space="preserve">BM (IDA) + KfW, UE</w:t>
            </w:r>
          </w:p>
        </w:tc>
        <w:tc>
          <w:tcPr>
            <w:tcW w:w="1786" w:type="dxa"/>
          </w:tcPr>
          <w:tcPr/>
          <w:p>
            <w:pPr>
              <w:pStyle w:val="Compact"/>
              <w:jc w:val="left"/>
            </w:pPr>
            <w:r>
              <w:t xml:space="preserve">57 M US$ (BM)</w:t>
            </w:r>
          </w:p>
        </w:tc>
        <w:tc>
          <w:tcPr>
            <w:tcW w:w="1297" w:type="dxa"/>
          </w:tcPr>
          <w:tcPr/>
          <w:p>
            <w:pPr>
              <w:pStyle w:val="Compact"/>
              <w:jc w:val="left"/>
            </w:pPr>
            <w:r>
              <w:t xml:space="preserve">2019-</w:t>
            </w:r>
          </w:p>
        </w:tc>
        <w:tc>
          <w:tcPr>
            <w:tcW w:w="2345" w:type="dxa"/>
          </w:tcPr>
          <w:tcPr/>
          <w:p>
            <w:pPr>
              <w:pStyle w:val="Compact"/>
              <w:jc w:val="left"/>
            </w:pPr>
            <w:r>
              <w:t xml:space="preserve">Interconnexion 400 kV (50 MW garantis)</w:t>
            </w:r>
          </w:p>
        </w:tc>
        <w:tc>
          <w:tcPr>
            <w:tcW w:w="1587" w:type="dxa"/>
          </w:tcPr>
          <w:tcPr/>
          <w:p>
            <w:pPr>
              <w:pStyle w:val="Compact"/>
              <w:jc w:val="left"/>
            </w:pPr>
            <w:r>
              <w:t xml:space="preserve">—</w:t>
            </w:r>
          </w:p>
        </w:tc>
        <w:tc>
          <w:tcPr>
            <w:tcW w:w="2104" w:type="dxa"/>
          </w:tcPr>
          <w:tcPr/>
          <w:p>
            <w:pPr>
              <w:pStyle w:val="Compact"/>
              <w:jc w:val="left"/>
            </w:pPr>
            <w:r>
              <w:t xml:space="preserve">mise en service attendue fin 2025</w:t>
            </w:r>
          </w:p>
        </w:tc>
        <w:tc>
          <w:tcPr>
            <w:tcW w:w="834" w:type="dxa"/>
          </w:tcPr>
          <w:tcPr/>
          <w:p>
            <w:pPr>
              <w:pStyle w:val="Compact"/>
              <w:jc w:val="left"/>
            </w:pPr>
            <w:r>
              <w:t xml:space="preserve">API BM ; [1]</w:t>
            </w:r>
          </w:p>
        </w:tc>
      </w:tr>
      <w:tr>
        <w:tc>
          <w:tcPr>
            <w:tcW w:w="3284" w:type="dxa"/>
          </w:tcPr>
          <w:tcPr/>
          <w:p>
            <w:pPr>
              <w:pStyle w:val="Compact"/>
              <w:jc w:val="left"/>
            </w:pPr>
            <w:r>
              <w:t xml:space="preserve">Mpatamanga Hydropower Storage, P165704 ; garantie P174226</w:t>
            </w:r>
          </w:p>
        </w:tc>
        <w:tc>
          <w:tcPr>
            <w:tcW w:w="1329" w:type="dxa"/>
          </w:tcPr>
          <w:tcPr/>
          <w:p>
            <w:pPr>
              <w:pStyle w:val="Compact"/>
              <w:jc w:val="left"/>
            </w:pPr>
            <w:r>
              <w:t xml:space="preserve">BM</w:t>
            </w:r>
          </w:p>
        </w:tc>
        <w:tc>
          <w:tcPr>
            <w:tcW w:w="1786" w:type="dxa"/>
          </w:tcPr>
          <w:tcPr/>
          <w:p>
            <w:pPr>
              <w:pStyle w:val="Compact"/>
              <w:jc w:val="left"/>
            </w:pPr>
            <w:r>
              <w:t xml:space="preserve">325 M US$ ; 100 M US$</w:t>
            </w:r>
          </w:p>
        </w:tc>
        <w:tc>
          <w:tcPr>
            <w:tcW w:w="1297" w:type="dxa"/>
          </w:tcPr>
          <w:tcPr/>
          <w:p>
            <w:pPr>
              <w:pStyle w:val="Compact"/>
              <w:jc w:val="left"/>
            </w:pPr>
            <w:r>
              <w:t xml:space="preserve">pipeline</w:t>
            </w:r>
          </w:p>
        </w:tc>
        <w:tc>
          <w:tcPr>
            <w:tcW w:w="2345" w:type="dxa"/>
          </w:tcPr>
          <w:tcPr/>
          <w:p>
            <w:pPr>
              <w:pStyle w:val="Compact"/>
              <w:jc w:val="left"/>
            </w:pPr>
            <w:r>
              <w:t xml:space="preserve">Production (PPP)</w:t>
            </w:r>
          </w:p>
        </w:tc>
        <w:tc>
          <w:tcPr>
            <w:tcW w:w="1587" w:type="dxa"/>
          </w:tcPr>
          <w:tcPr/>
          <w:p>
            <w:pPr>
              <w:pStyle w:val="Compact"/>
              <w:jc w:val="left"/>
            </w:pPr>
            <w:r>
              <w:t xml:space="preserve">—</w:t>
            </w:r>
          </w:p>
        </w:tc>
        <w:tc>
          <w:tcPr>
            <w:tcW w:w="2104" w:type="dxa"/>
          </w:tcPr>
          <w:tcPr/>
          <w:p>
            <w:pPr>
              <w:pStyle w:val="Compact"/>
              <w:jc w:val="left"/>
            </w:pPr>
            <w:r>
              <w:t xml:space="preserve">pipeline</w:t>
            </w:r>
          </w:p>
        </w:tc>
        <w:tc>
          <w:tcPr>
            <w:tcW w:w="834" w:type="dxa"/>
          </w:tcPr>
          <w:tcPr/>
          <w:p>
            <w:pPr>
              <w:pStyle w:val="Compact"/>
              <w:jc w:val="left"/>
            </w:pPr>
            <w:r>
              <w:t xml:space="preserve">API BM</w:t>
            </w:r>
          </w:p>
        </w:tc>
      </w:tr>
      <w:tr>
        <w:tc>
          <w:tcPr>
            <w:tcW w:w="3284" w:type="dxa"/>
          </w:tcPr>
          <w:tcPr/>
          <w:p>
            <w:pPr>
              <w:pStyle w:val="Compact"/>
              <w:jc w:val="left"/>
            </w:pPr>
            <w:r>
              <w:t xml:space="preserve">132 kV Eastern Backbone</w:t>
            </w:r>
          </w:p>
        </w:tc>
        <w:tc>
          <w:tcPr>
            <w:tcW w:w="1329" w:type="dxa"/>
          </w:tcPr>
          <w:tcPr/>
          <w:p>
            <w:pPr>
              <w:pStyle w:val="Compact"/>
              <w:jc w:val="left"/>
            </w:pPr>
            <w:r>
              <w:t xml:space="preserve">BEI (55 M€ prêt) + UE (30 M€ don) + BAD (montant [?])</w:t>
            </w:r>
          </w:p>
        </w:tc>
        <w:tc>
          <w:tcPr>
            <w:tcW w:w="1786" w:type="dxa"/>
          </w:tcPr>
          <w:tcPr/>
          <w:p>
            <w:pPr>
              <w:pStyle w:val="Compact"/>
              <w:jc w:val="left"/>
            </w:pPr>
            <w:r>
              <w:t xml:space="preserve">~95 M US$ (pacte)</w:t>
            </w:r>
          </w:p>
        </w:tc>
        <w:tc>
          <w:tcPr>
            <w:tcW w:w="1297" w:type="dxa"/>
          </w:tcPr>
          <w:tcPr/>
          <w:p>
            <w:pPr>
              <w:pStyle w:val="Compact"/>
              <w:jc w:val="left"/>
            </w:pPr>
            <w:r>
              <w:t xml:space="preserve">2024-2027</w:t>
            </w:r>
          </w:p>
        </w:tc>
        <w:tc>
          <w:tcPr>
            <w:tcW w:w="2345" w:type="dxa"/>
          </w:tcPr>
          <w:tcPr/>
          <w:p>
            <w:pPr>
              <w:pStyle w:val="Compact"/>
              <w:jc w:val="left"/>
            </w:pPr>
            <w:r>
              <w:t xml:space="preserve">Transport ESCOM</w:t>
            </w:r>
          </w:p>
        </w:tc>
        <w:tc>
          <w:tcPr>
            <w:tcW w:w="1587" w:type="dxa"/>
          </w:tcPr>
          <w:tcPr/>
          <w:p>
            <w:pPr>
              <w:pStyle w:val="Compact"/>
              <w:jc w:val="left"/>
            </w:pPr>
            <w:r>
              <w:t xml:space="preserve">—</w:t>
            </w:r>
          </w:p>
        </w:tc>
        <w:tc>
          <w:tcPr>
            <w:tcW w:w="2104" w:type="dxa"/>
          </w:tcPr>
          <w:tcPr/>
          <w:p>
            <w:pPr>
              <w:pStyle w:val="Compact"/>
              <w:jc w:val="left"/>
            </w:pPr>
            <w:r>
              <w:t xml:space="preserve">engagé (UE, juil. 2024)</w:t>
            </w:r>
          </w:p>
        </w:tc>
        <w:tc>
          <w:tcPr>
            <w:tcW w:w="834" w:type="dxa"/>
          </w:tcPr>
          <w:tcPr/>
          <w:p>
            <w:pPr>
              <w:pStyle w:val="Compact"/>
              <w:jc w:val="left"/>
            </w:pPr>
            <w:r>
              <w:t xml:space="preserve">[10] [S]</w:t>
            </w:r>
          </w:p>
        </w:tc>
      </w:tr>
      <w:tr>
        <w:tc>
          <w:tcPr>
            <w:tcW w:w="3284" w:type="dxa"/>
          </w:tcPr>
          <w:tcPr/>
          <w:p>
            <w:pPr>
              <w:pStyle w:val="Compact"/>
              <w:jc w:val="left"/>
            </w:pPr>
            <w:r>
              <w:t xml:space="preserve">Interconnexion Tanzanie-Malawi (études)</w:t>
            </w:r>
          </w:p>
        </w:tc>
        <w:tc>
          <w:tcPr>
            <w:tcW w:w="1329" w:type="dxa"/>
          </w:tcPr>
          <w:tcPr/>
          <w:p>
            <w:pPr>
              <w:pStyle w:val="Compact"/>
              <w:jc w:val="left"/>
            </w:pPr>
            <w:r>
              <w:t xml:space="preserve">MCDF via BAD</w:t>
            </w:r>
          </w:p>
        </w:tc>
        <w:tc>
          <w:tcPr>
            <w:tcW w:w="1786" w:type="dxa"/>
          </w:tcPr>
          <w:tcPr/>
          <w:p>
            <w:pPr>
              <w:pStyle w:val="Compact"/>
              <w:jc w:val="left"/>
            </w:pPr>
            <w:r>
              <w:t xml:space="preserve">2,15 M US$</w:t>
            </w:r>
          </w:p>
        </w:tc>
        <w:tc>
          <w:tcPr>
            <w:tcW w:w="1297" w:type="dxa"/>
          </w:tcPr>
          <w:tcPr/>
          <w:p>
            <w:pPr>
              <w:pStyle w:val="Compact"/>
              <w:jc w:val="left"/>
            </w:pPr>
            <w:r>
              <w:t xml:space="preserve">2025-2027</w:t>
            </w:r>
          </w:p>
        </w:tc>
        <w:tc>
          <w:tcPr>
            <w:tcW w:w="2345" w:type="dxa"/>
          </w:tcPr>
          <w:tcPr/>
          <w:p>
            <w:pPr>
              <w:pStyle w:val="Compact"/>
              <w:jc w:val="left"/>
            </w:pPr>
            <w:r>
              <w:t xml:space="preserve">Études ESCOM 400 kV</w:t>
            </w:r>
          </w:p>
        </w:tc>
        <w:tc>
          <w:tcPr>
            <w:tcW w:w="1587" w:type="dxa"/>
          </w:tcPr>
          <w:tcPr/>
          <w:p>
            <w:pPr>
              <w:pStyle w:val="Compact"/>
              <w:jc w:val="left"/>
            </w:pPr>
            <w:r>
              <w:t xml:space="preserve">—</w:t>
            </w:r>
          </w:p>
        </w:tc>
        <w:tc>
          <w:tcPr>
            <w:tcW w:w="2104" w:type="dxa"/>
          </w:tcPr>
          <w:tcPr/>
          <w:p>
            <w:pPr>
              <w:pStyle w:val="Compact"/>
              <w:jc w:val="left"/>
            </w:pPr>
            <w:r>
              <w:t xml:space="preserve">approuvé juil. 2025</w:t>
            </w:r>
          </w:p>
        </w:tc>
        <w:tc>
          <w:tcPr>
            <w:tcW w:w="834" w:type="dxa"/>
          </w:tcPr>
          <w:tcPr/>
          <w:p>
            <w:pPr>
              <w:pStyle w:val="Compact"/>
              <w:jc w:val="left"/>
            </w:pPr>
            <w:r>
              <w:t xml:space="preserve">[10] [S]</w:t>
            </w:r>
          </w:p>
        </w:tc>
      </w:tr>
      <w:tr>
        <w:tc>
          <w:tcPr>
            <w:tcW w:w="3284" w:type="dxa"/>
          </w:tcPr>
          <w:tcPr/>
          <w:p>
            <w:pPr>
              <w:pStyle w:val="Compact"/>
              <w:jc w:val="left"/>
            </w:pPr>
            <w:r>
              <w:t xml:space="preserve">AESTAP Mission 300 Phase II</w:t>
            </w:r>
          </w:p>
        </w:tc>
        <w:tc>
          <w:tcPr>
            <w:tcW w:w="1329" w:type="dxa"/>
          </w:tcPr>
          <w:tcPr/>
          <w:p>
            <w:pPr>
              <w:pStyle w:val="Compact"/>
              <w:jc w:val="left"/>
            </w:pPr>
            <w:r>
              <w:t xml:space="preserve">BAD</w:t>
            </w:r>
          </w:p>
        </w:tc>
        <w:tc>
          <w:tcPr>
            <w:tcW w:w="1786" w:type="dxa"/>
          </w:tcPr>
          <w:tcPr/>
          <w:p>
            <w:pPr>
              <w:pStyle w:val="Compact"/>
              <w:jc w:val="left"/>
            </w:pPr>
            <w:r>
              <w:t xml:space="preserve">3,9 M US$ (13 pays)</w:t>
            </w:r>
          </w:p>
        </w:tc>
        <w:tc>
          <w:tcPr>
            <w:tcW w:w="1297" w:type="dxa"/>
          </w:tcPr>
          <w:tcPr/>
          <w:p>
            <w:pPr>
              <w:pStyle w:val="Compact"/>
              <w:jc w:val="left"/>
            </w:pPr>
            <w:r>
              <w:t xml:space="preserve">2026</w:t>
            </w:r>
          </w:p>
        </w:tc>
        <w:tc>
          <w:tcPr>
            <w:tcW w:w="2345" w:type="dxa"/>
          </w:tcPr>
          <w:tcPr/>
          <w:p>
            <w:pPr>
              <w:pStyle w:val="Compact"/>
              <w:jc w:val="left"/>
            </w:pPr>
            <w:r>
              <w:t xml:space="preserve">Régulation, tarifs, utilities, conseillers CDMU —</w:t>
            </w:r>
            <w:r>
              <w:t xml:space="preserve"> </w:t>
            </w:r>
            <w:r>
              <w:rPr>
                <w:bCs/>
                <w:b/>
              </w:rPr>
              <w:t xml:space="preserve">Malawi bénéficiaire</w:t>
            </w:r>
          </w:p>
        </w:tc>
        <w:tc>
          <w:tcPr>
            <w:tcW w:w="1587" w:type="dxa"/>
          </w:tcPr>
          <w:tcPr/>
          <w:p>
            <w:pPr>
              <w:pStyle w:val="Compact"/>
              <w:jc w:val="left"/>
            </w:pPr>
            <w:r>
              <w:t xml:space="preserve">—</w:t>
            </w:r>
          </w:p>
        </w:tc>
        <w:tc>
          <w:tcPr>
            <w:tcW w:w="2104" w:type="dxa"/>
          </w:tcPr>
          <w:tcPr/>
          <w:p>
            <w:pPr>
              <w:pStyle w:val="Compact"/>
              <w:jc w:val="left"/>
            </w:pPr>
            <w:r>
              <w:t xml:space="preserve">approuvé</w:t>
            </w:r>
          </w:p>
        </w:tc>
        <w:tc>
          <w:tcPr>
            <w:tcW w:w="834" w:type="dxa"/>
          </w:tcPr>
          <w:tcPr/>
          <w:p>
            <w:pPr>
              <w:pStyle w:val="Compact"/>
              <w:jc w:val="left"/>
            </w:pPr>
            <w:r>
              <w:t xml:space="preserve">[11] [S]</w:t>
            </w:r>
          </w:p>
        </w:tc>
      </w:tr>
    </w:tbl>
    <w:bookmarkEnd w:id="267"/>
    <w:bookmarkStart w:id="268" w:name="écart-pacte-réalité-22"/>
    <w:p>
      <w:pPr>
        <w:pStyle w:val="Heading3"/>
      </w:pPr>
      <w:r>
        <w:t xml:space="preserve">5. Écart pacte ↔ réalité</w:t>
      </w:r>
    </w:p>
    <w:p>
      <w:pPr>
        <w:numPr>
          <w:ilvl w:val="0"/>
          <w:numId w:val="1145"/>
        </w:numPr>
        <w:pStyle w:val="Compact"/>
      </w:pPr>
      <w:r>
        <w:rPr>
          <w:bCs/>
          <w:b/>
        </w:rPr>
        <w:t xml:space="preserve">Résultat net ESCOM</w:t>
      </w:r>
      <w:r>
        <w:t xml:space="preserve"> </w:t>
      </w:r>
      <w:r>
        <w:t xml:space="preserve">: le pacte affiche +12,9 M US$ et une marge de 13 % (« 2023 ») ; l’exercice 2023/24 s’est soldé par une</w:t>
      </w:r>
      <w:r>
        <w:t xml:space="preserve"> </w:t>
      </w:r>
      <w:r>
        <w:rPr>
          <w:bCs/>
          <w:b/>
        </w:rPr>
        <w:t xml:space="preserve">perte de 65,3 Md MWK</w:t>
      </w:r>
      <w:r>
        <w:t xml:space="preserve"> </w:t>
      </w:r>
      <w:r>
        <w:t xml:space="preserve">(≈ 37 M US$ au taux post-dévaluation [E]) et 2024/25 par un bénéfice de 4,8 Md MWK [6] — le pacte retient le meilleur exercice, antérieur au choc de change.</w:t>
      </w:r>
    </w:p>
    <w:p>
      <w:pPr>
        <w:numPr>
          <w:ilvl w:val="0"/>
          <w:numId w:val="1145"/>
        </w:numPr>
        <w:pStyle w:val="Compact"/>
      </w:pPr>
      <w:r>
        <w:rPr>
          <w:bCs/>
          <w:b/>
        </w:rPr>
        <w:t xml:space="preserve">Tarif moyen 0,09 vs coût 0,12 US$/kWh, recouvrement 77 %</w:t>
      </w:r>
      <w:r>
        <w:t xml:space="preserve"> </w:t>
      </w:r>
      <w:r>
        <w:t xml:space="preserve">(pacte) contre</w:t>
      </w:r>
      <w:r>
        <w:t xml:space="preserve"> </w:t>
      </w:r>
      <w:r>
        <w:rPr>
          <w:bCs/>
          <w:b/>
        </w:rPr>
        <w:t xml:space="preserve">10 vs 10 USc/kWh hors pertes de change</w:t>
      </w:r>
      <w:r>
        <w:t xml:space="preserve"> </w:t>
      </w:r>
      <w:r>
        <w:t xml:space="preserve">(BM, 2024) [1] : les deux bases divergent, la BM excluant le change, principal facteur de perte.</w:t>
      </w:r>
    </w:p>
    <w:p>
      <w:pPr>
        <w:numPr>
          <w:ilvl w:val="0"/>
          <w:numId w:val="1145"/>
        </w:numPr>
        <w:pStyle w:val="Compact"/>
      </w:pPr>
      <w:r>
        <w:rPr>
          <w:bCs/>
          <w:b/>
        </w:rPr>
        <w:t xml:space="preserve">Pertes AT&amp;C 20,73 %</w:t>
      </w:r>
      <w:r>
        <w:t xml:space="preserve"> </w:t>
      </w:r>
      <w:r>
        <w:t xml:space="preserve">(pacte) vs</w:t>
      </w:r>
      <w:r>
        <w:t xml:space="preserve"> </w:t>
      </w:r>
      <w:r>
        <w:rPr>
          <w:bCs/>
          <w:b/>
        </w:rPr>
        <w:t xml:space="preserve">pertes réseau 22,6 %</w:t>
      </w:r>
      <w:r>
        <w:t xml:space="preserve"> </w:t>
      </w:r>
      <w:r>
        <w:t xml:space="preserve">(BM, 2024) [1] — ordre de grandeur cohérent, définitions différentes.</w:t>
      </w:r>
    </w:p>
    <w:p>
      <w:pPr>
        <w:numPr>
          <w:ilvl w:val="0"/>
          <w:numId w:val="1145"/>
        </w:numPr>
        <w:pStyle w:val="Compact"/>
      </w:pPr>
      <w:r>
        <w:rPr>
          <w:bCs/>
          <w:b/>
        </w:rPr>
        <w:t xml:space="preserve">Délestages</w:t>
      </w:r>
      <w:r>
        <w:t xml:space="preserve"> </w:t>
      </w:r>
      <w:r>
        <w:t xml:space="preserve">: le pacte renvoie à « SMO » ; l’année 2025 a connu un effondrement national (22/04/2025) et de longs délestages [8].</w:t>
      </w:r>
    </w:p>
    <w:p>
      <w:pPr>
        <w:numPr>
          <w:ilvl w:val="0"/>
          <w:numId w:val="1145"/>
        </w:numPr>
        <w:pStyle w:val="Compact"/>
      </w:pPr>
      <w:r>
        <w:rPr>
          <w:bCs/>
          <w:b/>
        </w:rPr>
        <w:t xml:space="preserve">Créances publiques 39,87 Md MWK</w:t>
      </w:r>
      <w:r>
        <w:t xml:space="preserve"> </w:t>
      </w:r>
      <w:r>
        <w:t xml:space="preserve">(pacte) vs 26,5 Md MWK (MDA + régies d’eau, sept. 2023) [5] — dates différentes ; la hausse est plausible mais non vérifiée.</w:t>
      </w:r>
    </w:p>
    <w:bookmarkEnd w:id="268"/>
    <w:bookmarkStart w:id="269" w:name="diagnostic-synthétique-22"/>
    <w:p>
      <w:pPr>
        <w:pStyle w:val="Heading3"/>
      </w:pPr>
      <w:r>
        <w:t xml:space="preserve">6. Diagnostic synthétique</w:t>
      </w:r>
    </w:p>
    <w:p>
      <w:pPr>
        <w:numPr>
          <w:ilvl w:val="0"/>
          <w:numId w:val="1146"/>
        </w:numPr>
        <w:pStyle w:val="Compact"/>
      </w:pPr>
      <w:r>
        <w:rPr>
          <w:bCs/>
          <w:b/>
        </w:rPr>
        <w:t xml:space="preserve">Financière : faible</w:t>
      </w:r>
      <w:r>
        <w:t xml:space="preserve"> </w:t>
      </w:r>
      <w:r>
        <w:t xml:space="preserve">— rentabilité volatile, effacée par le change (perte 2023/24), soutenue par des annulations de dettes intra-secteur (97 Md MWK pour EGENCO) ; aucun compte audité publié récemment.</w:t>
      </w:r>
    </w:p>
    <w:p>
      <w:pPr>
        <w:numPr>
          <w:ilvl w:val="0"/>
          <w:numId w:val="1146"/>
        </w:numPr>
        <w:pStyle w:val="Compact"/>
      </w:pPr>
      <w:r>
        <w:rPr>
          <w:bCs/>
          <w:b/>
        </w:rPr>
        <w:t xml:space="preserve">Technique : faible</w:t>
      </w:r>
      <w:r>
        <w:t xml:space="preserve"> </w:t>
      </w:r>
      <w:r>
        <w:t xml:space="preserve">— parc minuscule (541 MW), pertes ~22 %, effondrement du réseau en 2025, dépendance à la Shire.</w:t>
      </w:r>
    </w:p>
    <w:p>
      <w:pPr>
        <w:numPr>
          <w:ilvl w:val="0"/>
          <w:numId w:val="1146"/>
        </w:numPr>
        <w:pStyle w:val="Compact"/>
      </w:pPr>
      <w:r>
        <w:rPr>
          <w:bCs/>
          <w:b/>
        </w:rPr>
        <w:t xml:space="preserve">Gouvernance : faible à moyenne</w:t>
      </w:r>
      <w:r>
        <w:t xml:space="preserve"> </w:t>
      </w:r>
      <w:r>
        <w:t xml:space="preserve">— MERA approuve des trajectoires reflétant les coûts, mais leur application est partielle et politisée ; transparence financière insuffisante.</w:t>
      </w:r>
    </w:p>
    <w:p>
      <w:pPr>
        <w:numPr>
          <w:ilvl w:val="0"/>
          <w:numId w:val="1146"/>
        </w:numPr>
        <w:pStyle w:val="Compact"/>
      </w:pPr>
      <w:r>
        <w:rPr>
          <w:bCs/>
          <w:b/>
        </w:rPr>
        <w:t xml:space="preserve">Causes racines</w:t>
      </w:r>
      <w:r>
        <w:t xml:space="preserve"> </w:t>
      </w:r>
      <w:r>
        <w:t xml:space="preserve">: (1) ajustements tarifaires non appliqués aux ménages après les chocs de change ; (2) actifs de production vieillissants et concentrés (risque climatique) ; (3) relations financières ESCOM-EGENCO-État non contractualisées (dettes croisées annulées par le Trésor).</w:t>
      </w:r>
    </w:p>
    <w:p>
      <w:pPr>
        <w:numPr>
          <w:ilvl w:val="0"/>
          <w:numId w:val="1146"/>
        </w:numPr>
        <w:pStyle w:val="Compact"/>
      </w:pPr>
      <w:r>
        <w:rPr>
          <w:bCs/>
          <w:b/>
        </w:rPr>
        <w:t xml:space="preserve">Phase 3</w:t>
      </w:r>
      <w:r>
        <w:t xml:space="preserve"> </w:t>
      </w:r>
      <w:r>
        <w:t xml:space="preserve">: tarif EGENCO→ESCOM (PPA intra-sectoriel), coût de service par segment, effet des tranches 2025-2027 de la base tarifaire.</w:t>
      </w:r>
    </w:p>
    <w:bookmarkEnd w:id="269"/>
    <w:bookmarkStart w:id="270" w:name="inconnus-22"/>
    <w:p>
      <w:pPr>
        <w:pStyle w:val="Heading3"/>
      </w:pPr>
      <w:r>
        <w:t xml:space="preserve">7. Inconnus</w:t>
      </w:r>
    </w:p>
    <w:p>
      <w:pPr>
        <w:numPr>
          <w:ilvl w:val="0"/>
          <w:numId w:val="1147"/>
        </w:numPr>
        <w:pStyle w:val="Compact"/>
      </w:pPr>
      <w:r>
        <w:t xml:space="preserve">[?] États financiers audités d’ESCOM et d’EGENCO 2021-2025 (introuvables en ligne).</w:t>
      </w:r>
    </w:p>
    <w:p>
      <w:pPr>
        <w:numPr>
          <w:ilvl w:val="0"/>
          <w:numId w:val="1147"/>
        </w:numPr>
        <w:pStyle w:val="Compact"/>
      </w:pPr>
      <w:r>
        <w:t xml:space="preserve">[?] Taux de recouvrement, EBITDA, dette totale d’ESCOM.</w:t>
      </w:r>
    </w:p>
    <w:p>
      <w:pPr>
        <w:numPr>
          <w:ilvl w:val="0"/>
          <w:numId w:val="1147"/>
        </w:numPr>
        <w:pStyle w:val="Compact"/>
      </w:pPr>
      <w:r>
        <w:t xml:space="preserve">[?] Statut d’approbation exact d’ASCENT Malawi (date du Conseil) et décaissements.</w:t>
      </w:r>
    </w:p>
    <w:p>
      <w:pPr>
        <w:numPr>
          <w:ilvl w:val="0"/>
          <w:numId w:val="1147"/>
        </w:numPr>
        <w:pStyle w:val="Compact"/>
      </w:pPr>
      <w:r>
        <w:t xml:space="preserve">[?] Montant de la BAD sur l’Eastern Backbone (afdb.org inaccessible, 403).</w:t>
      </w:r>
    </w:p>
    <w:p>
      <w:pPr>
        <w:numPr>
          <w:ilvl w:val="0"/>
          <w:numId w:val="1147"/>
        </w:numPr>
        <w:pStyle w:val="Compact"/>
      </w:pPr>
      <w:r>
        <w:t xml:space="preserve">[?] Statut du programme FMI (ECF 2023) et analyses du FMI sur ESCOM — non consultés.</w:t>
      </w:r>
    </w:p>
    <w:bookmarkEnd w:id="270"/>
    <w:bookmarkStart w:id="271" w:name="sources-23"/>
    <w:p>
      <w:pPr>
        <w:pStyle w:val="Heading3"/>
      </w:pPr>
      <w:r>
        <w:t xml:space="preserve">Sources</w:t>
      </w:r>
    </w:p>
    <w:p>
      <w:pPr>
        <w:pStyle w:val="FirstParagraph"/>
      </w:pPr>
      <w:r>
        <w:t xml:space="preserve">[1] Banque mondiale,</w:t>
      </w:r>
      <w:r>
        <w:t xml:space="preserve"> </w:t>
      </w:r>
      <w:r>
        <w:rPr>
          <w:iCs/>
          <w:i/>
        </w:rPr>
        <w:t xml:space="preserve">Project Appraisal Document — ASCENT Malawi (P502464)</w:t>
      </w:r>
      <w:r>
        <w:t xml:space="preserve">, rapport PADHI01035, 20/12/2024. http://documents.worldbank.org/curated/en/099122024103086664/pdf/P502464163f7e3011b825182b8fdc39fa7.pdf</w:t>
      </w:r>
      <w:r>
        <w:t xml:space="preserve"> </w:t>
      </w:r>
      <w:r>
        <w:t xml:space="preserve">[2] Banque mondiale,</w:t>
      </w:r>
      <w:r>
        <w:t xml:space="preserve"> </w:t>
      </w:r>
      <w:r>
        <w:rPr>
          <w:iCs/>
          <w:i/>
        </w:rPr>
        <w:t xml:space="preserve">ISR Seq. 10 — Malawi Electricity Access Project (P164331)</w:t>
      </w:r>
      <w:r>
        <w:t xml:space="preserve">, 10/02/2025. http://documents.worldbank.org/curated/en/099021025103066402/pdf/P1643311a5cc2e07a1a12e18826ee5efad4.pdf</w:t>
      </w:r>
      <w:r>
        <w:t xml:space="preserve"> </w:t>
      </w:r>
      <w:r>
        <w:t xml:space="preserve">[3] Banque mondiale,</w:t>
      </w:r>
      <w:r>
        <w:t xml:space="preserve"> </w:t>
      </w:r>
      <w:r>
        <w:rPr>
          <w:iCs/>
          <w:i/>
        </w:rPr>
        <w:t xml:space="preserve">ISR Seq. 5 — Emergency Power Restoration Project (P178914)</w:t>
      </w:r>
      <w:r>
        <w:t xml:space="preserve">, 04/11/2024. http://documents.worldbank.org/curated/en/099110424112032158/pdf/P17891418f01780731aff51a7ec073bc5f1.pdf</w:t>
      </w:r>
      <w:r>
        <w:t xml:space="preserve"> </w:t>
      </w:r>
      <w:r>
        <w:t xml:space="preserve">[4] The Nation (Malawi) / presse, février 2025 : hausse tarifaire de 16 % au 01/02/2025 (123,26 → 142,98 MWK/kWh) [S] (via moteur de recherche, mwnation.com).</w:t>
      </w:r>
      <w:r>
        <w:t xml:space="preserve"> </w:t>
      </w:r>
      <w:r>
        <w:t xml:space="preserve">[5] The Nation, 10/08/2024, « Escom posts K49 billion loss » (Annual Economic Report 2024). https://mwnation.com/escom-posts-k49-billion-loss/ [S]</w:t>
      </w:r>
      <w:r>
        <w:t xml:space="preserve"> </w:t>
      </w:r>
      <w:r>
        <w:t xml:space="preserve">[6] The Nation, 07/02/2026, « Egenco wary of K97bn Escom debt write-offs » (données du ministère des Finances). https://mwnation.com/egenco-wary-of-k97bn-escom-debt-write-offs/ [S]</w:t>
      </w:r>
      <w:r>
        <w:t xml:space="preserve"> </w:t>
      </w:r>
      <w:r>
        <w:t xml:space="preserve">[7] Nyasa Times, 18/07/2024, « After posting K10.3bn profit last year, Escom says it has registered K59.6bn loss ». https://www.nyasatimes.com/after-posting-k10-3bn-profit-last-year-escom-says-it-has-registered-k59-6bn-loss-this-year/ [S]</w:t>
      </w:r>
      <w:r>
        <w:t xml:space="preserve"> </w:t>
      </w:r>
      <w:r>
        <w:t xml:space="preserve">[8] AllAfrica, 15/10/2025, « Malawi: Blackout Nation… » (extrait via moteur de recherche ; page 403) [S].</w:t>
      </w:r>
      <w:r>
        <w:t xml:space="preserve"> </w:t>
      </w:r>
      <w:r>
        <w:t xml:space="preserve">[9] ESCOM,</w:t>
      </w:r>
      <w:r>
        <w:t xml:space="preserve"> </w:t>
      </w:r>
      <w:r>
        <w:rPr>
          <w:iCs/>
          <w:i/>
        </w:rPr>
        <w:t xml:space="preserve">Integrated Strategic Plan ISP27</w:t>
      </w:r>
      <w:r>
        <w:t xml:space="preserve"> </w:t>
      </w:r>
      <w:r>
        <w:t xml:space="preserve">(2023). https://www.escom.mw/wp-content/uploads/2024/01/Integrated-Strategic-Plan-ISP27_Final30_08_2023.pdf (non lu en détail).</w:t>
      </w:r>
      <w:r>
        <w:t xml:space="preserve"> </w:t>
      </w:r>
      <w:r>
        <w:t xml:space="preserve">[10] SolarQuarter, 08/08/2024 (Eastern Backbone, UE/BEI) ; AllAfrica, 14/07/2025 (MCDF/BAD, interconnexion Tanzanie-Malawi) [S].</w:t>
      </w:r>
      <w:r>
        <w:t xml:space="preserve"> </w:t>
      </w:r>
      <w:r>
        <w:t xml:space="preserve">[11] SolarQuarter, 02/02/2026, « AfDB Launches $3.9M Project… » (AESTAP Mission 300 Phase II) [S].</w:t>
      </w:r>
      <w:r>
        <w:t xml:space="preserve"> </w:t>
      </w:r>
      <w:r>
        <w:t xml:space="preserve">[12] API projets Banque mondiale (search.worldbank.org/api/v2/projects), consultée le 18/10/2026 : P164331, P178914, P175072, P502806, P164354, P165704, P174226.</w:t>
      </w:r>
    </w:p>
    <w:p>
      <w:r>
        <w:br w:type="page"/>
      </w:r>
    </w:p>
    <w:bookmarkEnd w:id="271"/>
    <w:bookmarkEnd w:id="272"/>
    <w:bookmarkStart w:id="282" w:name="X5d81434fbf0a62265ec0d88529466931f1f6257"/>
    <w:p>
      <w:pPr>
        <w:pStyle w:val="Heading2"/>
      </w:pPr>
      <w:r>
        <w:t xml:space="preserve">Diagnostic opérateur — NamPower et distributeurs régionaux (REDs) (Namibie)</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le pacte : ../../phase1/fiches/NAM_namibie.md (« pacte » = National Energy Compact, déc. 2025).</w:t>
      </w:r>
    </w:p>
    <w:bookmarkStart w:id="273" w:name="identité-23"/>
    <w:p>
      <w:pPr>
        <w:pStyle w:val="Heading3"/>
      </w:pPr>
      <w:r>
        <w:t xml:space="preserve">0. Identité</w:t>
      </w:r>
    </w:p>
    <w:p>
      <w:pPr>
        <w:numPr>
          <w:ilvl w:val="0"/>
          <w:numId w:val="1148"/>
        </w:numPr>
        <w:pStyle w:val="Compact"/>
      </w:pPr>
      <w:r>
        <w:rPr>
          <w:bCs/>
          <w:b/>
        </w:rPr>
        <w:t xml:space="preserve">NamPower</w:t>
      </w:r>
      <w:r>
        <w:t xml:space="preserve"> </w:t>
      </w:r>
      <w:r>
        <w:t xml:space="preserve">(Namibia Power Corporation (Pty) Ltd) : société publique (actionnaire unique : l’État), production (Ruacana hydro, etc. ; 20 MW PV propres), transport, importations/exportations SAPP, acheteur dans le cadre du</w:t>
      </w:r>
      <w:r>
        <w:t xml:space="preserve"> </w:t>
      </w:r>
      <w:r>
        <w:rPr>
          <w:bCs/>
          <w:b/>
        </w:rPr>
        <w:t xml:space="preserve">Modified Single Buyer (MSB)</w:t>
      </w:r>
      <w:r>
        <w:t xml:space="preserve"> </w:t>
      </w:r>
      <w:r>
        <w:t xml:space="preserve">; distribution seulement là où aucun RED n’existe ou si les municipalités ne peuvent assurer le service [1][2] [V].</w:t>
      </w:r>
    </w:p>
    <w:p>
      <w:pPr>
        <w:numPr>
          <w:ilvl w:val="0"/>
          <w:numId w:val="1148"/>
        </w:numPr>
        <w:pStyle w:val="Compact"/>
      </w:pPr>
      <w:r>
        <w:rPr>
          <w:bCs/>
          <w:b/>
        </w:rPr>
        <w:t xml:space="preserve">REDs</w:t>
      </w:r>
      <w:r>
        <w:t xml:space="preserve"> </w:t>
      </w:r>
      <w:r>
        <w:t xml:space="preserve">: NORED, CENORED (associés de NamPower, mis en équivalence), Erongo RED ; plus City of Windhoek et collectivités locales [2] [V]. Les REDs Central et Sud (SORED) n’ont pas été créés [S].</w:t>
      </w:r>
    </w:p>
    <w:p>
      <w:pPr>
        <w:numPr>
          <w:ilvl w:val="0"/>
          <w:numId w:val="1148"/>
        </w:numPr>
        <w:pStyle w:val="Compact"/>
      </w:pPr>
      <w:r>
        <w:t xml:space="preserve">Régulateur :</w:t>
      </w:r>
      <w:r>
        <w:t xml:space="preserve"> </w:t>
      </w:r>
      <w:r>
        <w:rPr>
          <w:bCs/>
          <w:b/>
        </w:rPr>
        <w:t xml:space="preserve">ECB</w:t>
      </w:r>
      <w:r>
        <w:t xml:space="preserve"> </w:t>
      </w:r>
      <w:r>
        <w:t xml:space="preserve">(Electricity Control Board ; Electricity Act 2007) — fixe les tarifs de gros (NamPower) et de détail (REDs) ; refuse ou réduit régulièrement les hausses demandées [5][6] [S]. Futur régulateur multi-secteurs prévu [?]. Tutelle : MIME.</w:t>
      </w:r>
    </w:p>
    <w:p>
      <w:pPr>
        <w:numPr>
          <w:ilvl w:val="0"/>
          <w:numId w:val="1148"/>
        </w:numPr>
        <w:pStyle w:val="Compact"/>
      </w:pPr>
      <w:r>
        <w:t xml:space="preserve">Dernier exercice publié : NamPower</w:t>
      </w:r>
      <w:r>
        <w:t xml:space="preserve"> </w:t>
      </w:r>
      <w:r>
        <w:rPr>
          <w:bCs/>
          <w:b/>
        </w:rPr>
        <w:t xml:space="preserve">2024/25</w:t>
      </w:r>
      <w:r>
        <w:t xml:space="preserve"> </w:t>
      </w:r>
      <w:r>
        <w:t xml:space="preserve">(clôture 30/06/2025 ; rapport intégré publié ~mars 2026, non consulté directement) [7] [S] ; dernier exercice</w:t>
      </w:r>
      <w:r>
        <w:t xml:space="preserve"> </w:t>
      </w:r>
      <w:r>
        <w:rPr>
          <w:bCs/>
          <w:b/>
        </w:rPr>
        <w:t xml:space="preserve">audité lu : 2023/24</w:t>
      </w:r>
      <w:r>
        <w:t xml:space="preserve"> </w:t>
      </w:r>
      <w:r>
        <w:t xml:space="preserve">(opinion</w:t>
      </w:r>
      <w:r>
        <w:t xml:space="preserve"> </w:t>
      </w:r>
      <w:r>
        <w:rPr>
          <w:bCs/>
          <w:b/>
        </w:rPr>
        <w:t xml:space="preserve">avec réserve</w:t>
      </w:r>
      <w:r>
        <w:t xml:space="preserve">, liée à l’absence d’états audités de NORED et CENORED) [2] [V].</w:t>
      </w:r>
    </w:p>
    <w:bookmarkEnd w:id="273"/>
    <w:bookmarkStart w:id="274" w:name="situation-financière-23"/>
    <w:p>
      <w:pPr>
        <w:pStyle w:val="Heading3"/>
      </w:pPr>
      <w:r>
        <w:t xml:space="preserve">1. Situation financière</w:t>
      </w:r>
    </w:p>
    <w:tbl>
      <w:tblPr>
        <w:tblStyle w:val="Table"/>
        <w:tblW w:type="dxa" w:w="14570"/>
        <w:tblLook w:firstRow="1" w:lastRow="0" w:firstColumn="0" w:lastColumn="0" w:noHBand="0" w:noVBand="0" w:val="0020"/>
        <w:jc w:val="start"/>
      </w:tblPr>
      <w:tblGrid>
        <w:gridCol w:w="3064"/>
        <w:gridCol w:w="8009"/>
        <w:gridCol w:w="1282"/>
        <w:gridCol w:w="1281"/>
        <w:gridCol w:w="933"/>
      </w:tblGrid>
      <w:tr>
        <w:trPr>
          <w:tblHeader w:val="true"/>
        </w:trPr>
        <w:tc>
          <w:tcPr>
            <w:tcW w:w="3064" w:type="dxa"/>
          </w:tcPr>
          <w:tcPr/>
          <w:p>
            <w:pPr>
              <w:pStyle w:val="Compact"/>
              <w:jc w:val="left"/>
            </w:pPr>
            <w:r>
              <w:t xml:space="preserve">Indicateur</w:t>
            </w:r>
          </w:p>
        </w:tc>
        <w:tc>
          <w:tcPr>
            <w:tcW w:w="8009" w:type="dxa"/>
          </w:tcPr>
          <w:tcPr/>
          <w:p>
            <w:pPr>
              <w:pStyle w:val="Compact"/>
              <w:jc w:val="left"/>
            </w:pPr>
            <w:r>
              <w:t xml:space="preserve">Valeur</w:t>
            </w:r>
          </w:p>
        </w:tc>
        <w:tc>
          <w:tcPr>
            <w:tcW w:w="1282" w:type="dxa"/>
          </w:tcPr>
          <w:tcPr/>
          <w:p>
            <w:pPr>
              <w:pStyle w:val="Compact"/>
              <w:jc w:val="left"/>
            </w:pPr>
            <w:r>
              <w:t xml:space="preserve">Année</w:t>
            </w:r>
          </w:p>
        </w:tc>
        <w:tc>
          <w:tcPr>
            <w:tcW w:w="1281" w:type="dxa"/>
          </w:tcPr>
          <w:tcPr/>
          <w:p>
            <w:pPr>
              <w:pStyle w:val="Compact"/>
              <w:jc w:val="left"/>
            </w:pPr>
            <w:r>
              <w:t xml:space="preserve">Statut</w:t>
            </w:r>
          </w:p>
        </w:tc>
        <w:tc>
          <w:tcPr>
            <w:tcW w:w="933" w:type="dxa"/>
          </w:tcPr>
          <w:tcPr/>
          <w:p>
            <w:pPr>
              <w:pStyle w:val="Compact"/>
              <w:jc w:val="left"/>
            </w:pPr>
            <w:r>
              <w:t xml:space="preserve">Source</w:t>
            </w:r>
          </w:p>
        </w:tc>
      </w:tr>
      <w:tr>
        <w:tc>
          <w:tcPr>
            <w:tcW w:w="3064" w:type="dxa"/>
          </w:tcPr>
          <w:tcPr/>
          <w:p>
            <w:pPr>
              <w:pStyle w:val="Compact"/>
              <w:jc w:val="left"/>
            </w:pPr>
            <w:r>
              <w:t xml:space="preserve">Chiffre d’affaires (groupe NamPower)</w:t>
            </w:r>
          </w:p>
        </w:tc>
        <w:tc>
          <w:tcPr>
            <w:tcW w:w="8009" w:type="dxa"/>
          </w:tcPr>
          <w:tcPr/>
          <w:p>
            <w:pPr>
              <w:pStyle w:val="Compact"/>
              <w:jc w:val="left"/>
            </w:pPr>
            <w:r>
              <w:t xml:space="preserve">7,2 Md NAD (2022/23) →</w:t>
            </w:r>
            <w:r>
              <w:t xml:space="preserve"> </w:t>
            </w:r>
            <w:r>
              <w:rPr>
                <w:bCs/>
                <w:b/>
              </w:rPr>
              <w:t xml:space="preserve">8,6 Md NAD (2023/24, +18,7 %)</w:t>
            </w:r>
            <w:r>
              <w:t xml:space="preserve"> </w:t>
            </w:r>
            <w:r>
              <w:t xml:space="preserve">; ventes SAPP 695,1 M NAD (540 GWh)</w:t>
            </w:r>
          </w:p>
        </w:tc>
        <w:tc>
          <w:tcPr>
            <w:tcW w:w="1282" w:type="dxa"/>
          </w:tcPr>
          <w:tcPr/>
          <w:p>
            <w:pPr>
              <w:pStyle w:val="Compact"/>
              <w:jc w:val="left"/>
            </w:pPr>
            <w:r>
              <w:t xml:space="preserve">2023-2024</w:t>
            </w:r>
          </w:p>
        </w:tc>
        <w:tc>
          <w:tcPr>
            <w:tcW w:w="1281" w:type="dxa"/>
          </w:tcPr>
          <w:tcPr/>
          <w:p>
            <w:pPr>
              <w:pStyle w:val="Compact"/>
              <w:jc w:val="left"/>
            </w:pPr>
            <w:r>
              <w:t xml:space="preserve">[V]</w:t>
            </w:r>
          </w:p>
        </w:tc>
        <w:tc>
          <w:tcPr>
            <w:tcW w:w="933" w:type="dxa"/>
          </w:tcPr>
          <w:tcPr/>
          <w:p>
            <w:pPr>
              <w:pStyle w:val="Compact"/>
              <w:jc w:val="left"/>
            </w:pPr>
            <w:r>
              <w:t xml:space="preserve">[2]</w:t>
            </w:r>
          </w:p>
        </w:tc>
      </w:tr>
      <w:tr>
        <w:tc>
          <w:tcPr>
            <w:tcW w:w="3064" w:type="dxa"/>
          </w:tcPr>
          <w:tcPr/>
          <w:p>
            <w:pPr>
              <w:pStyle w:val="Compact"/>
              <w:jc w:val="left"/>
            </w:pPr>
            <w:r>
              <w:t xml:space="preserve">Résultat net</w:t>
            </w:r>
          </w:p>
        </w:tc>
        <w:tc>
          <w:tcPr>
            <w:tcW w:w="8009" w:type="dxa"/>
          </w:tcPr>
          <w:tcPr/>
          <w:p>
            <w:pPr>
              <w:pStyle w:val="Compact"/>
              <w:jc w:val="left"/>
            </w:pPr>
            <w:r>
              <w:rPr>
                <w:bCs/>
                <w:b/>
              </w:rPr>
              <w:t xml:space="preserve">-880,6 M NAD (2022/23)</w:t>
            </w:r>
            <w:r>
              <w:t xml:space="preserve"> </w:t>
            </w:r>
            <w:r>
              <w:t xml:space="preserve">→</w:t>
            </w:r>
            <w:r>
              <w:t xml:space="preserve"> </w:t>
            </w:r>
            <w:r>
              <w:rPr>
                <w:bCs/>
                <w:b/>
              </w:rPr>
              <w:t xml:space="preserve">+1 392 M NAD (2023/24)</w:t>
            </w:r>
            <w:r>
              <w:t xml:space="preserve"> </w:t>
            </w:r>
            <w:r>
              <w:t xml:space="preserve">(≈ 76 M US$, cohérent avec le pacte [E]) ; 2024/25 : ~1,4 Md NAD (propos du DG)</w:t>
            </w:r>
          </w:p>
        </w:tc>
        <w:tc>
          <w:tcPr>
            <w:tcW w:w="1282" w:type="dxa"/>
          </w:tcPr>
          <w:tcPr/>
          <w:p>
            <w:pPr>
              <w:pStyle w:val="Compact"/>
              <w:jc w:val="left"/>
            </w:pPr>
            <w:r>
              <w:t xml:space="preserve">2023-2025</w:t>
            </w:r>
          </w:p>
        </w:tc>
        <w:tc>
          <w:tcPr>
            <w:tcW w:w="1281" w:type="dxa"/>
          </w:tcPr>
          <w:tcPr/>
          <w:p>
            <w:pPr>
              <w:pStyle w:val="Compact"/>
              <w:jc w:val="left"/>
            </w:pPr>
            <w:r>
              <w:t xml:space="preserve">[V] ; [S] 2025</w:t>
            </w:r>
          </w:p>
        </w:tc>
        <w:tc>
          <w:tcPr>
            <w:tcW w:w="933" w:type="dxa"/>
          </w:tcPr>
          <w:tcPr/>
          <w:p>
            <w:pPr>
              <w:pStyle w:val="Compact"/>
              <w:jc w:val="left"/>
            </w:pPr>
            <w:r>
              <w:t xml:space="preserve">[2][7]</w:t>
            </w:r>
          </w:p>
        </w:tc>
      </w:tr>
      <w:tr>
        <w:tc>
          <w:tcPr>
            <w:tcW w:w="3064" w:type="dxa"/>
          </w:tcPr>
          <w:tcPr/>
          <w:p>
            <w:pPr>
              <w:pStyle w:val="Compact"/>
              <w:jc w:val="left"/>
            </w:pPr>
            <w:r>
              <w:t xml:space="preserve">EBITDA</w:t>
            </w:r>
          </w:p>
        </w:tc>
        <w:tc>
          <w:tcPr>
            <w:tcW w:w="8009" w:type="dxa"/>
          </w:tcPr>
          <w:tcPr/>
          <w:p>
            <w:pPr>
              <w:pStyle w:val="Compact"/>
              <w:jc w:val="left"/>
            </w:pPr>
            <w:r>
              <w:t xml:space="preserve">1,29 Md NAD (2023/24) vs 772 M NAD (2022/23) ; ratio dette nette/EBITDA négatif (trésorerie nette)</w:t>
            </w:r>
          </w:p>
        </w:tc>
        <w:tc>
          <w:tcPr>
            <w:tcW w:w="1282" w:type="dxa"/>
          </w:tcPr>
          <w:tcPr/>
          <w:p>
            <w:pPr>
              <w:pStyle w:val="Compact"/>
              <w:jc w:val="left"/>
            </w:pPr>
            <w:r>
              <w:t xml:space="preserve">2023-2024</w:t>
            </w:r>
          </w:p>
        </w:tc>
        <w:tc>
          <w:tcPr>
            <w:tcW w:w="1281" w:type="dxa"/>
          </w:tcPr>
          <w:tcPr/>
          <w:p>
            <w:pPr>
              <w:pStyle w:val="Compact"/>
              <w:jc w:val="left"/>
            </w:pPr>
            <w:r>
              <w:t xml:space="preserve">[V]</w:t>
            </w:r>
          </w:p>
        </w:tc>
        <w:tc>
          <w:tcPr>
            <w:tcW w:w="933" w:type="dxa"/>
          </w:tcPr>
          <w:tcPr/>
          <w:p>
            <w:pPr>
              <w:pStyle w:val="Compact"/>
              <w:jc w:val="left"/>
            </w:pPr>
            <w:r>
              <w:t xml:space="preserve">[2]</w:t>
            </w:r>
          </w:p>
        </w:tc>
      </w:tr>
      <w:tr>
        <w:tc>
          <w:tcPr>
            <w:tcW w:w="3064" w:type="dxa"/>
          </w:tcPr>
          <w:tcPr/>
          <w:p>
            <w:pPr>
              <w:pStyle w:val="Compact"/>
              <w:jc w:val="left"/>
            </w:pPr>
            <w:r>
              <w:t xml:space="preserve">Dette</w:t>
            </w:r>
          </w:p>
        </w:tc>
        <w:tc>
          <w:tcPr>
            <w:tcW w:w="8009" w:type="dxa"/>
          </w:tcPr>
          <w:tcPr/>
          <w:p>
            <w:pPr>
              <w:pStyle w:val="Compact"/>
              <w:jc w:val="left"/>
            </w:pPr>
            <w:r>
              <w:t xml:space="preserve">Dette portant intérêt</w:t>
            </w:r>
            <w:r>
              <w:t xml:space="preserve"> </w:t>
            </w:r>
            <w:r>
              <w:rPr>
                <w:bCs/>
                <w:b/>
              </w:rPr>
              <w:t xml:space="preserve">346 M NAD</w:t>
            </w:r>
            <w:r>
              <w:t xml:space="preserve"> </w:t>
            </w:r>
            <w:r>
              <w:t xml:space="preserve">(2023/24 ; 438 M en 2023) — prêts BEI, AFD, KfW ; service de la dette 112 M NAD prévu en 2024/25 ; actifs totaux 54,9 Md NAD</w:t>
            </w:r>
          </w:p>
        </w:tc>
        <w:tc>
          <w:tcPr>
            <w:tcW w:w="1282" w:type="dxa"/>
          </w:tcPr>
          <w:tcPr/>
          <w:p>
            <w:pPr>
              <w:pStyle w:val="Compact"/>
              <w:jc w:val="left"/>
            </w:pPr>
            <w:r>
              <w:t xml:space="preserve">2024</w:t>
            </w:r>
          </w:p>
        </w:tc>
        <w:tc>
          <w:tcPr>
            <w:tcW w:w="1281" w:type="dxa"/>
          </w:tcPr>
          <w:tcPr/>
          <w:p>
            <w:pPr>
              <w:pStyle w:val="Compact"/>
              <w:jc w:val="left"/>
            </w:pPr>
            <w:r>
              <w:t xml:space="preserve">[V]</w:t>
            </w:r>
          </w:p>
        </w:tc>
        <w:tc>
          <w:tcPr>
            <w:tcW w:w="933" w:type="dxa"/>
          </w:tcPr>
          <w:tcPr/>
          <w:p>
            <w:pPr>
              <w:pStyle w:val="Compact"/>
              <w:jc w:val="left"/>
            </w:pPr>
            <w:r>
              <w:t xml:space="preserve">[2]</w:t>
            </w:r>
          </w:p>
        </w:tc>
      </w:tr>
      <w:tr>
        <w:tc>
          <w:tcPr>
            <w:tcW w:w="3064" w:type="dxa"/>
          </w:tcPr>
          <w:tcPr/>
          <w:p>
            <w:pPr>
              <w:pStyle w:val="Compact"/>
              <w:jc w:val="left"/>
            </w:pPr>
            <w:r>
              <w:t xml:space="preserve">Dette envers IPP / fournisseurs</w:t>
            </w:r>
          </w:p>
        </w:tc>
        <w:tc>
          <w:tcPr>
            <w:tcW w:w="8009" w:type="dxa"/>
          </w:tcPr>
          <w:tcPr/>
          <w:p>
            <w:pPr>
              <w:pStyle w:val="Compact"/>
              <w:jc w:val="left"/>
            </w:pPr>
            <w:r>
              <w:t xml:space="preserve">[?] non isolée</w:t>
            </w:r>
          </w:p>
        </w:tc>
        <w:tc>
          <w:tcPr>
            <w:tcW w:w="1282" w:type="dxa"/>
          </w:tcPr>
          <w:tcPr/>
          <w:p>
            <w:pPr>
              <w:pStyle w:val="Compact"/>
              <w:jc w:val="left"/>
            </w:pPr>
            <w:r>
              <w:t xml:space="preserve">—</w:t>
            </w:r>
          </w:p>
        </w:tc>
        <w:tc>
          <w:tcPr>
            <w:tcW w:w="1281" w:type="dxa"/>
          </w:tcPr>
          <w:tcPr/>
          <w:p>
            <w:pPr>
              <w:pStyle w:val="Compact"/>
              <w:jc w:val="left"/>
            </w:pPr>
            <w:r>
              <w:t xml:space="preserve">[?]</w:t>
            </w:r>
          </w:p>
        </w:tc>
        <w:tc>
          <w:tcPr>
            <w:tcW w:w="933" w:type="dxa"/>
          </w:tcPr>
          <w:tcPr/>
          <w:p>
            <w:pPr>
              <w:pStyle w:val="Compact"/>
              <w:jc w:val="left"/>
            </w:pPr>
            <w:r>
              <w:t xml:space="preserve">—</w:t>
            </w:r>
          </w:p>
        </w:tc>
      </w:tr>
      <w:tr>
        <w:tc>
          <w:tcPr>
            <w:tcW w:w="3064" w:type="dxa"/>
          </w:tcPr>
          <w:tcPr/>
          <w:p>
            <w:pPr>
              <w:pStyle w:val="Compact"/>
              <w:jc w:val="left"/>
            </w:pPr>
            <w:r>
              <w:t xml:space="preserve">Arriérés des collectivités et entités publiques</w:t>
            </w:r>
          </w:p>
        </w:tc>
        <w:tc>
          <w:tcPr>
            <w:tcW w:w="8009" w:type="dxa"/>
          </w:tcPr>
          <w:tcPr/>
          <w:p>
            <w:pPr>
              <w:pStyle w:val="Compact"/>
              <w:jc w:val="left"/>
            </w:pPr>
            <w:r>
              <w:t xml:space="preserve">Pertes de crédit attendues (ECL) :</w:t>
            </w:r>
            <w:r>
              <w:t xml:space="preserve"> </w:t>
            </w:r>
            <w:r>
              <w:rPr>
                <w:bCs/>
                <w:b/>
              </w:rPr>
              <w:t xml:space="preserve">675,2 M NAD (2020/21) → 835,4 M NAD (30/06/2024)</w:t>
            </w:r>
            <w:r>
              <w:t xml:space="preserve"> </w:t>
            </w:r>
            <w:r>
              <w:t xml:space="preserve">; créances de</w:t>
            </w:r>
            <w:r>
              <w:t xml:space="preserve"> </w:t>
            </w:r>
            <w:r>
              <w:rPr>
                <w:bCs/>
                <w:b/>
              </w:rPr>
              <w:t xml:space="preserve">912 M NAD</w:t>
            </w:r>
            <w:r>
              <w:t xml:space="preserve"> </w:t>
            </w:r>
            <w:r>
              <w:t xml:space="preserve">dont</w:t>
            </w:r>
            <w:r>
              <w:t xml:space="preserve"> </w:t>
            </w:r>
            <w:r>
              <w:rPr>
                <w:bCs/>
                <w:b/>
              </w:rPr>
              <w:t xml:space="preserve">557 M NAD</w:t>
            </w:r>
            <w:r>
              <w:t xml:space="preserve"> </w:t>
            </w:r>
            <w:r>
              <w:t xml:space="preserve">dus par des collectivités locales et entreprises publiques en rupture d’accord de paiement (nov. 2025 ; Mariental 233,3 M NAD) ; arriérés NORED 38,5 M NAD (mai 2025)</w:t>
            </w:r>
          </w:p>
        </w:tc>
        <w:tc>
          <w:tcPr>
            <w:tcW w:w="1282" w:type="dxa"/>
          </w:tcPr>
          <w:tcPr/>
          <w:p>
            <w:pPr>
              <w:pStyle w:val="Compact"/>
              <w:jc w:val="left"/>
            </w:pPr>
            <w:r>
              <w:t xml:space="preserve">2021-2025</w:t>
            </w:r>
          </w:p>
        </w:tc>
        <w:tc>
          <w:tcPr>
            <w:tcW w:w="1281" w:type="dxa"/>
          </w:tcPr>
          <w:tcPr/>
          <w:p>
            <w:pPr>
              <w:pStyle w:val="Compact"/>
              <w:jc w:val="left"/>
            </w:pPr>
            <w:r>
              <w:t xml:space="preserve">[V] (2024) ; [S] (2025)</w:t>
            </w:r>
          </w:p>
        </w:tc>
        <w:tc>
          <w:tcPr>
            <w:tcW w:w="933" w:type="dxa"/>
          </w:tcPr>
          <w:tcPr/>
          <w:p>
            <w:pPr>
              <w:pStyle w:val="Compact"/>
              <w:jc w:val="left"/>
            </w:pPr>
            <w:r>
              <w:t xml:space="preserve">[2][8]</w:t>
            </w:r>
          </w:p>
        </w:tc>
      </w:tr>
      <w:tr>
        <w:tc>
          <w:tcPr>
            <w:tcW w:w="3064" w:type="dxa"/>
          </w:tcPr>
          <w:tcPr/>
          <w:p>
            <w:pPr>
              <w:pStyle w:val="Compact"/>
              <w:jc w:val="left"/>
            </w:pPr>
            <w:r>
              <w:t xml:space="preserve">Délai de recouvrement clients</w:t>
            </w:r>
          </w:p>
        </w:tc>
        <w:tc>
          <w:tcPr>
            <w:tcW w:w="8009" w:type="dxa"/>
          </w:tcPr>
          <w:tcPr/>
          <w:p>
            <w:pPr>
              <w:pStyle w:val="Compact"/>
              <w:jc w:val="left"/>
            </w:pPr>
            <w:r>
              <w:rPr>
                <w:bCs/>
                <w:b/>
              </w:rPr>
              <w:t xml:space="preserve">69,4 jours</w:t>
            </w:r>
            <w:r>
              <w:t xml:space="preserve"> </w:t>
            </w:r>
            <w:r>
              <w:t xml:space="preserve">(2023/24) vs 76 jours (2022/23)</w:t>
            </w:r>
          </w:p>
        </w:tc>
        <w:tc>
          <w:tcPr>
            <w:tcW w:w="1282" w:type="dxa"/>
          </w:tcPr>
          <w:tcPr/>
          <w:p>
            <w:pPr>
              <w:pStyle w:val="Compact"/>
              <w:jc w:val="left"/>
            </w:pPr>
            <w:r>
              <w:t xml:space="preserve">2024</w:t>
            </w:r>
          </w:p>
        </w:tc>
        <w:tc>
          <w:tcPr>
            <w:tcW w:w="1281" w:type="dxa"/>
          </w:tcPr>
          <w:tcPr/>
          <w:p>
            <w:pPr>
              <w:pStyle w:val="Compact"/>
              <w:jc w:val="left"/>
            </w:pPr>
            <w:r>
              <w:t xml:space="preserve">[V]</w:t>
            </w:r>
          </w:p>
        </w:tc>
        <w:tc>
          <w:tcPr>
            <w:tcW w:w="933" w:type="dxa"/>
          </w:tcPr>
          <w:tcPr/>
          <w:p>
            <w:pPr>
              <w:pStyle w:val="Compact"/>
              <w:jc w:val="left"/>
            </w:pPr>
            <w:r>
              <w:t xml:space="preserve">[2]</w:t>
            </w:r>
          </w:p>
        </w:tc>
      </w:tr>
      <w:tr>
        <w:tc>
          <w:tcPr>
            <w:tcW w:w="3064" w:type="dxa"/>
          </w:tcPr>
          <w:tcPr/>
          <w:p>
            <w:pPr>
              <w:pStyle w:val="Compact"/>
              <w:jc w:val="left"/>
            </w:pPr>
            <w:r>
              <w:t xml:space="preserve">Transferts / subventions de l’État</w:t>
            </w:r>
          </w:p>
        </w:tc>
        <w:tc>
          <w:tcPr>
            <w:tcW w:w="8009" w:type="dxa"/>
          </w:tcPr>
          <w:tcPr/>
          <w:p>
            <w:pPr>
              <w:pStyle w:val="Compact"/>
              <w:jc w:val="left"/>
            </w:pPr>
            <w:r>
              <w:t xml:space="preserve">Paquet d’allègement de</w:t>
            </w:r>
            <w:r>
              <w:t xml:space="preserve"> </w:t>
            </w:r>
            <w:r>
              <w:rPr>
                <w:bCs/>
                <w:b/>
              </w:rPr>
              <w:t xml:space="preserve">90 M NAD</w:t>
            </w:r>
            <w:r>
              <w:t xml:space="preserve"> </w:t>
            </w:r>
            <w:r>
              <w:t xml:space="preserve">pour 2026/27 (50 M du fonds LRMC + 40 M du National Energy Fund) ; prélèvement LRMC cantonné (non inclus dans le tarif 2023/24)</w:t>
            </w:r>
          </w:p>
        </w:tc>
        <w:tc>
          <w:tcPr>
            <w:tcW w:w="1282" w:type="dxa"/>
          </w:tcPr>
          <w:tcPr/>
          <w:p>
            <w:pPr>
              <w:pStyle w:val="Compact"/>
              <w:jc w:val="left"/>
            </w:pPr>
            <w:r>
              <w:t xml:space="preserve">2024-2026</w:t>
            </w:r>
          </w:p>
        </w:tc>
        <w:tc>
          <w:tcPr>
            <w:tcW w:w="1281" w:type="dxa"/>
          </w:tcPr>
          <w:tcPr/>
          <w:p>
            <w:pPr>
              <w:pStyle w:val="Compact"/>
              <w:jc w:val="left"/>
            </w:pPr>
            <w:r>
              <w:t xml:space="preserve">[S]/[V]</w:t>
            </w:r>
          </w:p>
        </w:tc>
        <w:tc>
          <w:tcPr>
            <w:tcW w:w="933" w:type="dxa"/>
          </w:tcPr>
          <w:tcPr/>
          <w:p>
            <w:pPr>
              <w:pStyle w:val="Compact"/>
              <w:jc w:val="left"/>
            </w:pPr>
            <w:r>
              <w:t xml:space="preserve">[2][6]</w:t>
            </w:r>
          </w:p>
        </w:tc>
      </w:tr>
      <w:tr>
        <w:tc>
          <w:tcPr>
            <w:tcW w:w="3064" w:type="dxa"/>
          </w:tcPr>
          <w:tcPr/>
          <w:p>
            <w:pPr>
              <w:pStyle w:val="Compact"/>
              <w:jc w:val="left"/>
            </w:pPr>
            <w:r>
              <w:t xml:space="preserve">Recette moyenne vs coût par kWh</w:t>
            </w:r>
          </w:p>
        </w:tc>
        <w:tc>
          <w:tcPr>
            <w:tcW w:w="8009" w:type="dxa"/>
          </w:tcPr>
          <w:tcPr/>
          <w:p>
            <w:pPr>
              <w:pStyle w:val="Compact"/>
              <w:jc w:val="left"/>
            </w:pPr>
            <w:r>
              <w:t xml:space="preserve">Tarif de gros moyen</w:t>
            </w:r>
            <w:r>
              <w:t xml:space="preserve"> </w:t>
            </w:r>
            <w:r>
              <w:rPr>
                <w:bCs/>
                <w:b/>
              </w:rPr>
              <w:t xml:space="preserve">2,06 NAD/kWh (2025/26)</w:t>
            </w:r>
            <w:r>
              <w:t xml:space="preserve"> </w:t>
            </w:r>
            <w:r>
              <w:t xml:space="preserve">→</w:t>
            </w:r>
            <w:r>
              <w:t xml:space="preserve"> </w:t>
            </w:r>
            <w:r>
              <w:rPr>
                <w:bCs/>
                <w:b/>
              </w:rPr>
              <w:t xml:space="preserve">2,14 NAD/kWh</w:t>
            </w:r>
            <w:r>
              <w:t xml:space="preserve"> </w:t>
            </w:r>
            <w:r>
              <w:t xml:space="preserve">au 01/08/2026 ; pacte : 0,117 vs 0,113 US$/kWh (2024) (pacte) ; coût de l’électricité achetée 4,9 Md NAD (2023/24, -3 %)</w:t>
            </w:r>
          </w:p>
        </w:tc>
        <w:tc>
          <w:tcPr>
            <w:tcW w:w="1282" w:type="dxa"/>
          </w:tcPr>
          <w:tcPr/>
          <w:p>
            <w:pPr>
              <w:pStyle w:val="Compact"/>
              <w:jc w:val="left"/>
            </w:pPr>
            <w:r>
              <w:t xml:space="preserve">2024-2026</w:t>
            </w:r>
          </w:p>
        </w:tc>
        <w:tc>
          <w:tcPr>
            <w:tcW w:w="1281" w:type="dxa"/>
          </w:tcPr>
          <w:tcPr/>
          <w:p>
            <w:pPr>
              <w:pStyle w:val="Compact"/>
              <w:jc w:val="left"/>
            </w:pPr>
            <w:r>
              <w:t xml:space="preserve">[V]/[S]</w:t>
            </w:r>
          </w:p>
        </w:tc>
        <w:tc>
          <w:tcPr>
            <w:tcW w:w="933" w:type="dxa"/>
          </w:tcPr>
          <w:tcPr/>
          <w:p>
            <w:pPr>
              <w:pStyle w:val="Compact"/>
              <w:jc w:val="left"/>
            </w:pPr>
            <w:r>
              <w:t xml:space="preserve">[2][6]</w:t>
            </w:r>
          </w:p>
        </w:tc>
      </w:tr>
      <w:tr>
        <w:tc>
          <w:tcPr>
            <w:tcW w:w="3064" w:type="dxa"/>
          </w:tcPr>
          <w:tcPr/>
          <w:p>
            <w:pPr>
              <w:pStyle w:val="Compact"/>
              <w:jc w:val="left"/>
            </w:pPr>
            <w:r>
              <w:t xml:space="preserve">Tarifs</w:t>
            </w:r>
          </w:p>
        </w:tc>
        <w:tc>
          <w:tcPr>
            <w:tcW w:w="8009" w:type="dxa"/>
          </w:tcPr>
          <w:tcPr/>
          <w:p>
            <w:pPr>
              <w:pStyle w:val="Compact"/>
              <w:jc w:val="left"/>
            </w:pPr>
            <w:r>
              <w:t xml:space="preserve">+8,97 % (2023/24) ; 2025/26 : 17,44 % demandés, hausse plus faible accordée ([?] taux) ; 2026/27 : 8,4 % demandés, 4,8 % approuvés,</w:t>
            </w:r>
            <w:r>
              <w:t xml:space="preserve"> </w:t>
            </w:r>
            <w:r>
              <w:rPr>
                <w:bCs/>
                <w:b/>
              </w:rPr>
              <w:t xml:space="preserve">3,7 % répercutés</w:t>
            </w:r>
            <w:r>
              <w:t xml:space="preserve"> </w:t>
            </w:r>
            <w:r>
              <w:t xml:space="preserve">après aide publique</w:t>
            </w:r>
          </w:p>
        </w:tc>
        <w:tc>
          <w:tcPr>
            <w:tcW w:w="1282" w:type="dxa"/>
          </w:tcPr>
          <w:tcPr/>
          <w:p>
            <w:pPr>
              <w:pStyle w:val="Compact"/>
              <w:jc w:val="left"/>
            </w:pPr>
            <w:r>
              <w:t xml:space="preserve">2023-2026</w:t>
            </w:r>
          </w:p>
        </w:tc>
        <w:tc>
          <w:tcPr>
            <w:tcW w:w="1281" w:type="dxa"/>
          </w:tcPr>
          <w:tcPr/>
          <w:p>
            <w:pPr>
              <w:pStyle w:val="Compact"/>
              <w:jc w:val="left"/>
            </w:pPr>
            <w:r>
              <w:t xml:space="preserve">[V]/[S]</w:t>
            </w:r>
          </w:p>
        </w:tc>
        <w:tc>
          <w:tcPr>
            <w:tcW w:w="933" w:type="dxa"/>
          </w:tcPr>
          <w:tcPr/>
          <w:p>
            <w:pPr>
              <w:pStyle w:val="Compact"/>
              <w:jc w:val="left"/>
            </w:pPr>
            <w:r>
              <w:t xml:space="preserve">[2][6]</w:t>
            </w:r>
          </w:p>
        </w:tc>
      </w:tr>
      <w:tr>
        <w:tc>
          <w:tcPr>
            <w:tcW w:w="3064" w:type="dxa"/>
          </w:tcPr>
          <w:tcPr/>
          <w:p>
            <w:pPr>
              <w:pStyle w:val="Compact"/>
              <w:jc w:val="left"/>
            </w:pPr>
            <w:r>
              <w:t xml:space="preserve">REDs — tarifs 2025/26</w:t>
            </w:r>
          </w:p>
        </w:tc>
        <w:tc>
          <w:tcPr>
            <w:tcW w:w="8009" w:type="dxa"/>
          </w:tcPr>
          <w:tcPr/>
          <w:p>
            <w:pPr>
              <w:pStyle w:val="Compact"/>
              <w:jc w:val="left"/>
            </w:pPr>
            <w:r>
              <w:t xml:space="preserve">NamPower distribution 1,7 % (sur 3,02 %) ; CENORED 3,8 % (sur 5,8 %) ; Erongo RED 3,7 % ;</w:t>
            </w:r>
            <w:r>
              <w:t xml:space="preserve"> </w:t>
            </w:r>
            <w:r>
              <w:rPr>
                <w:bCs/>
                <w:b/>
              </w:rPr>
              <w:t xml:space="preserve">NORED 4 % sous conditions</w:t>
            </w:r>
            <w:r>
              <w:t xml:space="preserve"> </w:t>
            </w:r>
            <w:r>
              <w:t xml:space="preserve">(comptes audités 2022/23 à produire)</w:t>
            </w:r>
          </w:p>
        </w:tc>
        <w:tc>
          <w:tcPr>
            <w:tcW w:w="1282" w:type="dxa"/>
          </w:tcPr>
          <w:tcPr/>
          <w:p>
            <w:pPr>
              <w:pStyle w:val="Compact"/>
              <w:jc w:val="left"/>
            </w:pPr>
            <w:r>
              <w:t xml:space="preserve">2025/26</w:t>
            </w:r>
          </w:p>
        </w:tc>
        <w:tc>
          <w:tcPr>
            <w:tcW w:w="1281" w:type="dxa"/>
          </w:tcPr>
          <w:tcPr/>
          <w:p>
            <w:pPr>
              <w:pStyle w:val="Compact"/>
              <w:jc w:val="left"/>
            </w:pPr>
            <w:r>
              <w:t xml:space="preserve">[S]</w:t>
            </w:r>
          </w:p>
        </w:tc>
        <w:tc>
          <w:tcPr>
            <w:tcW w:w="933" w:type="dxa"/>
          </w:tcPr>
          <w:tcPr/>
          <w:p>
            <w:pPr>
              <w:pStyle w:val="Compact"/>
              <w:jc w:val="left"/>
            </w:pPr>
            <w:r>
              <w:t xml:space="preserve">[5]</w:t>
            </w:r>
          </w:p>
        </w:tc>
      </w:tr>
      <w:tr>
        <w:tc>
          <w:tcPr>
            <w:tcW w:w="3064" w:type="dxa"/>
          </w:tcPr>
          <w:tcPr/>
          <w:p>
            <w:pPr>
              <w:pStyle w:val="Compact"/>
              <w:jc w:val="left"/>
            </w:pPr>
            <w:r>
              <w:t xml:space="preserve">Déficit quasi-budgétaire</w:t>
            </w:r>
          </w:p>
        </w:tc>
        <w:tc>
          <w:tcPr>
            <w:tcW w:w="8009" w:type="dxa"/>
          </w:tcPr>
          <w:tcPr/>
          <w:p>
            <w:pPr>
              <w:pStyle w:val="Compact"/>
              <w:jc w:val="left"/>
            </w:pPr>
            <w:r>
              <w:t xml:space="preserve">[?] non estimé (vraisemblablement faible pour NamPower, concentré sur les distributeurs municipaux) [E]</w:t>
            </w:r>
          </w:p>
        </w:tc>
        <w:tc>
          <w:tcPr>
            <w:tcW w:w="1282" w:type="dxa"/>
          </w:tcPr>
          <w:tcPr/>
          <w:p>
            <w:pPr>
              <w:pStyle w:val="Compact"/>
              <w:jc w:val="left"/>
            </w:pPr>
            <w:r>
              <w:t xml:space="preserve">—</w:t>
            </w:r>
          </w:p>
        </w:tc>
        <w:tc>
          <w:tcPr>
            <w:tcW w:w="1281" w:type="dxa"/>
          </w:tcPr>
          <w:tcPr/>
          <w:p>
            <w:pPr>
              <w:pStyle w:val="Compact"/>
              <w:jc w:val="left"/>
            </w:pPr>
            <w:r>
              <w:t xml:space="preserve">[E]</w:t>
            </w:r>
          </w:p>
        </w:tc>
        <w:tc>
          <w:tcPr>
            <w:tcW w:w="933" w:type="dxa"/>
          </w:tcPr>
          <w:tcPr/>
          <w:p>
            <w:pPr>
              <w:pStyle w:val="Compact"/>
              <w:jc w:val="left"/>
            </w:pPr>
            <w:r>
              <w:t xml:space="preserve">—</w:t>
            </w:r>
          </w:p>
        </w:tc>
      </w:tr>
      <w:tr>
        <w:tc>
          <w:tcPr>
            <w:tcW w:w="3064" w:type="dxa"/>
          </w:tcPr>
          <w:tcPr/>
          <w:p>
            <w:pPr>
              <w:pStyle w:val="Compact"/>
              <w:jc w:val="left"/>
            </w:pPr>
            <w:r>
              <w:t xml:space="preserve">Notation</w:t>
            </w:r>
          </w:p>
        </w:tc>
        <w:tc>
          <w:tcPr>
            <w:tcW w:w="8009" w:type="dxa"/>
          </w:tcPr>
          <w:tcPr/>
          <w:p>
            <w:pPr>
              <w:pStyle w:val="Compact"/>
              <w:jc w:val="left"/>
            </w:pPr>
            <w:r>
              <w:t xml:space="preserve">[?]</w:t>
            </w:r>
          </w:p>
        </w:tc>
        <w:tc>
          <w:tcPr>
            <w:tcW w:w="1282" w:type="dxa"/>
          </w:tcPr>
          <w:tcPr/>
          <w:p>
            <w:pPr>
              <w:pStyle w:val="Compact"/>
              <w:jc w:val="left"/>
            </w:pPr>
            <w:r>
              <w:t xml:space="preserve">—</w:t>
            </w:r>
          </w:p>
        </w:tc>
        <w:tc>
          <w:tcPr>
            <w:tcW w:w="1281" w:type="dxa"/>
          </w:tcPr>
          <w:tcPr/>
          <w:p>
            <w:pPr>
              <w:pStyle w:val="Compact"/>
              <w:jc w:val="left"/>
            </w:pPr>
            <w:r>
              <w:t xml:space="preserve">[?]</w:t>
            </w:r>
          </w:p>
        </w:tc>
        <w:tc>
          <w:tcPr>
            <w:tcW w:w="933" w:type="dxa"/>
          </w:tcPr>
          <w:tcPr/>
          <w:p>
            <w:pPr>
              <w:pStyle w:val="Compact"/>
              <w:jc w:val="left"/>
            </w:pPr>
            <w:r>
              <w:t xml:space="preserve">—</w:t>
            </w:r>
          </w:p>
        </w:tc>
      </w:tr>
    </w:tbl>
    <w:bookmarkEnd w:id="274"/>
    <w:bookmarkStart w:id="275" w:name="situation-technique-23"/>
    <w:p>
      <w:pPr>
        <w:pStyle w:val="Heading3"/>
      </w:pPr>
      <w:r>
        <w:t xml:space="preserve">2. Situation technique</w:t>
      </w:r>
    </w:p>
    <w:tbl>
      <w:tblPr>
        <w:tblStyle w:val="Table"/>
        <w:tblW w:type="dxa" w:w="14570"/>
        <w:tblLook w:firstRow="1" w:lastRow="0" w:firstColumn="0" w:lastColumn="0" w:noHBand="0" w:noVBand="0" w:val="0020"/>
        <w:jc w:val="start"/>
      </w:tblPr>
      <w:tblGrid>
        <w:gridCol w:w="3127"/>
        <w:gridCol w:w="7582"/>
        <w:gridCol w:w="1280"/>
        <w:gridCol w:w="1394"/>
        <w:gridCol w:w="1185"/>
      </w:tblGrid>
      <w:tr>
        <w:trPr>
          <w:tblHeader w:val="true"/>
        </w:trPr>
        <w:tc>
          <w:tcPr>
            <w:tcW w:w="3127" w:type="dxa"/>
          </w:tcPr>
          <w:tcPr/>
          <w:p>
            <w:pPr>
              <w:pStyle w:val="Compact"/>
              <w:jc w:val="left"/>
            </w:pPr>
            <w:r>
              <w:t xml:space="preserve">Indicateur</w:t>
            </w:r>
          </w:p>
        </w:tc>
        <w:tc>
          <w:tcPr>
            <w:tcW w:w="7582" w:type="dxa"/>
          </w:tcPr>
          <w:tcPr/>
          <w:p>
            <w:pPr>
              <w:pStyle w:val="Compact"/>
              <w:jc w:val="left"/>
            </w:pPr>
            <w:r>
              <w:t xml:space="preserve">Valeur</w:t>
            </w:r>
          </w:p>
        </w:tc>
        <w:tc>
          <w:tcPr>
            <w:tcW w:w="1280" w:type="dxa"/>
          </w:tcPr>
          <w:tcPr/>
          <w:p>
            <w:pPr>
              <w:pStyle w:val="Compact"/>
              <w:jc w:val="left"/>
            </w:pPr>
            <w:r>
              <w:t xml:space="preserve">Année</w:t>
            </w:r>
          </w:p>
        </w:tc>
        <w:tc>
          <w:tcPr>
            <w:tcW w:w="1394" w:type="dxa"/>
          </w:tcPr>
          <w:tcPr/>
          <w:p>
            <w:pPr>
              <w:pStyle w:val="Compact"/>
              <w:jc w:val="left"/>
            </w:pPr>
            <w:r>
              <w:t xml:space="preserve">Statut</w:t>
            </w:r>
          </w:p>
        </w:tc>
        <w:tc>
          <w:tcPr>
            <w:tcW w:w="1185" w:type="dxa"/>
          </w:tcPr>
          <w:tcPr/>
          <w:p>
            <w:pPr>
              <w:pStyle w:val="Compact"/>
              <w:jc w:val="left"/>
            </w:pPr>
            <w:r>
              <w:t xml:space="preserve">Source</w:t>
            </w:r>
          </w:p>
        </w:tc>
      </w:tr>
      <w:tr>
        <w:tc>
          <w:tcPr>
            <w:tcW w:w="3127" w:type="dxa"/>
          </w:tcPr>
          <w:tcPr/>
          <w:p>
            <w:pPr>
              <w:pStyle w:val="Compact"/>
              <w:jc w:val="left"/>
            </w:pPr>
            <w:r>
              <w:t xml:space="preserve">Pointe</w:t>
            </w:r>
          </w:p>
        </w:tc>
        <w:tc>
          <w:tcPr>
            <w:tcW w:w="7582" w:type="dxa"/>
          </w:tcPr>
          <w:tcPr/>
          <w:p>
            <w:pPr>
              <w:pStyle w:val="Compact"/>
              <w:jc w:val="left"/>
            </w:pPr>
            <w:r>
              <w:t xml:space="preserve">633 MW (juin 2023) →</w:t>
            </w:r>
            <w:r>
              <w:t xml:space="preserve"> </w:t>
            </w:r>
            <w:r>
              <w:rPr>
                <w:bCs/>
                <w:b/>
              </w:rPr>
              <w:t xml:space="preserve">672 MW</w:t>
            </w:r>
            <w:r>
              <w:t xml:space="preserve"> </w:t>
            </w:r>
            <w:r>
              <w:t xml:space="preserve">(2023/24)</w:t>
            </w:r>
          </w:p>
        </w:tc>
        <w:tc>
          <w:tcPr>
            <w:tcW w:w="1280" w:type="dxa"/>
          </w:tcPr>
          <w:tcPr/>
          <w:p>
            <w:pPr>
              <w:pStyle w:val="Compact"/>
              <w:jc w:val="left"/>
            </w:pPr>
            <w:r>
              <w:t xml:space="preserve">2024</w:t>
            </w:r>
          </w:p>
        </w:tc>
        <w:tc>
          <w:tcPr>
            <w:tcW w:w="1394" w:type="dxa"/>
          </w:tcPr>
          <w:tcPr/>
          <w:p>
            <w:pPr>
              <w:pStyle w:val="Compact"/>
              <w:jc w:val="left"/>
            </w:pPr>
            <w:r>
              <w:t xml:space="preserve">[V]</w:t>
            </w:r>
          </w:p>
        </w:tc>
        <w:tc>
          <w:tcPr>
            <w:tcW w:w="1185" w:type="dxa"/>
          </w:tcPr>
          <w:tcPr/>
          <w:p>
            <w:pPr>
              <w:pStyle w:val="Compact"/>
              <w:jc w:val="left"/>
            </w:pPr>
            <w:r>
              <w:t xml:space="preserve">[2]</w:t>
            </w:r>
          </w:p>
        </w:tc>
      </w:tr>
      <w:tr>
        <w:tc>
          <w:tcPr>
            <w:tcW w:w="3127" w:type="dxa"/>
          </w:tcPr>
          <w:tcPr/>
          <w:p>
            <w:pPr>
              <w:pStyle w:val="Compact"/>
              <w:jc w:val="left"/>
            </w:pPr>
            <w:r>
              <w:t xml:space="preserve">Importations</w:t>
            </w:r>
          </w:p>
        </w:tc>
        <w:tc>
          <w:tcPr>
            <w:tcW w:w="7582" w:type="dxa"/>
          </w:tcPr>
          <w:tcPr/>
          <w:p>
            <w:pPr>
              <w:pStyle w:val="Compact"/>
              <w:jc w:val="left"/>
            </w:pPr>
            <w:r>
              <w:rPr>
                <w:bCs/>
                <w:b/>
              </w:rPr>
              <w:t xml:space="preserve">58 %</w:t>
            </w:r>
            <w:r>
              <w:t xml:space="preserve"> </w:t>
            </w:r>
            <w:r>
              <w:t xml:space="preserve">des besoins (2023, ECB) — Zambie 32 %, Eskom 14 %, Zimbabwe 9 %, SAPP DAM 3 % ; jusqu’à 90 % aux heures de pointe ;</w:t>
            </w:r>
            <w:r>
              <w:t xml:space="preserve"> </w:t>
            </w:r>
            <w:r>
              <w:rPr>
                <w:bCs/>
                <w:b/>
              </w:rPr>
              <w:t xml:space="preserve">45,8 %</w:t>
            </w:r>
            <w:r>
              <w:t xml:space="preserve"> </w:t>
            </w:r>
            <w:r>
              <w:t xml:space="preserve">(2023/24) ; ~50 % (jusqu’à 70 % en année sèche, 2026)</w:t>
            </w:r>
          </w:p>
        </w:tc>
        <w:tc>
          <w:tcPr>
            <w:tcW w:w="1280" w:type="dxa"/>
          </w:tcPr>
          <w:tcPr/>
          <w:p>
            <w:pPr>
              <w:pStyle w:val="Compact"/>
              <w:jc w:val="left"/>
            </w:pPr>
            <w:r>
              <w:t xml:space="preserve">2023-2026</w:t>
            </w:r>
          </w:p>
        </w:tc>
        <w:tc>
          <w:tcPr>
            <w:tcW w:w="1394" w:type="dxa"/>
          </w:tcPr>
          <w:tcPr/>
          <w:p>
            <w:pPr>
              <w:pStyle w:val="Compact"/>
              <w:jc w:val="left"/>
            </w:pPr>
            <w:r>
              <w:t xml:space="preserve">[V]/[S]</w:t>
            </w:r>
          </w:p>
        </w:tc>
        <w:tc>
          <w:tcPr>
            <w:tcW w:w="1185" w:type="dxa"/>
          </w:tcPr>
          <w:tcPr/>
          <w:p>
            <w:pPr>
              <w:pStyle w:val="Compact"/>
              <w:jc w:val="left"/>
            </w:pPr>
            <w:r>
              <w:t xml:space="preserve">[1][2][7]</w:t>
            </w:r>
          </w:p>
        </w:tc>
      </w:tr>
      <w:tr>
        <w:tc>
          <w:tcPr>
            <w:tcW w:w="3127" w:type="dxa"/>
          </w:tcPr>
          <w:tcPr/>
          <w:p>
            <w:pPr>
              <w:pStyle w:val="Compact"/>
              <w:jc w:val="left"/>
            </w:pPr>
            <w:r>
              <w:t xml:space="preserve">Pertes de transport</w:t>
            </w:r>
          </w:p>
        </w:tc>
        <w:tc>
          <w:tcPr>
            <w:tcW w:w="7582" w:type="dxa"/>
          </w:tcPr>
          <w:tcPr/>
          <w:p>
            <w:pPr>
              <w:pStyle w:val="Compact"/>
              <w:jc w:val="left"/>
            </w:pPr>
            <w:r>
              <w:rPr>
                <w:bCs/>
                <w:b/>
              </w:rPr>
              <w:t xml:space="preserve">11,1 % (2023/24)</w:t>
            </w:r>
            <w:r>
              <w:t xml:space="preserve"> </w:t>
            </w:r>
            <w:r>
              <w:t xml:space="preserve">vs 12,6 % (2022/23)</w:t>
            </w:r>
          </w:p>
        </w:tc>
        <w:tc>
          <w:tcPr>
            <w:tcW w:w="1280" w:type="dxa"/>
          </w:tcPr>
          <w:tcPr/>
          <w:p>
            <w:pPr>
              <w:pStyle w:val="Compact"/>
              <w:jc w:val="left"/>
            </w:pPr>
            <w:r>
              <w:t xml:space="preserve">2024</w:t>
            </w:r>
          </w:p>
        </w:tc>
        <w:tc>
          <w:tcPr>
            <w:tcW w:w="1394" w:type="dxa"/>
          </w:tcPr>
          <w:tcPr/>
          <w:p>
            <w:pPr>
              <w:pStyle w:val="Compact"/>
              <w:jc w:val="left"/>
            </w:pPr>
            <w:r>
              <w:t xml:space="preserve">[V]</w:t>
            </w:r>
          </w:p>
        </w:tc>
        <w:tc>
          <w:tcPr>
            <w:tcW w:w="1185" w:type="dxa"/>
          </w:tcPr>
          <w:tcPr/>
          <w:p>
            <w:pPr>
              <w:pStyle w:val="Compact"/>
              <w:jc w:val="left"/>
            </w:pPr>
            <w:r>
              <w:t xml:space="preserve">[2]</w:t>
            </w:r>
          </w:p>
        </w:tc>
      </w:tr>
      <w:tr>
        <w:tc>
          <w:tcPr>
            <w:tcW w:w="3127" w:type="dxa"/>
          </w:tcPr>
          <w:tcPr/>
          <w:p>
            <w:pPr>
              <w:pStyle w:val="Compact"/>
              <w:jc w:val="left"/>
            </w:pPr>
            <w:r>
              <w:t xml:space="preserve">Pertes de distribution (REDs)</w:t>
            </w:r>
          </w:p>
        </w:tc>
        <w:tc>
          <w:tcPr>
            <w:tcW w:w="7582" w:type="dxa"/>
          </w:tcPr>
          <w:tcPr/>
          <w:p>
            <w:pPr>
              <w:pStyle w:val="Compact"/>
              <w:jc w:val="left"/>
            </w:pPr>
            <w:r>
              <w:t xml:space="preserve">[?] non trouvé</w:t>
            </w:r>
          </w:p>
        </w:tc>
        <w:tc>
          <w:tcPr>
            <w:tcW w:w="1280" w:type="dxa"/>
          </w:tcPr>
          <w:tcPr/>
          <w:p>
            <w:pPr>
              <w:pStyle w:val="Compact"/>
              <w:jc w:val="left"/>
            </w:pPr>
            <w:r>
              <w:t xml:space="preserve">—</w:t>
            </w:r>
          </w:p>
        </w:tc>
        <w:tc>
          <w:tcPr>
            <w:tcW w:w="1394" w:type="dxa"/>
          </w:tcPr>
          <w:tcPr/>
          <w:p>
            <w:pPr>
              <w:pStyle w:val="Compact"/>
              <w:jc w:val="left"/>
            </w:pPr>
            <w:r>
              <w:t xml:space="preserve">[?]</w:t>
            </w:r>
          </w:p>
        </w:tc>
        <w:tc>
          <w:tcPr>
            <w:tcW w:w="1185" w:type="dxa"/>
          </w:tcPr>
          <w:tcPr/>
          <w:p>
            <w:pPr>
              <w:pStyle w:val="Compact"/>
              <w:jc w:val="left"/>
            </w:pPr>
            <w:r>
              <w:t xml:space="preserve">—</w:t>
            </w:r>
          </w:p>
        </w:tc>
      </w:tr>
      <w:tr>
        <w:tc>
          <w:tcPr>
            <w:tcW w:w="3127" w:type="dxa"/>
          </w:tcPr>
          <w:tcPr/>
          <w:p>
            <w:pPr>
              <w:pStyle w:val="Compact"/>
              <w:jc w:val="left"/>
            </w:pPr>
            <w:r>
              <w:t xml:space="preserve">Ventes</w:t>
            </w:r>
          </w:p>
        </w:tc>
        <w:tc>
          <w:tcPr>
            <w:tcW w:w="7582" w:type="dxa"/>
          </w:tcPr>
          <w:tcPr/>
          <w:p>
            <w:pPr>
              <w:pStyle w:val="Compact"/>
              <w:jc w:val="left"/>
            </w:pPr>
            <w:r>
              <w:t xml:space="preserve">3 856 GWh →</w:t>
            </w:r>
            <w:r>
              <w:t xml:space="preserve"> </w:t>
            </w:r>
            <w:r>
              <w:rPr>
                <w:bCs/>
                <w:b/>
              </w:rPr>
              <w:t xml:space="preserve">4 288 GWh</w:t>
            </w:r>
            <w:r>
              <w:t xml:space="preserve"> </w:t>
            </w:r>
            <w:r>
              <w:t xml:space="preserve">(2023/24), exportations 198 → 540 GWh</w:t>
            </w:r>
          </w:p>
        </w:tc>
        <w:tc>
          <w:tcPr>
            <w:tcW w:w="1280" w:type="dxa"/>
          </w:tcPr>
          <w:tcPr/>
          <w:p>
            <w:pPr>
              <w:pStyle w:val="Compact"/>
              <w:jc w:val="left"/>
            </w:pPr>
            <w:r>
              <w:t xml:space="preserve">2024</w:t>
            </w:r>
          </w:p>
        </w:tc>
        <w:tc>
          <w:tcPr>
            <w:tcW w:w="1394" w:type="dxa"/>
          </w:tcPr>
          <w:tcPr/>
          <w:p>
            <w:pPr>
              <w:pStyle w:val="Compact"/>
              <w:jc w:val="left"/>
            </w:pPr>
            <w:r>
              <w:t xml:space="preserve">[V]</w:t>
            </w:r>
          </w:p>
        </w:tc>
        <w:tc>
          <w:tcPr>
            <w:tcW w:w="1185" w:type="dxa"/>
          </w:tcPr>
          <w:tcPr/>
          <w:p>
            <w:pPr>
              <w:pStyle w:val="Compact"/>
              <w:jc w:val="left"/>
            </w:pPr>
            <w:r>
              <w:t xml:space="preserve">[2]</w:t>
            </w:r>
          </w:p>
        </w:tc>
      </w:tr>
      <w:tr>
        <w:tc>
          <w:tcPr>
            <w:tcW w:w="3127" w:type="dxa"/>
          </w:tcPr>
          <w:tcPr/>
          <w:p>
            <w:pPr>
              <w:pStyle w:val="Compact"/>
              <w:jc w:val="left"/>
            </w:pPr>
            <w:r>
              <w:t xml:space="preserve">Délestages</w:t>
            </w:r>
          </w:p>
        </w:tc>
        <w:tc>
          <w:tcPr>
            <w:tcW w:w="7582" w:type="dxa"/>
          </w:tcPr>
          <w:tcPr/>
          <w:p>
            <w:pPr>
              <w:pStyle w:val="Compact"/>
              <w:jc w:val="left"/>
            </w:pPr>
            <w:r>
              <w:t xml:space="preserve">0 MWh (pacte) ; [?] non vérifié</w:t>
            </w:r>
          </w:p>
        </w:tc>
        <w:tc>
          <w:tcPr>
            <w:tcW w:w="1280" w:type="dxa"/>
          </w:tcPr>
          <w:tcPr/>
          <w:p>
            <w:pPr>
              <w:pStyle w:val="Compact"/>
              <w:jc w:val="left"/>
            </w:pPr>
            <w:r>
              <w:t xml:space="preserve">—</w:t>
            </w:r>
          </w:p>
        </w:tc>
        <w:tc>
          <w:tcPr>
            <w:tcW w:w="1394" w:type="dxa"/>
          </w:tcPr>
          <w:tcPr/>
          <w:p>
            <w:pPr>
              <w:pStyle w:val="Compact"/>
              <w:jc w:val="left"/>
            </w:pPr>
            <w:r>
              <w:t xml:space="preserve">(pacte)</w:t>
            </w:r>
          </w:p>
        </w:tc>
        <w:tc>
          <w:tcPr>
            <w:tcW w:w="1185" w:type="dxa"/>
          </w:tcPr>
          <w:tcPr/>
          <w:p>
            <w:pPr>
              <w:pStyle w:val="Compact"/>
              <w:jc w:val="left"/>
            </w:pPr>
            <w:r>
              <w:t xml:space="preserve">—</w:t>
            </w:r>
          </w:p>
        </w:tc>
      </w:tr>
      <w:tr>
        <w:tc>
          <w:tcPr>
            <w:tcW w:w="3127" w:type="dxa"/>
          </w:tcPr>
          <w:tcPr/>
          <w:p>
            <w:pPr>
              <w:pStyle w:val="Compact"/>
              <w:jc w:val="left"/>
            </w:pPr>
            <w:r>
              <w:t xml:space="preserve">Clients / prépaiement</w:t>
            </w:r>
          </w:p>
        </w:tc>
        <w:tc>
          <w:tcPr>
            <w:tcW w:w="7582" w:type="dxa"/>
          </w:tcPr>
          <w:tcPr/>
          <w:p>
            <w:pPr>
              <w:pStyle w:val="Compact"/>
              <w:jc w:val="left"/>
            </w:pPr>
            <w:r>
              <w:t xml:space="preserve">Résolution du Cabinet : migration des clients en gros (collectivités, REDs) vers le prépaiement ; décision du conseil de couper les collectivités en défaut</w:t>
            </w:r>
          </w:p>
        </w:tc>
        <w:tc>
          <w:tcPr>
            <w:tcW w:w="1280" w:type="dxa"/>
          </w:tcPr>
          <w:tcPr/>
          <w:p>
            <w:pPr>
              <w:pStyle w:val="Compact"/>
              <w:jc w:val="left"/>
            </w:pPr>
            <w:r>
              <w:t xml:space="preserve">2024</w:t>
            </w:r>
          </w:p>
        </w:tc>
        <w:tc>
          <w:tcPr>
            <w:tcW w:w="1394" w:type="dxa"/>
          </w:tcPr>
          <w:tcPr/>
          <w:p>
            <w:pPr>
              <w:pStyle w:val="Compact"/>
              <w:jc w:val="left"/>
            </w:pPr>
            <w:r>
              <w:t xml:space="preserve">[V]</w:t>
            </w:r>
          </w:p>
        </w:tc>
        <w:tc>
          <w:tcPr>
            <w:tcW w:w="1185" w:type="dxa"/>
          </w:tcPr>
          <w:tcPr/>
          <w:p>
            <w:pPr>
              <w:pStyle w:val="Compact"/>
              <w:jc w:val="left"/>
            </w:pPr>
            <w:r>
              <w:t xml:space="preserve">[2]</w:t>
            </w:r>
          </w:p>
        </w:tc>
      </w:tr>
    </w:tbl>
    <w:bookmarkEnd w:id="275"/>
    <w:bookmarkStart w:id="276" w:name="situation-économique-et-gouvernance-23"/>
    <w:p>
      <w:pPr>
        <w:pStyle w:val="Heading3"/>
      </w:pPr>
      <w:r>
        <w:t xml:space="preserve">3. Situation économique et gouvernance</w:t>
      </w:r>
    </w:p>
    <w:p>
      <w:pPr>
        <w:numPr>
          <w:ilvl w:val="0"/>
          <w:numId w:val="1149"/>
        </w:numPr>
        <w:pStyle w:val="Compact"/>
      </w:pPr>
      <w:r>
        <w:rPr>
          <w:bCs/>
          <w:b/>
        </w:rPr>
        <w:t xml:space="preserve">PPA / importations</w:t>
      </w:r>
      <w:r>
        <w:t xml:space="preserve"> </w:t>
      </w:r>
      <w:r>
        <w:t xml:space="preserve">: contrats bilatéraux d’import (ZESCO, Eskom, ZESA) — le risque d’interruption est signalé par la BM [1] [V] ; la crise zambienne de 2024-2025 a réduit les exportations de ZESCO vers NamPower [E]. 27 IPP (pacte) ; licences ECB &gt; 1 600 MW de production et ~290 MW d’export accordées sous MSB [1] [V].</w:t>
      </w:r>
    </w:p>
    <w:p>
      <w:pPr>
        <w:numPr>
          <w:ilvl w:val="0"/>
          <w:numId w:val="1149"/>
        </w:numPr>
        <w:pStyle w:val="Compact"/>
      </w:pPr>
      <w:r>
        <w:rPr>
          <w:bCs/>
          <w:b/>
        </w:rPr>
        <w:t xml:space="preserve">Change</w:t>
      </w:r>
      <w:r>
        <w:t xml:space="preserve"> </w:t>
      </w:r>
      <w:r>
        <w:t xml:space="preserve">: dollar namibien arrimé au rand ; achats d’importation en rand/US$ [E].</w:t>
      </w:r>
    </w:p>
    <w:p>
      <w:pPr>
        <w:numPr>
          <w:ilvl w:val="0"/>
          <w:numId w:val="1149"/>
        </w:numPr>
        <w:pStyle w:val="Compact"/>
      </w:pPr>
      <w:r>
        <w:rPr>
          <w:bCs/>
          <w:b/>
        </w:rPr>
        <w:t xml:space="preserve">Plan de redressement</w:t>
      </w:r>
      <w:r>
        <w:t xml:space="preserve"> </w:t>
      </w:r>
      <w:r>
        <w:t xml:space="preserve">: NamPower n’est pas en redressement ; enjeu : défaut de paiement des collectivités et viabilité des distributeurs ; pacte : diagnostic de soutenabilité des distributeurs et régulation incitative pluriannuelle (2026/27).</w:t>
      </w:r>
    </w:p>
    <w:p>
      <w:pPr>
        <w:numPr>
          <w:ilvl w:val="0"/>
          <w:numId w:val="1149"/>
        </w:numPr>
        <w:pStyle w:val="Compact"/>
      </w:pPr>
      <w:r>
        <w:rPr>
          <w:bCs/>
          <w:b/>
        </w:rPr>
        <w:t xml:space="preserve">Gouvernance</w:t>
      </w:r>
      <w:r>
        <w:t xml:space="preserve"> </w:t>
      </w:r>
      <w:r>
        <w:t xml:space="preserve">: comptes de NamPower audités et publiés ~9 mois après la clôture [E] ;</w:t>
      </w:r>
      <w:r>
        <w:t xml:space="preserve"> </w:t>
      </w:r>
      <w:r>
        <w:rPr>
          <w:bCs/>
          <w:b/>
        </w:rPr>
        <w:t xml:space="preserve">opinion avec réserve 2023 et 2024</w:t>
      </w:r>
      <w:r>
        <w:t xml:space="preserve"> </w:t>
      </w:r>
      <w:r>
        <w:t xml:space="preserve">faute d’états audités de NORED (2023 et 2024) et CENORED (2024) [2] [V] — signal de gouvernance faible chez les REDs.</w:t>
      </w:r>
    </w:p>
    <w:bookmarkEnd w:id="276"/>
    <w:bookmarkStart w:id="277" w:name="Xa7a180db3f354d2ea10a08b955c52b5dc110aa3"/>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492"/>
        <w:gridCol w:w="1646"/>
        <w:gridCol w:w="2278"/>
        <w:gridCol w:w="1036"/>
        <w:gridCol w:w="3122"/>
        <w:gridCol w:w="856"/>
        <w:gridCol w:w="1353"/>
        <w:gridCol w:w="784"/>
      </w:tblGrid>
      <w:tr>
        <w:trPr>
          <w:tblHeader w:val="true"/>
        </w:trPr>
        <w:tc>
          <w:tcPr>
            <w:tcW w:w="3492" w:type="dxa"/>
          </w:tcPr>
          <w:tcPr/>
          <w:p>
            <w:pPr>
              <w:pStyle w:val="Compact"/>
              <w:jc w:val="left"/>
            </w:pPr>
            <w:r>
              <w:t xml:space="preserve">Programme / projet</w:t>
            </w:r>
          </w:p>
        </w:tc>
        <w:tc>
          <w:tcPr>
            <w:tcW w:w="1646" w:type="dxa"/>
          </w:tcPr>
          <w:tcPr/>
          <w:p>
            <w:pPr>
              <w:pStyle w:val="Compact"/>
              <w:jc w:val="left"/>
            </w:pPr>
            <w:r>
              <w:t xml:space="preserve">Bailleur</w:t>
            </w:r>
          </w:p>
        </w:tc>
        <w:tc>
          <w:tcPr>
            <w:tcW w:w="2278" w:type="dxa"/>
          </w:tcPr>
          <w:tcPr/>
          <w:p>
            <w:pPr>
              <w:pStyle w:val="Compact"/>
              <w:jc w:val="left"/>
            </w:pPr>
            <w:r>
              <w:t xml:space="preserve">Montant</w:t>
            </w:r>
          </w:p>
        </w:tc>
        <w:tc>
          <w:tcPr>
            <w:tcW w:w="1036" w:type="dxa"/>
          </w:tcPr>
          <w:tcPr/>
          <w:p>
            <w:pPr>
              <w:pStyle w:val="Compact"/>
              <w:jc w:val="left"/>
            </w:pPr>
            <w:r>
              <w:t xml:space="preserve">Années</w:t>
            </w:r>
          </w:p>
        </w:tc>
        <w:tc>
          <w:tcPr>
            <w:tcW w:w="3122" w:type="dxa"/>
          </w:tcPr>
          <w:tcPr/>
          <w:p>
            <w:pPr>
              <w:pStyle w:val="Compact"/>
              <w:jc w:val="left"/>
            </w:pPr>
            <w:r>
              <w:t xml:space="preserve">Objectifs liés à l’opérateur</w:t>
            </w:r>
          </w:p>
        </w:tc>
        <w:tc>
          <w:tcPr>
            <w:tcW w:w="856" w:type="dxa"/>
          </w:tcPr>
          <w:tcPr/>
          <w:p>
            <w:pPr>
              <w:pStyle w:val="Compact"/>
              <w:jc w:val="left"/>
            </w:pPr>
            <w:r>
              <w:t xml:space="preserve">Conditions / indicateurs</w:t>
            </w:r>
          </w:p>
        </w:tc>
        <w:tc>
          <w:tcPr>
            <w:tcW w:w="1353" w:type="dxa"/>
          </w:tcPr>
          <w:tcPr/>
          <w:p>
            <w:pPr>
              <w:pStyle w:val="Compact"/>
              <w:jc w:val="left"/>
            </w:pPr>
            <w:r>
              <w:t xml:space="preserve">Statut</w:t>
            </w:r>
          </w:p>
        </w:tc>
        <w:tc>
          <w:tcPr>
            <w:tcW w:w="784" w:type="dxa"/>
          </w:tcPr>
          <w:tcPr/>
          <w:p>
            <w:pPr>
              <w:pStyle w:val="Compact"/>
              <w:jc w:val="left"/>
            </w:pPr>
            <w:r>
              <w:t xml:space="preserve">Source</w:t>
            </w:r>
          </w:p>
        </w:tc>
      </w:tr>
      <w:tr>
        <w:tc>
          <w:tcPr>
            <w:tcW w:w="3492" w:type="dxa"/>
          </w:tcPr>
          <w:tcPr/>
          <w:p>
            <w:pPr>
              <w:pStyle w:val="Compact"/>
              <w:jc w:val="left"/>
            </w:pPr>
            <w:r>
              <w:rPr>
                <w:bCs/>
                <w:b/>
              </w:rPr>
              <w:t xml:space="preserve">Transmission Expansion and Energy Storage Project (TEES), P177328</w:t>
            </w:r>
          </w:p>
        </w:tc>
        <w:tc>
          <w:tcPr>
            <w:tcW w:w="1646" w:type="dxa"/>
          </w:tcPr>
          <w:tcPr/>
          <w:p>
            <w:pPr>
              <w:pStyle w:val="Compact"/>
              <w:jc w:val="left"/>
            </w:pPr>
            <w:r>
              <w:t xml:space="preserve">BM (prêt BIRD 96740, garanti par l’État) + GCF + fonds GPG de la BIRD</w:t>
            </w:r>
          </w:p>
        </w:tc>
        <w:tc>
          <w:tcPr>
            <w:tcW w:w="2278" w:type="dxa"/>
          </w:tcPr>
          <w:tcPr/>
          <w:p>
            <w:pPr>
              <w:pStyle w:val="Compact"/>
              <w:jc w:val="left"/>
            </w:pPr>
            <w:r>
              <w:rPr>
                <w:bCs/>
                <w:b/>
              </w:rPr>
              <w:t xml:space="preserve">100 M US$</w:t>
            </w:r>
            <w:r>
              <w:t xml:space="preserve"> </w:t>
            </w:r>
            <w:r>
              <w:t xml:space="preserve">BIRD + 20 M US$ prêt GCF + dons (GPG 15 M US$ ; total des dons 18,5 M US$ selon la presse)</w:t>
            </w:r>
          </w:p>
        </w:tc>
        <w:tc>
          <w:tcPr>
            <w:tcW w:w="1036" w:type="dxa"/>
          </w:tcPr>
          <w:tcPr/>
          <w:p>
            <w:pPr>
              <w:pStyle w:val="Compact"/>
              <w:jc w:val="left"/>
            </w:pPr>
            <w:r>
              <w:t xml:space="preserve">approuvé 06/05/2024 ; clôture 31/12/2029</w:t>
            </w:r>
          </w:p>
        </w:tc>
        <w:tc>
          <w:tcPr>
            <w:tcW w:w="3122" w:type="dxa"/>
          </w:tcPr>
          <w:tcPr/>
          <w:p>
            <w:pPr>
              <w:pStyle w:val="Compact"/>
              <w:jc w:val="left"/>
            </w:pPr>
            <w:r>
              <w:t xml:space="preserve">NamPower emprunteur : 2e ligne 400 kV Auas-Kokerboom, BESS Lithops 45 MW/90 MWh, AT pour projets EnR et garantie de liquidité</w:t>
            </w:r>
          </w:p>
        </w:tc>
        <w:tc>
          <w:tcPr>
            <w:tcW w:w="856" w:type="dxa"/>
          </w:tcPr>
          <w:tcPr/>
          <w:p>
            <w:pPr>
              <w:pStyle w:val="Compact"/>
              <w:jc w:val="left"/>
            </w:pPr>
            <w:r>
              <w:t xml:space="preserve">[?] (pas de DLI)</w:t>
            </w:r>
          </w:p>
        </w:tc>
        <w:tc>
          <w:tcPr>
            <w:tcW w:w="1353" w:type="dxa"/>
          </w:tcPr>
          <w:tcPr/>
          <w:p>
            <w:pPr>
              <w:pStyle w:val="Compact"/>
              <w:jc w:val="left"/>
            </w:pPr>
            <w:r>
              <w:t xml:space="preserve">ISR nov. 2024 : Satisfaisant,</w:t>
            </w:r>
            <w:r>
              <w:t xml:space="preserve"> </w:t>
            </w:r>
            <w:r>
              <w:rPr>
                <w:bCs/>
                <w:b/>
              </w:rPr>
              <w:t xml:space="preserve">non effectif</w:t>
            </w:r>
            <w:r>
              <w:t xml:space="preserve">, 0 % décaissé</w:t>
            </w:r>
          </w:p>
        </w:tc>
        <w:tc>
          <w:tcPr>
            <w:tcW w:w="784" w:type="dxa"/>
          </w:tcPr>
          <w:tcPr/>
          <w:p>
            <w:pPr>
              <w:pStyle w:val="Compact"/>
              <w:jc w:val="left"/>
            </w:pPr>
            <w:r>
              <w:t xml:space="preserve">[1][3]</w:t>
            </w:r>
          </w:p>
        </w:tc>
      </w:tr>
      <w:tr>
        <w:tc>
          <w:tcPr>
            <w:tcW w:w="3492" w:type="dxa"/>
          </w:tcPr>
          <w:tcPr/>
          <w:p>
            <w:pPr>
              <w:pStyle w:val="Compact"/>
              <w:jc w:val="left"/>
            </w:pPr>
            <w:r>
              <w:t xml:space="preserve">Namibia Renewable Energy Scale Up Support, P179377</w:t>
            </w:r>
          </w:p>
        </w:tc>
        <w:tc>
          <w:tcPr>
            <w:tcW w:w="1646" w:type="dxa"/>
          </w:tcPr>
          <w:tcPr/>
          <w:p>
            <w:pPr>
              <w:pStyle w:val="Compact"/>
              <w:jc w:val="left"/>
            </w:pPr>
            <w:r>
              <w:t xml:space="preserve">BM (AT)</w:t>
            </w:r>
          </w:p>
        </w:tc>
        <w:tc>
          <w:tcPr>
            <w:tcW w:w="2278" w:type="dxa"/>
          </w:tcPr>
          <w:tcPr/>
          <w:p>
            <w:pPr>
              <w:pStyle w:val="Compact"/>
              <w:jc w:val="left"/>
            </w:pPr>
            <w:r>
              <w:t xml:space="preserve">[?]</w:t>
            </w:r>
          </w:p>
        </w:tc>
        <w:tc>
          <w:tcPr>
            <w:tcW w:w="1036" w:type="dxa"/>
          </w:tcPr>
          <w:tcPr/>
          <w:p>
            <w:pPr>
              <w:pStyle w:val="Compact"/>
              <w:jc w:val="left"/>
            </w:pPr>
            <w:r>
              <w:t xml:space="preserve">actif</w:t>
            </w:r>
          </w:p>
        </w:tc>
        <w:tc>
          <w:tcPr>
            <w:tcW w:w="3122" w:type="dxa"/>
          </w:tcPr>
          <w:tcPr/>
          <w:p>
            <w:pPr>
              <w:pStyle w:val="Compact"/>
              <w:jc w:val="left"/>
            </w:pPr>
            <w:r>
              <w:t xml:space="preserve">Préparation des projets EnR</w:t>
            </w:r>
          </w:p>
        </w:tc>
        <w:tc>
          <w:tcPr>
            <w:tcW w:w="856" w:type="dxa"/>
          </w:tcPr>
          <w:tcPr/>
          <w:p>
            <w:pPr>
              <w:pStyle w:val="Compact"/>
              <w:jc w:val="left"/>
            </w:pPr>
            <w:r>
              <w:t xml:space="preserve">—</w:t>
            </w:r>
          </w:p>
        </w:tc>
        <w:tc>
          <w:tcPr>
            <w:tcW w:w="1353" w:type="dxa"/>
          </w:tcPr>
          <w:tcPr/>
          <w:p>
            <w:pPr>
              <w:pStyle w:val="Compact"/>
              <w:jc w:val="left"/>
            </w:pPr>
            <w:r>
              <w:t xml:space="preserve">actif</w:t>
            </w:r>
          </w:p>
        </w:tc>
        <w:tc>
          <w:tcPr>
            <w:tcW w:w="784" w:type="dxa"/>
          </w:tcPr>
          <w:tcPr/>
          <w:p>
            <w:pPr>
              <w:pStyle w:val="Compact"/>
              <w:jc w:val="left"/>
            </w:pPr>
            <w:r>
              <w:t xml:space="preserve">API BM</w:t>
            </w:r>
          </w:p>
        </w:tc>
      </w:tr>
      <w:tr>
        <w:tc>
          <w:tcPr>
            <w:tcW w:w="3492" w:type="dxa"/>
          </w:tcPr>
          <w:tcPr/>
          <w:p>
            <w:pPr>
              <w:pStyle w:val="Compact"/>
              <w:jc w:val="left"/>
            </w:pPr>
            <w:r>
              <w:t xml:space="preserve">AESTAP Mission 300 Phase II</w:t>
            </w:r>
          </w:p>
        </w:tc>
        <w:tc>
          <w:tcPr>
            <w:tcW w:w="1646" w:type="dxa"/>
          </w:tcPr>
          <w:tcPr/>
          <w:p>
            <w:pPr>
              <w:pStyle w:val="Compact"/>
              <w:jc w:val="left"/>
            </w:pPr>
            <w:r>
              <w:t xml:space="preserve">BAD</w:t>
            </w:r>
          </w:p>
        </w:tc>
        <w:tc>
          <w:tcPr>
            <w:tcW w:w="2278" w:type="dxa"/>
          </w:tcPr>
          <w:tcPr/>
          <w:p>
            <w:pPr>
              <w:pStyle w:val="Compact"/>
              <w:jc w:val="left"/>
            </w:pPr>
            <w:r>
              <w:t xml:space="preserve">3,9 M US$ (13 pays)</w:t>
            </w:r>
          </w:p>
        </w:tc>
        <w:tc>
          <w:tcPr>
            <w:tcW w:w="1036" w:type="dxa"/>
          </w:tcPr>
          <w:tcPr/>
          <w:p>
            <w:pPr>
              <w:pStyle w:val="Compact"/>
              <w:jc w:val="left"/>
            </w:pPr>
            <w:r>
              <w:t xml:space="preserve">2026</w:t>
            </w:r>
          </w:p>
        </w:tc>
        <w:tc>
          <w:tcPr>
            <w:tcW w:w="3122" w:type="dxa"/>
          </w:tcPr>
          <w:tcPr/>
          <w:p>
            <w:pPr>
              <w:pStyle w:val="Compact"/>
              <w:jc w:val="left"/>
            </w:pPr>
            <w:r>
              <w:t xml:space="preserve">Régulation, tarifs, utilities ;</w:t>
            </w:r>
            <w:r>
              <w:t xml:space="preserve"> </w:t>
            </w:r>
            <w:r>
              <w:rPr>
                <w:bCs/>
                <w:b/>
              </w:rPr>
              <w:t xml:space="preserve">Namibie bénéficiaire</w:t>
            </w:r>
          </w:p>
        </w:tc>
        <w:tc>
          <w:tcPr>
            <w:tcW w:w="856" w:type="dxa"/>
          </w:tcPr>
          <w:tcPr/>
          <w:p>
            <w:pPr>
              <w:pStyle w:val="Compact"/>
              <w:jc w:val="left"/>
            </w:pPr>
            <w:r>
              <w:t xml:space="preserve">—</w:t>
            </w:r>
          </w:p>
        </w:tc>
        <w:tc>
          <w:tcPr>
            <w:tcW w:w="1353" w:type="dxa"/>
          </w:tcPr>
          <w:tcPr/>
          <w:p>
            <w:pPr>
              <w:pStyle w:val="Compact"/>
              <w:jc w:val="left"/>
            </w:pPr>
            <w:r>
              <w:t xml:space="preserve">approuvé</w:t>
            </w:r>
          </w:p>
        </w:tc>
        <w:tc>
          <w:tcPr>
            <w:tcW w:w="784" w:type="dxa"/>
          </w:tcPr>
          <w:tcPr/>
          <w:p>
            <w:pPr>
              <w:pStyle w:val="Compact"/>
              <w:jc w:val="left"/>
            </w:pPr>
            <w:r>
              <w:t xml:space="preserve">[9] [S]</w:t>
            </w:r>
          </w:p>
        </w:tc>
      </w:tr>
      <w:tr>
        <w:tc>
          <w:tcPr>
            <w:tcW w:w="3492" w:type="dxa"/>
          </w:tcPr>
          <w:tcPr/>
          <w:p>
            <w:pPr>
              <w:pStyle w:val="Compact"/>
              <w:jc w:val="left"/>
            </w:pPr>
            <w:r>
              <w:t xml:space="preserve">BESS Omburu ; PV Rosh Pinah ; biomasse Otjikoto</w:t>
            </w:r>
          </w:p>
        </w:tc>
        <w:tc>
          <w:tcPr>
            <w:tcW w:w="1646" w:type="dxa"/>
          </w:tcPr>
          <w:tcPr/>
          <w:p>
            <w:pPr>
              <w:pStyle w:val="Compact"/>
              <w:jc w:val="left"/>
            </w:pPr>
            <w:r>
              <w:t xml:space="preserve">KfW, AFD (pacte)</w:t>
            </w:r>
          </w:p>
        </w:tc>
        <w:tc>
          <w:tcPr>
            <w:tcW w:w="2278" w:type="dxa"/>
          </w:tcPr>
          <w:tcPr/>
          <w:p>
            <w:pPr>
              <w:pStyle w:val="Compact"/>
              <w:jc w:val="left"/>
            </w:pPr>
            <w:r>
              <w:t xml:space="preserve">(pacte)</w:t>
            </w:r>
          </w:p>
        </w:tc>
        <w:tc>
          <w:tcPr>
            <w:tcW w:w="1036" w:type="dxa"/>
          </w:tcPr>
          <w:tcPr/>
          <w:p>
            <w:pPr>
              <w:pStyle w:val="Compact"/>
              <w:jc w:val="left"/>
            </w:pPr>
            <w:r>
              <w:t xml:space="preserve">—</w:t>
            </w:r>
          </w:p>
        </w:tc>
        <w:tc>
          <w:tcPr>
            <w:tcW w:w="3122" w:type="dxa"/>
          </w:tcPr>
          <w:tcPr/>
          <w:p>
            <w:pPr>
              <w:pStyle w:val="Compact"/>
              <w:jc w:val="left"/>
            </w:pPr>
            <w:r>
              <w:t xml:space="preserve">Production NamPower</w:t>
            </w:r>
          </w:p>
        </w:tc>
        <w:tc>
          <w:tcPr>
            <w:tcW w:w="856" w:type="dxa"/>
          </w:tcPr>
          <w:tcPr/>
          <w:p>
            <w:pPr>
              <w:pStyle w:val="Compact"/>
              <w:jc w:val="left"/>
            </w:pPr>
            <w:r>
              <w:t xml:space="preserve">—</w:t>
            </w:r>
          </w:p>
        </w:tc>
        <w:tc>
          <w:tcPr>
            <w:tcW w:w="1353" w:type="dxa"/>
          </w:tcPr>
          <w:tcPr/>
          <w:p>
            <w:pPr>
              <w:pStyle w:val="Compact"/>
              <w:jc w:val="left"/>
            </w:pPr>
            <w:r>
              <w:t xml:space="preserve">[?]</w:t>
            </w:r>
          </w:p>
        </w:tc>
        <w:tc>
          <w:tcPr>
            <w:tcW w:w="784" w:type="dxa"/>
          </w:tcPr>
          <w:tcPr/>
          <w:p>
            <w:pPr>
              <w:pStyle w:val="Compact"/>
              <w:jc w:val="left"/>
            </w:pPr>
            <w:r>
              <w:t xml:space="preserve">pacte</w:t>
            </w:r>
          </w:p>
        </w:tc>
      </w:tr>
      <w:tr>
        <w:tc>
          <w:tcPr>
            <w:tcW w:w="3492" w:type="dxa"/>
          </w:tcPr>
          <w:tcPr/>
          <w:p>
            <w:pPr>
              <w:pStyle w:val="Compact"/>
              <w:jc w:val="left"/>
            </w:pPr>
            <w:r>
              <w:t xml:space="preserve">BAD — opérations d’investissement auprès de NamPower</w:t>
            </w:r>
          </w:p>
        </w:tc>
        <w:tc>
          <w:tcPr>
            <w:tcW w:w="1646" w:type="dxa"/>
          </w:tcPr>
          <w:tcPr/>
          <w:p>
            <w:pPr>
              <w:pStyle w:val="Compact"/>
              <w:jc w:val="left"/>
            </w:pPr>
            <w:r>
              <w:t xml:space="preserve">BAD</w:t>
            </w:r>
          </w:p>
        </w:tc>
        <w:tc>
          <w:tcPr>
            <w:tcW w:w="2278" w:type="dxa"/>
          </w:tcPr>
          <w:tcPr/>
          <w:p>
            <w:pPr>
              <w:pStyle w:val="Compact"/>
              <w:jc w:val="left"/>
            </w:pPr>
            <w:r>
              <w:t xml:space="preserve">[?]</w:t>
            </w:r>
            <w:r>
              <w:t xml:space="preserve"> </w:t>
            </w:r>
            <w:r>
              <w:rPr>
                <w:bCs/>
                <w:b/>
              </w:rPr>
              <w:t xml:space="preserve">aucune trouvée</w:t>
            </w:r>
            <w:r>
              <w:t xml:space="preserve"> </w:t>
            </w:r>
            <w:r>
              <w:t xml:space="preserve">(2024-2026)</w:t>
            </w:r>
          </w:p>
        </w:tc>
        <w:tc>
          <w:tcPr>
            <w:tcW w:w="1036" w:type="dxa"/>
          </w:tcPr>
          <w:tcPr/>
          <w:p>
            <w:pPr>
              <w:pStyle w:val="Compact"/>
              <w:jc w:val="left"/>
            </w:pPr>
            <w:r>
              <w:t xml:space="preserve">—</w:t>
            </w:r>
          </w:p>
        </w:tc>
        <w:tc>
          <w:tcPr>
            <w:tcW w:w="3122" w:type="dxa"/>
          </w:tcPr>
          <w:tcPr/>
          <w:p>
            <w:pPr>
              <w:pStyle w:val="Compact"/>
              <w:jc w:val="left"/>
            </w:pPr>
            <w:r>
              <w:t xml:space="preserve">—</w:t>
            </w:r>
          </w:p>
        </w:tc>
        <w:tc>
          <w:tcPr>
            <w:tcW w:w="856" w:type="dxa"/>
          </w:tcPr>
          <w:tcPr/>
          <w:p>
            <w:pPr>
              <w:pStyle w:val="Compact"/>
              <w:jc w:val="left"/>
            </w:pPr>
            <w:r>
              <w:t xml:space="preserve">—</w:t>
            </w:r>
          </w:p>
        </w:tc>
        <w:tc>
          <w:tcPr>
            <w:tcW w:w="1353" w:type="dxa"/>
          </w:tcPr>
          <w:tcPr/>
          <w:p>
            <w:pPr>
              <w:pStyle w:val="Compact"/>
              <w:jc w:val="left"/>
            </w:pPr>
            <w:r>
              <w:t xml:space="preserve">[?]</w:t>
            </w:r>
          </w:p>
        </w:tc>
        <w:tc>
          <w:tcPr>
            <w:tcW w:w="784" w:type="dxa"/>
          </w:tcPr>
          <w:tcPr/>
          <w:p>
            <w:pPr>
              <w:pStyle w:val="Compact"/>
              <w:jc w:val="left"/>
            </w:pPr>
            <w:r>
              <w:t xml:space="preserve">—</w:t>
            </w:r>
          </w:p>
        </w:tc>
      </w:tr>
    </w:tbl>
    <w:bookmarkEnd w:id="277"/>
    <w:bookmarkStart w:id="278" w:name="écart-pacte-réalité-23"/>
    <w:p>
      <w:pPr>
        <w:pStyle w:val="Heading3"/>
      </w:pPr>
      <w:r>
        <w:t xml:space="preserve">5. Écart pacte ↔ réalité</w:t>
      </w:r>
    </w:p>
    <w:p>
      <w:pPr>
        <w:numPr>
          <w:ilvl w:val="0"/>
          <w:numId w:val="1150"/>
        </w:numPr>
        <w:pStyle w:val="Compact"/>
      </w:pPr>
      <w:r>
        <w:rPr>
          <w:bCs/>
          <w:b/>
        </w:rPr>
        <w:t xml:space="preserve">« Pertes AT&amp;C NamPower 11,1 % »</w:t>
      </w:r>
      <w:r>
        <w:t xml:space="preserve"> </w:t>
      </w:r>
      <w:r>
        <w:t xml:space="preserve">(pacte) : il s’agit des</w:t>
      </w:r>
      <w:r>
        <w:t xml:space="preserve"> </w:t>
      </w:r>
      <w:r>
        <w:rPr>
          <w:bCs/>
          <w:b/>
        </w:rPr>
        <w:t xml:space="preserve">pertes de transport</w:t>
      </w:r>
      <w:r>
        <w:t xml:space="preserve"> </w:t>
      </w:r>
      <w:r>
        <w:t xml:space="preserve">2023/24 [2] ; les pertes commerciales et de distribution (REDs, municipalités) ne sont pas mesurées dans le pacte.</w:t>
      </w:r>
    </w:p>
    <w:p>
      <w:pPr>
        <w:numPr>
          <w:ilvl w:val="0"/>
          <w:numId w:val="1150"/>
        </w:numPr>
        <w:pStyle w:val="Compact"/>
      </w:pPr>
      <w:r>
        <w:rPr>
          <w:bCs/>
          <w:b/>
        </w:rPr>
        <w:t xml:space="preserve">« Utilities achieving 100 % cost recovery : No »</w:t>
      </w:r>
      <w:r>
        <w:t xml:space="preserve"> </w:t>
      </w:r>
      <w:r>
        <w:t xml:space="preserve">alors que NamPower affiche un bénéfice de 1,39 Md NAD et une dette faible : le problème de recouvrement se situe chez les</w:t>
      </w:r>
      <w:r>
        <w:t xml:space="preserve"> </w:t>
      </w:r>
      <w:r>
        <w:rPr>
          <w:bCs/>
          <w:b/>
        </w:rPr>
        <w:t xml:space="preserve">distributeurs et collectivités</w:t>
      </w:r>
      <w:r>
        <w:t xml:space="preserve"> </w:t>
      </w:r>
      <w:r>
        <w:t xml:space="preserve">(ECL 835 M NAD ; 557 M NAD d’arriérés en rupture d’accord) [2][8].</w:t>
      </w:r>
    </w:p>
    <w:p>
      <w:pPr>
        <w:numPr>
          <w:ilvl w:val="0"/>
          <w:numId w:val="1150"/>
        </w:numPr>
        <w:pStyle w:val="Compact"/>
      </w:pPr>
      <w:r>
        <w:rPr>
          <w:bCs/>
          <w:b/>
        </w:rPr>
        <w:t xml:space="preserve">Arriérés « N/A »</w:t>
      </w:r>
      <w:r>
        <w:t xml:space="preserve"> </w:t>
      </w:r>
      <w:r>
        <w:t xml:space="preserve">(pacte) : chiffrables (912 M NAD de créances, nov. 2025) [8] [S].</w:t>
      </w:r>
    </w:p>
    <w:p>
      <w:pPr>
        <w:numPr>
          <w:ilvl w:val="0"/>
          <w:numId w:val="1150"/>
        </w:numPr>
        <w:pStyle w:val="Compact"/>
      </w:pPr>
      <w:r>
        <w:rPr>
          <w:bCs/>
          <w:b/>
        </w:rPr>
        <w:t xml:space="preserve">Soumission en temps voulu des états financiers IFRS par tous les REDs</w:t>
      </w:r>
      <w:r>
        <w:t xml:space="preserve"> </w:t>
      </w:r>
      <w:r>
        <w:t xml:space="preserve">(pacte) : NORED n’a pas produit de comptes audités 2022/23-2023/24, entraînant une réserve d’audit chez NamPower [2] et une hausse tarifaire conditionnelle [5].</w:t>
      </w:r>
    </w:p>
    <w:p>
      <w:pPr>
        <w:numPr>
          <w:ilvl w:val="0"/>
          <w:numId w:val="1150"/>
        </w:numPr>
        <w:pStyle w:val="Compact"/>
      </w:pPr>
      <w:r>
        <w:rPr>
          <w:bCs/>
          <w:b/>
        </w:rPr>
        <w:t xml:space="preserve">Délestage 0 MWh</w:t>
      </w:r>
      <w:r>
        <w:t xml:space="preserve"> </w:t>
      </w:r>
      <w:r>
        <w:t xml:space="preserve">(pacte) : cohérent avec l’absence de signalement trouvée, mais dépendance aux importations (45-58 %) non mentionnée comme risque chiffré.</w:t>
      </w:r>
    </w:p>
    <w:bookmarkEnd w:id="278"/>
    <w:bookmarkStart w:id="279" w:name="diagnostic-synthétique-23"/>
    <w:p>
      <w:pPr>
        <w:pStyle w:val="Heading3"/>
      </w:pPr>
      <w:r>
        <w:t xml:space="preserve">6. Diagnostic synthétique</w:t>
      </w:r>
    </w:p>
    <w:p>
      <w:pPr>
        <w:numPr>
          <w:ilvl w:val="0"/>
          <w:numId w:val="1151"/>
        </w:numPr>
        <w:pStyle w:val="Compact"/>
      </w:pPr>
      <w:r>
        <w:rPr>
          <w:bCs/>
          <w:b/>
        </w:rPr>
        <w:t xml:space="preserve">Financière : forte (NamPower) / faible (REDs-municipalités)</w:t>
      </w:r>
      <w:r>
        <w:t xml:space="preserve"> </w:t>
      </w:r>
      <w:r>
        <w:t xml:space="preserve">— NamPower bénéficiaire, peu endettée ; aval fragilisé par les impayés municipaux.</w:t>
      </w:r>
    </w:p>
    <w:p>
      <w:pPr>
        <w:numPr>
          <w:ilvl w:val="0"/>
          <w:numId w:val="1151"/>
        </w:numPr>
        <w:pStyle w:val="Compact"/>
      </w:pPr>
      <w:r>
        <w:rPr>
          <w:bCs/>
          <w:b/>
        </w:rPr>
        <w:t xml:space="preserve">Technique : moyenne</w:t>
      </w:r>
      <w:r>
        <w:t xml:space="preserve"> </w:t>
      </w:r>
      <w:r>
        <w:t xml:space="preserve">— pertes de transport 11 %, forte dépendance aux importations ; pointe modeste (672 MW).</w:t>
      </w:r>
    </w:p>
    <w:p>
      <w:pPr>
        <w:numPr>
          <w:ilvl w:val="0"/>
          <w:numId w:val="1151"/>
        </w:numPr>
        <w:pStyle w:val="Compact"/>
      </w:pPr>
      <w:r>
        <w:rPr>
          <w:bCs/>
          <w:b/>
        </w:rPr>
        <w:t xml:space="preserve">Gouvernance : moyenne</w:t>
      </w:r>
      <w:r>
        <w:t xml:space="preserve"> </w:t>
      </w:r>
      <w:r>
        <w:t xml:space="preserve">— ECB actif et transparent ; REDs défaillants sur la publication des comptes.</w:t>
      </w:r>
    </w:p>
    <w:p>
      <w:pPr>
        <w:numPr>
          <w:ilvl w:val="0"/>
          <w:numId w:val="1151"/>
        </w:numPr>
        <w:pStyle w:val="Compact"/>
      </w:pPr>
      <w:r>
        <w:rPr>
          <w:bCs/>
          <w:b/>
        </w:rPr>
        <w:t xml:space="preserve">Causes racines</w:t>
      </w:r>
      <w:r>
        <w:t xml:space="preserve"> </w:t>
      </w:r>
      <w:r>
        <w:t xml:space="preserve">: (1) dépendance structurelle aux importations (Ruacana saisonnier) ; (2) chaîne de distribution fragmentée (REDs incomplets, municipalités utilisant les recettes d’électricité à d’autres fins) ; (3) arbitrages tarifaires de l’ECB sous contrainte d’abordabilité (hausses réduites, aides ponctuelles).</w:t>
      </w:r>
    </w:p>
    <w:p>
      <w:pPr>
        <w:numPr>
          <w:ilvl w:val="0"/>
          <w:numId w:val="1151"/>
        </w:numPr>
        <w:pStyle w:val="Compact"/>
      </w:pPr>
      <w:r>
        <w:rPr>
          <w:bCs/>
          <w:b/>
        </w:rPr>
        <w:t xml:space="preserve">Phase 3</w:t>
      </w:r>
      <w:r>
        <w:t xml:space="preserve"> </w:t>
      </w:r>
      <w:r>
        <w:t xml:space="preserve">: marges de distribution municipales, coût des importations vs tarif de gros, effet du MSB sur la base clients de NamPower.</w:t>
      </w:r>
    </w:p>
    <w:bookmarkEnd w:id="279"/>
    <w:bookmarkStart w:id="280" w:name="inconnus-23"/>
    <w:p>
      <w:pPr>
        <w:pStyle w:val="Heading3"/>
      </w:pPr>
      <w:r>
        <w:t xml:space="preserve">7. Inconnus</w:t>
      </w:r>
    </w:p>
    <w:p>
      <w:pPr>
        <w:numPr>
          <w:ilvl w:val="0"/>
          <w:numId w:val="1152"/>
        </w:numPr>
        <w:pStyle w:val="Compact"/>
      </w:pPr>
      <w:r>
        <w:t xml:space="preserve">[?] Rapport intégré NamPower 2024/25 (non consulté ; seul le bénéfice ~1,4 Md NAD est connu via la presse).</w:t>
      </w:r>
    </w:p>
    <w:p>
      <w:pPr>
        <w:numPr>
          <w:ilvl w:val="0"/>
          <w:numId w:val="1152"/>
        </w:numPr>
        <w:pStyle w:val="Compact"/>
      </w:pPr>
      <w:r>
        <w:t xml:space="preserve">[?] Pertes de distribution et recouvrement des REDs, comptes de NORED/CENORED/Erongo RED.</w:t>
      </w:r>
    </w:p>
    <w:p>
      <w:pPr>
        <w:numPr>
          <w:ilvl w:val="0"/>
          <w:numId w:val="1152"/>
        </w:numPr>
        <w:pStyle w:val="Compact"/>
      </w:pPr>
      <w:r>
        <w:t xml:space="preserve">[?] Taux de hausse tarifaire accordé en 2025/26 (demande 17,44 %).</w:t>
      </w:r>
    </w:p>
    <w:p>
      <w:pPr>
        <w:numPr>
          <w:ilvl w:val="0"/>
          <w:numId w:val="1152"/>
        </w:numPr>
        <w:pStyle w:val="Compact"/>
      </w:pPr>
      <w:r>
        <w:t xml:space="preserve">[?] Effectivité et décaissements du TEES (2025-2026).</w:t>
      </w:r>
    </w:p>
    <w:p>
      <w:pPr>
        <w:numPr>
          <w:ilvl w:val="0"/>
          <w:numId w:val="1152"/>
        </w:numPr>
        <w:pStyle w:val="Compact"/>
      </w:pPr>
      <w:r>
        <w:t xml:space="preserve">[?] Opérations BAD (afdb.org inaccessible).</w:t>
      </w:r>
    </w:p>
    <w:bookmarkEnd w:id="280"/>
    <w:bookmarkStart w:id="281" w:name="sources-24"/>
    <w:p>
      <w:pPr>
        <w:pStyle w:val="Heading3"/>
      </w:pPr>
      <w:r>
        <w:t xml:space="preserve">Sources</w:t>
      </w:r>
    </w:p>
    <w:p>
      <w:pPr>
        <w:pStyle w:val="FirstParagraph"/>
      </w:pPr>
      <w:r>
        <w:t xml:space="preserve">[1] Banque mondiale,</w:t>
      </w:r>
      <w:r>
        <w:t xml:space="preserve"> </w:t>
      </w:r>
      <w:r>
        <w:rPr>
          <w:iCs/>
          <w:i/>
        </w:rPr>
        <w:t xml:space="preserve">Project Appraisal Document — Namibia: Transmission Expansion and Energy Storage Project (P177328)</w:t>
      </w:r>
      <w:r>
        <w:t xml:space="preserve">, 15/04/2024. http://documents.worldbank.org/curated/en/099072624120516669/pdf/BOSIB1b6da002804d1baef1ada7757fa1c7.pdf</w:t>
      </w:r>
      <w:r>
        <w:t xml:space="preserve"> </w:t>
      </w:r>
      <w:r>
        <w:t xml:space="preserve">[2] NamPower,</w:t>
      </w:r>
      <w:r>
        <w:t xml:space="preserve"> </w:t>
      </w:r>
      <w:r>
        <w:rPr>
          <w:iCs/>
          <w:i/>
        </w:rPr>
        <w:t xml:space="preserve">Integrated Annual Report 2024</w:t>
      </w:r>
      <w:r>
        <w:t xml:space="preserve"> </w:t>
      </w:r>
      <w:r>
        <w:t xml:space="preserve">(exercice clos le 30/06/2024, états financiers audités, opinion avec réserve). https://www.nampower.com.na/Media/Document/559400c8-51a9-427d-8cbc-62021aac8d82.pdf</w:t>
      </w:r>
      <w:r>
        <w:t xml:space="preserve"> </w:t>
      </w:r>
      <w:r>
        <w:t xml:space="preserve">[3] Banque mondiale,</w:t>
      </w:r>
      <w:r>
        <w:t xml:space="preserve"> </w:t>
      </w:r>
      <w:r>
        <w:rPr>
          <w:iCs/>
          <w:i/>
        </w:rPr>
        <w:t xml:space="preserve">ISR Seq. 1 — TEES (P177328)</w:t>
      </w:r>
      <w:r>
        <w:t xml:space="preserve">, 13/11/2024. http://documents.worldbank.org/curated/en/099111324052017561/pdf/P1773281f324bd01e1ad60190fe8ab32965.pdf ; Engineering News, 07/05/2024 (structure de financement) [S].</w:t>
      </w:r>
      <w:r>
        <w:t xml:space="preserve"> </w:t>
      </w:r>
      <w:r>
        <w:t xml:space="preserve">[4] ECB,</w:t>
      </w:r>
      <w:r>
        <w:t xml:space="preserve"> </w:t>
      </w:r>
      <w:r>
        <w:rPr>
          <w:iCs/>
          <w:i/>
        </w:rPr>
        <w:t xml:space="preserve">Annual Report 2023</w:t>
      </w:r>
      <w:r>
        <w:t xml:space="preserve"> </w:t>
      </w:r>
      <w:r>
        <w:t xml:space="preserve">(cité par [1]). https://www.ecb.org.na/wp-content/uploads/2023/11/ECB-Annual-Report-2023-web.pdf (non lu directement).</w:t>
      </w:r>
      <w:r>
        <w:t xml:space="preserve"> </w:t>
      </w:r>
      <w:r>
        <w:t xml:space="preserve">[5] AllAfrica / New Era, 08/07/2025, « Electricity Regulator Announces Approved End-Consumer Electricity Tariffs » [S] (extrait via moteur de recherche).</w:t>
      </w:r>
      <w:r>
        <w:t xml:space="preserve"> </w:t>
      </w:r>
      <w:r>
        <w:t xml:space="preserve">[6] NAMPA, NBC, The Brief, Republikein (juillet 2026) : hausse de gros 2026/27 (8,4 % demandés, 4,8 % approuvés, 3,7 % répercutés ; 2,06 → 2,14 NAD/kWh ; paquet de 90 M NAD) [S].</w:t>
      </w:r>
      <w:r>
        <w:t xml:space="preserve"> </w:t>
      </w:r>
      <w:r>
        <w:t xml:space="preserve">[7] Mining &amp; Energy (Namibie), 29/09/2026, « NamPower invests N$21.8bn in infrastructure over 30 years » [S].</w:t>
      </w:r>
      <w:r>
        <w:t xml:space="preserve"> </w:t>
      </w:r>
      <w:r>
        <w:t xml:space="preserve">[8] New Era, nov. 2025, « ECB warns of growing power debt… Mariental leads the arrears list » [S] (extrait via moteur de recherche).</w:t>
      </w:r>
      <w:r>
        <w:t xml:space="preserve"> </w:t>
      </w:r>
      <w:r>
        <w:t xml:space="preserve">[9] SolarQuarter, 02/02/2026 (AESTAP Mission 300 Phase II) [S].</w:t>
      </w:r>
      <w:r>
        <w:t xml:space="preserve"> </w:t>
      </w:r>
      <w:r>
        <w:t xml:space="preserve">[10] API projets Banque mondiale, consultée le 18/10/2026 (P177328, P179377).</w:t>
      </w:r>
    </w:p>
    <w:p>
      <w:r>
        <w:br w:type="page"/>
      </w:r>
    </w:p>
    <w:bookmarkEnd w:id="281"/>
    <w:bookmarkEnd w:id="282"/>
    <w:bookmarkStart w:id="292" w:name="diagnostic-opérateur-nigelec-niger"/>
    <w:p>
      <w:pPr>
        <w:pStyle w:val="Heading2"/>
      </w:pPr>
      <w:r>
        <w:t xml:space="preserve">Diagnostic opérateur — NIGELEC (Niger)</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la fiche phase 1 : ../../phase1/fiches/NER_niger.md (« pacte »).</w:t>
      </w:r>
    </w:p>
    <w:bookmarkStart w:id="283" w:name="identité-24"/>
    <w:p>
      <w:pPr>
        <w:pStyle w:val="Heading3"/>
      </w:pPr>
      <w:r>
        <w:t xml:space="preserve">0. Identité</w:t>
      </w:r>
    </w:p>
    <w:p>
      <w:pPr>
        <w:numPr>
          <w:ilvl w:val="0"/>
          <w:numId w:val="1153"/>
        </w:numPr>
        <w:pStyle w:val="Compact"/>
      </w:pPr>
      <w:r>
        <w:rPr>
          <w:bCs/>
          <w:b/>
        </w:rPr>
        <w:t xml:space="preserve">Opérateur</w:t>
      </w:r>
      <w:r>
        <w:t xml:space="preserve"> </w:t>
      </w:r>
      <w:r>
        <w:t xml:space="preserve">: NIGELEC (Société nigérienne d’électricité), verticalement intégrée. Elle assure la production thermique, les importations depuis le Nigéria, le transport et la distribution. Son monopole légal a pris fin avec le Code de l’électricité de 2016 (pacte).</w:t>
      </w:r>
    </w:p>
    <w:p>
      <w:pPr>
        <w:numPr>
          <w:ilvl w:val="1"/>
          <w:numId w:val="1154"/>
        </w:numPr>
        <w:pStyle w:val="Compact"/>
      </w:pPr>
      <w:r>
        <w:t xml:space="preserve">IPP : IWA, 111 MW diesel.</w:t>
      </w:r>
    </w:p>
    <w:p>
      <w:pPr>
        <w:numPr>
          <w:ilvl w:val="1"/>
          <w:numId w:val="1154"/>
        </w:numPr>
        <w:pStyle w:val="Compact"/>
      </w:pPr>
      <w:r>
        <w:t xml:space="preserve">SONICHAR : centrale à charbon de 36 MW.</w:t>
      </w:r>
    </w:p>
    <w:p>
      <w:pPr>
        <w:numPr>
          <w:ilvl w:val="1"/>
          <w:numId w:val="1154"/>
        </w:numPr>
        <w:pStyle w:val="Compact"/>
      </w:pPr>
      <w:r>
        <w:t xml:space="preserve">Agences : ANPER (électrification rurale) et ANERSOL (solaire).</w:t>
      </w:r>
    </w:p>
    <w:p>
      <w:pPr>
        <w:numPr>
          <w:ilvl w:val="0"/>
          <w:numId w:val="1153"/>
        </w:numPr>
        <w:pStyle w:val="Compact"/>
      </w:pPr>
      <w:r>
        <w:rPr>
          <w:bCs/>
          <w:b/>
        </w:rPr>
        <w:t xml:space="preserve">Statut et actionnariat</w:t>
      </w:r>
      <w:r>
        <w:t xml:space="preserve"> </w:t>
      </w:r>
      <w:r>
        <w:t xml:space="preserve">: la NIGELEC était une société à capitaux mixtes. Elle a été</w:t>
      </w:r>
      <w:r>
        <w:t xml:space="preserve"> </w:t>
      </w:r>
      <w:r>
        <w:rPr>
          <w:bCs/>
          <w:b/>
        </w:rPr>
        <w:t xml:space="preserve">nationalisée au second semestre 2025</w:t>
      </w:r>
      <w:r>
        <w:t xml:space="preserve">, en même temps que SOMAIR et SML [1, §25 et MEFP §36] [V]. La presse date l’annonce de juin 2025 : transfert de tout le capital à l’État et dissolution du conseil d’administration [5] [S]. Le FMI présente la mesure comme « temporaire » ; le gouvernement « envisage d’intégrer la dette des entreprises publiques à la dette publique » et des contrats de performance [1, MEFP §36] [V].</w:t>
      </w:r>
    </w:p>
    <w:p>
      <w:pPr>
        <w:numPr>
          <w:ilvl w:val="0"/>
          <w:numId w:val="1153"/>
        </w:numPr>
        <w:pStyle w:val="Compact"/>
      </w:pPr>
      <w:r>
        <w:rPr>
          <w:bCs/>
          <w:b/>
        </w:rPr>
        <w:t xml:space="preserve">Tutelle</w:t>
      </w:r>
      <w:r>
        <w:t xml:space="preserve"> </w:t>
      </w:r>
      <w:r>
        <w:t xml:space="preserve">: ministère de l’Énergie ; contexte de régime militaire (CNSP) depuis juillet 2023 (pacte).</w:t>
      </w:r>
    </w:p>
    <w:p>
      <w:pPr>
        <w:numPr>
          <w:ilvl w:val="0"/>
          <w:numId w:val="1153"/>
        </w:numPr>
        <w:pStyle w:val="Compact"/>
      </w:pPr>
      <w:r>
        <w:rPr>
          <w:bCs/>
          <w:b/>
        </w:rPr>
        <w:t xml:space="preserve">Régulateur</w:t>
      </w:r>
      <w:r>
        <w:t xml:space="preserve"> </w:t>
      </w:r>
      <w:r>
        <w:t xml:space="preserve">: ARSE, rattachée au Cabinet du Premier ministre (pacte). La première hausse tarifaire « depuis 1994 » a été rendue possible avec l’appui de la BM (projet NELACEP) [2] [V].</w:t>
      </w:r>
    </w:p>
    <w:p>
      <w:pPr>
        <w:numPr>
          <w:ilvl w:val="0"/>
          <w:numId w:val="1153"/>
        </w:numPr>
        <w:pStyle w:val="Compact"/>
      </w:pPr>
      <w:r>
        <w:rPr>
          <w:bCs/>
          <w:b/>
        </w:rPr>
        <w:t xml:space="preserve">Derniers comptes</w:t>
      </w:r>
      <w:r>
        <w:t xml:space="preserve"> </w:t>
      </w:r>
      <w:r>
        <w:t xml:space="preserve">:</w:t>
      </w:r>
      <w:r>
        <w:t xml:space="preserve"> </w:t>
      </w:r>
      <w:r>
        <w:rPr>
          <w:bCs/>
          <w:b/>
        </w:rPr>
        <w:t xml:space="preserve">non publiés</w:t>
      </w:r>
      <w:r>
        <w:t xml:space="preserve">. Le pacte prévoyait une publication « dès 2026 » ; l’action est « Delayed » au rapport M300 (phase 1). Les données 2023 du pacte sont la dernière référence chiffrée.</w:t>
      </w:r>
    </w:p>
    <w:bookmarkEnd w:id="283"/>
    <w:bookmarkStart w:id="284" w:name="situation-financière-24"/>
    <w:p>
      <w:pPr>
        <w:pStyle w:val="Heading3"/>
      </w:pPr>
      <w:r>
        <w:t xml:space="preserve">1. Situation financière</w:t>
      </w:r>
    </w:p>
    <w:tbl>
      <w:tblPr>
        <w:tblStyle w:val="Table"/>
        <w:tblW w:type="dxa" w:w="14570"/>
        <w:tblLook w:firstRow="1" w:lastRow="0" w:firstColumn="0" w:lastColumn="0" w:noHBand="0" w:noVBand="0" w:val="0020"/>
        <w:jc w:val="start"/>
      </w:tblPr>
      <w:tblGrid>
        <w:gridCol w:w="2957"/>
        <w:gridCol w:w="7633"/>
        <w:gridCol w:w="1175"/>
        <w:gridCol w:w="1637"/>
        <w:gridCol w:w="1166"/>
      </w:tblGrid>
      <w:tr>
        <w:trPr>
          <w:tblHeader w:val="true"/>
        </w:trPr>
        <w:tc>
          <w:tcPr>
            <w:tcW w:w="2957" w:type="dxa"/>
          </w:tcPr>
          <w:tcPr/>
          <w:p>
            <w:pPr>
              <w:pStyle w:val="Compact"/>
              <w:jc w:val="left"/>
            </w:pPr>
            <w:r>
              <w:t xml:space="preserve">Indicateur</w:t>
            </w:r>
          </w:p>
        </w:tc>
        <w:tc>
          <w:tcPr>
            <w:tcW w:w="7633" w:type="dxa"/>
          </w:tcPr>
          <w:tcPr/>
          <w:p>
            <w:pPr>
              <w:pStyle w:val="Compact"/>
              <w:jc w:val="left"/>
            </w:pPr>
            <w:r>
              <w:t xml:space="preserve">Valeur</w:t>
            </w:r>
          </w:p>
        </w:tc>
        <w:tc>
          <w:tcPr>
            <w:tcW w:w="1175" w:type="dxa"/>
          </w:tcPr>
          <w:tcPr/>
          <w:p>
            <w:pPr>
              <w:pStyle w:val="Compact"/>
              <w:jc w:val="left"/>
            </w:pPr>
            <w:r>
              <w:t xml:space="preserve">Année</w:t>
            </w:r>
          </w:p>
        </w:tc>
        <w:tc>
          <w:tcPr>
            <w:tcW w:w="1637" w:type="dxa"/>
          </w:tcPr>
          <w:tcPr/>
          <w:p>
            <w:pPr>
              <w:pStyle w:val="Compact"/>
              <w:jc w:val="left"/>
            </w:pPr>
            <w:r>
              <w:t xml:space="preserve">Statut</w:t>
            </w:r>
          </w:p>
        </w:tc>
        <w:tc>
          <w:tcPr>
            <w:tcW w:w="1166" w:type="dxa"/>
          </w:tcPr>
          <w:tcPr/>
          <w:p>
            <w:pPr>
              <w:pStyle w:val="Compact"/>
              <w:jc w:val="left"/>
            </w:pPr>
            <w:r>
              <w:t xml:space="preserve">Source</w:t>
            </w:r>
          </w:p>
        </w:tc>
      </w:tr>
      <w:tr>
        <w:tc>
          <w:tcPr>
            <w:tcW w:w="2957" w:type="dxa"/>
          </w:tcPr>
          <w:tcPr/>
          <w:p>
            <w:pPr>
              <w:pStyle w:val="Compact"/>
              <w:jc w:val="left"/>
            </w:pPr>
            <w:r>
              <w:t xml:space="preserve">Ventes</w:t>
            </w:r>
          </w:p>
        </w:tc>
        <w:tc>
          <w:tcPr>
            <w:tcW w:w="7633" w:type="dxa"/>
          </w:tcPr>
          <w:tcPr/>
          <w:p>
            <w:pPr>
              <w:pStyle w:val="Compact"/>
              <w:jc w:val="left"/>
            </w:pPr>
            <w:r>
              <w:t xml:space="preserve">1 226 475 MWh, soit 189,32 M USD (pacte)</w:t>
            </w:r>
          </w:p>
        </w:tc>
        <w:tc>
          <w:tcPr>
            <w:tcW w:w="1175" w:type="dxa"/>
          </w:tcPr>
          <w:tcPr/>
          <w:p>
            <w:pPr>
              <w:pStyle w:val="Compact"/>
              <w:jc w:val="left"/>
            </w:pPr>
            <w:r>
              <w:t xml:space="preserve">2023</w:t>
            </w:r>
          </w:p>
        </w:tc>
        <w:tc>
          <w:tcPr>
            <w:tcW w:w="1637" w:type="dxa"/>
          </w:tcPr>
          <w:tcPr/>
          <w:p>
            <w:pPr>
              <w:pStyle w:val="Compact"/>
              <w:jc w:val="left"/>
            </w:pPr>
            <w:r>
              <w:t xml:space="preserve">pacte</w:t>
            </w:r>
          </w:p>
        </w:tc>
        <w:tc>
          <w:tcPr>
            <w:tcW w:w="1166" w:type="dxa"/>
          </w:tcPr>
          <w:tcPr/>
          <w:p>
            <w:pPr>
              <w:pStyle w:val="Compact"/>
              <w:jc w:val="left"/>
            </w:pPr>
            <w:r>
              <w:t xml:space="preserve">phase 1</w:t>
            </w:r>
          </w:p>
        </w:tc>
      </w:tr>
      <w:tr>
        <w:tc>
          <w:tcPr>
            <w:tcW w:w="2957" w:type="dxa"/>
          </w:tcPr>
          <w:tcPr/>
          <w:p>
            <w:pPr>
              <w:pStyle w:val="Compact"/>
              <w:jc w:val="left"/>
            </w:pPr>
            <w:r>
              <w:t xml:space="preserve">Résultat net</w:t>
            </w:r>
          </w:p>
        </w:tc>
        <w:tc>
          <w:tcPr>
            <w:tcW w:w="7633" w:type="dxa"/>
          </w:tcPr>
          <w:tcPr/>
          <w:p>
            <w:pPr>
              <w:pStyle w:val="Compact"/>
              <w:jc w:val="left"/>
            </w:pPr>
            <w:r>
              <w:t xml:space="preserve">+2,165 M USD, soit 1 364,5 MFCFA (pacte), probablement après subvention [E]</w:t>
            </w:r>
          </w:p>
        </w:tc>
        <w:tc>
          <w:tcPr>
            <w:tcW w:w="1175" w:type="dxa"/>
          </w:tcPr>
          <w:tcPr/>
          <w:p>
            <w:pPr>
              <w:pStyle w:val="Compact"/>
              <w:jc w:val="left"/>
            </w:pPr>
            <w:r>
              <w:t xml:space="preserve">2023</w:t>
            </w:r>
          </w:p>
        </w:tc>
        <w:tc>
          <w:tcPr>
            <w:tcW w:w="1637" w:type="dxa"/>
          </w:tcPr>
          <w:tcPr/>
          <w:p>
            <w:pPr>
              <w:pStyle w:val="Compact"/>
              <w:jc w:val="left"/>
            </w:pPr>
            <w:r>
              <w:t xml:space="preserve">pacte</w:t>
            </w:r>
          </w:p>
        </w:tc>
        <w:tc>
          <w:tcPr>
            <w:tcW w:w="1166" w:type="dxa"/>
          </w:tcPr>
          <w:tcPr/>
          <w:p>
            <w:pPr>
              <w:pStyle w:val="Compact"/>
              <w:jc w:val="left"/>
            </w:pPr>
            <w:r>
              <w:t xml:space="preserve">phase 1</w:t>
            </w:r>
          </w:p>
        </w:tc>
      </w:tr>
      <w:tr>
        <w:tc>
          <w:tcPr>
            <w:tcW w:w="2957" w:type="dxa"/>
          </w:tcPr>
          <w:tcPr/>
          <w:p>
            <w:pPr>
              <w:pStyle w:val="Compact"/>
              <w:jc w:val="left"/>
            </w:pPr>
            <w:r>
              <w:t xml:space="preserve">EBITDA</w:t>
            </w:r>
          </w:p>
        </w:tc>
        <w:tc>
          <w:tcPr>
            <w:tcW w:w="7633" w:type="dxa"/>
          </w:tcPr>
          <w:tcPr/>
          <w:p>
            <w:pPr>
              <w:pStyle w:val="Compact"/>
              <w:jc w:val="left"/>
            </w:pPr>
            <w:r>
              <w:t xml:space="preserve">[?] non trouvé</w:t>
            </w:r>
          </w:p>
        </w:tc>
        <w:tc>
          <w:tcPr>
            <w:tcW w:w="1175" w:type="dxa"/>
          </w:tcPr>
          <w:tcPr/>
          <w:p>
            <w:pPr>
              <w:pStyle w:val="Compact"/>
              <w:jc w:val="left"/>
            </w:pPr>
            <w:r>
              <w:t xml:space="preserve">—</w:t>
            </w:r>
          </w:p>
        </w:tc>
        <w:tc>
          <w:tcPr>
            <w:tcW w:w="1637" w:type="dxa"/>
          </w:tcPr>
          <w:tcPr/>
          <w:p>
            <w:pPr>
              <w:pStyle w:val="Compact"/>
              <w:jc w:val="left"/>
            </w:pPr>
            <w:r>
              <w:t xml:space="preserve">[?]</w:t>
            </w:r>
          </w:p>
        </w:tc>
        <w:tc>
          <w:tcPr>
            <w:tcW w:w="1166" w:type="dxa"/>
          </w:tcPr>
          <w:tcPr/>
          <w:p>
            <w:pPr>
              <w:pStyle w:val="Compact"/>
              <w:jc w:val="left"/>
            </w:pPr>
            <w:r>
              <w:t xml:space="preserve">—</w:t>
            </w:r>
          </w:p>
        </w:tc>
      </w:tr>
      <w:tr>
        <w:tc>
          <w:tcPr>
            <w:tcW w:w="2957" w:type="dxa"/>
          </w:tcPr>
          <w:tcPr/>
          <w:p>
            <w:pPr>
              <w:pStyle w:val="Compact"/>
              <w:jc w:val="left"/>
            </w:pPr>
            <w:r>
              <w:t xml:space="preserve">Dette</w:t>
            </w:r>
          </w:p>
        </w:tc>
        <w:tc>
          <w:tcPr>
            <w:tcW w:w="7633" w:type="dxa"/>
          </w:tcPr>
          <w:tcPr/>
          <w:p>
            <w:pPr>
              <w:pStyle w:val="Compact"/>
              <w:jc w:val="left"/>
            </w:pPr>
            <w:r>
              <w:t xml:space="preserve">dette à court terme de 170,129 M USD fin 2023 (pacte). Dette des entreprises publiques non intégrée aux statistiques de dette publique ; le FMI recommande de l’inclure [1, §25]</w:t>
            </w:r>
          </w:p>
        </w:tc>
        <w:tc>
          <w:tcPr>
            <w:tcW w:w="1175" w:type="dxa"/>
          </w:tcPr>
          <w:tcPr/>
          <w:p>
            <w:pPr>
              <w:pStyle w:val="Compact"/>
              <w:jc w:val="left"/>
            </w:pPr>
            <w:r>
              <w:t xml:space="preserve">2023-26</w:t>
            </w:r>
          </w:p>
        </w:tc>
        <w:tc>
          <w:tcPr>
            <w:tcW w:w="1637" w:type="dxa"/>
          </w:tcPr>
          <w:tcPr/>
          <w:p>
            <w:pPr>
              <w:pStyle w:val="Compact"/>
              <w:jc w:val="left"/>
            </w:pPr>
            <w:r>
              <w:t xml:space="preserve">pacte / [V]</w:t>
            </w:r>
          </w:p>
        </w:tc>
        <w:tc>
          <w:tcPr>
            <w:tcW w:w="1166" w:type="dxa"/>
          </w:tcPr>
          <w:tcPr/>
          <w:p>
            <w:pPr>
              <w:pStyle w:val="Compact"/>
              <w:jc w:val="left"/>
            </w:pPr>
            <w:r>
              <w:t xml:space="preserve">[1]</w:t>
            </w:r>
          </w:p>
        </w:tc>
      </w:tr>
      <w:tr>
        <w:tc>
          <w:tcPr>
            <w:tcW w:w="2957" w:type="dxa"/>
          </w:tcPr>
          <w:tcPr/>
          <w:p>
            <w:pPr>
              <w:pStyle w:val="Compact"/>
              <w:jc w:val="left"/>
            </w:pPr>
            <w:r>
              <w:t xml:space="preserve">Arriérés de l’État envers NIGELEC</w:t>
            </w:r>
          </w:p>
        </w:tc>
        <w:tc>
          <w:tcPr>
            <w:tcW w:w="7633" w:type="dxa"/>
          </w:tcPr>
          <w:tcPr/>
          <w:p>
            <w:pPr>
              <w:pStyle w:val="Compact"/>
              <w:jc w:val="left"/>
            </w:pPr>
            <w:r>
              <w:t xml:space="preserve">37,747 M USD dus par l’État fin 2023 (pacte). Le FMI veut faire estimer la</w:t>
            </w:r>
            <w:r>
              <w:t xml:space="preserve"> </w:t>
            </w:r>
            <w:r>
              <w:rPr>
                <w:bCs/>
                <w:b/>
              </w:rPr>
              <w:t xml:space="preserve">dette croisée</w:t>
            </w:r>
            <w:r>
              <w:t xml:space="preserve"> </w:t>
            </w:r>
            <w:r>
              <w:t xml:space="preserve">entre l’État et les entreprises publiques [1, MEFP §36]</w:t>
            </w:r>
          </w:p>
        </w:tc>
        <w:tc>
          <w:tcPr>
            <w:tcW w:w="1175" w:type="dxa"/>
          </w:tcPr>
          <w:tcPr/>
          <w:p>
            <w:pPr>
              <w:pStyle w:val="Compact"/>
              <w:jc w:val="left"/>
            </w:pPr>
            <w:r>
              <w:t xml:space="preserve">2023-26</w:t>
            </w:r>
          </w:p>
        </w:tc>
        <w:tc>
          <w:tcPr>
            <w:tcW w:w="1637" w:type="dxa"/>
          </w:tcPr>
          <w:tcPr/>
          <w:p>
            <w:pPr>
              <w:pStyle w:val="Compact"/>
              <w:jc w:val="left"/>
            </w:pPr>
            <w:r>
              <w:t xml:space="preserve">pacte / [V]</w:t>
            </w:r>
          </w:p>
        </w:tc>
        <w:tc>
          <w:tcPr>
            <w:tcW w:w="1166" w:type="dxa"/>
          </w:tcPr>
          <w:tcPr/>
          <w:p>
            <w:pPr>
              <w:pStyle w:val="Compact"/>
              <w:jc w:val="left"/>
            </w:pPr>
            <w:r>
              <w:t xml:space="preserve">[1]</w:t>
            </w:r>
          </w:p>
        </w:tc>
      </w:tr>
      <w:tr>
        <w:tc>
          <w:tcPr>
            <w:tcW w:w="2957" w:type="dxa"/>
          </w:tcPr>
          <w:tcPr/>
          <w:p>
            <w:pPr>
              <w:pStyle w:val="Compact"/>
              <w:jc w:val="left"/>
            </w:pPr>
            <w:r>
              <w:t xml:space="preserve">Transferts / subventions</w:t>
            </w:r>
          </w:p>
        </w:tc>
        <w:tc>
          <w:tcPr>
            <w:tcW w:w="7633" w:type="dxa"/>
          </w:tcPr>
          <w:tcPr/>
          <w:p>
            <w:pPr>
              <w:pStyle w:val="Compact"/>
              <w:jc w:val="left"/>
            </w:pPr>
            <w:r>
              <w:t xml:space="preserve">subvention de 20,63 M USD en 2023 et 35,74 M USD en 2024 (prévision) (pacte). Selon la BM, « subsidies are growing » [3]</w:t>
            </w:r>
          </w:p>
        </w:tc>
        <w:tc>
          <w:tcPr>
            <w:tcW w:w="1175" w:type="dxa"/>
          </w:tcPr>
          <w:tcPr/>
          <w:p>
            <w:pPr>
              <w:pStyle w:val="Compact"/>
              <w:jc w:val="left"/>
            </w:pPr>
            <w:r>
              <w:t xml:space="preserve">2023-26</w:t>
            </w:r>
          </w:p>
        </w:tc>
        <w:tc>
          <w:tcPr>
            <w:tcW w:w="1637" w:type="dxa"/>
          </w:tcPr>
          <w:tcPr/>
          <w:p>
            <w:pPr>
              <w:pStyle w:val="Compact"/>
              <w:jc w:val="left"/>
            </w:pPr>
            <w:r>
              <w:t xml:space="preserve">pacte / [V]</w:t>
            </w:r>
          </w:p>
        </w:tc>
        <w:tc>
          <w:tcPr>
            <w:tcW w:w="1166" w:type="dxa"/>
          </w:tcPr>
          <w:tcPr/>
          <w:p>
            <w:pPr>
              <w:pStyle w:val="Compact"/>
              <w:jc w:val="left"/>
            </w:pPr>
            <w:r>
              <w:t xml:space="preserve">[3]</w:t>
            </w:r>
          </w:p>
        </w:tc>
      </w:tr>
      <w:tr>
        <w:tc>
          <w:tcPr>
            <w:tcW w:w="2957" w:type="dxa"/>
          </w:tcPr>
          <w:tcPr/>
          <w:p>
            <w:pPr>
              <w:pStyle w:val="Compact"/>
              <w:jc w:val="left"/>
            </w:pPr>
            <w:r>
              <w:t xml:space="preserve">Taux de recouvrement</w:t>
            </w:r>
          </w:p>
        </w:tc>
        <w:tc>
          <w:tcPr>
            <w:tcW w:w="7633" w:type="dxa"/>
          </w:tcPr>
          <w:tcPr/>
          <w:p>
            <w:pPr>
              <w:pStyle w:val="Compact"/>
              <w:jc w:val="left"/>
            </w:pPr>
            <w:r>
              <w:t xml:space="preserve">environ 87 %, y compris l’État et les entreprises publiques, à l’évaluation du NELACEP (2015) [2]. Aucune donnée récente [?]</w:t>
            </w:r>
          </w:p>
        </w:tc>
        <w:tc>
          <w:tcPr>
            <w:tcW w:w="1175" w:type="dxa"/>
          </w:tcPr>
          <w:tcPr/>
          <w:p>
            <w:pPr>
              <w:pStyle w:val="Compact"/>
              <w:jc w:val="left"/>
            </w:pPr>
            <w:r>
              <w:t xml:space="preserve">2015</w:t>
            </w:r>
          </w:p>
        </w:tc>
        <w:tc>
          <w:tcPr>
            <w:tcW w:w="1637" w:type="dxa"/>
          </w:tcPr>
          <w:tcPr/>
          <w:p>
            <w:pPr>
              <w:pStyle w:val="Compact"/>
              <w:jc w:val="left"/>
            </w:pPr>
            <w:r>
              <w:t xml:space="preserve">[V] (ancien)</w:t>
            </w:r>
          </w:p>
        </w:tc>
        <w:tc>
          <w:tcPr>
            <w:tcW w:w="1166" w:type="dxa"/>
          </w:tcPr>
          <w:tcPr/>
          <w:p>
            <w:pPr>
              <w:pStyle w:val="Compact"/>
              <w:jc w:val="left"/>
            </w:pPr>
            <w:r>
              <w:t xml:space="preserve">[2]</w:t>
            </w:r>
          </w:p>
        </w:tc>
      </w:tr>
      <w:tr>
        <w:tc>
          <w:tcPr>
            <w:tcW w:w="2957" w:type="dxa"/>
          </w:tcPr>
          <w:tcPr/>
          <w:p>
            <w:pPr>
              <w:pStyle w:val="Compact"/>
              <w:jc w:val="left"/>
            </w:pPr>
            <w:r>
              <w:t xml:space="preserve">Recette moyenne par kWh</w:t>
            </w:r>
          </w:p>
        </w:tc>
        <w:tc>
          <w:tcPr>
            <w:tcW w:w="7633" w:type="dxa"/>
          </w:tcPr>
          <w:tcPr/>
          <w:p>
            <w:pPr>
              <w:pStyle w:val="Compact"/>
              <w:jc w:val="left"/>
            </w:pPr>
            <w:r>
              <w:t xml:space="preserve">189,32 M USD / 1 226 GWh, soit environ 15,4 c$/kWh [E, sur données du pacte]</w:t>
            </w:r>
          </w:p>
        </w:tc>
        <w:tc>
          <w:tcPr>
            <w:tcW w:w="1175" w:type="dxa"/>
          </w:tcPr>
          <w:tcPr/>
          <w:p>
            <w:pPr>
              <w:pStyle w:val="Compact"/>
              <w:jc w:val="left"/>
            </w:pPr>
            <w:r>
              <w:t xml:space="preserve">2023</w:t>
            </w:r>
          </w:p>
        </w:tc>
        <w:tc>
          <w:tcPr>
            <w:tcW w:w="1637" w:type="dxa"/>
          </w:tcPr>
          <w:tcPr/>
          <w:p>
            <w:pPr>
              <w:pStyle w:val="Compact"/>
              <w:jc w:val="left"/>
            </w:pPr>
            <w:r>
              <w:t xml:space="preserve">[E]</w:t>
            </w:r>
          </w:p>
        </w:tc>
        <w:tc>
          <w:tcPr>
            <w:tcW w:w="1166" w:type="dxa"/>
          </w:tcPr>
          <w:tcPr/>
          <w:p>
            <w:pPr>
              <w:pStyle w:val="Compact"/>
              <w:jc w:val="left"/>
            </w:pPr>
            <w:r>
              <w:t xml:space="preserve">phase 1</w:t>
            </w:r>
          </w:p>
        </w:tc>
      </w:tr>
      <w:tr>
        <w:tc>
          <w:tcPr>
            <w:tcW w:w="2957" w:type="dxa"/>
          </w:tcPr>
          <w:tcPr/>
          <w:p>
            <w:pPr>
              <w:pStyle w:val="Compact"/>
              <w:jc w:val="left"/>
            </w:pPr>
            <w:r>
              <w:t xml:space="preserve">Coût par kWh</w:t>
            </w:r>
          </w:p>
        </w:tc>
        <w:tc>
          <w:tcPr>
            <w:tcW w:w="7633" w:type="dxa"/>
          </w:tcPr>
          <w:tcPr/>
          <w:p>
            <w:pPr>
              <w:pStyle w:val="Compact"/>
              <w:jc w:val="left"/>
            </w:pPr>
            <w:r>
              <w:t xml:space="preserve">thermique 0,14 USD et import 0,062 USD (pacte). Coût complet [?]</w:t>
            </w:r>
          </w:p>
        </w:tc>
        <w:tc>
          <w:tcPr>
            <w:tcW w:w="1175" w:type="dxa"/>
          </w:tcPr>
          <w:tcPr/>
          <w:p>
            <w:pPr>
              <w:pStyle w:val="Compact"/>
              <w:jc w:val="left"/>
            </w:pPr>
            <w:r>
              <w:t xml:space="preserve">2023</w:t>
            </w:r>
          </w:p>
        </w:tc>
        <w:tc>
          <w:tcPr>
            <w:tcW w:w="1637" w:type="dxa"/>
          </w:tcPr>
          <w:tcPr/>
          <w:p>
            <w:pPr>
              <w:pStyle w:val="Compact"/>
              <w:jc w:val="left"/>
            </w:pPr>
            <w:r>
              <w:t xml:space="preserve">pacte</w:t>
            </w:r>
          </w:p>
        </w:tc>
        <w:tc>
          <w:tcPr>
            <w:tcW w:w="1166" w:type="dxa"/>
          </w:tcPr>
          <w:tcPr/>
          <w:p>
            <w:pPr>
              <w:pStyle w:val="Compact"/>
              <w:jc w:val="left"/>
            </w:pPr>
            <w:r>
              <w:t xml:space="preserve">phase 1</w:t>
            </w:r>
          </w:p>
        </w:tc>
      </w:tr>
      <w:tr>
        <w:tc>
          <w:tcPr>
            <w:tcW w:w="2957" w:type="dxa"/>
          </w:tcPr>
          <w:tcPr/>
          <w:p>
            <w:pPr>
              <w:pStyle w:val="Compact"/>
              <w:jc w:val="left"/>
            </w:pPr>
            <w:r>
              <w:t xml:space="preserve">Déficit quasi-budgétaire</w:t>
            </w:r>
          </w:p>
        </w:tc>
        <w:tc>
          <w:tcPr>
            <w:tcW w:w="7633" w:type="dxa"/>
          </w:tcPr>
          <w:tcPr/>
          <w:p>
            <w:pPr>
              <w:pStyle w:val="Compact"/>
              <w:jc w:val="left"/>
            </w:pPr>
            <w:r>
              <w:t xml:space="preserve">[?]</w:t>
            </w:r>
          </w:p>
        </w:tc>
        <w:tc>
          <w:tcPr>
            <w:tcW w:w="1175" w:type="dxa"/>
          </w:tcPr>
          <w:tcPr/>
          <w:p>
            <w:pPr>
              <w:pStyle w:val="Compact"/>
              <w:jc w:val="left"/>
            </w:pPr>
            <w:r>
              <w:t xml:space="preserve">—</w:t>
            </w:r>
          </w:p>
        </w:tc>
        <w:tc>
          <w:tcPr>
            <w:tcW w:w="1637" w:type="dxa"/>
          </w:tcPr>
          <w:tcPr/>
          <w:p>
            <w:pPr>
              <w:pStyle w:val="Compact"/>
              <w:jc w:val="left"/>
            </w:pPr>
            <w:r>
              <w:t xml:space="preserve">[?]</w:t>
            </w:r>
          </w:p>
        </w:tc>
        <w:tc>
          <w:tcPr>
            <w:tcW w:w="1166" w:type="dxa"/>
          </w:tcPr>
          <w:tcPr/>
          <w:p>
            <w:pPr>
              <w:pStyle w:val="Compact"/>
              <w:jc w:val="left"/>
            </w:pPr>
            <w:r>
              <w:t xml:space="preserve">—</w:t>
            </w:r>
          </w:p>
        </w:tc>
      </w:tr>
      <w:tr>
        <w:tc>
          <w:tcPr>
            <w:tcW w:w="2957" w:type="dxa"/>
          </w:tcPr>
          <w:tcPr/>
          <w:p>
            <w:pPr>
              <w:pStyle w:val="Compact"/>
              <w:jc w:val="left"/>
            </w:pPr>
            <w:r>
              <w:t xml:space="preserve">Notation</w:t>
            </w:r>
          </w:p>
        </w:tc>
        <w:tc>
          <w:tcPr>
            <w:tcW w:w="7633" w:type="dxa"/>
          </w:tcPr>
          <w:tcPr/>
          <w:p>
            <w:pPr>
              <w:pStyle w:val="Compact"/>
              <w:jc w:val="left"/>
            </w:pPr>
            <w:r>
              <w:t xml:space="preserve">[?]</w:t>
            </w:r>
          </w:p>
        </w:tc>
        <w:tc>
          <w:tcPr>
            <w:tcW w:w="1175" w:type="dxa"/>
          </w:tcPr>
          <w:tcPr/>
          <w:p>
            <w:pPr>
              <w:pStyle w:val="Compact"/>
              <w:jc w:val="left"/>
            </w:pPr>
            <w:r>
              <w:t xml:space="preserve">—</w:t>
            </w:r>
          </w:p>
        </w:tc>
        <w:tc>
          <w:tcPr>
            <w:tcW w:w="1637" w:type="dxa"/>
          </w:tcPr>
          <w:tcPr/>
          <w:p>
            <w:pPr>
              <w:pStyle w:val="Compact"/>
              <w:jc w:val="left"/>
            </w:pPr>
            <w:r>
              <w:t xml:space="preserve">[?]</w:t>
            </w:r>
          </w:p>
        </w:tc>
        <w:tc>
          <w:tcPr>
            <w:tcW w:w="1166" w:type="dxa"/>
          </w:tcPr>
          <w:tcPr/>
          <w:p>
            <w:pPr>
              <w:pStyle w:val="Compact"/>
              <w:jc w:val="left"/>
            </w:pPr>
            <w:r>
              <w:t xml:space="preserve">—</w:t>
            </w:r>
          </w:p>
        </w:tc>
      </w:tr>
    </w:tbl>
    <w:bookmarkEnd w:id="284"/>
    <w:bookmarkStart w:id="285" w:name="situation-technique-24"/>
    <w:p>
      <w:pPr>
        <w:pStyle w:val="Heading3"/>
      </w:pPr>
      <w:r>
        <w:t xml:space="preserve">2. Situation technique</w:t>
      </w:r>
    </w:p>
    <w:tbl>
      <w:tblPr>
        <w:tblStyle w:val="Table"/>
        <w:tblW w:type="dxa" w:w="14570"/>
        <w:tblLook w:firstRow="1" w:lastRow="0" w:firstColumn="0" w:lastColumn="0" w:noHBand="0" w:noVBand="0" w:val="0020"/>
        <w:jc w:val="start"/>
      </w:tblPr>
      <w:tblGrid>
        <w:gridCol w:w="2851"/>
        <w:gridCol w:w="8201"/>
        <w:gridCol w:w="1337"/>
        <w:gridCol w:w="1048"/>
        <w:gridCol w:w="1132"/>
      </w:tblGrid>
      <w:tr>
        <w:trPr>
          <w:tblHeader w:val="true"/>
        </w:trPr>
        <w:tc>
          <w:tcPr>
            <w:tcW w:w="2851" w:type="dxa"/>
          </w:tcPr>
          <w:tcPr/>
          <w:p>
            <w:pPr>
              <w:pStyle w:val="Compact"/>
              <w:jc w:val="left"/>
            </w:pPr>
            <w:r>
              <w:t xml:space="preserve">Indicateur</w:t>
            </w:r>
          </w:p>
        </w:tc>
        <w:tc>
          <w:tcPr>
            <w:tcW w:w="8201" w:type="dxa"/>
          </w:tcPr>
          <w:tcPr/>
          <w:p>
            <w:pPr>
              <w:pStyle w:val="Compact"/>
              <w:jc w:val="left"/>
            </w:pPr>
            <w:r>
              <w:t xml:space="preserve">Valeur</w:t>
            </w:r>
          </w:p>
        </w:tc>
        <w:tc>
          <w:tcPr>
            <w:tcW w:w="1337" w:type="dxa"/>
          </w:tcPr>
          <w:tcPr/>
          <w:p>
            <w:pPr>
              <w:pStyle w:val="Compact"/>
              <w:jc w:val="left"/>
            </w:pPr>
            <w:r>
              <w:t xml:space="preserve">Année</w:t>
            </w:r>
          </w:p>
        </w:tc>
        <w:tc>
          <w:tcPr>
            <w:tcW w:w="1048" w:type="dxa"/>
          </w:tcPr>
          <w:tcPr/>
          <w:p>
            <w:pPr>
              <w:pStyle w:val="Compact"/>
              <w:jc w:val="left"/>
            </w:pPr>
            <w:r>
              <w:t xml:space="preserve">Statut</w:t>
            </w:r>
          </w:p>
        </w:tc>
        <w:tc>
          <w:tcPr>
            <w:tcW w:w="1132" w:type="dxa"/>
          </w:tcPr>
          <w:tcPr/>
          <w:p>
            <w:pPr>
              <w:pStyle w:val="Compact"/>
              <w:jc w:val="left"/>
            </w:pPr>
            <w:r>
              <w:t xml:space="preserve">Source</w:t>
            </w:r>
          </w:p>
        </w:tc>
      </w:tr>
      <w:tr>
        <w:tc>
          <w:tcPr>
            <w:tcW w:w="2851" w:type="dxa"/>
          </w:tcPr>
          <w:tcPr/>
          <w:p>
            <w:pPr>
              <w:pStyle w:val="Compact"/>
              <w:jc w:val="left"/>
            </w:pPr>
            <w:r>
              <w:t xml:space="preserve">Pertes T&amp;D (techniques et commerciales)</w:t>
            </w:r>
          </w:p>
        </w:tc>
        <w:tc>
          <w:tcPr>
            <w:tcW w:w="8201" w:type="dxa"/>
          </w:tcPr>
          <w:tcPr/>
          <w:p>
            <w:pPr>
              <w:pStyle w:val="Compact"/>
              <w:jc w:val="left"/>
            </w:pPr>
            <w:r>
              <w:rPr>
                <w:bCs/>
                <w:b/>
              </w:rPr>
              <w:t xml:space="preserve">24 % (juin 2021) puis 20 % (mai et sept. 2026)</w:t>
            </w:r>
            <w:r>
              <w:t xml:space="preserve">, cible de 16,4 % (mai 2027)</w:t>
            </w:r>
          </w:p>
        </w:tc>
        <w:tc>
          <w:tcPr>
            <w:tcW w:w="1337" w:type="dxa"/>
          </w:tcPr>
          <w:tcPr/>
          <w:p>
            <w:pPr>
              <w:pStyle w:val="Compact"/>
              <w:jc w:val="left"/>
            </w:pPr>
            <w:r>
              <w:t xml:space="preserve">2021-2026</w:t>
            </w:r>
          </w:p>
        </w:tc>
        <w:tc>
          <w:tcPr>
            <w:tcW w:w="1048" w:type="dxa"/>
          </w:tcPr>
          <w:tcPr/>
          <w:p>
            <w:pPr>
              <w:pStyle w:val="Compact"/>
              <w:jc w:val="left"/>
            </w:pPr>
            <w:r>
              <w:t xml:space="preserve">[V]</w:t>
            </w:r>
          </w:p>
        </w:tc>
        <w:tc>
          <w:tcPr>
            <w:tcW w:w="1132" w:type="dxa"/>
          </w:tcPr>
          <w:tcPr/>
          <w:p>
            <w:pPr>
              <w:pStyle w:val="Compact"/>
              <w:jc w:val="left"/>
            </w:pPr>
            <w:r>
              <w:t xml:space="preserve">[4]</w:t>
            </w:r>
          </w:p>
        </w:tc>
      </w:tr>
      <w:tr>
        <w:tc>
          <w:tcPr>
            <w:tcW w:w="2851" w:type="dxa"/>
          </w:tcPr>
          <w:tcPr/>
          <w:p>
            <w:pPr>
              <w:pStyle w:val="Compact"/>
              <w:jc w:val="left"/>
            </w:pPr>
            <w:r>
              <w:t xml:space="preserve">Pertes (pacte)</w:t>
            </w:r>
          </w:p>
        </w:tc>
        <w:tc>
          <w:tcPr>
            <w:tcW w:w="8201" w:type="dxa"/>
          </w:tcPr>
          <w:tcPr/>
          <w:p>
            <w:pPr>
              <w:pStyle w:val="Compact"/>
              <w:jc w:val="left"/>
            </w:pPr>
            <w:r>
              <w:t xml:space="preserve">transport 10,27 % et distribution 11 % (2023) : cohérent avec le chiffre BM d’environ 20 % [E]</w:t>
            </w:r>
          </w:p>
        </w:tc>
        <w:tc>
          <w:tcPr>
            <w:tcW w:w="1337" w:type="dxa"/>
          </w:tcPr>
          <w:tcPr/>
          <w:p>
            <w:pPr>
              <w:pStyle w:val="Compact"/>
              <w:jc w:val="left"/>
            </w:pPr>
            <w:r>
              <w:t xml:space="preserve">2023</w:t>
            </w:r>
          </w:p>
        </w:tc>
        <w:tc>
          <w:tcPr>
            <w:tcW w:w="1048" w:type="dxa"/>
          </w:tcPr>
          <w:tcPr/>
          <w:p>
            <w:pPr>
              <w:pStyle w:val="Compact"/>
              <w:jc w:val="left"/>
            </w:pPr>
            <w:r>
              <w:t xml:space="preserve">pacte</w:t>
            </w:r>
          </w:p>
        </w:tc>
        <w:tc>
          <w:tcPr>
            <w:tcW w:w="1132" w:type="dxa"/>
          </w:tcPr>
          <w:tcPr/>
          <w:p>
            <w:pPr>
              <w:pStyle w:val="Compact"/>
              <w:jc w:val="left"/>
            </w:pPr>
            <w:r>
              <w:t xml:space="preserve">phase 1</w:t>
            </w:r>
          </w:p>
        </w:tc>
      </w:tr>
      <w:tr>
        <w:tc>
          <w:tcPr>
            <w:tcW w:w="2851" w:type="dxa"/>
          </w:tcPr>
          <w:tcPr/>
          <w:p>
            <w:pPr>
              <w:pStyle w:val="Compact"/>
              <w:jc w:val="left"/>
            </w:pPr>
            <w:r>
              <w:t xml:space="preserve">Énergie non distribuée</w:t>
            </w:r>
          </w:p>
        </w:tc>
        <w:tc>
          <w:tcPr>
            <w:tcW w:w="8201" w:type="dxa"/>
          </w:tcPr>
          <w:tcPr/>
          <w:p>
            <w:pPr>
              <w:pStyle w:val="Compact"/>
              <w:jc w:val="left"/>
            </w:pPr>
            <w:r>
              <w:t xml:space="preserve">indicateur du projet Haské : 24 (2021), 20 (2026), cible de 16,4 (unité non précisée dans l’extrait [?])</w:t>
            </w:r>
          </w:p>
        </w:tc>
        <w:tc>
          <w:tcPr>
            <w:tcW w:w="1337" w:type="dxa"/>
          </w:tcPr>
          <w:tcPr/>
          <w:p>
            <w:pPr>
              <w:pStyle w:val="Compact"/>
              <w:jc w:val="left"/>
            </w:pPr>
            <w:r>
              <w:t xml:space="preserve">2026</w:t>
            </w:r>
          </w:p>
        </w:tc>
        <w:tc>
          <w:tcPr>
            <w:tcW w:w="1048" w:type="dxa"/>
          </w:tcPr>
          <w:tcPr/>
          <w:p>
            <w:pPr>
              <w:pStyle w:val="Compact"/>
              <w:jc w:val="left"/>
            </w:pPr>
            <w:r>
              <w:t xml:space="preserve">[V]</w:t>
            </w:r>
          </w:p>
        </w:tc>
        <w:tc>
          <w:tcPr>
            <w:tcW w:w="1132" w:type="dxa"/>
          </w:tcPr>
          <w:tcPr/>
          <w:p>
            <w:pPr>
              <w:pStyle w:val="Compact"/>
              <w:jc w:val="left"/>
            </w:pPr>
            <w:r>
              <w:t xml:space="preserve">[4]</w:t>
            </w:r>
          </w:p>
        </w:tc>
      </w:tr>
      <w:tr>
        <w:tc>
          <w:tcPr>
            <w:tcW w:w="2851" w:type="dxa"/>
          </w:tcPr>
          <w:tcPr/>
          <w:p>
            <w:pPr>
              <w:pStyle w:val="Compact"/>
              <w:jc w:val="left"/>
            </w:pPr>
            <w:r>
              <w:t xml:space="preserve">Capacité ; mix</w:t>
            </w:r>
          </w:p>
        </w:tc>
        <w:tc>
          <w:tcPr>
            <w:tcW w:w="8201" w:type="dxa"/>
          </w:tcPr>
          <w:tcPr/>
          <w:p>
            <w:pPr>
              <w:pStyle w:val="Compact"/>
              <w:jc w:val="left"/>
            </w:pPr>
            <w:r>
              <w:t xml:space="preserve">317 à 352 MW (pacte). La part des EnR domestiques doit passer de 4 % (2025) à 36 % (2035) [3]. Historiquement, environ 71 % de l’approvisionnement venait d’importations nigérianes, interrompues par les sanctions de 2023 [3 ; pacte]</w:t>
            </w:r>
          </w:p>
        </w:tc>
        <w:tc>
          <w:tcPr>
            <w:tcW w:w="1337" w:type="dxa"/>
          </w:tcPr>
          <w:tcPr/>
          <w:p>
            <w:pPr>
              <w:pStyle w:val="Compact"/>
              <w:jc w:val="left"/>
            </w:pPr>
            <w:r>
              <w:t xml:space="preserve">2025</w:t>
            </w:r>
          </w:p>
        </w:tc>
        <w:tc>
          <w:tcPr>
            <w:tcW w:w="1048" w:type="dxa"/>
          </w:tcPr>
          <w:tcPr/>
          <w:p>
            <w:pPr>
              <w:pStyle w:val="Compact"/>
              <w:jc w:val="left"/>
            </w:pPr>
            <w:r>
              <w:t xml:space="preserve">[V]</w:t>
            </w:r>
          </w:p>
        </w:tc>
        <w:tc>
          <w:tcPr>
            <w:tcW w:w="1132" w:type="dxa"/>
          </w:tcPr>
          <w:tcPr/>
          <w:p>
            <w:pPr>
              <w:pStyle w:val="Compact"/>
              <w:jc w:val="left"/>
            </w:pPr>
            <w:r>
              <w:t xml:space="preserve">[3]</w:t>
            </w:r>
          </w:p>
        </w:tc>
      </w:tr>
      <w:tr>
        <w:tc>
          <w:tcPr>
            <w:tcW w:w="2851" w:type="dxa"/>
          </w:tcPr>
          <w:tcPr/>
          <w:p>
            <w:pPr>
              <w:pStyle w:val="Compact"/>
              <w:jc w:val="left"/>
            </w:pPr>
            <w:r>
              <w:t xml:space="preserve">Délestages</w:t>
            </w:r>
          </w:p>
        </w:tc>
        <w:tc>
          <w:tcPr>
            <w:tcW w:w="8201" w:type="dxa"/>
          </w:tcPr>
          <w:tcPr/>
          <w:p>
            <w:pPr>
              <w:pStyle w:val="Compact"/>
              <w:jc w:val="left"/>
            </w:pPr>
            <w:r>
              <w:t xml:space="preserve">crise d’approvisionnement de 2023-2024 après la suspension des importations nigérianes (pacte : -42 % d’imports en 2023) [3]</w:t>
            </w:r>
          </w:p>
        </w:tc>
        <w:tc>
          <w:tcPr>
            <w:tcW w:w="1337" w:type="dxa"/>
          </w:tcPr>
          <w:tcPr/>
          <w:p>
            <w:pPr>
              <w:pStyle w:val="Compact"/>
              <w:jc w:val="left"/>
            </w:pPr>
            <w:r>
              <w:t xml:space="preserve">2023-24</w:t>
            </w:r>
          </w:p>
        </w:tc>
        <w:tc>
          <w:tcPr>
            <w:tcW w:w="1048" w:type="dxa"/>
          </w:tcPr>
          <w:tcPr/>
          <w:p>
            <w:pPr>
              <w:pStyle w:val="Compact"/>
              <w:jc w:val="left"/>
            </w:pPr>
            <w:r>
              <w:t xml:space="preserve">[V]</w:t>
            </w:r>
          </w:p>
        </w:tc>
        <w:tc>
          <w:tcPr>
            <w:tcW w:w="1132" w:type="dxa"/>
          </w:tcPr>
          <w:tcPr/>
          <w:p>
            <w:pPr>
              <w:pStyle w:val="Compact"/>
              <w:jc w:val="left"/>
            </w:pPr>
            <w:r>
              <w:t xml:space="preserve">[3]</w:t>
            </w:r>
          </w:p>
        </w:tc>
      </w:tr>
      <w:tr>
        <w:tc>
          <w:tcPr>
            <w:tcW w:w="2851" w:type="dxa"/>
          </w:tcPr>
          <w:tcPr/>
          <w:p>
            <w:pPr>
              <w:pStyle w:val="Compact"/>
              <w:jc w:val="left"/>
            </w:pPr>
            <w:r>
              <w:t xml:space="preserve">Clients ; prépayé</w:t>
            </w:r>
          </w:p>
        </w:tc>
        <w:tc>
          <w:tcPr>
            <w:tcW w:w="8201" w:type="dxa"/>
          </w:tcPr>
          <w:tcPr/>
          <w:p>
            <w:pPr>
              <w:pStyle w:val="Compact"/>
              <w:jc w:val="left"/>
            </w:pPr>
            <w:r>
              <w:t xml:space="preserve">765 640 clients ; 389 738 prépayés (nov. 2024) (pacte)</w:t>
            </w:r>
          </w:p>
        </w:tc>
        <w:tc>
          <w:tcPr>
            <w:tcW w:w="1337" w:type="dxa"/>
          </w:tcPr>
          <w:tcPr/>
          <w:p>
            <w:pPr>
              <w:pStyle w:val="Compact"/>
              <w:jc w:val="left"/>
            </w:pPr>
            <w:r>
              <w:t xml:space="preserve">2023-24</w:t>
            </w:r>
          </w:p>
        </w:tc>
        <w:tc>
          <w:tcPr>
            <w:tcW w:w="1048" w:type="dxa"/>
          </w:tcPr>
          <w:tcPr/>
          <w:p>
            <w:pPr>
              <w:pStyle w:val="Compact"/>
              <w:jc w:val="left"/>
            </w:pPr>
            <w:r>
              <w:t xml:space="preserve">pacte</w:t>
            </w:r>
          </w:p>
        </w:tc>
        <w:tc>
          <w:tcPr>
            <w:tcW w:w="1132" w:type="dxa"/>
          </w:tcPr>
          <w:tcPr/>
          <w:p>
            <w:pPr>
              <w:pStyle w:val="Compact"/>
              <w:jc w:val="left"/>
            </w:pPr>
            <w:r>
              <w:t xml:space="preserve">phase 1</w:t>
            </w:r>
          </w:p>
        </w:tc>
      </w:tr>
      <w:tr>
        <w:tc>
          <w:tcPr>
            <w:tcW w:w="2851" w:type="dxa"/>
          </w:tcPr>
          <w:tcPr/>
          <w:p>
            <w:pPr>
              <w:pStyle w:val="Compact"/>
              <w:jc w:val="left"/>
            </w:pPr>
            <w:r>
              <w:t xml:space="preserve">Accès</w:t>
            </w:r>
          </w:p>
        </w:tc>
        <w:tc>
          <w:tcPr>
            <w:tcW w:w="8201" w:type="dxa"/>
          </w:tcPr>
          <w:tcPr/>
          <w:p>
            <w:pPr>
              <w:pStyle w:val="Compact"/>
              <w:jc w:val="left"/>
            </w:pPr>
            <w:r>
              <w:t xml:space="preserve">23 % en 2024 (urbain 84 %, rural 4,6 %)</w:t>
            </w:r>
          </w:p>
        </w:tc>
        <w:tc>
          <w:tcPr>
            <w:tcW w:w="1337" w:type="dxa"/>
          </w:tcPr>
          <w:tcPr/>
          <w:p>
            <w:pPr>
              <w:pStyle w:val="Compact"/>
              <w:jc w:val="left"/>
            </w:pPr>
            <w:r>
              <w:t xml:space="preserve">2024</w:t>
            </w:r>
          </w:p>
        </w:tc>
        <w:tc>
          <w:tcPr>
            <w:tcW w:w="1048" w:type="dxa"/>
          </w:tcPr>
          <w:tcPr/>
          <w:p>
            <w:pPr>
              <w:pStyle w:val="Compact"/>
              <w:jc w:val="left"/>
            </w:pPr>
            <w:r>
              <w:t xml:space="preserve">[V]</w:t>
            </w:r>
          </w:p>
        </w:tc>
        <w:tc>
          <w:tcPr>
            <w:tcW w:w="1132" w:type="dxa"/>
          </w:tcPr>
          <w:tcPr/>
          <w:p>
            <w:pPr>
              <w:pStyle w:val="Compact"/>
              <w:jc w:val="left"/>
            </w:pPr>
            <w:r>
              <w:t xml:space="preserve">[3]</w:t>
            </w:r>
          </w:p>
        </w:tc>
      </w:tr>
    </w:tbl>
    <w:bookmarkEnd w:id="285"/>
    <w:bookmarkStart w:id="286" w:name="situation-économique-et-gouvernance-24"/>
    <w:p>
      <w:pPr>
        <w:pStyle w:val="Heading3"/>
      </w:pPr>
      <w:r>
        <w:t xml:space="preserve">3. Situation économique et gouvernance</w:t>
      </w:r>
    </w:p>
    <w:p>
      <w:pPr>
        <w:numPr>
          <w:ilvl w:val="0"/>
          <w:numId w:val="1155"/>
        </w:numPr>
        <w:pStyle w:val="Compact"/>
      </w:pPr>
      <w:r>
        <w:rPr>
          <w:bCs/>
          <w:b/>
        </w:rPr>
        <w:t xml:space="preserve">PPA</w:t>
      </w:r>
      <w:r>
        <w:t xml:space="preserve"> </w:t>
      </w:r>
      <w:r>
        <w:t xml:space="preserve">: un seul IPP thermique (IWA, contrat de 2019). L’État verse une subvention à l’IPP pour la hausse du carburant (pacte). Les importations de Nigeria (TCN/NBET) se font à tarif préférentiel [2] [V]. Termes [?].</w:t>
      </w:r>
    </w:p>
    <w:p>
      <w:pPr>
        <w:numPr>
          <w:ilvl w:val="0"/>
          <w:numId w:val="1155"/>
        </w:numPr>
        <w:pStyle w:val="Compact"/>
      </w:pPr>
      <w:r>
        <w:rPr>
          <w:bCs/>
          <w:b/>
        </w:rPr>
        <w:t xml:space="preserve">Change et combustible</w:t>
      </w:r>
      <w:r>
        <w:t xml:space="preserve"> </w:t>
      </w:r>
      <w:r>
        <w:t xml:space="preserve">: dépendance au diesel et au fioul et aux importations. Le carburant local (SORAZ) est vendu à prix administré ; ce mécanisme ne crée pas de subvention directe identifiée pour la NIGELEC [1, encadré 1] [V].</w:t>
      </w:r>
    </w:p>
    <w:p>
      <w:pPr>
        <w:numPr>
          <w:ilvl w:val="0"/>
          <w:numId w:val="1155"/>
        </w:numPr>
        <w:pStyle w:val="Compact"/>
      </w:pPr>
      <w:r>
        <w:rPr>
          <w:bCs/>
          <w:b/>
        </w:rPr>
        <w:t xml:space="preserve">Redressement</w:t>
      </w:r>
      <w:r>
        <w:t xml:space="preserve"> </w:t>
      </w:r>
      <w:r>
        <w:t xml:space="preserve">: le pacte prévoyait un « plan d’amélioration de la viabilité financière » en 2025 (rapport M300 : échéance 31/12/2026, « On Track »). La composante 4 de Haské 2 (5 M USD) finance la digitalisation de la clientèle et de la facturation, le SIG, l’AMI et la « revenue protection ». La feuille de route de digitalisation financée par ESMAP chiffre les besoins IT à 19 M USD [3] [V]. Le système de protection des revenus et de gestion des pannes n’est</w:t>
      </w:r>
      <w:r>
        <w:t xml:space="preserve"> </w:t>
      </w:r>
      <w:r>
        <w:rPr>
          <w:bCs/>
          <w:b/>
        </w:rPr>
        <w:t xml:space="preserve">pas encore opérationnel</w:t>
      </w:r>
      <w:r>
        <w:t xml:space="preserve"> </w:t>
      </w:r>
      <w:r>
        <w:t xml:space="preserve">(« No » en sept. 2026, cible mai 2027) [4] [V].</w:t>
      </w:r>
    </w:p>
    <w:p>
      <w:pPr>
        <w:numPr>
          <w:ilvl w:val="0"/>
          <w:numId w:val="1155"/>
        </w:numPr>
        <w:pStyle w:val="Compact"/>
      </w:pPr>
      <w:r>
        <w:rPr>
          <w:bCs/>
          <w:b/>
        </w:rPr>
        <w:t xml:space="preserve">Gouvernance</w:t>
      </w:r>
      <w:r>
        <w:t xml:space="preserve"> </w:t>
      </w:r>
      <w:r>
        <w:t xml:space="preserve">: la nationalisation et la dissolution du conseil marquent un recul de la gouvernance d’entreprise à court terme, que le FMI juge porteur de risques budgétaires [1] [V]. La BM juge la capacité de mise en œuvre de la NIGELEC « strong » par rapport à celle de l’ANPER et de l’ANERSOL [3] [V].</w:t>
      </w:r>
    </w:p>
    <w:bookmarkEnd w:id="286"/>
    <w:bookmarkStart w:id="287" w:name="Xb706aaf360d383bb0b1ef6edb85e2d0c730543c"/>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106"/>
        <w:gridCol w:w="722"/>
        <w:gridCol w:w="2582"/>
        <w:gridCol w:w="1235"/>
        <w:gridCol w:w="3255"/>
        <w:gridCol w:w="1852"/>
        <w:gridCol w:w="1119"/>
        <w:gridCol w:w="695"/>
      </w:tblGrid>
      <w:tr>
        <w:trPr>
          <w:tblHeader w:val="true"/>
        </w:trPr>
        <w:tc>
          <w:tcPr>
            <w:tcW w:w="3106" w:type="dxa"/>
          </w:tcPr>
          <w:tcPr/>
          <w:p>
            <w:pPr>
              <w:pStyle w:val="Compact"/>
              <w:jc w:val="left"/>
            </w:pPr>
            <w:r>
              <w:t xml:space="preserve">Programme / projet</w:t>
            </w:r>
          </w:p>
        </w:tc>
        <w:tc>
          <w:tcPr>
            <w:tcW w:w="722" w:type="dxa"/>
          </w:tcPr>
          <w:tcPr/>
          <w:p>
            <w:pPr>
              <w:pStyle w:val="Compact"/>
              <w:jc w:val="left"/>
            </w:pPr>
            <w:r>
              <w:t xml:space="preserve">Bailleur</w:t>
            </w:r>
          </w:p>
        </w:tc>
        <w:tc>
          <w:tcPr>
            <w:tcW w:w="2582" w:type="dxa"/>
          </w:tcPr>
          <w:tcPr/>
          <w:p>
            <w:pPr>
              <w:pStyle w:val="Compact"/>
              <w:jc w:val="left"/>
            </w:pPr>
            <w:r>
              <w:t xml:space="preserve">Montant</w:t>
            </w:r>
          </w:p>
        </w:tc>
        <w:tc>
          <w:tcPr>
            <w:tcW w:w="1235" w:type="dxa"/>
          </w:tcPr>
          <w:tcPr/>
          <w:p>
            <w:pPr>
              <w:pStyle w:val="Compact"/>
              <w:jc w:val="left"/>
            </w:pPr>
            <w:r>
              <w:t xml:space="preserve">Années</w:t>
            </w:r>
          </w:p>
        </w:tc>
        <w:tc>
          <w:tcPr>
            <w:tcW w:w="3255" w:type="dxa"/>
          </w:tcPr>
          <w:tcPr/>
          <w:p>
            <w:pPr>
              <w:pStyle w:val="Compact"/>
              <w:jc w:val="left"/>
            </w:pPr>
            <w:r>
              <w:t xml:space="preserve">Objectifs liés à l’opérateur</w:t>
            </w:r>
          </w:p>
        </w:tc>
        <w:tc>
          <w:tcPr>
            <w:tcW w:w="1852" w:type="dxa"/>
          </w:tcPr>
          <w:tcPr/>
          <w:p>
            <w:pPr>
              <w:pStyle w:val="Compact"/>
              <w:jc w:val="left"/>
            </w:pPr>
            <w:r>
              <w:t xml:space="preserve">Conditions / indicateurs</w:t>
            </w:r>
          </w:p>
        </w:tc>
        <w:tc>
          <w:tcPr>
            <w:tcW w:w="1119" w:type="dxa"/>
          </w:tcPr>
          <w:tcPr/>
          <w:p>
            <w:pPr>
              <w:pStyle w:val="Compact"/>
              <w:jc w:val="left"/>
            </w:pPr>
            <w:r>
              <w:t xml:space="preserve">Statut</w:t>
            </w:r>
          </w:p>
        </w:tc>
        <w:tc>
          <w:tcPr>
            <w:tcW w:w="695" w:type="dxa"/>
          </w:tcPr>
          <w:tcPr/>
          <w:p>
            <w:pPr>
              <w:pStyle w:val="Compact"/>
              <w:jc w:val="left"/>
            </w:pPr>
            <w:r>
              <w:t xml:space="preserve">Source</w:t>
            </w:r>
          </w:p>
        </w:tc>
      </w:tr>
      <w:tr>
        <w:tc>
          <w:tcPr>
            <w:tcW w:w="3106" w:type="dxa"/>
          </w:tcPr>
          <w:tcPr/>
          <w:p>
            <w:pPr>
              <w:pStyle w:val="Compact"/>
              <w:jc w:val="left"/>
            </w:pPr>
            <w:r>
              <w:t xml:space="preserve">Niger Accelerating Electricity Access Project (Haské),</w:t>
            </w:r>
            <w:r>
              <w:t xml:space="preserve"> </w:t>
            </w:r>
            <w:r>
              <w:rPr>
                <w:bCs/>
                <w:b/>
              </w:rPr>
              <w:t xml:space="preserve">P174034</w:t>
            </w:r>
          </w:p>
        </w:tc>
        <w:tc>
          <w:tcPr>
            <w:tcW w:w="722" w:type="dxa"/>
          </w:tcPr>
          <w:tcPr/>
          <w:p>
            <w:pPr>
              <w:pStyle w:val="Compact"/>
              <w:jc w:val="left"/>
            </w:pPr>
            <w:r>
              <w:t xml:space="preserve">BM (IDA)</w:t>
            </w:r>
          </w:p>
        </w:tc>
        <w:tc>
          <w:tcPr>
            <w:tcW w:w="2582" w:type="dxa"/>
          </w:tcPr>
          <w:tcPr/>
          <w:p>
            <w:pPr>
              <w:pStyle w:val="Compact"/>
              <w:jc w:val="left"/>
            </w:pPr>
            <w:r>
              <w:t xml:space="preserve">310 M USD (crédit IDA-70130 de 155 M, décaissé à 11 % ; don IDA-D9460 de 155 M, décaissé à 94 %)</w:t>
            </w:r>
          </w:p>
        </w:tc>
        <w:tc>
          <w:tcPr>
            <w:tcW w:w="1235" w:type="dxa"/>
          </w:tcPr>
          <w:tcPr/>
          <w:p>
            <w:pPr>
              <w:pStyle w:val="Compact"/>
              <w:jc w:val="left"/>
            </w:pPr>
            <w:r>
              <w:t xml:space="preserve">10/12/2021 – 31/05/2027</w:t>
            </w:r>
          </w:p>
        </w:tc>
        <w:tc>
          <w:tcPr>
            <w:tcW w:w="3255" w:type="dxa"/>
          </w:tcPr>
          <w:tcPr/>
          <w:p>
            <w:pPr>
              <w:pStyle w:val="Compact"/>
              <w:jc w:val="left"/>
            </w:pPr>
            <w:r>
              <w:t xml:space="preserve">réseau, raccordements, mini-réseaux, hors-réseau, cuisson ; protection des revenus de la NIGELEC</w:t>
            </w:r>
          </w:p>
        </w:tc>
        <w:tc>
          <w:tcPr>
            <w:tcW w:w="1852" w:type="dxa"/>
          </w:tcPr>
          <w:tcPr/>
          <w:p>
            <w:pPr>
              <w:pStyle w:val="Compact"/>
              <w:jc w:val="left"/>
            </w:pPr>
            <w:r>
              <w:t xml:space="preserve">pertes T&amp;D de 24 % ramenées à 16,4 % ; programme de protection des revenus opérationnel</w:t>
            </w:r>
          </w:p>
        </w:tc>
        <w:tc>
          <w:tcPr>
            <w:tcW w:w="1119" w:type="dxa"/>
          </w:tcPr>
          <w:tcPr/>
          <w:p>
            <w:pPr>
              <w:pStyle w:val="Compact"/>
              <w:jc w:val="left"/>
            </w:pPr>
            <w:r>
              <w:t xml:space="preserve">actif (ISR 29/09/2026)</w:t>
            </w:r>
          </w:p>
        </w:tc>
        <w:tc>
          <w:tcPr>
            <w:tcW w:w="695" w:type="dxa"/>
          </w:tcPr>
          <w:tcPr/>
          <w:p>
            <w:pPr>
              <w:pStyle w:val="Compact"/>
              <w:jc w:val="left"/>
            </w:pPr>
            <w:r>
              <w:t xml:space="preserve">[4 ; 6]</w:t>
            </w:r>
          </w:p>
        </w:tc>
      </w:tr>
      <w:tr>
        <w:tc>
          <w:tcPr>
            <w:tcW w:w="3106" w:type="dxa"/>
          </w:tcPr>
          <w:tcPr/>
          <w:p>
            <w:pPr>
              <w:pStyle w:val="Compact"/>
              <w:jc w:val="left"/>
            </w:pPr>
            <w:r>
              <w:t xml:space="preserve">Haské 2 (MPA Phase 2),</w:t>
            </w:r>
            <w:r>
              <w:t xml:space="preserve"> </w:t>
            </w:r>
            <w:r>
              <w:rPr>
                <w:bCs/>
                <w:b/>
              </w:rPr>
              <w:t xml:space="preserve">P517277</w:t>
            </w:r>
          </w:p>
        </w:tc>
        <w:tc>
          <w:tcPr>
            <w:tcW w:w="722" w:type="dxa"/>
          </w:tcPr>
          <w:tcPr/>
          <w:p>
            <w:pPr>
              <w:pStyle w:val="Compact"/>
              <w:jc w:val="left"/>
            </w:pPr>
            <w:r>
              <w:t xml:space="preserve">BM (IDA)</w:t>
            </w:r>
          </w:p>
        </w:tc>
        <w:tc>
          <w:tcPr>
            <w:tcW w:w="2582" w:type="dxa"/>
          </w:tcPr>
          <w:tcPr/>
          <w:p>
            <w:pPr>
              <w:pStyle w:val="Compact"/>
              <w:jc w:val="left"/>
            </w:pPr>
            <w:r>
              <w:t xml:space="preserve">100 M USD</w:t>
            </w:r>
          </w:p>
        </w:tc>
        <w:tc>
          <w:tcPr>
            <w:tcW w:w="1235" w:type="dxa"/>
          </w:tcPr>
          <w:tcPr/>
          <w:p>
            <w:pPr>
              <w:pStyle w:val="Compact"/>
              <w:jc w:val="left"/>
            </w:pPr>
            <w:r>
              <w:t xml:space="preserve">approbation prévue le 30/11/2026 (PID : 30/09/2026)</w:t>
            </w:r>
          </w:p>
        </w:tc>
        <w:tc>
          <w:tcPr>
            <w:tcW w:w="3255" w:type="dxa"/>
          </w:tcPr>
          <w:tcPr/>
          <w:p>
            <w:pPr>
              <w:pStyle w:val="Compact"/>
              <w:jc w:val="left"/>
            </w:pPr>
            <w:r>
              <w:t xml:space="preserve">transport (26,2 M), raccordements et AMI, digitalisation et protection des revenus de la NIGELEC (5 M), AT pour la viabilité financière (recouvrement des coûts, facturation et recouvrement)</w:t>
            </w:r>
          </w:p>
        </w:tc>
        <w:tc>
          <w:tcPr>
            <w:tcW w:w="1852" w:type="dxa"/>
          </w:tcPr>
          <w:tcPr/>
          <w:p>
            <w:pPr>
              <w:pStyle w:val="Compact"/>
              <w:jc w:val="left"/>
            </w:pPr>
            <w:r>
              <w:t xml:space="preserve">dotation en personnel des unités de projet comme condition d’entrée en vigueur</w:t>
            </w:r>
          </w:p>
        </w:tc>
        <w:tc>
          <w:tcPr>
            <w:tcW w:w="1119" w:type="dxa"/>
          </w:tcPr>
          <w:tcPr/>
          <w:p>
            <w:pPr>
              <w:pStyle w:val="Compact"/>
              <w:jc w:val="left"/>
            </w:pPr>
            <w:r>
              <w:t xml:space="preserve">en préparation</w:t>
            </w:r>
          </w:p>
        </w:tc>
        <w:tc>
          <w:tcPr>
            <w:tcW w:w="695" w:type="dxa"/>
          </w:tcPr>
          <w:tcPr/>
          <w:p>
            <w:pPr>
              <w:pStyle w:val="Compact"/>
              <w:jc w:val="left"/>
            </w:pPr>
            <w:r>
              <w:t xml:space="preserve">[3 ; 6]</w:t>
            </w:r>
          </w:p>
        </w:tc>
      </w:tr>
      <w:tr>
        <w:tc>
          <w:tcPr>
            <w:tcW w:w="3106" w:type="dxa"/>
          </w:tcPr>
          <w:tcPr/>
          <w:p>
            <w:pPr>
              <w:pStyle w:val="Compact"/>
              <w:jc w:val="left"/>
            </w:pPr>
            <w:r>
              <w:t xml:space="preserve">Niger Electricity Access Expansion Project (NELACEP),</w:t>
            </w:r>
            <w:r>
              <w:t xml:space="preserve"> </w:t>
            </w:r>
            <w:r>
              <w:rPr>
                <w:bCs/>
                <w:b/>
              </w:rPr>
              <w:t xml:space="preserve">P153743</w:t>
            </w:r>
            <w:r>
              <w:t xml:space="preserve"> </w:t>
            </w:r>
            <w:r>
              <w:t xml:space="preserve">(+ AF P164090, 70 M)</w:t>
            </w:r>
          </w:p>
        </w:tc>
        <w:tc>
          <w:tcPr>
            <w:tcW w:w="722" w:type="dxa"/>
          </w:tcPr>
          <w:tcPr/>
          <w:p>
            <w:pPr>
              <w:pStyle w:val="Compact"/>
              <w:jc w:val="left"/>
            </w:pPr>
            <w:r>
              <w:t xml:space="preserve">BM</w:t>
            </w:r>
          </w:p>
        </w:tc>
        <w:tc>
          <w:tcPr>
            <w:tcW w:w="2582" w:type="dxa"/>
          </w:tcPr>
          <w:tcPr/>
          <w:p>
            <w:pPr>
              <w:pStyle w:val="Compact"/>
              <w:jc w:val="left"/>
            </w:pPr>
            <w:r>
              <w:t xml:space="preserve">65 + 70 M USD</w:t>
            </w:r>
          </w:p>
        </w:tc>
        <w:tc>
          <w:tcPr>
            <w:tcW w:w="1235" w:type="dxa"/>
          </w:tcPr>
          <w:tcPr/>
          <w:p>
            <w:pPr>
              <w:pStyle w:val="Compact"/>
              <w:jc w:val="left"/>
            </w:pPr>
            <w:r>
              <w:t xml:space="preserve">2015-2025</w:t>
            </w:r>
          </w:p>
        </w:tc>
        <w:tc>
          <w:tcPr>
            <w:tcW w:w="3255" w:type="dxa"/>
          </w:tcPr>
          <w:tcPr/>
          <w:p>
            <w:pPr>
              <w:pStyle w:val="Compact"/>
              <w:jc w:val="left"/>
            </w:pPr>
            <w:r>
              <w:t xml:space="preserve">réseau Niamey, raccordements, appui à l’ARSE (1re hausse tarifaire depuis 1994)</w:t>
            </w:r>
          </w:p>
        </w:tc>
        <w:tc>
          <w:tcPr>
            <w:tcW w:w="1852" w:type="dxa"/>
          </w:tcPr>
          <w:tcPr/>
          <w:p>
            <w:pPr>
              <w:pStyle w:val="Compact"/>
              <w:jc w:val="left"/>
            </w:pPr>
            <w:r>
              <w:t xml:space="preserve">—</w:t>
            </w:r>
          </w:p>
        </w:tc>
        <w:tc>
          <w:tcPr>
            <w:tcW w:w="1119" w:type="dxa"/>
          </w:tcPr>
          <w:tcPr/>
          <w:p>
            <w:pPr>
              <w:pStyle w:val="Compact"/>
              <w:jc w:val="left"/>
            </w:pPr>
            <w:r>
              <w:t xml:space="preserve">clôturé (ICR 06/2025)</w:t>
            </w:r>
          </w:p>
        </w:tc>
        <w:tc>
          <w:tcPr>
            <w:tcW w:w="695" w:type="dxa"/>
          </w:tcPr>
          <w:tcPr/>
          <w:p>
            <w:pPr>
              <w:pStyle w:val="Compact"/>
              <w:jc w:val="left"/>
            </w:pPr>
            <w:r>
              <w:t xml:space="preserve">[2 ; 6]</w:t>
            </w:r>
          </w:p>
        </w:tc>
      </w:tr>
      <w:tr>
        <w:tc>
          <w:tcPr>
            <w:tcW w:w="3106" w:type="dxa"/>
          </w:tcPr>
          <w:tcPr/>
          <w:p>
            <w:pPr>
              <w:pStyle w:val="Compact"/>
              <w:jc w:val="left"/>
            </w:pPr>
            <w:r>
              <w:t xml:space="preserve">Niger Solar Electricity Access Project (NESAP),</w:t>
            </w:r>
            <w:r>
              <w:t xml:space="preserve"> </w:t>
            </w:r>
            <w:r>
              <w:rPr>
                <w:bCs/>
                <w:b/>
              </w:rPr>
              <w:t xml:space="preserve">P160170</w:t>
            </w:r>
          </w:p>
        </w:tc>
        <w:tc>
          <w:tcPr>
            <w:tcW w:w="722" w:type="dxa"/>
          </w:tcPr>
          <w:tcPr/>
          <w:p>
            <w:pPr>
              <w:pStyle w:val="Compact"/>
              <w:jc w:val="left"/>
            </w:pPr>
            <w:r>
              <w:t xml:space="preserve">BM</w:t>
            </w:r>
          </w:p>
        </w:tc>
        <w:tc>
          <w:tcPr>
            <w:tcW w:w="2582" w:type="dxa"/>
          </w:tcPr>
          <w:tcPr/>
          <w:p>
            <w:pPr>
              <w:pStyle w:val="Compact"/>
              <w:jc w:val="left"/>
            </w:pPr>
            <w:r>
              <w:t xml:space="preserve">49,85 M USD</w:t>
            </w:r>
          </w:p>
        </w:tc>
        <w:tc>
          <w:tcPr>
            <w:tcW w:w="1235" w:type="dxa"/>
          </w:tcPr>
          <w:tcPr/>
          <w:p>
            <w:pPr>
              <w:pStyle w:val="Compact"/>
              <w:jc w:val="left"/>
            </w:pPr>
            <w:r>
              <w:t xml:space="preserve">2017-2025</w:t>
            </w:r>
          </w:p>
        </w:tc>
        <w:tc>
          <w:tcPr>
            <w:tcW w:w="3255" w:type="dxa"/>
          </w:tcPr>
          <w:tcPr/>
          <w:p>
            <w:pPr>
              <w:pStyle w:val="Compact"/>
              <w:jc w:val="left"/>
            </w:pPr>
            <w:r>
              <w:t xml:space="preserve">hors-réseau</w:t>
            </w:r>
          </w:p>
        </w:tc>
        <w:tc>
          <w:tcPr>
            <w:tcW w:w="1852" w:type="dxa"/>
          </w:tcPr>
          <w:tcPr/>
          <w:p>
            <w:pPr>
              <w:pStyle w:val="Compact"/>
              <w:jc w:val="left"/>
            </w:pPr>
            <w:r>
              <w:t xml:space="preserve">—</w:t>
            </w:r>
          </w:p>
        </w:tc>
        <w:tc>
          <w:tcPr>
            <w:tcW w:w="1119" w:type="dxa"/>
          </w:tcPr>
          <w:tcPr/>
          <w:p>
            <w:pPr>
              <w:pStyle w:val="Compact"/>
              <w:jc w:val="left"/>
            </w:pPr>
            <w:r>
              <w:t xml:space="preserve">clôturé</w:t>
            </w:r>
          </w:p>
        </w:tc>
        <w:tc>
          <w:tcPr>
            <w:tcW w:w="695" w:type="dxa"/>
          </w:tcPr>
          <w:tcPr/>
          <w:p>
            <w:pPr>
              <w:pStyle w:val="Compact"/>
              <w:jc w:val="left"/>
            </w:pPr>
            <w:r>
              <w:t xml:space="preserve">[6]</w:t>
            </w:r>
          </w:p>
        </w:tc>
      </w:tr>
      <w:tr>
        <w:tc>
          <w:tcPr>
            <w:tcW w:w="3106" w:type="dxa"/>
          </w:tcPr>
          <w:tcPr/>
          <w:p>
            <w:pPr>
              <w:pStyle w:val="Compact"/>
              <w:jc w:val="left"/>
            </w:pPr>
            <w:r>
              <w:t xml:space="preserve">Regional Electricity Access and BEST,</w:t>
            </w:r>
            <w:r>
              <w:t xml:space="preserve"> </w:t>
            </w:r>
            <w:r>
              <w:rPr>
                <w:bCs/>
                <w:b/>
              </w:rPr>
              <w:t xml:space="preserve">P167569</w:t>
            </w:r>
          </w:p>
        </w:tc>
        <w:tc>
          <w:tcPr>
            <w:tcW w:w="722" w:type="dxa"/>
          </w:tcPr>
          <w:tcPr/>
          <w:p>
            <w:pPr>
              <w:pStyle w:val="Compact"/>
              <w:jc w:val="left"/>
            </w:pPr>
            <w:r>
              <w:t xml:space="preserve">BM</w:t>
            </w:r>
          </w:p>
        </w:tc>
        <w:tc>
          <w:tcPr>
            <w:tcW w:w="2582" w:type="dxa"/>
          </w:tcPr>
          <w:tcPr/>
          <w:p>
            <w:pPr>
              <w:pStyle w:val="Compact"/>
              <w:jc w:val="left"/>
            </w:pPr>
            <w:r>
              <w:t xml:space="preserve">465 M USD (régional) ; 105 M USD pour le Niger (pacte)</w:t>
            </w:r>
          </w:p>
        </w:tc>
        <w:tc>
          <w:tcPr>
            <w:tcW w:w="1235" w:type="dxa"/>
          </w:tcPr>
          <w:tcPr/>
          <w:p>
            <w:pPr>
              <w:pStyle w:val="Compact"/>
              <w:jc w:val="left"/>
            </w:pPr>
            <w:r>
              <w:t xml:space="preserve">2021-2028</w:t>
            </w:r>
          </w:p>
        </w:tc>
        <w:tc>
          <w:tcPr>
            <w:tcW w:w="3255" w:type="dxa"/>
          </w:tcPr>
          <w:tcPr/>
          <w:p>
            <w:pPr>
              <w:pStyle w:val="Compact"/>
              <w:jc w:val="left"/>
            </w:pPr>
            <w:r>
              <w:t xml:space="preserve">stockage, accès</w:t>
            </w:r>
          </w:p>
        </w:tc>
        <w:tc>
          <w:tcPr>
            <w:tcW w:w="1852" w:type="dxa"/>
          </w:tcPr>
          <w:tcPr/>
          <w:p>
            <w:pPr>
              <w:pStyle w:val="Compact"/>
              <w:jc w:val="left"/>
            </w:pPr>
            <w:r>
              <w:t xml:space="preserve">—</w:t>
            </w:r>
          </w:p>
        </w:tc>
        <w:tc>
          <w:tcPr>
            <w:tcW w:w="1119" w:type="dxa"/>
          </w:tcPr>
          <w:tcPr/>
          <w:p>
            <w:pPr>
              <w:pStyle w:val="Compact"/>
              <w:jc w:val="left"/>
            </w:pPr>
            <w:r>
              <w:t xml:space="preserve">actif</w:t>
            </w:r>
          </w:p>
        </w:tc>
        <w:tc>
          <w:tcPr>
            <w:tcW w:w="695" w:type="dxa"/>
          </w:tcPr>
          <w:tcPr/>
          <w:p>
            <w:pPr>
              <w:pStyle w:val="Compact"/>
              <w:jc w:val="left"/>
            </w:pPr>
            <w:r>
              <w:t xml:space="preserve">[6]</w:t>
            </w:r>
          </w:p>
        </w:tc>
      </w:tr>
      <w:tr>
        <w:tc>
          <w:tcPr>
            <w:tcW w:w="3106" w:type="dxa"/>
          </w:tcPr>
          <w:tcPr/>
          <w:p>
            <w:pPr>
              <w:pStyle w:val="Compact"/>
              <w:jc w:val="left"/>
            </w:pPr>
            <w:r>
              <w:t xml:space="preserve">Programme d’appui à la compétitivité et à la gouvernance du secteur de l’énergie, Ph. I (</w:t>
            </w:r>
            <w:r>
              <w:rPr>
                <w:bCs/>
                <w:b/>
              </w:rPr>
              <w:t xml:space="preserve">PAGSEC-I</w:t>
            </w:r>
            <w:r>
              <w:t xml:space="preserve">), 46002-P-NE-KA0-014</w:t>
            </w:r>
          </w:p>
        </w:tc>
        <w:tc>
          <w:tcPr>
            <w:tcW w:w="722" w:type="dxa"/>
          </w:tcPr>
          <w:tcPr/>
          <w:p>
            <w:pPr>
              <w:pStyle w:val="Compact"/>
              <w:jc w:val="left"/>
            </w:pPr>
            <w:r>
              <w:t xml:space="preserve">BAD (FAD) + OPEP Fund (15 M USD)</w:t>
            </w:r>
          </w:p>
        </w:tc>
        <w:tc>
          <w:tcPr>
            <w:tcW w:w="2582" w:type="dxa"/>
          </w:tcPr>
          <w:tcPr/>
          <w:p>
            <w:pPr>
              <w:pStyle w:val="Compact"/>
              <w:jc w:val="left"/>
            </w:pPr>
            <w:r>
              <w:t xml:space="preserve">105 M DTS (environ 142,6 M USD), décaissés en oct. 2025 ; enveloppe indicative de 210 M UC sur deux phases</w:t>
            </w:r>
          </w:p>
        </w:tc>
        <w:tc>
          <w:tcPr>
            <w:tcW w:w="1235" w:type="dxa"/>
          </w:tcPr>
          <w:tcPr/>
          <w:p>
            <w:pPr>
              <w:pStyle w:val="Compact"/>
              <w:jc w:val="left"/>
            </w:pPr>
            <w:r>
              <w:t xml:space="preserve">2025-2026</w:t>
            </w:r>
          </w:p>
        </w:tc>
        <w:tc>
          <w:tcPr>
            <w:tcW w:w="3255" w:type="dxa"/>
          </w:tcPr>
          <w:tcPr/>
          <w:p>
            <w:pPr>
              <w:pStyle w:val="Compact"/>
              <w:jc w:val="left"/>
            </w:pPr>
            <w:r>
              <w:t xml:space="preserve">appui budgétaire : coordination du secteur, mise à jour de la politique énergétique, mini-réseaux privés, 240 MW solaires d’ici 2030 (dont 50 MW fin 2026)</w:t>
            </w:r>
          </w:p>
        </w:tc>
        <w:tc>
          <w:tcPr>
            <w:tcW w:w="1852" w:type="dxa"/>
          </w:tcPr>
          <w:tcPr/>
          <w:p>
            <w:pPr>
              <w:pStyle w:val="Compact"/>
              <w:jc w:val="left"/>
            </w:pPr>
            <w:r>
              <w:t xml:space="preserve">mesures préalables [?]</w:t>
            </w:r>
          </w:p>
        </w:tc>
        <w:tc>
          <w:tcPr>
            <w:tcW w:w="1119" w:type="dxa"/>
          </w:tcPr>
          <w:tcPr/>
          <w:p>
            <w:pPr>
              <w:pStyle w:val="Compact"/>
              <w:jc w:val="left"/>
            </w:pPr>
            <w:r>
              <w:t xml:space="preserve">décaissé ; phase II attendue</w:t>
            </w:r>
          </w:p>
        </w:tc>
        <w:tc>
          <w:tcPr>
            <w:tcW w:w="695" w:type="dxa"/>
          </w:tcPr>
          <w:tcPr/>
          <w:p>
            <w:pPr>
              <w:pStyle w:val="Compact"/>
              <w:jc w:val="left"/>
            </w:pPr>
            <w:r>
              <w:t xml:space="preserve">[7 ; 8]</w:t>
            </w:r>
          </w:p>
        </w:tc>
      </w:tr>
      <w:tr>
        <w:tc>
          <w:tcPr>
            <w:tcW w:w="3106" w:type="dxa"/>
          </w:tcPr>
          <w:tcPr/>
          <w:p>
            <w:pPr>
              <w:pStyle w:val="Compact"/>
              <w:jc w:val="left"/>
            </w:pPr>
            <w:r>
              <w:t xml:space="preserve">Desert to Power – centrales solaires et accès (46002-P-NE-FA0-005)</w:t>
            </w:r>
          </w:p>
        </w:tc>
        <w:tc>
          <w:tcPr>
            <w:tcW w:w="722" w:type="dxa"/>
          </w:tcPr>
          <w:tcPr/>
          <w:p>
            <w:pPr>
              <w:pStyle w:val="Compact"/>
              <w:jc w:val="left"/>
            </w:pPr>
            <w:r>
              <w:t xml:space="preserve">BAD</w:t>
            </w:r>
          </w:p>
        </w:tc>
        <w:tc>
          <w:tcPr>
            <w:tcW w:w="2582" w:type="dxa"/>
          </w:tcPr>
          <w:tcPr/>
          <w:p>
            <w:pPr>
              <w:pStyle w:val="Compact"/>
              <w:jc w:val="left"/>
            </w:pPr>
            <w:r>
              <w:t xml:space="preserve">environ 133 M USD (IATI) ; 7,1 M USD décaissés</w:t>
            </w:r>
          </w:p>
        </w:tc>
        <w:tc>
          <w:tcPr>
            <w:tcW w:w="1235" w:type="dxa"/>
          </w:tcPr>
          <w:tcPr/>
          <w:p>
            <w:pPr>
              <w:pStyle w:val="Compact"/>
              <w:jc w:val="left"/>
            </w:pPr>
            <w:r>
              <w:t xml:space="preserve">12/2022</w:t>
            </w:r>
          </w:p>
        </w:tc>
        <w:tc>
          <w:tcPr>
            <w:tcW w:w="3255" w:type="dxa"/>
          </w:tcPr>
          <w:tcPr/>
          <w:p>
            <w:pPr>
              <w:pStyle w:val="Compact"/>
              <w:jc w:val="left"/>
            </w:pPr>
            <w:r>
              <w:t xml:space="preserve">solaire, accès</w:t>
            </w:r>
          </w:p>
        </w:tc>
        <w:tc>
          <w:tcPr>
            <w:tcW w:w="1852" w:type="dxa"/>
          </w:tcPr>
          <w:tcPr/>
          <w:p>
            <w:pPr>
              <w:pStyle w:val="Compact"/>
              <w:jc w:val="left"/>
            </w:pPr>
            <w:r>
              <w:t xml:space="preserve">[?]</w:t>
            </w:r>
          </w:p>
        </w:tc>
        <w:tc>
          <w:tcPr>
            <w:tcW w:w="1119" w:type="dxa"/>
          </w:tcPr>
          <w:tcPr/>
          <w:p>
            <w:pPr>
              <w:pStyle w:val="Compact"/>
              <w:jc w:val="left"/>
            </w:pPr>
            <w:r>
              <w:t xml:space="preserve">en cours</w:t>
            </w:r>
          </w:p>
        </w:tc>
        <w:tc>
          <w:tcPr>
            <w:tcW w:w="695" w:type="dxa"/>
          </w:tcPr>
          <w:tcPr/>
          <w:p>
            <w:pPr>
              <w:pStyle w:val="Compact"/>
              <w:jc w:val="left"/>
            </w:pPr>
            <w:r>
              <w:t xml:space="preserve">[7]</w:t>
            </w:r>
          </w:p>
        </w:tc>
      </w:tr>
      <w:tr>
        <w:tc>
          <w:tcPr>
            <w:tcW w:w="3106" w:type="dxa"/>
          </w:tcPr>
          <w:tcPr/>
          <w:p>
            <w:pPr>
              <w:pStyle w:val="Compact"/>
              <w:jc w:val="left"/>
            </w:pPr>
            <w:r>
              <w:t xml:space="preserve">FEC FMI (60 mois)</w:t>
            </w:r>
          </w:p>
        </w:tc>
        <w:tc>
          <w:tcPr>
            <w:tcW w:w="722" w:type="dxa"/>
          </w:tcPr>
          <w:tcPr/>
          <w:p>
            <w:pPr>
              <w:pStyle w:val="Compact"/>
              <w:jc w:val="left"/>
            </w:pPr>
            <w:r>
              <w:t xml:space="preserve">FMI</w:t>
            </w:r>
          </w:p>
        </w:tc>
        <w:tc>
          <w:tcPr>
            <w:tcW w:w="2582" w:type="dxa"/>
          </w:tcPr>
          <w:tcPr/>
          <w:p>
            <w:pPr>
              <w:pStyle w:val="Compact"/>
              <w:jc w:val="left"/>
            </w:pPr>
            <w:r>
              <w:t xml:space="preserve">environ 342 M USD décaissés au total ; 9e revue le 29/07/2026</w:t>
            </w:r>
          </w:p>
        </w:tc>
        <w:tc>
          <w:tcPr>
            <w:tcW w:w="1235" w:type="dxa"/>
          </w:tcPr>
          <w:tcPr/>
          <w:p>
            <w:pPr>
              <w:pStyle w:val="Compact"/>
              <w:jc w:val="left"/>
            </w:pPr>
            <w:r>
              <w:t xml:space="preserve">2021-déc. 2026</w:t>
            </w:r>
          </w:p>
        </w:tc>
        <w:tc>
          <w:tcPr>
            <w:tcW w:w="3255" w:type="dxa"/>
          </w:tcPr>
          <w:tcPr/>
          <w:p>
            <w:pPr>
              <w:pStyle w:val="Compact"/>
              <w:jc w:val="left"/>
            </w:pPr>
            <w:r>
              <w:t xml:space="preserve">gouvernance des entreprises publiques nationalisées, dette croisée</w:t>
            </w:r>
          </w:p>
        </w:tc>
        <w:tc>
          <w:tcPr>
            <w:tcW w:w="1852" w:type="dxa"/>
          </w:tcPr>
          <w:tcPr/>
          <w:p>
            <w:pPr>
              <w:pStyle w:val="Compact"/>
              <w:jc w:val="left"/>
            </w:pPr>
            <w:r>
              <w:t xml:space="preserve">aucun repère structurel spécifique à la NIGELEC identifié [?]</w:t>
            </w:r>
          </w:p>
        </w:tc>
        <w:tc>
          <w:tcPr>
            <w:tcW w:w="1119" w:type="dxa"/>
          </w:tcPr>
          <w:tcPr/>
          <w:p>
            <w:pPr>
              <w:pStyle w:val="Compact"/>
              <w:jc w:val="left"/>
            </w:pPr>
            <w:r>
              <w:t xml:space="preserve">actif</w:t>
            </w:r>
          </w:p>
        </w:tc>
        <w:tc>
          <w:tcPr>
            <w:tcW w:w="695" w:type="dxa"/>
          </w:tcPr>
          <w:tcPr/>
          <w:p>
            <w:pPr>
              <w:pStyle w:val="Compact"/>
              <w:jc w:val="left"/>
            </w:pPr>
            <w:r>
              <w:t xml:space="preserve">[1]</w:t>
            </w:r>
          </w:p>
        </w:tc>
      </w:tr>
    </w:tbl>
    <w:bookmarkEnd w:id="287"/>
    <w:bookmarkStart w:id="288" w:name="écart-pacte-réalité-24"/>
    <w:p>
      <w:pPr>
        <w:pStyle w:val="Heading3"/>
      </w:pPr>
      <w:r>
        <w:t xml:space="preserve">5. Écart pacte ↔ réalité</w:t>
      </w:r>
    </w:p>
    <w:p>
      <w:pPr>
        <w:numPr>
          <w:ilvl w:val="0"/>
          <w:numId w:val="1156"/>
        </w:numPr>
        <w:pStyle w:val="Compact"/>
      </w:pPr>
      <w:r>
        <w:rPr>
          <w:bCs/>
          <w:b/>
        </w:rPr>
        <w:t xml:space="preserve">Statut de l’opérateur</w:t>
      </w:r>
      <w:r>
        <w:t xml:space="preserve"> </w:t>
      </w:r>
      <w:r>
        <w:t xml:space="preserve">: le pacte (décembre 2024) décrit une NIGELEC à capitaux mixtes ; elle est</w:t>
      </w:r>
      <w:r>
        <w:t xml:space="preserve"> </w:t>
      </w:r>
      <w:r>
        <w:rPr>
          <w:bCs/>
          <w:b/>
        </w:rPr>
        <w:t xml:space="preserve">nationalisée</w:t>
      </w:r>
      <w:r>
        <w:t xml:space="preserve"> </w:t>
      </w:r>
      <w:r>
        <w:t xml:space="preserve">en 2025 [1 ; 5]. Le pacte n’anticipe ni la nationalisation ni la dissolution du conseil.</w:t>
      </w:r>
    </w:p>
    <w:p>
      <w:pPr>
        <w:numPr>
          <w:ilvl w:val="0"/>
          <w:numId w:val="1156"/>
        </w:numPr>
        <w:pStyle w:val="Compact"/>
      </w:pPr>
      <w:r>
        <w:rPr>
          <w:bCs/>
          <w:b/>
        </w:rPr>
        <w:t xml:space="preserve">Pertes</w:t>
      </w:r>
      <w:r>
        <w:t xml:space="preserve"> </w:t>
      </w:r>
      <w:r>
        <w:t xml:space="preserve">: le pacte donne 10,27 % en transport et 11 % en distribution (2023) ; la BM mesure 20 % de pertes T&amp;D en 2026 [4]. Les deux sources sont cohérentes, mais la cible de 16,4 % pour mai 2027 semble hors d’atteinte : aucun progrès n’a été relevé entre les ISR de mai et de septembre 2026.</w:t>
      </w:r>
    </w:p>
    <w:p>
      <w:pPr>
        <w:numPr>
          <w:ilvl w:val="0"/>
          <w:numId w:val="1156"/>
        </w:numPr>
        <w:pStyle w:val="Compact"/>
      </w:pPr>
      <w:r>
        <w:rPr>
          <w:bCs/>
          <w:b/>
        </w:rPr>
        <w:t xml:space="preserve">Transparence financière</w:t>
      </w:r>
      <w:r>
        <w:t xml:space="preserve"> </w:t>
      </w:r>
      <w:r>
        <w:t xml:space="preserve">: la publication des états financiers audités (pacte, échéance 2025-2026) n’a pas eu lieu ; aucune donnée financière postérieure à 2023 n’est publique.</w:t>
      </w:r>
    </w:p>
    <w:p>
      <w:pPr>
        <w:numPr>
          <w:ilvl w:val="0"/>
          <w:numId w:val="1156"/>
        </w:numPr>
        <w:pStyle w:val="Compact"/>
      </w:pPr>
      <w:r>
        <w:rPr>
          <w:bCs/>
          <w:b/>
        </w:rPr>
        <w:t xml:space="preserve">Viabilité</w:t>
      </w:r>
      <w:r>
        <w:t xml:space="preserve"> </w:t>
      </w:r>
      <w:r>
        <w:t xml:space="preserve">: le pacte présente un résultat net positif ; la BM note des subventions « en croissance » [3]. Le résultat positif dépend donc de transferts non chiffrés publiquement.</w:t>
      </w:r>
    </w:p>
    <w:bookmarkEnd w:id="288"/>
    <w:bookmarkStart w:id="289" w:name="diagnostic-synthétique-24"/>
    <w:p>
      <w:pPr>
        <w:pStyle w:val="Heading3"/>
      </w:pPr>
      <w:r>
        <w:t xml:space="preserve">6. Diagnostic synthétique</w:t>
      </w:r>
    </w:p>
    <w:p>
      <w:pPr>
        <w:numPr>
          <w:ilvl w:val="0"/>
          <w:numId w:val="1157"/>
        </w:numPr>
        <w:pStyle w:val="Compact"/>
      </w:pPr>
      <w:r>
        <w:rPr>
          <w:bCs/>
          <w:b/>
        </w:rPr>
        <w:t xml:space="preserve">Financière : faible.</w:t>
      </w:r>
      <w:r>
        <w:t xml:space="preserve"> </w:t>
      </w:r>
      <w:r>
        <w:t xml:space="preserve">Les comptes sont opaques, la dette court terme atteint 170 M USD (2023), la subvention augmente et la dette croisée avec l’État n’est pas estimée.</w:t>
      </w:r>
    </w:p>
    <w:p>
      <w:pPr>
        <w:numPr>
          <w:ilvl w:val="0"/>
          <w:numId w:val="1157"/>
        </w:numPr>
        <w:pStyle w:val="Compact"/>
      </w:pPr>
      <w:r>
        <w:rPr>
          <w:bCs/>
          <w:b/>
        </w:rPr>
        <w:t xml:space="preserve">Technique : faible-moyenne.</w:t>
      </w:r>
      <w:r>
        <w:t xml:space="preserve"> </w:t>
      </w:r>
      <w:r>
        <w:t xml:space="preserve">Les pertes sont modérées (20 %), mais l’offre a été très fragile après la coupure des importations nigérianes et la production locale est thermique et coûteuse.</w:t>
      </w:r>
    </w:p>
    <w:p>
      <w:pPr>
        <w:numPr>
          <w:ilvl w:val="0"/>
          <w:numId w:val="1157"/>
        </w:numPr>
        <w:pStyle w:val="Compact"/>
      </w:pPr>
      <w:r>
        <w:rPr>
          <w:bCs/>
          <w:b/>
        </w:rPr>
        <w:t xml:space="preserve">Gouvernance : faible.</w:t>
      </w:r>
      <w:r>
        <w:t xml:space="preserve"> </w:t>
      </w:r>
      <w:r>
        <w:t xml:space="preserve">Nationalisation, absence de conseil, comptes non publiés ; la capacité de mise en œuvre de projets est néanmoins jugée bonne par la BM.</w:t>
      </w:r>
    </w:p>
    <w:p>
      <w:pPr>
        <w:numPr>
          <w:ilvl w:val="0"/>
          <w:numId w:val="1157"/>
        </w:numPr>
        <w:pStyle w:val="Compact"/>
      </w:pPr>
      <w:r>
        <w:rPr>
          <w:bCs/>
          <w:b/>
        </w:rPr>
        <w:t xml:space="preserve">Causes racines</w:t>
      </w:r>
      <w:r>
        <w:t xml:space="preserve"> </w:t>
      </w:r>
      <w:r>
        <w:t xml:space="preserve">: (1) dépendance aux importations et au diesel, sans ajustement tarifaire depuis 2022 (pacte) ; (2) un contexte politique et sécuritaire qui réduit les financements, avec la frontière du Bénin fermée ; (3) une gouvernance d’entreprise affaiblie et l’absence de reddition de comptes.</w:t>
      </w:r>
    </w:p>
    <w:p>
      <w:pPr>
        <w:numPr>
          <w:ilvl w:val="0"/>
          <w:numId w:val="1157"/>
        </w:numPr>
        <w:pStyle w:val="Compact"/>
      </w:pPr>
      <w:r>
        <w:rPr>
          <w:bCs/>
          <w:b/>
        </w:rPr>
        <w:t xml:space="preserve">Phase 3</w:t>
      </w:r>
      <w:r>
        <w:t xml:space="preserve"> </w:t>
      </w:r>
      <w:r>
        <w:t xml:space="preserve">: tarifs ARSE de 2022 et niveau de couverture des coûts ; coût de la production thermique propre comparé à l’import ; impact du solaire de Gorou Banda et des 50 MW de 2026.</w:t>
      </w:r>
    </w:p>
    <w:bookmarkEnd w:id="289"/>
    <w:bookmarkStart w:id="290" w:name="inconnus-24"/>
    <w:p>
      <w:pPr>
        <w:pStyle w:val="Heading3"/>
      </w:pPr>
      <w:r>
        <w:t xml:space="preserve">7. Inconnus</w:t>
      </w:r>
    </w:p>
    <w:p>
      <w:pPr>
        <w:numPr>
          <w:ilvl w:val="0"/>
          <w:numId w:val="1158"/>
        </w:numPr>
        <w:pStyle w:val="Compact"/>
      </w:pPr>
      <w:r>
        <w:t xml:space="preserve">États financiers 2024-2025 [?] ; taux de recouvrement récent [?] ; arriérés de l’État après 2023 [?].</w:t>
      </w:r>
    </w:p>
    <w:p>
      <w:pPr>
        <w:numPr>
          <w:ilvl w:val="0"/>
          <w:numId w:val="1158"/>
        </w:numPr>
        <w:pStyle w:val="Compact"/>
      </w:pPr>
      <w:r>
        <w:t xml:space="preserve">Mesures préalables du PAGSEC-I [?] ; conditions de la nationalisation (indemnisation des actionnaires minoritaires) [?].</w:t>
      </w:r>
    </w:p>
    <w:p>
      <w:pPr>
        <w:numPr>
          <w:ilvl w:val="0"/>
          <w:numId w:val="1158"/>
        </w:numPr>
        <w:pStyle w:val="Compact"/>
      </w:pPr>
      <w:r>
        <w:t xml:space="preserve">Statut des importations nigérianes en 2025-2026 [?].</w:t>
      </w:r>
    </w:p>
    <w:bookmarkEnd w:id="290"/>
    <w:bookmarkStart w:id="291" w:name="sources-25"/>
    <w:p>
      <w:pPr>
        <w:pStyle w:val="Heading3"/>
      </w:pPr>
      <w:r>
        <w:t xml:space="preserve">Sources</w:t>
      </w:r>
    </w:p>
    <w:p>
      <w:pPr>
        <w:pStyle w:val="FirstParagraph"/>
      </w:pPr>
      <w:r>
        <w:t xml:space="preserve">[1] FMI,</w:t>
      </w:r>
      <w:r>
        <w:t xml:space="preserve"> </w:t>
      </w:r>
      <w:r>
        <w:rPr>
          <w:iCs/>
          <w:i/>
        </w:rPr>
        <w:t xml:space="preserve">Niger: Ninth Review Under the Extended Credit Facility Arrangement</w:t>
      </w:r>
      <w:r>
        <w:t xml:space="preserve">, IMF Country Report No. 26/220, 10/07/2026 (staff report §25 ; MEFP §36 ; encadré 1). https://www.imf.org/-/media/files/publications/cr/2026/english/1nerea2026002.pdf ; communiqué n° 26/270, 29/07/2026, https://www.imf.org/en/news/articles/2026/07/29/pr26270-niger-imf-completes-9th-review-under-ecf-arrangement</w:t>
      </w:r>
      <w:r>
        <w:t xml:space="preserve"> </w:t>
      </w:r>
      <w:r>
        <w:t xml:space="preserve">[2] Banque mondiale,</w:t>
      </w:r>
      <w:r>
        <w:t xml:space="preserve"> </w:t>
      </w:r>
      <w:r>
        <w:rPr>
          <w:iCs/>
          <w:i/>
        </w:rPr>
        <w:t xml:space="preserve">Implementation Completion and Results Report — Niger Electricity Access Expansion Project (P153743)</w:t>
      </w:r>
      <w:r>
        <w:t xml:space="preserve">, 06/2025. https://documents.worldbank.org/curated/en/099071725145592069/text/BOSIB-35603d81-1564-4f3c-afd0-a9704de71ce4.txt</w:t>
      </w:r>
      <w:r>
        <w:t xml:space="preserve"> </w:t>
      </w:r>
      <w:r>
        <w:t xml:space="preserve">[3] Banque mondiale,</w:t>
      </w:r>
      <w:r>
        <w:t xml:space="preserve"> </w:t>
      </w:r>
      <w:r>
        <w:rPr>
          <w:iCs/>
          <w:i/>
        </w:rPr>
        <w:t xml:space="preserve">Updated Project Information Document — Haske 2 (P517277)</w:t>
      </w:r>
      <w:r>
        <w:t xml:space="preserve">, 26/06/2026. https://documents.worldbank.org/curated/en/099062626053032298/text/P517277-ef722949-8d57-47db-8179-a0ab06a02b68.txt</w:t>
      </w:r>
      <w:r>
        <w:t xml:space="preserve"> </w:t>
      </w:r>
      <w:r>
        <w:t xml:space="preserve">[4] Banque mondiale,</w:t>
      </w:r>
      <w:r>
        <w:t xml:space="preserve"> </w:t>
      </w:r>
      <w:r>
        <w:rPr>
          <w:iCs/>
          <w:i/>
        </w:rPr>
        <w:t xml:space="preserve">ISR — Niger Accelerating Electricity Access Project (Haské) (P174034)</w:t>
      </w:r>
      <w:r>
        <w:t xml:space="preserve">, 29/09/2026. https://documents.worldbank.org/curated/en/099092926150024685/text/P174034-32afcf47-9aee-4fb6-a9ef-a1855c577caf.txt</w:t>
      </w:r>
      <w:r>
        <w:t xml:space="preserve"> </w:t>
      </w:r>
      <w:r>
        <w:t xml:space="preserve">[5] Daba Finance, « Le Niger nationalise… la NIGELEC », 2025. https://dabafinance.com/fr/nouvelles/le-niger-nationalise-la-rforme-de-la-gouvernance-du-secteur-de-lnergie-de-la-nigelec</w:t>
      </w:r>
      <w:r>
        <w:t xml:space="preserve"> </w:t>
      </w:r>
      <w:r>
        <w:t xml:space="preserve">[6] Banque mondiale, API Projects v3, consultée le 18/10/2026.</w:t>
      </w:r>
      <w:r>
        <w:t xml:space="preserve"> </w:t>
      </w:r>
      <w:r>
        <w:t xml:space="preserve">[7] BAD, données IATI (XM-DAC-46002) via d-portal.org (46002-P-NE-KA0-014 : engagement de 105 M DTS le 01/10/2025 et décaissement en 10/2025 ; 46002-P-NE-FA0-005), consultées le 18/10/2026.</w:t>
      </w:r>
      <w:r>
        <w:t xml:space="preserve"> </w:t>
      </w:r>
      <w:r>
        <w:t xml:space="preserve">[8] AllAfrica, 04/10/2025 (signature du PAGSEC-I, 144,7 M USD), https://fr.allafrica.com/stories/202510040062.html ; OPEC Fund, fiche PAGSEC-1, https://opecfund.org/where-we-work/list/energy-sector-governance-and-competitiveness-support-program-phase-1-pagsec-1</w:t>
      </w:r>
    </w:p>
    <w:p>
      <w:r>
        <w:br w:type="page"/>
      </w:r>
    </w:p>
    <w:bookmarkEnd w:id="291"/>
    <w:bookmarkEnd w:id="292"/>
    <w:bookmarkStart w:id="302" w:name="Xae3196b739645b3fbb8f32edfc8c53533e8ab5c"/>
    <w:p>
      <w:pPr>
        <w:pStyle w:val="Heading2"/>
      </w:pPr>
      <w:r>
        <w:t xml:space="preserve">Diagnostic opérateur — Secteur électrique nigérian : DisCos (agrégées), TCN, NBET (Nigeria)</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../phase1/fiches/NGA_nigeria.md.</w:t>
      </w:r>
      <w:r>
        <w:t xml:space="preserve"> </w:t>
      </w:r>
      <w:r>
        <w:t xml:space="preserve">Particularité : il n’existe pas d’« opérateur national » intégré. L’analyse porte sur le secteur (NESI), avec focus sur les 11 DisCos agrégées (données NERC) et sur le déficit tarifaire (subvention via NBET).</w:t>
      </w:r>
    </w:p>
    <w:bookmarkStart w:id="293" w:name="identité-25"/>
    <w:p>
      <w:pPr>
        <w:pStyle w:val="Heading3"/>
      </w:pPr>
      <w:r>
        <w:t xml:space="preserve">0. Identité</w:t>
      </w:r>
    </w:p>
    <w:p>
      <w:pPr>
        <w:numPr>
          <w:ilvl w:val="0"/>
          <w:numId w:val="1159"/>
        </w:numPr>
        <w:pStyle w:val="Compact"/>
      </w:pPr>
      <w:r>
        <w:t xml:space="preserve">Opérateurs : 11 DisCos privatisées en 2013 (distribution/vente) ; GenCos privées ; Transmission Company of Nigeria (TCN, publique, transport et — jusqu’à la création du NISO — opération système) ; Nigerian Bulk Electricity Trading plc (NBET, acheteur de gros public, contrepartie des PPA hérités) ; Market Operator (MO) [1][2] [V]. Le rapport NERC Q2 2025 mentionne un Nigerian Independent System Operator (NISO) qui gère la répartition en cas de déficit de production [2] [V].</w:t>
      </w:r>
    </w:p>
    <w:p>
      <w:pPr>
        <w:numPr>
          <w:ilvl w:val="0"/>
          <w:numId w:val="1159"/>
        </w:numPr>
        <w:pStyle w:val="Compact"/>
      </w:pPr>
      <w:r>
        <w:t xml:space="preserve">Statut / tutelle : DisCos à capitaux majoritairement privés (BPE et État gardent des parts ; plusieurs DisCos sous « license intervention » NERC, gérées par des équipes transitoires désignées par le BPE [4] [V]) ; TCN et NBET sous tutelle fédérale (Federal Ministry of Power).</w:t>
      </w:r>
    </w:p>
    <w:p>
      <w:pPr>
        <w:numPr>
          <w:ilvl w:val="0"/>
          <w:numId w:val="1159"/>
        </w:numPr>
        <w:pStyle w:val="Compact"/>
      </w:pPr>
      <w:r>
        <w:t xml:space="preserve">Régulateur : Nigerian Electricity Regulatory Commission (NERC) ; depuis l’Electricity Act 2023, transfert de la régulation intra-étatique à des régulateurs d’États (au moins 7 selon le pacte) [1] (pacte).</w:t>
      </w:r>
    </w:p>
    <w:p>
      <w:pPr>
        <w:numPr>
          <w:ilvl w:val="0"/>
          <w:numId w:val="1159"/>
        </w:numPr>
        <w:pStyle w:val="Compact"/>
      </w:pPr>
      <w:r>
        <w:t xml:space="preserve">Dernier exercice publié : pas d’états financiers consolidés des DisCos trouvés ; les données de référence sont les rapports trimestriels NERC jusqu’au T4 2025 [2][3] [V]. Le pacte affirme que les comptes audités des entreprises sont publiés (« Yes ») [1] (pacte) — non vérifié pour TCN/NBET : [?].</w:t>
      </w:r>
    </w:p>
    <w:bookmarkEnd w:id="293"/>
    <w:bookmarkStart w:id="294" w:name="X79fc418f94c27d0f6774457be954afb612098f3"/>
    <w:p>
      <w:pPr>
        <w:pStyle w:val="Heading3"/>
      </w:pPr>
      <w:r>
        <w:t xml:space="preserve">1. Situation financière (secteur / DisCos agrégées)</w:t>
      </w:r>
    </w:p>
    <w:tbl>
      <w:tblPr>
        <w:tblStyle w:val="Table"/>
        <w:tblW w:type="dxa" w:w="14570"/>
        <w:tblLook w:firstRow="1" w:lastRow="0" w:firstColumn="0" w:lastColumn="0" w:noHBand="0" w:noVBand="0" w:val="0020"/>
        <w:jc w:val="start"/>
      </w:tblPr>
      <w:tblGrid>
        <w:gridCol w:w="4712"/>
        <w:gridCol w:w="6735"/>
        <w:gridCol w:w="997"/>
        <w:gridCol w:w="1075"/>
        <w:gridCol w:w="1049"/>
      </w:tblGrid>
      <w:tr>
        <w:trPr>
          <w:tblHeader w:val="true"/>
        </w:trPr>
        <w:tc>
          <w:tcPr>
            <w:tcW w:w="4712" w:type="dxa"/>
          </w:tcPr>
          <w:tcPr/>
          <w:p>
            <w:pPr>
              <w:pStyle w:val="Compact"/>
              <w:jc w:val="left"/>
            </w:pPr>
            <w:r>
              <w:t xml:space="preserve">Indicateur</w:t>
            </w:r>
          </w:p>
        </w:tc>
        <w:tc>
          <w:tcPr>
            <w:tcW w:w="6735" w:type="dxa"/>
          </w:tcPr>
          <w:tcPr/>
          <w:p>
            <w:pPr>
              <w:pStyle w:val="Compact"/>
              <w:jc w:val="left"/>
            </w:pPr>
            <w:r>
              <w:t xml:space="preserve">Valeur</w:t>
            </w:r>
          </w:p>
        </w:tc>
        <w:tc>
          <w:tcPr>
            <w:tcW w:w="997" w:type="dxa"/>
          </w:tcPr>
          <w:tcPr/>
          <w:p>
            <w:pPr>
              <w:pStyle w:val="Compact"/>
              <w:jc w:val="left"/>
            </w:pPr>
            <w:r>
              <w:t xml:space="preserve">Année</w:t>
            </w:r>
          </w:p>
        </w:tc>
        <w:tc>
          <w:tcPr>
            <w:tcW w:w="1075" w:type="dxa"/>
          </w:tcPr>
          <w:tcPr/>
          <w:p>
            <w:pPr>
              <w:pStyle w:val="Compact"/>
              <w:jc w:val="left"/>
            </w:pPr>
            <w:r>
              <w:t xml:space="preserve">Statut</w:t>
            </w:r>
          </w:p>
        </w:tc>
        <w:tc>
          <w:tcPr>
            <w:tcW w:w="1049" w:type="dxa"/>
          </w:tcPr>
          <w:tcPr/>
          <w:p>
            <w:pPr>
              <w:pStyle w:val="Compact"/>
              <w:jc w:val="left"/>
            </w:pPr>
            <w:r>
              <w:t xml:space="preserve">Source</w:t>
            </w:r>
          </w:p>
        </w:tc>
      </w:tr>
      <w:tr>
        <w:tc>
          <w:tcPr>
            <w:tcW w:w="4712" w:type="dxa"/>
          </w:tcPr>
          <w:tcPr/>
          <w:p>
            <w:pPr>
              <w:pStyle w:val="Compact"/>
              <w:jc w:val="left"/>
            </w:pPr>
            <w:r>
              <w:t xml:space="preserve">Facturation DisCos (clients finals)</w:t>
            </w:r>
          </w:p>
        </w:tc>
        <w:tc>
          <w:tcPr>
            <w:tcW w:w="6735" w:type="dxa"/>
          </w:tcPr>
          <w:tcPr/>
          <w:p>
            <w:pPr>
              <w:pStyle w:val="Compact"/>
              <w:jc w:val="left"/>
            </w:pPr>
            <w:r>
              <w:t xml:space="preserve">742,34 Md NGN (T2) ; 795,06 Md NGN (T4)</w:t>
            </w:r>
          </w:p>
        </w:tc>
        <w:tc>
          <w:tcPr>
            <w:tcW w:w="997" w:type="dxa"/>
          </w:tcPr>
          <w:tcPr/>
          <w:p>
            <w:pPr>
              <w:pStyle w:val="Compact"/>
              <w:jc w:val="left"/>
            </w:pPr>
            <w:r>
              <w:t xml:space="preserve">2025</w:t>
            </w:r>
          </w:p>
        </w:tc>
        <w:tc>
          <w:tcPr>
            <w:tcW w:w="1075" w:type="dxa"/>
          </w:tcPr>
          <w:tcPr/>
          <w:p>
            <w:pPr>
              <w:pStyle w:val="Compact"/>
              <w:jc w:val="left"/>
            </w:pPr>
            <w:r>
              <w:t xml:space="preserve">[V]</w:t>
            </w:r>
          </w:p>
        </w:tc>
        <w:tc>
          <w:tcPr>
            <w:tcW w:w="1049" w:type="dxa"/>
          </w:tcPr>
          <w:tcPr/>
          <w:p>
            <w:pPr>
              <w:pStyle w:val="Compact"/>
              <w:jc w:val="left"/>
            </w:pPr>
            <w:r>
              <w:t xml:space="preserve">[2][3]</w:t>
            </w:r>
          </w:p>
        </w:tc>
      </w:tr>
      <w:tr>
        <w:tc>
          <w:tcPr>
            <w:tcW w:w="4712" w:type="dxa"/>
          </w:tcPr>
          <w:tcPr/>
          <w:p>
            <w:pPr>
              <w:pStyle w:val="Compact"/>
              <w:jc w:val="left"/>
            </w:pPr>
            <w:r>
              <w:t xml:space="preserve">Encaissements DisCos</w:t>
            </w:r>
          </w:p>
        </w:tc>
        <w:tc>
          <w:tcPr>
            <w:tcW w:w="6735" w:type="dxa"/>
          </w:tcPr>
          <w:tcPr/>
          <w:p>
            <w:pPr>
              <w:pStyle w:val="Compact"/>
              <w:jc w:val="left"/>
            </w:pPr>
            <w:r>
              <w:t xml:space="preserve">564,71 Md NGN (T2) ; 630,93 Md NGN (T4)</w:t>
            </w:r>
          </w:p>
        </w:tc>
        <w:tc>
          <w:tcPr>
            <w:tcW w:w="997" w:type="dxa"/>
          </w:tcPr>
          <w:tcPr/>
          <w:p>
            <w:pPr>
              <w:pStyle w:val="Compact"/>
              <w:jc w:val="left"/>
            </w:pPr>
            <w:r>
              <w:t xml:space="preserve">2025</w:t>
            </w:r>
          </w:p>
        </w:tc>
        <w:tc>
          <w:tcPr>
            <w:tcW w:w="1075" w:type="dxa"/>
          </w:tcPr>
          <w:tcPr/>
          <w:p>
            <w:pPr>
              <w:pStyle w:val="Compact"/>
              <w:jc w:val="left"/>
            </w:pPr>
            <w:r>
              <w:t xml:space="preserve">[V]</w:t>
            </w:r>
          </w:p>
        </w:tc>
        <w:tc>
          <w:tcPr>
            <w:tcW w:w="1049" w:type="dxa"/>
          </w:tcPr>
          <w:tcPr/>
          <w:p>
            <w:pPr>
              <w:pStyle w:val="Compact"/>
              <w:jc w:val="left"/>
            </w:pPr>
            <w:r>
              <w:t xml:space="preserve">[2][3]</w:t>
            </w:r>
          </w:p>
        </w:tc>
      </w:tr>
      <w:tr>
        <w:tc>
          <w:tcPr>
            <w:tcW w:w="4712" w:type="dxa"/>
          </w:tcPr>
          <w:tcPr/>
          <w:p>
            <w:pPr>
              <w:pStyle w:val="Compact"/>
              <w:jc w:val="left"/>
            </w:pPr>
            <w:r>
              <w:t xml:space="preserve">Taux de recouvrement (collection efficiency)</w:t>
            </w:r>
          </w:p>
        </w:tc>
        <w:tc>
          <w:tcPr>
            <w:tcW w:w="6735" w:type="dxa"/>
          </w:tcPr>
          <w:tcPr/>
          <w:p>
            <w:pPr>
              <w:pStyle w:val="Compact"/>
              <w:jc w:val="left"/>
            </w:pPr>
            <w:r>
              <w:t xml:space="preserve">74,39 % (T1), 76,07 % (T2), 80,70 % (T3), 79,36 % (T4)</w:t>
            </w:r>
          </w:p>
        </w:tc>
        <w:tc>
          <w:tcPr>
            <w:tcW w:w="997" w:type="dxa"/>
          </w:tcPr>
          <w:tcPr/>
          <w:p>
            <w:pPr>
              <w:pStyle w:val="Compact"/>
              <w:jc w:val="left"/>
            </w:pPr>
            <w:r>
              <w:t xml:space="preserve">2025</w:t>
            </w:r>
          </w:p>
        </w:tc>
        <w:tc>
          <w:tcPr>
            <w:tcW w:w="1075" w:type="dxa"/>
          </w:tcPr>
          <w:tcPr/>
          <w:p>
            <w:pPr>
              <w:pStyle w:val="Compact"/>
              <w:jc w:val="left"/>
            </w:pPr>
            <w:r>
              <w:t xml:space="preserve">[V]</w:t>
            </w:r>
          </w:p>
        </w:tc>
        <w:tc>
          <w:tcPr>
            <w:tcW w:w="1049" w:type="dxa"/>
          </w:tcPr>
          <w:tcPr/>
          <w:p>
            <w:pPr>
              <w:pStyle w:val="Compact"/>
              <w:jc w:val="left"/>
            </w:pPr>
            <w:r>
              <w:t xml:space="preserve">[2][3]</w:t>
            </w:r>
          </w:p>
        </w:tc>
      </w:tr>
      <w:tr>
        <w:tc>
          <w:tcPr>
            <w:tcW w:w="4712" w:type="dxa"/>
          </w:tcPr>
          <w:tcPr/>
          <w:p>
            <w:pPr>
              <w:pStyle w:val="Compact"/>
              <w:jc w:val="left"/>
            </w:pPr>
            <w:r>
              <w:t xml:space="preserve">Pertes ATC&amp;C (moyenne pondérée)</w:t>
            </w:r>
          </w:p>
        </w:tc>
        <w:tc>
          <w:tcPr>
            <w:tcW w:w="6735" w:type="dxa"/>
          </w:tcPr>
          <w:tcPr/>
          <w:p>
            <w:pPr>
              <w:pStyle w:val="Compact"/>
              <w:jc w:val="left"/>
            </w:pPr>
            <w:r>
              <w:t xml:space="preserve">39,61 % (T1), 37,92 % (T2), 33,27 % (T3), 34,90 % (T4) vs cible MYTO 20,54 % ; seule Eko atteint sa cible ; Kaduna 69,45 % (T4)</w:t>
            </w:r>
          </w:p>
        </w:tc>
        <w:tc>
          <w:tcPr>
            <w:tcW w:w="997" w:type="dxa"/>
          </w:tcPr>
          <w:tcPr/>
          <w:p>
            <w:pPr>
              <w:pStyle w:val="Compact"/>
              <w:jc w:val="left"/>
            </w:pPr>
            <w:r>
              <w:t xml:space="preserve">2025</w:t>
            </w:r>
          </w:p>
        </w:tc>
        <w:tc>
          <w:tcPr>
            <w:tcW w:w="1075" w:type="dxa"/>
          </w:tcPr>
          <w:tcPr/>
          <w:p>
            <w:pPr>
              <w:pStyle w:val="Compact"/>
              <w:jc w:val="left"/>
            </w:pPr>
            <w:r>
              <w:t xml:space="preserve">[V]</w:t>
            </w:r>
          </w:p>
        </w:tc>
        <w:tc>
          <w:tcPr>
            <w:tcW w:w="1049" w:type="dxa"/>
          </w:tcPr>
          <w:tcPr/>
          <w:p>
            <w:pPr>
              <w:pStyle w:val="Compact"/>
              <w:jc w:val="left"/>
            </w:pPr>
            <w:r>
              <w:t xml:space="preserve">[2][3]</w:t>
            </w:r>
          </w:p>
        </w:tc>
      </w:tr>
      <w:tr>
        <w:tc>
          <w:tcPr>
            <w:tcW w:w="4712" w:type="dxa"/>
          </w:tcPr>
          <w:tcPr/>
          <w:p>
            <w:pPr>
              <w:pStyle w:val="Compact"/>
              <w:jc w:val="left"/>
            </w:pPr>
            <w:r>
              <w:t xml:space="preserve">Manque à gagner ATC&amp;C (vs cible)</w:t>
            </w:r>
          </w:p>
        </w:tc>
        <w:tc>
          <w:tcPr>
            <w:tcW w:w="6735" w:type="dxa"/>
          </w:tcPr>
          <w:tcPr/>
          <w:p>
            <w:pPr>
              <w:pStyle w:val="Compact"/>
              <w:jc w:val="left"/>
            </w:pPr>
            <w:r>
              <w:t xml:space="preserve">158,05 Md NGN (T2) ; 139,19 Md NGN (T4)</w:t>
            </w:r>
          </w:p>
        </w:tc>
        <w:tc>
          <w:tcPr>
            <w:tcW w:w="997" w:type="dxa"/>
          </w:tcPr>
          <w:tcPr/>
          <w:p>
            <w:pPr>
              <w:pStyle w:val="Compact"/>
              <w:jc w:val="left"/>
            </w:pPr>
            <w:r>
              <w:t xml:space="preserve">2025</w:t>
            </w:r>
          </w:p>
        </w:tc>
        <w:tc>
          <w:tcPr>
            <w:tcW w:w="1075" w:type="dxa"/>
          </w:tcPr>
          <w:tcPr/>
          <w:p>
            <w:pPr>
              <w:pStyle w:val="Compact"/>
              <w:jc w:val="left"/>
            </w:pPr>
            <w:r>
              <w:t xml:space="preserve">[V]</w:t>
            </w:r>
          </w:p>
        </w:tc>
        <w:tc>
          <w:tcPr>
            <w:tcW w:w="1049" w:type="dxa"/>
          </w:tcPr>
          <w:tcPr/>
          <w:p>
            <w:pPr>
              <w:pStyle w:val="Compact"/>
              <w:jc w:val="left"/>
            </w:pPr>
            <w:r>
              <w:t xml:space="preserve">[2][3]</w:t>
            </w:r>
          </w:p>
        </w:tc>
      </w:tr>
      <w:tr>
        <w:tc>
          <w:tcPr>
            <w:tcW w:w="4712" w:type="dxa"/>
          </w:tcPr>
          <w:tcPr/>
          <w:p>
            <w:pPr>
              <w:pStyle w:val="Compact"/>
              <w:jc w:val="left"/>
            </w:pPr>
            <w:r>
              <w:t xml:space="preserve">Remises DisCos au marché (NBET + MO)</w:t>
            </w:r>
          </w:p>
        </w:tc>
        <w:tc>
          <w:tcPr>
            <w:tcW w:w="6735" w:type="dxa"/>
          </w:tcPr>
          <w:tcPr/>
          <w:p>
            <w:pPr>
              <w:pStyle w:val="Compact"/>
              <w:jc w:val="left"/>
            </w:pPr>
            <w:r>
              <w:t xml:space="preserve">95,65 % (T2) ; 92,71 % (T4) des factures ajustées DRO</w:t>
            </w:r>
          </w:p>
        </w:tc>
        <w:tc>
          <w:tcPr>
            <w:tcW w:w="997" w:type="dxa"/>
          </w:tcPr>
          <w:tcPr/>
          <w:p>
            <w:pPr>
              <w:pStyle w:val="Compact"/>
              <w:jc w:val="left"/>
            </w:pPr>
            <w:r>
              <w:t xml:space="preserve">2025</w:t>
            </w:r>
          </w:p>
        </w:tc>
        <w:tc>
          <w:tcPr>
            <w:tcW w:w="1075" w:type="dxa"/>
          </w:tcPr>
          <w:tcPr/>
          <w:p>
            <w:pPr>
              <w:pStyle w:val="Compact"/>
              <w:jc w:val="left"/>
            </w:pPr>
            <w:r>
              <w:t xml:space="preserve">[V]</w:t>
            </w:r>
          </w:p>
        </w:tc>
        <w:tc>
          <w:tcPr>
            <w:tcW w:w="1049" w:type="dxa"/>
          </w:tcPr>
          <w:tcPr/>
          <w:p>
            <w:pPr>
              <w:pStyle w:val="Compact"/>
              <w:jc w:val="left"/>
            </w:pPr>
            <w:r>
              <w:t xml:space="preserve">[2][3]</w:t>
            </w:r>
          </w:p>
        </w:tc>
      </w:tr>
      <w:tr>
        <w:tc>
          <w:tcPr>
            <w:tcW w:w="4712" w:type="dxa"/>
          </w:tcPr>
          <w:tcPr/>
          <w:p>
            <w:pPr>
              <w:pStyle w:val="Compact"/>
              <w:jc w:val="left"/>
            </w:pPr>
            <w:r>
              <w:t xml:space="preserve">Obligation de subvention fédérale (déficit tarifaire)</w:t>
            </w:r>
          </w:p>
        </w:tc>
        <w:tc>
          <w:tcPr>
            <w:tcW w:w="6735" w:type="dxa"/>
          </w:tcPr>
          <w:tcPr/>
          <w:p>
            <w:pPr>
              <w:pStyle w:val="Compact"/>
              <w:jc w:val="left"/>
            </w:pPr>
            <w:r>
              <w:t xml:space="preserve">536,40 (T1), 514,35 (T2), 458,75 (T3), 418,79 Md NGN (T4) ; ≈ 1 928 Md NGN sur l’année [E, somme] ; 52-60 % de la facture des GenCos</w:t>
            </w:r>
          </w:p>
        </w:tc>
        <w:tc>
          <w:tcPr>
            <w:tcW w:w="997" w:type="dxa"/>
          </w:tcPr>
          <w:tcPr/>
          <w:p>
            <w:pPr>
              <w:pStyle w:val="Compact"/>
              <w:jc w:val="left"/>
            </w:pPr>
            <w:r>
              <w:t xml:space="preserve">2025</w:t>
            </w:r>
          </w:p>
        </w:tc>
        <w:tc>
          <w:tcPr>
            <w:tcW w:w="1075" w:type="dxa"/>
          </w:tcPr>
          <w:tcPr/>
          <w:p>
            <w:pPr>
              <w:pStyle w:val="Compact"/>
              <w:jc w:val="left"/>
            </w:pPr>
            <w:r>
              <w:t xml:space="preserve">[V] (somme [E])</w:t>
            </w:r>
          </w:p>
        </w:tc>
        <w:tc>
          <w:tcPr>
            <w:tcW w:w="1049" w:type="dxa"/>
          </w:tcPr>
          <w:tcPr/>
          <w:p>
            <w:pPr>
              <w:pStyle w:val="Compact"/>
              <w:jc w:val="left"/>
            </w:pPr>
            <w:r>
              <w:t xml:space="preserve">[2][3]</w:t>
            </w:r>
          </w:p>
        </w:tc>
      </w:tr>
      <w:tr>
        <w:tc>
          <w:tcPr>
            <w:tcW w:w="4712" w:type="dxa"/>
          </w:tcPr>
          <w:tcPr/>
          <w:p>
            <w:pPr>
              <w:pStyle w:val="Compact"/>
              <w:jc w:val="left"/>
            </w:pPr>
            <w:r>
              <w:t xml:space="preserve">Subvention effectivement versée</w:t>
            </w:r>
          </w:p>
        </w:tc>
        <w:tc>
          <w:tcPr>
            <w:tcW w:w="6735" w:type="dxa"/>
          </w:tcPr>
          <w:tcPr/>
          <w:p>
            <w:pPr>
              <w:pStyle w:val="Compact"/>
              <w:jc w:val="left"/>
            </w:pPr>
            <w:r>
              <w:t xml:space="preserve">76,95 Md NGN sur ~1 930 Md NGN dus (≈ 4 %)</w:t>
            </w:r>
          </w:p>
        </w:tc>
        <w:tc>
          <w:tcPr>
            <w:tcW w:w="997" w:type="dxa"/>
          </w:tcPr>
          <w:tcPr/>
          <w:p>
            <w:pPr>
              <w:pStyle w:val="Compact"/>
              <w:jc w:val="left"/>
            </w:pPr>
            <w:r>
              <w:t xml:space="preserve">2025</w:t>
            </w:r>
          </w:p>
        </w:tc>
        <w:tc>
          <w:tcPr>
            <w:tcW w:w="1075" w:type="dxa"/>
          </w:tcPr>
          <w:tcPr/>
          <w:p>
            <w:pPr>
              <w:pStyle w:val="Compact"/>
              <w:jc w:val="left"/>
            </w:pPr>
            <w:r>
              <w:t xml:space="preserve">[S]</w:t>
            </w:r>
          </w:p>
        </w:tc>
        <w:tc>
          <w:tcPr>
            <w:tcW w:w="1049" w:type="dxa"/>
          </w:tcPr>
          <w:tcPr/>
          <w:p>
            <w:pPr>
              <w:pStyle w:val="Compact"/>
              <w:jc w:val="left"/>
            </w:pPr>
            <w:r>
              <w:t xml:space="preserve">[6]</w:t>
            </w:r>
          </w:p>
        </w:tc>
      </w:tr>
      <w:tr>
        <w:tc>
          <w:tcPr>
            <w:tcW w:w="4712" w:type="dxa"/>
          </w:tcPr>
          <w:tcPr/>
          <w:p>
            <w:pPr>
              <w:pStyle w:val="Compact"/>
              <w:jc w:val="left"/>
            </w:pPr>
            <w:r>
              <w:t xml:space="preserve">Déficit tarifaire annuel (indicateur PSRO)</w:t>
            </w:r>
          </w:p>
        </w:tc>
        <w:tc>
          <w:tcPr>
            <w:tcW w:w="6735" w:type="dxa"/>
          </w:tcPr>
          <w:tcPr/>
          <w:p>
            <w:pPr>
              <w:pStyle w:val="Compact"/>
              <w:jc w:val="left"/>
            </w:pPr>
            <w:r>
              <w:t xml:space="preserve">581 Md NGN (2019, base) ; 651 ; 2 226 Md NGN (relevé déc. 2024) ; cible 0 en déc. 2026</w:t>
            </w:r>
          </w:p>
        </w:tc>
        <w:tc>
          <w:tcPr>
            <w:tcW w:w="997" w:type="dxa"/>
          </w:tcPr>
          <w:tcPr/>
          <w:p>
            <w:pPr>
              <w:pStyle w:val="Compact"/>
              <w:jc w:val="left"/>
            </w:pPr>
            <w:r>
              <w:t xml:space="preserve">2019-2024</w:t>
            </w:r>
          </w:p>
        </w:tc>
        <w:tc>
          <w:tcPr>
            <w:tcW w:w="1075" w:type="dxa"/>
          </w:tcPr>
          <w:tcPr/>
          <w:p>
            <w:pPr>
              <w:pStyle w:val="Compact"/>
              <w:jc w:val="left"/>
            </w:pPr>
            <w:r>
              <w:t xml:space="preserve">[V]</w:t>
            </w:r>
          </w:p>
        </w:tc>
        <w:tc>
          <w:tcPr>
            <w:tcW w:w="1049" w:type="dxa"/>
          </w:tcPr>
          <w:tcPr/>
          <w:p>
            <w:pPr>
              <w:pStyle w:val="Compact"/>
              <w:jc w:val="left"/>
            </w:pPr>
            <w:r>
              <w:t xml:space="preserve">[4]</w:t>
            </w:r>
          </w:p>
        </w:tc>
      </w:tr>
      <w:tr>
        <w:tc>
          <w:tcPr>
            <w:tcW w:w="4712" w:type="dxa"/>
          </w:tcPr>
          <w:tcPr/>
          <w:p>
            <w:pPr>
              <w:pStyle w:val="Compact"/>
              <w:jc w:val="left"/>
            </w:pPr>
            <w:r>
              <w:t xml:space="preserve">Factures GenCos réglées</w:t>
            </w:r>
          </w:p>
        </w:tc>
        <w:tc>
          <w:tcPr>
            <w:tcW w:w="6735" w:type="dxa"/>
          </w:tcPr>
          <w:tcPr/>
          <w:p>
            <w:pPr>
              <w:pStyle w:val="Compact"/>
              <w:jc w:val="left"/>
            </w:pPr>
            <w:r>
              <w:t xml:space="preserve">3,16 T NGN facturés, ~1,17-1,24 T NGN payés (≈ 39 %)</w:t>
            </w:r>
          </w:p>
        </w:tc>
        <w:tc>
          <w:tcPr>
            <w:tcW w:w="997" w:type="dxa"/>
          </w:tcPr>
          <w:tcPr/>
          <w:p>
            <w:pPr>
              <w:pStyle w:val="Compact"/>
              <w:jc w:val="left"/>
            </w:pPr>
            <w:r>
              <w:t xml:space="preserve">2025</w:t>
            </w:r>
          </w:p>
        </w:tc>
        <w:tc>
          <w:tcPr>
            <w:tcW w:w="1075" w:type="dxa"/>
          </w:tcPr>
          <w:tcPr/>
          <w:p>
            <w:pPr>
              <w:pStyle w:val="Compact"/>
              <w:jc w:val="left"/>
            </w:pPr>
            <w:r>
              <w:t xml:space="preserve">[S]</w:t>
            </w:r>
          </w:p>
        </w:tc>
        <w:tc>
          <w:tcPr>
            <w:tcW w:w="1049" w:type="dxa"/>
          </w:tcPr>
          <w:tcPr/>
          <w:p>
            <w:pPr>
              <w:pStyle w:val="Compact"/>
              <w:jc w:val="left"/>
            </w:pPr>
            <w:r>
              <w:t xml:space="preserve">[6]</w:t>
            </w:r>
          </w:p>
        </w:tc>
      </w:tr>
      <w:tr>
        <w:tc>
          <w:tcPr>
            <w:tcW w:w="4712" w:type="dxa"/>
          </w:tcPr>
          <w:tcPr/>
          <w:p>
            <w:pPr>
              <w:pStyle w:val="Compact"/>
              <w:jc w:val="left"/>
            </w:pPr>
            <w:r>
              <w:t xml:space="preserve">Dette envers GenCos (cumul, incl. héritée)</w:t>
            </w:r>
          </w:p>
        </w:tc>
        <w:tc>
          <w:tcPr>
            <w:tcW w:w="6735" w:type="dxa"/>
          </w:tcPr>
          <w:tcPr/>
          <w:p>
            <w:pPr>
              <w:pStyle w:val="Compact"/>
              <w:jc w:val="left"/>
            </w:pPr>
            <w:r>
              <w:t xml:space="preserve">~7,66 T NGN (juin 2026, selon l’APGC) dont 6,8 T NGN hérités 2015-2024 ; obligation « Series 1 » de 501 Md NGN</w:t>
            </w:r>
          </w:p>
        </w:tc>
        <w:tc>
          <w:tcPr>
            <w:tcW w:w="997" w:type="dxa"/>
          </w:tcPr>
          <w:tcPr/>
          <w:p>
            <w:pPr>
              <w:pStyle w:val="Compact"/>
              <w:jc w:val="left"/>
            </w:pPr>
            <w:r>
              <w:t xml:space="preserve">2026</w:t>
            </w:r>
          </w:p>
        </w:tc>
        <w:tc>
          <w:tcPr>
            <w:tcW w:w="1075" w:type="dxa"/>
          </w:tcPr>
          <w:tcPr/>
          <w:p>
            <w:pPr>
              <w:pStyle w:val="Compact"/>
              <w:jc w:val="left"/>
            </w:pPr>
            <w:r>
              <w:t xml:space="preserve">[S]</w:t>
            </w:r>
          </w:p>
        </w:tc>
        <w:tc>
          <w:tcPr>
            <w:tcW w:w="1049" w:type="dxa"/>
          </w:tcPr>
          <w:tcPr/>
          <w:p>
            <w:pPr>
              <w:pStyle w:val="Compact"/>
              <w:jc w:val="left"/>
            </w:pPr>
            <w:r>
              <w:t xml:space="preserve">[7]</w:t>
            </w:r>
          </w:p>
        </w:tc>
      </w:tr>
      <w:tr>
        <w:tc>
          <w:tcPr>
            <w:tcW w:w="4712" w:type="dxa"/>
          </w:tcPr>
          <w:tcPr/>
          <w:p>
            <w:pPr>
              <w:pStyle w:val="Compact"/>
              <w:jc w:val="left"/>
            </w:pPr>
            <w:r>
              <w:t xml:space="preserve">Arriérés de l’État / entités publiques envers DisCos</w:t>
            </w:r>
          </w:p>
        </w:tc>
        <w:tc>
          <w:tcPr>
            <w:tcW w:w="6735" w:type="dxa"/>
          </w:tcPr>
          <w:tcPr/>
          <w:p>
            <w:pPr>
              <w:pStyle w:val="Compact"/>
              <w:jc w:val="left"/>
            </w:pPr>
            <w:r>
              <w:t xml:space="preserve">[?] non trouvé</w:t>
            </w:r>
          </w:p>
        </w:tc>
        <w:tc>
          <w:tcPr>
            <w:tcW w:w="997" w:type="dxa"/>
          </w:tcPr>
          <w:tcPr/>
          <w:p>
            <w:pPr>
              <w:pStyle w:val="Compact"/>
              <w:jc w:val="left"/>
            </w:pPr>
            <w:r>
              <w:t xml:space="preserve">—</w:t>
            </w:r>
          </w:p>
        </w:tc>
        <w:tc>
          <w:tcPr>
            <w:tcW w:w="1075" w:type="dxa"/>
          </w:tcPr>
          <w:tcPr/>
          <w:p>
            <w:pPr>
              <w:pStyle w:val="Compact"/>
              <w:jc w:val="left"/>
            </w:pPr>
            <w:r>
              <w:t xml:space="preserve">[?]</w:t>
            </w:r>
          </w:p>
        </w:tc>
        <w:tc>
          <w:tcPr>
            <w:tcW w:w="1049" w:type="dxa"/>
          </w:tcPr>
          <w:tcPr/>
          <w:p>
            <w:pPr>
              <w:pStyle w:val="Compact"/>
              <w:jc w:val="left"/>
            </w:pPr>
            <w:r>
              <w:t xml:space="preserve">—</w:t>
            </w:r>
          </w:p>
        </w:tc>
      </w:tr>
      <w:tr>
        <w:tc>
          <w:tcPr>
            <w:tcW w:w="4712" w:type="dxa"/>
          </w:tcPr>
          <w:tcPr/>
          <w:p>
            <w:pPr>
              <w:pStyle w:val="Compact"/>
              <w:jc w:val="left"/>
            </w:pPr>
            <w:r>
              <w:t xml:space="preserve">Résultat net / EBITDA des DisCos, TCN, NBET</w:t>
            </w:r>
          </w:p>
        </w:tc>
        <w:tc>
          <w:tcPr>
            <w:tcW w:w="6735" w:type="dxa"/>
          </w:tcPr>
          <w:tcPr/>
          <w:p>
            <w:pPr>
              <w:pStyle w:val="Compact"/>
              <w:jc w:val="left"/>
            </w:pPr>
            <w:r>
              <w:t xml:space="preserve">[?] non trouvé (pas de comptes consolidés accessibles)</w:t>
            </w:r>
          </w:p>
        </w:tc>
        <w:tc>
          <w:tcPr>
            <w:tcW w:w="997" w:type="dxa"/>
          </w:tcPr>
          <w:tcPr/>
          <w:p>
            <w:pPr>
              <w:pStyle w:val="Compact"/>
              <w:jc w:val="left"/>
            </w:pPr>
            <w:r>
              <w:t xml:space="preserve">—</w:t>
            </w:r>
          </w:p>
        </w:tc>
        <w:tc>
          <w:tcPr>
            <w:tcW w:w="1075" w:type="dxa"/>
          </w:tcPr>
          <w:tcPr/>
          <w:p>
            <w:pPr>
              <w:pStyle w:val="Compact"/>
              <w:jc w:val="left"/>
            </w:pPr>
            <w:r>
              <w:t xml:space="preserve">[?]</w:t>
            </w:r>
          </w:p>
        </w:tc>
        <w:tc>
          <w:tcPr>
            <w:tcW w:w="1049" w:type="dxa"/>
          </w:tcPr>
          <w:tcPr/>
          <w:p>
            <w:pPr>
              <w:pStyle w:val="Compact"/>
              <w:jc w:val="left"/>
            </w:pPr>
            <w:r>
              <w:t xml:space="preserve">—</w:t>
            </w:r>
          </w:p>
        </w:tc>
      </w:tr>
      <w:tr>
        <w:tc>
          <w:tcPr>
            <w:tcW w:w="4712" w:type="dxa"/>
          </w:tcPr>
          <w:tcPr/>
          <w:p>
            <w:pPr>
              <w:pStyle w:val="Compact"/>
              <w:jc w:val="left"/>
            </w:pPr>
            <w:r>
              <w:t xml:space="preserve">Recette moyenne vs coût par kWh</w:t>
            </w:r>
          </w:p>
        </w:tc>
        <w:tc>
          <w:tcPr>
            <w:tcW w:w="6735" w:type="dxa"/>
          </w:tcPr>
          <w:tcPr/>
          <w:p>
            <w:pPr>
              <w:pStyle w:val="Compact"/>
              <w:jc w:val="left"/>
            </w:pPr>
            <w:r>
              <w:t xml:space="preserve">[?] non trouvé en données primaires agrégées (NERC : tarifs gelés au niveau de juillet 2024 pour les bandes B-E en 2025)</w:t>
            </w:r>
          </w:p>
        </w:tc>
        <w:tc>
          <w:tcPr>
            <w:tcW w:w="997" w:type="dxa"/>
          </w:tcPr>
          <w:tcPr/>
          <w:p>
            <w:pPr>
              <w:pStyle w:val="Compact"/>
              <w:jc w:val="left"/>
            </w:pPr>
            <w:r>
              <w:t xml:space="preserve">2025</w:t>
            </w:r>
          </w:p>
        </w:tc>
        <w:tc>
          <w:tcPr>
            <w:tcW w:w="1075" w:type="dxa"/>
          </w:tcPr>
          <w:tcPr/>
          <w:p>
            <w:pPr>
              <w:pStyle w:val="Compact"/>
              <w:jc w:val="left"/>
            </w:pPr>
            <w:r>
              <w:t xml:space="preserve">[V] (gel)</w:t>
            </w:r>
          </w:p>
        </w:tc>
        <w:tc>
          <w:tcPr>
            <w:tcW w:w="1049" w:type="dxa"/>
          </w:tcPr>
          <w:tcPr/>
          <w:p>
            <w:pPr>
              <w:pStyle w:val="Compact"/>
              <w:jc w:val="left"/>
            </w:pPr>
            <w:r>
              <w:t xml:space="preserve">[2]</w:t>
            </w:r>
          </w:p>
        </w:tc>
      </w:tr>
      <w:tr>
        <w:tc>
          <w:tcPr>
            <w:tcW w:w="4712" w:type="dxa"/>
          </w:tcPr>
          <w:tcPr/>
          <w:p>
            <w:pPr>
              <w:pStyle w:val="Compact"/>
              <w:jc w:val="left"/>
            </w:pPr>
            <w:r>
              <w:t xml:space="preserve">Notation de crédit</w:t>
            </w:r>
          </w:p>
        </w:tc>
        <w:tc>
          <w:tcPr>
            <w:tcW w:w="6735" w:type="dxa"/>
          </w:tcPr>
          <w:tcPr/>
          <w:p>
            <w:pPr>
              <w:pStyle w:val="Compact"/>
              <w:jc w:val="left"/>
            </w:pPr>
            <w:r>
              <w:t xml:space="preserve">[?] non trouvé</w:t>
            </w:r>
          </w:p>
        </w:tc>
        <w:tc>
          <w:tcPr>
            <w:tcW w:w="997" w:type="dxa"/>
          </w:tcPr>
          <w:tcPr/>
          <w:p>
            <w:pPr>
              <w:pStyle w:val="Compact"/>
              <w:jc w:val="left"/>
            </w:pPr>
            <w:r>
              <w:t xml:space="preserve">—</w:t>
            </w:r>
          </w:p>
        </w:tc>
        <w:tc>
          <w:tcPr>
            <w:tcW w:w="1075" w:type="dxa"/>
          </w:tcPr>
          <w:tcPr/>
          <w:p>
            <w:pPr>
              <w:pStyle w:val="Compact"/>
              <w:jc w:val="left"/>
            </w:pPr>
            <w:r>
              <w:t xml:space="preserve">[?]</w:t>
            </w:r>
          </w:p>
        </w:tc>
        <w:tc>
          <w:tcPr>
            <w:tcW w:w="1049" w:type="dxa"/>
          </w:tcPr>
          <w:tcPr/>
          <w:p>
            <w:pPr>
              <w:pStyle w:val="Compact"/>
              <w:jc w:val="left"/>
            </w:pPr>
            <w:r>
              <w:t xml:space="preserve">—</w:t>
            </w:r>
          </w:p>
        </w:tc>
      </w:tr>
    </w:tbl>
    <w:bookmarkEnd w:id="294"/>
    <w:bookmarkStart w:id="295" w:name="situation-technique-25"/>
    <w:p>
      <w:pPr>
        <w:pStyle w:val="Heading3"/>
      </w:pPr>
      <w:r>
        <w:t xml:space="preserve">2. Situation technique</w:t>
      </w:r>
    </w:p>
    <w:tbl>
      <w:tblPr>
        <w:tblStyle w:val="Table"/>
        <w:tblW w:type="dxa" w:w="14570"/>
        <w:tblLook w:firstRow="1" w:lastRow="0" w:firstColumn="0" w:lastColumn="0" w:noHBand="0" w:noVBand="0" w:val="0020"/>
        <w:jc w:val="start"/>
      </w:tblPr>
      <w:tblGrid>
        <w:gridCol w:w="4362"/>
        <w:gridCol w:w="6493"/>
        <w:gridCol w:w="1304"/>
        <w:gridCol w:w="1124"/>
        <w:gridCol w:w="1285"/>
      </w:tblGrid>
      <w:tr>
        <w:trPr>
          <w:tblHeader w:val="true"/>
        </w:trPr>
        <w:tc>
          <w:tcPr>
            <w:tcW w:w="4362" w:type="dxa"/>
          </w:tcPr>
          <w:tcPr/>
          <w:p>
            <w:pPr>
              <w:pStyle w:val="Compact"/>
              <w:jc w:val="left"/>
            </w:pPr>
            <w:r>
              <w:t xml:space="preserve">Indicateur</w:t>
            </w:r>
          </w:p>
        </w:tc>
        <w:tc>
          <w:tcPr>
            <w:tcW w:w="6493" w:type="dxa"/>
          </w:tcPr>
          <w:tcPr/>
          <w:p>
            <w:pPr>
              <w:pStyle w:val="Compact"/>
              <w:jc w:val="left"/>
            </w:pPr>
            <w:r>
              <w:t xml:space="preserve">Valeur</w:t>
            </w:r>
          </w:p>
        </w:tc>
        <w:tc>
          <w:tcPr>
            <w:tcW w:w="1304" w:type="dxa"/>
          </w:tcPr>
          <w:tcPr/>
          <w:p>
            <w:pPr>
              <w:pStyle w:val="Compact"/>
              <w:jc w:val="left"/>
            </w:pPr>
            <w:r>
              <w:t xml:space="preserve">Année</w:t>
            </w:r>
          </w:p>
        </w:tc>
        <w:tc>
          <w:tcPr>
            <w:tcW w:w="1124" w:type="dxa"/>
          </w:tcPr>
          <w:tcPr/>
          <w:p>
            <w:pPr>
              <w:pStyle w:val="Compact"/>
              <w:jc w:val="left"/>
            </w:pPr>
            <w:r>
              <w:t xml:space="preserve">Statut</w:t>
            </w:r>
          </w:p>
        </w:tc>
        <w:tc>
          <w:tcPr>
            <w:tcW w:w="1285" w:type="dxa"/>
          </w:tcPr>
          <w:tcPr/>
          <w:p>
            <w:pPr>
              <w:pStyle w:val="Compact"/>
              <w:jc w:val="left"/>
            </w:pPr>
            <w:r>
              <w:t xml:space="preserve">Source</w:t>
            </w:r>
          </w:p>
        </w:tc>
      </w:tr>
      <w:tr>
        <w:tc>
          <w:tcPr>
            <w:tcW w:w="4362" w:type="dxa"/>
          </w:tcPr>
          <w:tcPr/>
          <w:p>
            <w:pPr>
              <w:pStyle w:val="Compact"/>
              <w:jc w:val="left"/>
            </w:pPr>
            <w:r>
              <w:t xml:space="preserve">Capacité disponible moyenne (réseau)</w:t>
            </w:r>
          </w:p>
        </w:tc>
        <w:tc>
          <w:tcPr>
            <w:tcW w:w="6493" w:type="dxa"/>
          </w:tcPr>
          <w:tcPr/>
          <w:p>
            <w:pPr>
              <w:pStyle w:val="Compact"/>
              <w:jc w:val="left"/>
            </w:pPr>
            <w:r>
              <w:t xml:space="preserve">5 395,72 MW (T2) ; 5 400,38 MW (T4)</w:t>
            </w:r>
          </w:p>
        </w:tc>
        <w:tc>
          <w:tcPr>
            <w:tcW w:w="1304" w:type="dxa"/>
          </w:tcPr>
          <w:tcPr/>
          <w:p>
            <w:pPr>
              <w:pStyle w:val="Compact"/>
              <w:jc w:val="left"/>
            </w:pPr>
            <w:r>
              <w:t xml:space="preserve">2025</w:t>
            </w:r>
          </w:p>
        </w:tc>
        <w:tc>
          <w:tcPr>
            <w:tcW w:w="1124" w:type="dxa"/>
          </w:tcPr>
          <w:tcPr/>
          <w:p>
            <w:pPr>
              <w:pStyle w:val="Compact"/>
              <w:jc w:val="left"/>
            </w:pPr>
            <w:r>
              <w:t xml:space="preserve">[V]</w:t>
            </w:r>
          </w:p>
        </w:tc>
        <w:tc>
          <w:tcPr>
            <w:tcW w:w="1285" w:type="dxa"/>
          </w:tcPr>
          <w:tcPr/>
          <w:p>
            <w:pPr>
              <w:pStyle w:val="Compact"/>
              <w:jc w:val="left"/>
            </w:pPr>
            <w:r>
              <w:t xml:space="preserve">[2][3]</w:t>
            </w:r>
          </w:p>
        </w:tc>
      </w:tr>
      <w:tr>
        <w:tc>
          <w:tcPr>
            <w:tcW w:w="4362" w:type="dxa"/>
          </w:tcPr>
          <w:tcPr/>
          <w:p>
            <w:pPr>
              <w:pStyle w:val="Compact"/>
              <w:jc w:val="left"/>
            </w:pPr>
            <w:r>
              <w:t xml:space="preserve">Facteur de disponibilité des centrales</w:t>
            </w:r>
          </w:p>
        </w:tc>
        <w:tc>
          <w:tcPr>
            <w:tcW w:w="6493" w:type="dxa"/>
          </w:tcPr>
          <w:tcPr/>
          <w:p>
            <w:pPr>
              <w:pStyle w:val="Compact"/>
              <w:jc w:val="left"/>
            </w:pPr>
            <w:r>
              <w:t xml:space="preserve">39,60 % (T2) : 60 % de la capacité installée des 28 centrales indisponible</w:t>
            </w:r>
          </w:p>
        </w:tc>
        <w:tc>
          <w:tcPr>
            <w:tcW w:w="1304" w:type="dxa"/>
          </w:tcPr>
          <w:tcPr/>
          <w:p>
            <w:pPr>
              <w:pStyle w:val="Compact"/>
              <w:jc w:val="left"/>
            </w:pPr>
            <w:r>
              <w:t xml:space="preserve">2025</w:t>
            </w:r>
          </w:p>
        </w:tc>
        <w:tc>
          <w:tcPr>
            <w:tcW w:w="1124" w:type="dxa"/>
          </w:tcPr>
          <w:tcPr/>
          <w:p>
            <w:pPr>
              <w:pStyle w:val="Compact"/>
              <w:jc w:val="left"/>
            </w:pPr>
            <w:r>
              <w:t xml:space="preserve">[V]</w:t>
            </w:r>
          </w:p>
        </w:tc>
        <w:tc>
          <w:tcPr>
            <w:tcW w:w="1285" w:type="dxa"/>
          </w:tcPr>
          <w:tcPr/>
          <w:p>
            <w:pPr>
              <w:pStyle w:val="Compact"/>
              <w:jc w:val="left"/>
            </w:pPr>
            <w:r>
              <w:t xml:space="preserve">[2]</w:t>
            </w:r>
          </w:p>
        </w:tc>
      </w:tr>
      <w:tr>
        <w:tc>
          <w:tcPr>
            <w:tcW w:w="4362" w:type="dxa"/>
          </w:tcPr>
          <w:tcPr/>
          <w:p>
            <w:pPr>
              <w:pStyle w:val="Compact"/>
              <w:jc w:val="left"/>
            </w:pPr>
            <w:r>
              <w:t xml:space="preserve">Production horaire moyenne</w:t>
            </w:r>
          </w:p>
        </w:tc>
        <w:tc>
          <w:tcPr>
            <w:tcW w:w="6493" w:type="dxa"/>
          </w:tcPr>
          <w:tcPr/>
          <w:p>
            <w:pPr>
              <w:pStyle w:val="Compact"/>
              <w:jc w:val="left"/>
            </w:pPr>
            <w:r>
              <w:t xml:space="preserve">4 501 MWh/h (T2)</w:t>
            </w:r>
          </w:p>
        </w:tc>
        <w:tc>
          <w:tcPr>
            <w:tcW w:w="1304" w:type="dxa"/>
          </w:tcPr>
          <w:tcPr/>
          <w:p>
            <w:pPr>
              <w:pStyle w:val="Compact"/>
              <w:jc w:val="left"/>
            </w:pPr>
            <w:r>
              <w:t xml:space="preserve">2025</w:t>
            </w:r>
          </w:p>
        </w:tc>
        <w:tc>
          <w:tcPr>
            <w:tcW w:w="1124" w:type="dxa"/>
          </w:tcPr>
          <w:tcPr/>
          <w:p>
            <w:pPr>
              <w:pStyle w:val="Compact"/>
              <w:jc w:val="left"/>
            </w:pPr>
            <w:r>
              <w:t xml:space="preserve">[V]</w:t>
            </w:r>
          </w:p>
        </w:tc>
        <w:tc>
          <w:tcPr>
            <w:tcW w:w="1285" w:type="dxa"/>
          </w:tcPr>
          <w:tcPr/>
          <w:p>
            <w:pPr>
              <w:pStyle w:val="Compact"/>
              <w:jc w:val="left"/>
            </w:pPr>
            <w:r>
              <w:t xml:space="preserve">[2]</w:t>
            </w:r>
          </w:p>
        </w:tc>
      </w:tr>
      <w:tr>
        <w:tc>
          <w:tcPr>
            <w:tcW w:w="4362" w:type="dxa"/>
          </w:tcPr>
          <w:tcPr/>
          <w:p>
            <w:pPr>
              <w:pStyle w:val="Compact"/>
              <w:jc w:val="left"/>
            </w:pPr>
            <w:r>
              <w:t xml:space="preserve">Énergie reçue vs facturée (DisCos)</w:t>
            </w:r>
          </w:p>
        </w:tc>
        <w:tc>
          <w:tcPr>
            <w:tcW w:w="6493" w:type="dxa"/>
          </w:tcPr>
          <w:tcPr/>
          <w:p>
            <w:pPr>
              <w:pStyle w:val="Compact"/>
              <w:jc w:val="left"/>
            </w:pPr>
            <w:r>
              <w:t xml:space="preserve">7 824 GWh reçus / 6 450 GWh facturés (efficacité comptable 82,4 %)</w:t>
            </w:r>
          </w:p>
        </w:tc>
        <w:tc>
          <w:tcPr>
            <w:tcW w:w="1304" w:type="dxa"/>
          </w:tcPr>
          <w:tcPr/>
          <w:p>
            <w:pPr>
              <w:pStyle w:val="Compact"/>
              <w:jc w:val="left"/>
            </w:pPr>
            <w:r>
              <w:t xml:space="preserve">T2 2025</w:t>
            </w:r>
          </w:p>
        </w:tc>
        <w:tc>
          <w:tcPr>
            <w:tcW w:w="1124" w:type="dxa"/>
          </w:tcPr>
          <w:tcPr/>
          <w:p>
            <w:pPr>
              <w:pStyle w:val="Compact"/>
              <w:jc w:val="left"/>
            </w:pPr>
            <w:r>
              <w:t xml:space="preserve">[V]</w:t>
            </w:r>
          </w:p>
        </w:tc>
        <w:tc>
          <w:tcPr>
            <w:tcW w:w="1285" w:type="dxa"/>
          </w:tcPr>
          <w:tcPr/>
          <w:p>
            <w:pPr>
              <w:pStyle w:val="Compact"/>
              <w:jc w:val="left"/>
            </w:pPr>
            <w:r>
              <w:t xml:space="preserve">[2]</w:t>
            </w:r>
          </w:p>
        </w:tc>
      </w:tr>
      <w:tr>
        <w:tc>
          <w:tcPr>
            <w:tcW w:w="4362" w:type="dxa"/>
          </w:tcPr>
          <w:tcPr/>
          <w:p>
            <w:pPr>
              <w:pStyle w:val="Compact"/>
              <w:jc w:val="left"/>
            </w:pPr>
            <w:r>
              <w:t xml:space="preserve">Pertes techniques et commerciales (part de l’ATC&amp;C)</w:t>
            </w:r>
          </w:p>
        </w:tc>
        <w:tc>
          <w:tcPr>
            <w:tcW w:w="6493" w:type="dxa"/>
          </w:tcPr>
          <w:tcPr/>
          <w:p>
            <w:pPr>
              <w:pStyle w:val="Compact"/>
              <w:jc w:val="left"/>
            </w:pPr>
            <w:r>
              <w:t xml:space="preserve">18,39 % (T2) ; 17,97 % (T4)</w:t>
            </w:r>
          </w:p>
        </w:tc>
        <w:tc>
          <w:tcPr>
            <w:tcW w:w="1304" w:type="dxa"/>
          </w:tcPr>
          <w:tcPr/>
          <w:p>
            <w:pPr>
              <w:pStyle w:val="Compact"/>
              <w:jc w:val="left"/>
            </w:pPr>
            <w:r>
              <w:t xml:space="preserve">2025</w:t>
            </w:r>
          </w:p>
        </w:tc>
        <w:tc>
          <w:tcPr>
            <w:tcW w:w="1124" w:type="dxa"/>
          </w:tcPr>
          <w:tcPr/>
          <w:p>
            <w:pPr>
              <w:pStyle w:val="Compact"/>
              <w:jc w:val="left"/>
            </w:pPr>
            <w:r>
              <w:t xml:space="preserve">[V]</w:t>
            </w:r>
          </w:p>
        </w:tc>
        <w:tc>
          <w:tcPr>
            <w:tcW w:w="1285" w:type="dxa"/>
          </w:tcPr>
          <w:tcPr/>
          <w:p>
            <w:pPr>
              <w:pStyle w:val="Compact"/>
              <w:jc w:val="left"/>
            </w:pPr>
            <w:r>
              <w:t xml:space="preserve">[2][3]</w:t>
            </w:r>
          </w:p>
        </w:tc>
      </w:tr>
      <w:tr>
        <w:tc>
          <w:tcPr>
            <w:tcW w:w="4362" w:type="dxa"/>
          </w:tcPr>
          <w:tcPr/>
          <w:p>
            <w:pPr>
              <w:pStyle w:val="Compact"/>
              <w:jc w:val="left"/>
            </w:pPr>
            <w:r>
              <w:t xml:space="preserve">Clients actifs ; taux de comptage</w:t>
            </w:r>
          </w:p>
        </w:tc>
        <w:tc>
          <w:tcPr>
            <w:tcW w:w="6493" w:type="dxa"/>
          </w:tcPr>
          <w:tcPr/>
          <w:p>
            <w:pPr>
              <w:pStyle w:val="Compact"/>
              <w:jc w:val="left"/>
            </w:pPr>
            <w:r>
              <w:t xml:space="preserve">11,82 M clients, 54,33 % comptés (juin 2025) ; 12,16 M clients, 6,97 M comptés = 57,27 % (déc. 2025)</w:t>
            </w:r>
          </w:p>
        </w:tc>
        <w:tc>
          <w:tcPr>
            <w:tcW w:w="1304" w:type="dxa"/>
          </w:tcPr>
          <w:tcPr/>
          <w:p>
            <w:pPr>
              <w:pStyle w:val="Compact"/>
              <w:jc w:val="left"/>
            </w:pPr>
            <w:r>
              <w:t xml:space="preserve">2025</w:t>
            </w:r>
          </w:p>
        </w:tc>
        <w:tc>
          <w:tcPr>
            <w:tcW w:w="1124" w:type="dxa"/>
          </w:tcPr>
          <w:tcPr/>
          <w:p>
            <w:pPr>
              <w:pStyle w:val="Compact"/>
              <w:jc w:val="left"/>
            </w:pPr>
            <w:r>
              <w:t xml:space="preserve">[V]</w:t>
            </w:r>
          </w:p>
        </w:tc>
        <w:tc>
          <w:tcPr>
            <w:tcW w:w="1285" w:type="dxa"/>
          </w:tcPr>
          <w:tcPr/>
          <w:p>
            <w:pPr>
              <w:pStyle w:val="Compact"/>
              <w:jc w:val="left"/>
            </w:pPr>
            <w:r>
              <w:t xml:space="preserve">[2][3]</w:t>
            </w:r>
          </w:p>
        </w:tc>
      </w:tr>
      <w:tr>
        <w:tc>
          <w:tcPr>
            <w:tcW w:w="4362" w:type="dxa"/>
          </w:tcPr>
          <w:tcPr/>
          <w:p>
            <w:pPr>
              <w:pStyle w:val="Compact"/>
              <w:jc w:val="left"/>
            </w:pPr>
            <w:r>
              <w:t xml:space="preserve">Compteurs posés</w:t>
            </w:r>
          </w:p>
        </w:tc>
        <w:tc>
          <w:tcPr>
            <w:tcW w:w="6493" w:type="dxa"/>
          </w:tcPr>
          <w:tcPr/>
          <w:p>
            <w:pPr>
              <w:pStyle w:val="Compact"/>
              <w:jc w:val="left"/>
            </w:pPr>
            <w:r>
              <w:t xml:space="preserve">225 631 (T2 2025) ; contrats DISREP pour 1,44 M compteurs intelligents signés en sept. 2024</w:t>
            </w:r>
          </w:p>
        </w:tc>
        <w:tc>
          <w:tcPr>
            <w:tcW w:w="1304" w:type="dxa"/>
          </w:tcPr>
          <w:tcPr/>
          <w:p>
            <w:pPr>
              <w:pStyle w:val="Compact"/>
              <w:jc w:val="left"/>
            </w:pPr>
            <w:r>
              <w:t xml:space="preserve">2024-2025</w:t>
            </w:r>
          </w:p>
        </w:tc>
        <w:tc>
          <w:tcPr>
            <w:tcW w:w="1124" w:type="dxa"/>
          </w:tcPr>
          <w:tcPr/>
          <w:p>
            <w:pPr>
              <w:pStyle w:val="Compact"/>
              <w:jc w:val="left"/>
            </w:pPr>
            <w:r>
              <w:t xml:space="preserve">[V]</w:t>
            </w:r>
          </w:p>
        </w:tc>
        <w:tc>
          <w:tcPr>
            <w:tcW w:w="1285" w:type="dxa"/>
          </w:tcPr>
          <w:tcPr/>
          <w:p>
            <w:pPr>
              <w:pStyle w:val="Compact"/>
              <w:jc w:val="left"/>
            </w:pPr>
            <w:r>
              <w:t xml:space="preserve">[2][5]</w:t>
            </w:r>
          </w:p>
        </w:tc>
      </w:tr>
      <w:tr>
        <w:tc>
          <w:tcPr>
            <w:tcW w:w="4362" w:type="dxa"/>
          </w:tcPr>
          <w:tcPr/>
          <w:p>
            <w:pPr>
              <w:pStyle w:val="Compact"/>
              <w:jc w:val="left"/>
            </w:pPr>
            <w:r>
              <w:t xml:space="preserve">Incidents réseau national</w:t>
            </w:r>
          </w:p>
        </w:tc>
        <w:tc>
          <w:tcPr>
            <w:tcW w:w="6493" w:type="dxa"/>
          </w:tcPr>
          <w:tcPr/>
          <w:p>
            <w:pPr>
              <w:pStyle w:val="Compact"/>
              <w:jc w:val="left"/>
            </w:pPr>
            <w:r>
              <w:t xml:space="preserve">Aucun incident (T2 2025) ; 1 incident (T4 2025)</w:t>
            </w:r>
          </w:p>
        </w:tc>
        <w:tc>
          <w:tcPr>
            <w:tcW w:w="1304" w:type="dxa"/>
          </w:tcPr>
          <w:tcPr/>
          <w:p>
            <w:pPr>
              <w:pStyle w:val="Compact"/>
              <w:jc w:val="left"/>
            </w:pPr>
            <w:r>
              <w:t xml:space="preserve">2025</w:t>
            </w:r>
          </w:p>
        </w:tc>
        <w:tc>
          <w:tcPr>
            <w:tcW w:w="1124" w:type="dxa"/>
          </w:tcPr>
          <w:tcPr/>
          <w:p>
            <w:pPr>
              <w:pStyle w:val="Compact"/>
              <w:jc w:val="left"/>
            </w:pPr>
            <w:r>
              <w:t xml:space="preserve">[V]</w:t>
            </w:r>
          </w:p>
        </w:tc>
        <w:tc>
          <w:tcPr>
            <w:tcW w:w="1285" w:type="dxa"/>
          </w:tcPr>
          <w:tcPr/>
          <w:p>
            <w:pPr>
              <w:pStyle w:val="Compact"/>
              <w:jc w:val="left"/>
            </w:pPr>
            <w:r>
              <w:t xml:space="preserve">[2][3]</w:t>
            </w:r>
          </w:p>
        </w:tc>
      </w:tr>
      <w:tr>
        <w:tc>
          <w:tcPr>
            <w:tcW w:w="4362" w:type="dxa"/>
          </w:tcPr>
          <w:tcPr/>
          <w:p>
            <w:pPr>
              <w:pStyle w:val="Compact"/>
              <w:jc w:val="left"/>
            </w:pPr>
            <w:r>
              <w:t xml:space="preserve">SAIDI / SAIFI</w:t>
            </w:r>
          </w:p>
        </w:tc>
        <w:tc>
          <w:tcPr>
            <w:tcW w:w="6493" w:type="dxa"/>
          </w:tcPr>
          <w:tcPr/>
          <w:p>
            <w:pPr>
              <w:pStyle w:val="Compact"/>
              <w:jc w:val="left"/>
            </w:pPr>
            <w:r>
              <w:t xml:space="preserve">[?] non trouvé</w:t>
            </w:r>
          </w:p>
        </w:tc>
        <w:tc>
          <w:tcPr>
            <w:tcW w:w="1304" w:type="dxa"/>
          </w:tcPr>
          <w:tcPr/>
          <w:p>
            <w:pPr>
              <w:pStyle w:val="Compact"/>
              <w:jc w:val="left"/>
            </w:pPr>
            <w:r>
              <w:t xml:space="preserve">—</w:t>
            </w:r>
          </w:p>
        </w:tc>
        <w:tc>
          <w:tcPr>
            <w:tcW w:w="1124" w:type="dxa"/>
          </w:tcPr>
          <w:tcPr/>
          <w:p>
            <w:pPr>
              <w:pStyle w:val="Compact"/>
              <w:jc w:val="left"/>
            </w:pPr>
            <w:r>
              <w:t xml:space="preserve">[?]</w:t>
            </w:r>
          </w:p>
        </w:tc>
        <w:tc>
          <w:tcPr>
            <w:tcW w:w="1285" w:type="dxa"/>
          </w:tcPr>
          <w:tcPr/>
          <w:p>
            <w:pPr>
              <w:pStyle w:val="Compact"/>
              <w:jc w:val="left"/>
            </w:pPr>
            <w:r>
              <w:t xml:space="preserve">—</w:t>
            </w:r>
          </w:p>
        </w:tc>
      </w:tr>
      <w:tr>
        <w:tc>
          <w:tcPr>
            <w:tcW w:w="4362" w:type="dxa"/>
          </w:tcPr>
          <w:tcPr/>
          <w:p>
            <w:pPr>
              <w:pStyle w:val="Compact"/>
              <w:jc w:val="left"/>
            </w:pPr>
            <w:r>
              <w:t xml:space="preserve">Mix</w:t>
            </w:r>
          </w:p>
        </w:tc>
        <w:tc>
          <w:tcPr>
            <w:tcW w:w="6493" w:type="dxa"/>
          </w:tcPr>
          <w:tcPr/>
          <w:p>
            <w:pPr>
              <w:pStyle w:val="Compact"/>
              <w:jc w:val="left"/>
            </w:pPr>
            <w:r>
              <w:t xml:space="preserve">79 % thermique (gaz), reste hydro (pacte)</w:t>
            </w:r>
          </w:p>
        </w:tc>
        <w:tc>
          <w:tcPr>
            <w:tcW w:w="1304" w:type="dxa"/>
          </w:tcPr>
          <w:tcPr/>
          <w:p>
            <w:pPr>
              <w:pStyle w:val="Compact"/>
              <w:jc w:val="left"/>
            </w:pPr>
            <w:r>
              <w:t xml:space="preserve">2024</w:t>
            </w:r>
          </w:p>
        </w:tc>
        <w:tc>
          <w:tcPr>
            <w:tcW w:w="1124" w:type="dxa"/>
          </w:tcPr>
          <w:tcPr/>
          <w:p>
            <w:pPr>
              <w:pStyle w:val="Compact"/>
              <w:jc w:val="left"/>
            </w:pPr>
            <w:r>
              <w:t xml:space="preserve">(pacte)</w:t>
            </w:r>
          </w:p>
        </w:tc>
        <w:tc>
          <w:tcPr>
            <w:tcW w:w="1285" w:type="dxa"/>
          </w:tcPr>
          <w:tcPr/>
          <w:p>
            <w:pPr>
              <w:pStyle w:val="Compact"/>
              <w:jc w:val="left"/>
            </w:pPr>
            <w:r>
              <w:t xml:space="preserve">[1]</w:t>
            </w:r>
          </w:p>
        </w:tc>
      </w:tr>
    </w:tbl>
    <w:bookmarkEnd w:id="295"/>
    <w:bookmarkStart w:id="296" w:name="situation-économique-et-gouvernance-25"/>
    <w:p>
      <w:pPr>
        <w:pStyle w:val="Heading3"/>
      </w:pPr>
      <w:r>
        <w:t xml:space="preserve">3. Situation économique et gouvernance</w:t>
      </w:r>
    </w:p>
    <w:p>
      <w:pPr>
        <w:numPr>
          <w:ilvl w:val="0"/>
          <w:numId w:val="1160"/>
        </w:numPr>
        <w:pStyle w:val="Compact"/>
      </w:pPr>
      <w:r>
        <w:t xml:space="preserve">PPA : NBET est contrepartie des PPA hérités ; sous le régime DRO (Distribution Remittance Obligation, en vigueur depuis janvier 2024), NBET ne facture aux DisCos que la part couverte par les tarifs autorisés et facture directement la différence (subvention) au ministère fédéral des Finances [2] [V]. Le défaut de paiement de cette subvention reporte le déficit sur les GenCos et les fournisseurs de gaz [6][7] [S].</w:t>
      </w:r>
    </w:p>
    <w:p>
      <w:pPr>
        <w:numPr>
          <w:ilvl w:val="0"/>
          <w:numId w:val="1160"/>
        </w:numPr>
        <w:pStyle w:val="Compact"/>
      </w:pPr>
      <w:r>
        <w:t xml:space="preserve">Change / combustible : coûts de production indexés sur le prix du gaz en dollars et le taux de change ; le coût de production réel (NGN/kWh) progresse alors que les tarifs finals restent gelés [2] [V].</w:t>
      </w:r>
    </w:p>
    <w:p>
      <w:pPr>
        <w:numPr>
          <w:ilvl w:val="0"/>
          <w:numId w:val="1160"/>
        </w:numPr>
        <w:pStyle w:val="Compact"/>
      </w:pPr>
      <w:r>
        <w:t xml:space="preserve">Plans en vigueur : Performance Improvement Plans des DisCos et PIP 2024-26 de TCN (pacte) ; programme DISREP recentré sur le comptage [5] [V] ; hausse de la part d’énergie allouée aux clients Band A de 40 % à 45 % au T4 2025, principal facteur de baisse de la subvention [3] [V].</w:t>
      </w:r>
    </w:p>
    <w:p>
      <w:pPr>
        <w:numPr>
          <w:ilvl w:val="0"/>
          <w:numId w:val="1160"/>
        </w:numPr>
        <w:pStyle w:val="Compact"/>
      </w:pPr>
      <w:r>
        <w:t xml:space="preserve">Gouvernance : interventions NERC sur licences de DisCos défaillantes, gestion transitoire par équipes désignées par le BPE [4] [V] ; décentralisation réglementaire aux États [1] (pacte).</w:t>
      </w:r>
    </w:p>
    <w:bookmarkEnd w:id="296"/>
    <w:bookmarkStart w:id="297" w:name="X90c44ba8ddcf71823ebf16536cf3de9b536881d"/>
    <w:p>
      <w:pPr>
        <w:pStyle w:val="Heading3"/>
      </w:pPr>
      <w:r>
        <w:t xml:space="preserve">4. Programmes Banque mondiale et BAD (et autres) visant le secteur</w:t>
      </w:r>
    </w:p>
    <w:tbl>
      <w:tblPr>
        <w:tblStyle w:val="Table"/>
        <w:tblW w:type="dxa" w:w="14570"/>
        <w:tblLook w:firstRow="1" w:lastRow="0" w:firstColumn="0" w:lastColumn="0" w:noHBand="0" w:noVBand="0" w:val="0020"/>
        <w:jc w:val="start"/>
      </w:tblPr>
      <w:tblGrid>
        <w:gridCol w:w="3394"/>
        <w:gridCol w:w="834"/>
        <w:gridCol w:w="1609"/>
        <w:gridCol w:w="1232"/>
        <w:gridCol w:w="2733"/>
        <w:gridCol w:w="1795"/>
        <w:gridCol w:w="2275"/>
        <w:gridCol w:w="694"/>
      </w:tblGrid>
      <w:tr>
        <w:trPr>
          <w:tblHeader w:val="true"/>
        </w:trPr>
        <w:tc>
          <w:tcPr>
            <w:tcW w:w="3394" w:type="dxa"/>
          </w:tcPr>
          <w:tcPr/>
          <w:p>
            <w:pPr>
              <w:pStyle w:val="Compact"/>
              <w:jc w:val="left"/>
            </w:pPr>
            <w:r>
              <w:t xml:space="preserve">Programme / projet</w:t>
            </w:r>
          </w:p>
        </w:tc>
        <w:tc>
          <w:tcPr>
            <w:tcW w:w="834" w:type="dxa"/>
          </w:tcPr>
          <w:tcPr/>
          <w:p>
            <w:pPr>
              <w:pStyle w:val="Compact"/>
              <w:jc w:val="left"/>
            </w:pPr>
            <w:r>
              <w:t xml:space="preserve">Bailleur</w:t>
            </w:r>
          </w:p>
        </w:tc>
        <w:tc>
          <w:tcPr>
            <w:tcW w:w="1609" w:type="dxa"/>
          </w:tcPr>
          <w:tcPr/>
          <w:p>
            <w:pPr>
              <w:pStyle w:val="Compact"/>
              <w:jc w:val="left"/>
            </w:pPr>
            <w:r>
              <w:t xml:space="preserve">Montant</w:t>
            </w:r>
          </w:p>
        </w:tc>
        <w:tc>
          <w:tcPr>
            <w:tcW w:w="1232" w:type="dxa"/>
          </w:tcPr>
          <w:tcPr/>
          <w:p>
            <w:pPr>
              <w:pStyle w:val="Compact"/>
              <w:jc w:val="left"/>
            </w:pPr>
            <w:r>
              <w:t xml:space="preserve">Années</w:t>
            </w:r>
          </w:p>
        </w:tc>
        <w:tc>
          <w:tcPr>
            <w:tcW w:w="2733" w:type="dxa"/>
          </w:tcPr>
          <w:tcPr/>
          <w:p>
            <w:pPr>
              <w:pStyle w:val="Compact"/>
              <w:jc w:val="left"/>
            </w:pPr>
            <w:r>
              <w:t xml:space="preserve">Objectifs liés aux opérateurs</w:t>
            </w:r>
          </w:p>
        </w:tc>
        <w:tc>
          <w:tcPr>
            <w:tcW w:w="1795" w:type="dxa"/>
          </w:tcPr>
          <w:tcPr/>
          <w:p>
            <w:pPr>
              <w:pStyle w:val="Compact"/>
              <w:jc w:val="left"/>
            </w:pPr>
            <w:r>
              <w:t xml:space="preserve">Conditions / indicateurs</w:t>
            </w:r>
          </w:p>
        </w:tc>
        <w:tc>
          <w:tcPr>
            <w:tcW w:w="2275" w:type="dxa"/>
          </w:tcPr>
          <w:tcPr/>
          <w:p>
            <w:pPr>
              <w:pStyle w:val="Compact"/>
              <w:jc w:val="left"/>
            </w:pPr>
            <w:r>
              <w:t xml:space="preserve">Statut d’exécution</w:t>
            </w:r>
          </w:p>
        </w:tc>
        <w:tc>
          <w:tcPr>
            <w:tcW w:w="694" w:type="dxa"/>
          </w:tcPr>
          <w:tcPr/>
          <w:p>
            <w:pPr>
              <w:pStyle w:val="Compact"/>
              <w:jc w:val="left"/>
            </w:pPr>
            <w:r>
              <w:t xml:space="preserve">Source</w:t>
            </w:r>
          </w:p>
        </w:tc>
      </w:tr>
      <w:tr>
        <w:tc>
          <w:tcPr>
            <w:tcW w:w="3394" w:type="dxa"/>
          </w:tcPr>
          <w:tcPr/>
          <w:p>
            <w:pPr>
              <w:pStyle w:val="Compact"/>
              <w:jc w:val="left"/>
            </w:pPr>
            <w:r>
              <w:t xml:space="preserve">Power Sector Recovery Performance Based Operation (PSRO), P164001 + AF P174622</w:t>
            </w:r>
          </w:p>
        </w:tc>
        <w:tc>
          <w:tcPr>
            <w:tcW w:w="834" w:type="dxa"/>
          </w:tcPr>
          <w:tcPr/>
          <w:p>
            <w:pPr>
              <w:pStyle w:val="Compact"/>
              <w:jc w:val="left"/>
            </w:pPr>
            <w:r>
              <w:t xml:space="preserve">BM (IDA/BIRD)</w:t>
            </w:r>
          </w:p>
        </w:tc>
        <w:tc>
          <w:tcPr>
            <w:tcW w:w="1609" w:type="dxa"/>
          </w:tcPr>
          <w:tcPr/>
          <w:p>
            <w:pPr>
              <w:pStyle w:val="Compact"/>
              <w:jc w:val="left"/>
            </w:pPr>
            <w:r>
              <w:t xml:space="preserve">750 M USD + 750 M USD (AF 2023 : IDA 301 M + BIRD 449 M)</w:t>
            </w:r>
          </w:p>
        </w:tc>
        <w:tc>
          <w:tcPr>
            <w:tcW w:w="1232" w:type="dxa"/>
          </w:tcPr>
          <w:tcPr/>
          <w:p>
            <w:pPr>
              <w:pStyle w:val="Compact"/>
              <w:jc w:val="left"/>
            </w:pPr>
            <w:r>
              <w:t xml:space="preserve">2020-2027</w:t>
            </w:r>
          </w:p>
        </w:tc>
        <w:tc>
          <w:tcPr>
            <w:tcW w:w="2733" w:type="dxa"/>
          </w:tcPr>
          <w:tcPr/>
          <w:p>
            <w:pPr>
              <w:pStyle w:val="Compact"/>
              <w:jc w:val="left"/>
            </w:pPr>
            <w:r>
              <w:t xml:space="preserve">Viabilité financière du secteur, réduction du déficit tarifaire, discipline de paiement des DisCos</w:t>
            </w:r>
          </w:p>
        </w:tc>
        <w:tc>
          <w:tcPr>
            <w:tcW w:w="1795" w:type="dxa"/>
          </w:tcPr>
          <w:tcPr/>
          <w:p>
            <w:pPr>
              <w:pStyle w:val="Compact"/>
              <w:jc w:val="left"/>
            </w:pPr>
            <w:r>
              <w:t xml:space="preserve">Indicateurs : déficit tarifaire annuel → 0 (déc. 2026) ; tarifs ajustés selon les plans de financement PSRP (non atteint en juin 2024, « Yes » en déc. 2024) ; DisCos payant ≥ 90 % de leurs obligations NBET (76,5 % relevé) ; retrait des déficits tarifaires 2015-2019 des bilans des DisCos (fait)</w:t>
            </w:r>
          </w:p>
        </w:tc>
        <w:tc>
          <w:tcPr>
            <w:tcW w:w="2275" w:type="dxa"/>
          </w:tcPr>
          <w:tcPr/>
          <w:p>
            <w:pPr>
              <w:pStyle w:val="Compact"/>
              <w:jc w:val="left"/>
            </w:pPr>
            <w:r>
              <w:t xml:space="preserve">Notes : PDO « Moderately Unsatisfactory », exécution « Moderately Unsatisfactory », risque « High » (ISR mars 2025) ; 1re tranche décaissée à 97 %, AF quasiment non décaissée (BIRD 0,25 %)</w:t>
            </w:r>
          </w:p>
        </w:tc>
        <w:tc>
          <w:tcPr>
            <w:tcW w:w="694" w:type="dxa"/>
          </w:tcPr>
          <w:tcPr/>
          <w:p>
            <w:pPr>
              <w:pStyle w:val="Compact"/>
              <w:jc w:val="left"/>
            </w:pPr>
            <w:r>
              <w:t xml:space="preserve">[4]</w:t>
            </w:r>
          </w:p>
        </w:tc>
      </w:tr>
      <w:tr>
        <w:tc>
          <w:tcPr>
            <w:tcW w:w="3394" w:type="dxa"/>
          </w:tcPr>
          <w:tcPr/>
          <w:p>
            <w:pPr>
              <w:pStyle w:val="Compact"/>
              <w:jc w:val="left"/>
            </w:pPr>
            <w:r>
              <w:t xml:space="preserve">Nigeria Distribution Sector Recovery Program (DISREP), P172891</w:t>
            </w:r>
          </w:p>
        </w:tc>
        <w:tc>
          <w:tcPr>
            <w:tcW w:w="834" w:type="dxa"/>
          </w:tcPr>
          <w:tcPr/>
          <w:p>
            <w:pPr>
              <w:pStyle w:val="Compact"/>
              <w:jc w:val="left"/>
            </w:pPr>
            <w:r>
              <w:t xml:space="preserve">BM (BIRD)</w:t>
            </w:r>
          </w:p>
        </w:tc>
        <w:tc>
          <w:tcPr>
            <w:tcW w:w="1609" w:type="dxa"/>
          </w:tcPr>
          <w:tcPr/>
          <w:p>
            <w:pPr>
              <w:pStyle w:val="Compact"/>
              <w:jc w:val="left"/>
            </w:pPr>
            <w:r>
              <w:t xml:space="preserve">500 M USD (restructuré 50 % IPF / 50 % PforR)</w:t>
            </w:r>
          </w:p>
        </w:tc>
        <w:tc>
          <w:tcPr>
            <w:tcW w:w="1232" w:type="dxa"/>
          </w:tcPr>
          <w:tcPr/>
          <w:p>
            <w:pPr>
              <w:pStyle w:val="Compact"/>
              <w:jc w:val="left"/>
            </w:pPr>
            <w:r>
              <w:t xml:space="preserve">2021-2028 (clôture révisée 30/05/2028)</w:t>
            </w:r>
          </w:p>
        </w:tc>
        <w:tc>
          <w:tcPr>
            <w:tcW w:w="2733" w:type="dxa"/>
          </w:tcPr>
          <w:tcPr/>
          <w:p>
            <w:pPr>
              <w:pStyle w:val="Compact"/>
              <w:jc w:val="left"/>
            </w:pPr>
            <w:r>
              <w:t xml:space="preserve">Améliorer la performance financière et technique des DisCos</w:t>
            </w:r>
          </w:p>
        </w:tc>
        <w:tc>
          <w:tcPr>
            <w:tcW w:w="1795" w:type="dxa"/>
          </w:tcPr>
          <w:tcPr/>
          <w:p>
            <w:pPr>
              <w:pStyle w:val="Compact"/>
              <w:jc w:val="left"/>
            </w:pPr>
            <w:r>
              <w:t xml:space="preserve">Restructuration déc. 2024 : DLI réduits de 5 à 2 (pertes techniques ; 4 éléments du système d’information compteurs) ; accords de rétrocession PforR avec les DisCos à signer ; IVA contracté déc. 2024</w:t>
            </w:r>
          </w:p>
        </w:tc>
        <w:tc>
          <w:tcPr>
            <w:tcW w:w="2275" w:type="dxa"/>
          </w:tcPr>
          <w:tcPr/>
          <w:p>
            <w:pPr>
              <w:pStyle w:val="Compact"/>
              <w:jc w:val="left"/>
            </w:pPr>
            <w:r>
              <w:t xml:space="preserve">PDO et exécution « Moderately Unsatisfactory » ; 2,77 % décaissé (janv. 2025)</w:t>
            </w:r>
          </w:p>
        </w:tc>
        <w:tc>
          <w:tcPr>
            <w:tcW w:w="694" w:type="dxa"/>
          </w:tcPr>
          <w:tcPr/>
          <w:p>
            <w:pPr>
              <w:pStyle w:val="Compact"/>
              <w:jc w:val="left"/>
            </w:pPr>
            <w:r>
              <w:t xml:space="preserve">[5]</w:t>
            </w:r>
          </w:p>
        </w:tc>
      </w:tr>
      <w:tr>
        <w:tc>
          <w:tcPr>
            <w:tcW w:w="3394" w:type="dxa"/>
          </w:tcPr>
          <w:tcPr/>
          <w:p>
            <w:pPr>
              <w:pStyle w:val="Compact"/>
              <w:jc w:val="left"/>
            </w:pPr>
            <w:r>
              <w:t xml:space="preserve">NG-Electricity Transmission Project, P146330</w:t>
            </w:r>
          </w:p>
        </w:tc>
        <w:tc>
          <w:tcPr>
            <w:tcW w:w="834" w:type="dxa"/>
          </w:tcPr>
          <w:tcPr/>
          <w:p>
            <w:pPr>
              <w:pStyle w:val="Compact"/>
              <w:jc w:val="left"/>
            </w:pPr>
            <w:r>
              <w:t xml:space="preserve">BM (IDA)</w:t>
            </w:r>
          </w:p>
        </w:tc>
        <w:tc>
          <w:tcPr>
            <w:tcW w:w="1609" w:type="dxa"/>
          </w:tcPr>
          <w:tcPr/>
          <w:p>
            <w:pPr>
              <w:pStyle w:val="Compact"/>
              <w:jc w:val="left"/>
            </w:pPr>
            <w:r>
              <w:t xml:space="preserve">486 M USD</w:t>
            </w:r>
          </w:p>
        </w:tc>
        <w:tc>
          <w:tcPr>
            <w:tcW w:w="1232" w:type="dxa"/>
          </w:tcPr>
          <w:tcPr/>
          <w:p>
            <w:pPr>
              <w:pStyle w:val="Compact"/>
              <w:jc w:val="left"/>
            </w:pPr>
            <w:r>
              <w:t xml:space="preserve">2018-2025 (clôture révisée 30/06/2025)</w:t>
            </w:r>
          </w:p>
        </w:tc>
        <w:tc>
          <w:tcPr>
            <w:tcW w:w="2733" w:type="dxa"/>
          </w:tcPr>
          <w:tcPr/>
          <w:p>
            <w:pPr>
              <w:pStyle w:val="Compact"/>
              <w:jc w:val="left"/>
            </w:pPr>
            <w:r>
              <w:t xml:space="preserve">Capacité et fiabilité du réseau TCN (dont SCADA)</w:t>
            </w:r>
          </w:p>
        </w:tc>
        <w:tc>
          <w:tcPr>
            <w:tcW w:w="1795" w:type="dxa"/>
          </w:tcPr>
          <w:tcPr/>
          <w:p>
            <w:pPr>
              <w:pStyle w:val="Compact"/>
              <w:jc w:val="left"/>
            </w:pPr>
            <w:r>
              <w:t xml:space="preserve">—</w:t>
            </w:r>
          </w:p>
        </w:tc>
        <w:tc>
          <w:tcPr>
            <w:tcW w:w="2275" w:type="dxa"/>
          </w:tcPr>
          <w:tcPr/>
          <w:p>
            <w:pPr>
              <w:pStyle w:val="Compact"/>
              <w:jc w:val="left"/>
            </w:pPr>
            <w:r>
              <w:t xml:space="preserve">PDO et exécution « Satisfactory » ; 77-84 % décaissé ; construction SCADA à 55 % (mars 2025)</w:t>
            </w:r>
          </w:p>
        </w:tc>
        <w:tc>
          <w:tcPr>
            <w:tcW w:w="694" w:type="dxa"/>
          </w:tcPr>
          <w:tcPr/>
          <w:p>
            <w:pPr>
              <w:pStyle w:val="Compact"/>
              <w:jc w:val="left"/>
            </w:pPr>
            <w:r>
              <w:t xml:space="preserve">[8]</w:t>
            </w:r>
          </w:p>
        </w:tc>
      </w:tr>
      <w:tr>
        <w:tc>
          <w:tcPr>
            <w:tcW w:w="3394" w:type="dxa"/>
          </w:tcPr>
          <w:tcPr/>
          <w:p>
            <w:pPr>
              <w:pStyle w:val="Compact"/>
              <w:jc w:val="left"/>
            </w:pPr>
            <w:r>
              <w:t xml:space="preserve">Nigeria Electrification Project, P161885</w:t>
            </w:r>
          </w:p>
        </w:tc>
        <w:tc>
          <w:tcPr>
            <w:tcW w:w="834" w:type="dxa"/>
          </w:tcPr>
          <w:tcPr/>
          <w:p>
            <w:pPr>
              <w:pStyle w:val="Compact"/>
              <w:jc w:val="left"/>
            </w:pPr>
            <w:r>
              <w:t xml:space="preserve">BM</w:t>
            </w:r>
          </w:p>
        </w:tc>
        <w:tc>
          <w:tcPr>
            <w:tcW w:w="1609" w:type="dxa"/>
          </w:tcPr>
          <w:tcPr/>
          <w:p>
            <w:pPr>
              <w:pStyle w:val="Compact"/>
              <w:jc w:val="left"/>
            </w:pPr>
            <w:r>
              <w:t xml:space="preserve">350 M USD</w:t>
            </w:r>
          </w:p>
        </w:tc>
        <w:tc>
          <w:tcPr>
            <w:tcW w:w="1232" w:type="dxa"/>
          </w:tcPr>
          <w:tcPr/>
          <w:p>
            <w:pPr>
              <w:pStyle w:val="Compact"/>
              <w:jc w:val="left"/>
            </w:pPr>
            <w:r>
              <w:t xml:space="preserve">2018-</w:t>
            </w:r>
          </w:p>
        </w:tc>
        <w:tc>
          <w:tcPr>
            <w:tcW w:w="2733" w:type="dxa"/>
          </w:tcPr>
          <w:tcPr/>
          <w:p>
            <w:pPr>
              <w:pStyle w:val="Compact"/>
              <w:jc w:val="left"/>
            </w:pPr>
            <w:r>
              <w:t xml:space="preserve">Mini-réseaux, solaire hors réseau (REA)</w:t>
            </w:r>
          </w:p>
        </w:tc>
        <w:tc>
          <w:tcPr>
            <w:tcW w:w="1795" w:type="dxa"/>
          </w:tcPr>
          <w:tcPr/>
          <w:p>
            <w:pPr>
              <w:pStyle w:val="Compact"/>
              <w:jc w:val="left"/>
            </w:pPr>
            <w:r>
              <w:t xml:space="preserve">—</w:t>
            </w:r>
          </w:p>
        </w:tc>
        <w:tc>
          <w:tcPr>
            <w:tcW w:w="2275" w:type="dxa"/>
          </w:tcPr>
          <w:tcPr/>
          <w:p>
            <w:pPr>
              <w:pStyle w:val="Compact"/>
              <w:jc w:val="left"/>
            </w:pPr>
            <w:r>
              <w:t xml:space="preserve">Actif [V] ; détails d’exécution non consultés [?]</w:t>
            </w:r>
          </w:p>
        </w:tc>
        <w:tc>
          <w:tcPr>
            <w:tcW w:w="694" w:type="dxa"/>
          </w:tcPr>
          <w:tcPr/>
          <w:p>
            <w:pPr>
              <w:pStyle w:val="Compact"/>
              <w:jc w:val="left"/>
            </w:pPr>
            <w:r>
              <w:t xml:space="preserve">[9]</w:t>
            </w:r>
          </w:p>
        </w:tc>
      </w:tr>
      <w:tr>
        <w:tc>
          <w:tcPr>
            <w:tcW w:w="3394" w:type="dxa"/>
          </w:tcPr>
          <w:tcPr/>
          <w:p>
            <w:pPr>
              <w:pStyle w:val="Compact"/>
              <w:jc w:val="left"/>
            </w:pPr>
            <w:r>
              <w:t xml:space="preserve">Nigeria Distributed Access through Renewable Energy Scale-up (DARES), P179687</w:t>
            </w:r>
          </w:p>
        </w:tc>
        <w:tc>
          <w:tcPr>
            <w:tcW w:w="834" w:type="dxa"/>
          </w:tcPr>
          <w:tcPr/>
          <w:p>
            <w:pPr>
              <w:pStyle w:val="Compact"/>
              <w:jc w:val="left"/>
            </w:pPr>
            <w:r>
              <w:t xml:space="preserve">BM</w:t>
            </w:r>
          </w:p>
        </w:tc>
        <w:tc>
          <w:tcPr>
            <w:tcW w:w="1609" w:type="dxa"/>
          </w:tcPr>
          <w:tcPr/>
          <w:p>
            <w:pPr>
              <w:pStyle w:val="Compact"/>
              <w:jc w:val="left"/>
            </w:pPr>
            <w:r>
              <w:t xml:space="preserve">750 M USD</w:t>
            </w:r>
          </w:p>
        </w:tc>
        <w:tc>
          <w:tcPr>
            <w:tcW w:w="1232" w:type="dxa"/>
          </w:tcPr>
          <w:tcPr/>
          <w:p>
            <w:pPr>
              <w:pStyle w:val="Compact"/>
              <w:jc w:val="left"/>
            </w:pPr>
            <w:r>
              <w:t xml:space="preserve">2023-2028</w:t>
            </w:r>
          </w:p>
        </w:tc>
        <w:tc>
          <w:tcPr>
            <w:tcW w:w="2733" w:type="dxa"/>
          </w:tcPr>
          <w:tcPr/>
          <w:p>
            <w:pPr>
              <w:pStyle w:val="Compact"/>
              <w:jc w:val="left"/>
            </w:pPr>
            <w:r>
              <w:t xml:space="preserve">Accès DRE (REA)</w:t>
            </w:r>
          </w:p>
        </w:tc>
        <w:tc>
          <w:tcPr>
            <w:tcW w:w="1795" w:type="dxa"/>
          </w:tcPr>
          <w:tcPr/>
          <w:p>
            <w:pPr>
              <w:pStyle w:val="Compact"/>
              <w:jc w:val="left"/>
            </w:pPr>
            <w:r>
              <w:t xml:space="preserve">—</w:t>
            </w:r>
          </w:p>
        </w:tc>
        <w:tc>
          <w:tcPr>
            <w:tcW w:w="2275" w:type="dxa"/>
          </w:tcPr>
          <w:tcPr/>
          <w:p>
            <w:pPr>
              <w:pStyle w:val="Compact"/>
              <w:jc w:val="left"/>
            </w:pPr>
            <w:r>
              <w:t xml:space="preserve">Actif</w:t>
            </w:r>
          </w:p>
        </w:tc>
        <w:tc>
          <w:tcPr>
            <w:tcW w:w="694" w:type="dxa"/>
          </w:tcPr>
          <w:tcPr/>
          <w:p>
            <w:pPr>
              <w:pStyle w:val="Compact"/>
              <w:jc w:val="left"/>
            </w:pPr>
            <w:r>
              <w:t xml:space="preserve">[9]</w:t>
            </w:r>
          </w:p>
        </w:tc>
      </w:tr>
      <w:tr>
        <w:tc>
          <w:tcPr>
            <w:tcW w:w="3394" w:type="dxa"/>
          </w:tcPr>
          <w:tcPr/>
          <w:p>
            <w:pPr>
              <w:pStyle w:val="Compact"/>
              <w:jc w:val="left"/>
            </w:pPr>
            <w:r>
              <w:t xml:space="preserve">Sustainable Power and Irrigation for Nigeria (SPIN), P179684</w:t>
            </w:r>
          </w:p>
        </w:tc>
        <w:tc>
          <w:tcPr>
            <w:tcW w:w="834" w:type="dxa"/>
          </w:tcPr>
          <w:tcPr/>
          <w:p>
            <w:pPr>
              <w:pStyle w:val="Compact"/>
              <w:jc w:val="left"/>
            </w:pPr>
            <w:r>
              <w:t xml:space="preserve">BM</w:t>
            </w:r>
          </w:p>
        </w:tc>
        <w:tc>
          <w:tcPr>
            <w:tcW w:w="1609" w:type="dxa"/>
          </w:tcPr>
          <w:tcPr/>
          <w:p>
            <w:pPr>
              <w:pStyle w:val="Compact"/>
              <w:jc w:val="left"/>
            </w:pPr>
            <w:r>
              <w:t xml:space="preserve">500 M USD</w:t>
            </w:r>
          </w:p>
        </w:tc>
        <w:tc>
          <w:tcPr>
            <w:tcW w:w="1232" w:type="dxa"/>
          </w:tcPr>
          <w:tcPr/>
          <w:p>
            <w:pPr>
              <w:pStyle w:val="Compact"/>
              <w:jc w:val="left"/>
            </w:pPr>
            <w:r>
              <w:t xml:space="preserve">2024-2029</w:t>
            </w:r>
          </w:p>
        </w:tc>
        <w:tc>
          <w:tcPr>
            <w:tcW w:w="2733" w:type="dxa"/>
          </w:tcPr>
          <w:tcPr/>
          <w:p>
            <w:pPr>
              <w:pStyle w:val="Compact"/>
              <w:jc w:val="left"/>
            </w:pPr>
            <w:r>
              <w:t xml:space="preserve">Hydroélectricité / irrigation</w:t>
            </w:r>
          </w:p>
        </w:tc>
        <w:tc>
          <w:tcPr>
            <w:tcW w:w="1795" w:type="dxa"/>
          </w:tcPr>
          <w:tcPr/>
          <w:p>
            <w:pPr>
              <w:pStyle w:val="Compact"/>
              <w:jc w:val="left"/>
            </w:pPr>
            <w:r>
              <w:t xml:space="preserve">—</w:t>
            </w:r>
          </w:p>
        </w:tc>
        <w:tc>
          <w:tcPr>
            <w:tcW w:w="2275" w:type="dxa"/>
          </w:tcPr>
          <w:tcPr/>
          <w:p>
            <w:pPr>
              <w:pStyle w:val="Compact"/>
              <w:jc w:val="left"/>
            </w:pPr>
            <w:r>
              <w:t xml:space="preserve">Actif</w:t>
            </w:r>
          </w:p>
        </w:tc>
        <w:tc>
          <w:tcPr>
            <w:tcW w:w="694" w:type="dxa"/>
          </w:tcPr>
          <w:tcPr/>
          <w:p>
            <w:pPr>
              <w:pStyle w:val="Compact"/>
              <w:jc w:val="left"/>
            </w:pPr>
            <w:r>
              <w:t xml:space="preserve">[9]</w:t>
            </w:r>
          </w:p>
        </w:tc>
      </w:tr>
      <w:tr>
        <w:tc>
          <w:tcPr>
            <w:tcW w:w="3394" w:type="dxa"/>
          </w:tcPr>
          <w:tcPr/>
          <w:p>
            <w:pPr>
              <w:pStyle w:val="Compact"/>
              <w:jc w:val="left"/>
            </w:pPr>
            <w:r>
              <w:t xml:space="preserve">Reforms for Economic Stabilization to Enable Transformation (RESET) DPF, P501661</w:t>
            </w:r>
          </w:p>
        </w:tc>
        <w:tc>
          <w:tcPr>
            <w:tcW w:w="834" w:type="dxa"/>
          </w:tcPr>
          <w:tcPr/>
          <w:p>
            <w:pPr>
              <w:pStyle w:val="Compact"/>
              <w:jc w:val="left"/>
            </w:pPr>
            <w:r>
              <w:t xml:space="preserve">BM</w:t>
            </w:r>
          </w:p>
        </w:tc>
        <w:tc>
          <w:tcPr>
            <w:tcW w:w="1609" w:type="dxa"/>
          </w:tcPr>
          <w:tcPr/>
          <w:p>
            <w:pPr>
              <w:pStyle w:val="Compact"/>
              <w:jc w:val="left"/>
            </w:pPr>
            <w:r>
              <w:t xml:space="preserve">1,5 Md USD</w:t>
            </w:r>
          </w:p>
        </w:tc>
        <w:tc>
          <w:tcPr>
            <w:tcW w:w="1232" w:type="dxa"/>
          </w:tcPr>
          <w:tcPr/>
          <w:p>
            <w:pPr>
              <w:pStyle w:val="Compact"/>
              <w:jc w:val="left"/>
            </w:pPr>
            <w:r>
              <w:t xml:space="preserve">2024-2025</w:t>
            </w:r>
          </w:p>
        </w:tc>
        <w:tc>
          <w:tcPr>
            <w:tcW w:w="2733" w:type="dxa"/>
          </w:tcPr>
          <w:tcPr/>
          <w:p>
            <w:pPr>
              <w:pStyle w:val="Compact"/>
              <w:jc w:val="left"/>
            </w:pPr>
            <w:r>
              <w:t xml:space="preserve">Appui budgétaire macro (actions énergie non vérifiées)</w:t>
            </w:r>
          </w:p>
        </w:tc>
        <w:tc>
          <w:tcPr>
            <w:tcW w:w="1795" w:type="dxa"/>
          </w:tcPr>
          <w:tcPr/>
          <w:p>
            <w:pPr>
              <w:pStyle w:val="Compact"/>
              <w:jc w:val="left"/>
            </w:pPr>
            <w:r>
              <w:t xml:space="preserve">[?] actions préalables énergie non extraites</w:t>
            </w:r>
          </w:p>
        </w:tc>
        <w:tc>
          <w:tcPr>
            <w:tcW w:w="2275" w:type="dxa"/>
          </w:tcPr>
          <w:tcPr/>
          <w:p>
            <w:pPr>
              <w:pStyle w:val="Compact"/>
              <w:jc w:val="left"/>
            </w:pPr>
            <w:r>
              <w:t xml:space="preserve">Actif</w:t>
            </w:r>
          </w:p>
        </w:tc>
        <w:tc>
          <w:tcPr>
            <w:tcW w:w="694" w:type="dxa"/>
          </w:tcPr>
          <w:tcPr/>
          <w:p>
            <w:pPr>
              <w:pStyle w:val="Compact"/>
              <w:jc w:val="left"/>
            </w:pPr>
            <w:r>
              <w:t xml:space="preserve">[9]</w:t>
            </w:r>
          </w:p>
        </w:tc>
      </w:tr>
      <w:tr>
        <w:tc>
          <w:tcPr>
            <w:tcW w:w="3394" w:type="dxa"/>
          </w:tcPr>
          <w:tcPr/>
          <w:p>
            <w:pPr>
              <w:pStyle w:val="Compact"/>
              <w:jc w:val="left"/>
            </w:pPr>
            <w:r>
              <w:t xml:space="preserve">Nigeria Transmission Expansion Project (NTEP1)</w:t>
            </w:r>
          </w:p>
        </w:tc>
        <w:tc>
          <w:tcPr>
            <w:tcW w:w="834" w:type="dxa"/>
          </w:tcPr>
          <w:tcPr/>
          <w:p>
            <w:pPr>
              <w:pStyle w:val="Compact"/>
              <w:jc w:val="left"/>
            </w:pPr>
            <w:r>
              <w:t xml:space="preserve">BAD (+ Africa Growing Together Fund)</w:t>
            </w:r>
          </w:p>
        </w:tc>
        <w:tc>
          <w:tcPr>
            <w:tcW w:w="1609" w:type="dxa"/>
          </w:tcPr>
          <w:tcPr/>
          <w:p>
            <w:pPr>
              <w:pStyle w:val="Compact"/>
              <w:jc w:val="left"/>
            </w:pPr>
            <w:r>
              <w:t xml:space="preserve">210 M USD (160 M BAD + 50 M AGTF)</w:t>
            </w:r>
          </w:p>
        </w:tc>
        <w:tc>
          <w:tcPr>
            <w:tcW w:w="1232" w:type="dxa"/>
          </w:tcPr>
          <w:tcPr/>
          <w:p>
            <w:pPr>
              <w:pStyle w:val="Compact"/>
              <w:jc w:val="left"/>
            </w:pPr>
            <w:r>
              <w:t xml:space="preserve">approuvé nov. 2019</w:t>
            </w:r>
          </w:p>
        </w:tc>
        <w:tc>
          <w:tcPr>
            <w:tcW w:w="2733" w:type="dxa"/>
          </w:tcPr>
          <w:tcPr/>
          <w:p>
            <w:pPr>
              <w:pStyle w:val="Compact"/>
              <w:jc w:val="left"/>
            </w:pPr>
            <w:r>
              <w:t xml:space="preserve">Lignes 330 kV et postes TCN</w:t>
            </w:r>
          </w:p>
        </w:tc>
        <w:tc>
          <w:tcPr>
            <w:tcW w:w="1795" w:type="dxa"/>
          </w:tcPr>
          <w:tcPr/>
          <w:p>
            <w:pPr>
              <w:pStyle w:val="Compact"/>
              <w:jc w:val="left"/>
            </w:pPr>
            <w:r>
              <w:t xml:space="preserve">—</w:t>
            </w:r>
          </w:p>
        </w:tc>
        <w:tc>
          <w:tcPr>
            <w:tcW w:w="2275" w:type="dxa"/>
          </w:tcPr>
          <w:tcPr/>
          <w:p>
            <w:pPr>
              <w:pStyle w:val="Compact"/>
              <w:jc w:val="left"/>
            </w:pPr>
            <w:r>
              <w:t xml:space="preserve">[?]</w:t>
            </w:r>
          </w:p>
        </w:tc>
        <w:tc>
          <w:tcPr>
            <w:tcW w:w="694" w:type="dxa"/>
          </w:tcPr>
          <w:tcPr/>
          <w:p>
            <w:pPr>
              <w:pStyle w:val="Compact"/>
              <w:jc w:val="left"/>
            </w:pPr>
            <w:r>
              <w:t xml:space="preserve">[10] [S]</w:t>
            </w:r>
          </w:p>
        </w:tc>
      </w:tr>
      <w:tr>
        <w:tc>
          <w:tcPr>
            <w:tcW w:w="3394" w:type="dxa"/>
          </w:tcPr>
          <w:tcPr/>
          <w:p>
            <w:pPr>
              <w:pStyle w:val="Compact"/>
              <w:jc w:val="left"/>
            </w:pPr>
            <w:r>
              <w:t xml:space="preserve">Nigeria Electrification Project (cofinancement)</w:t>
            </w:r>
          </w:p>
        </w:tc>
        <w:tc>
          <w:tcPr>
            <w:tcW w:w="834" w:type="dxa"/>
          </w:tcPr>
          <w:tcPr/>
          <w:p>
            <w:pPr>
              <w:pStyle w:val="Compact"/>
              <w:jc w:val="left"/>
            </w:pPr>
            <w:r>
              <w:t xml:space="preserve">BAD</w:t>
            </w:r>
          </w:p>
        </w:tc>
        <w:tc>
          <w:tcPr>
            <w:tcW w:w="1609" w:type="dxa"/>
          </w:tcPr>
          <w:tcPr/>
          <w:p>
            <w:pPr>
              <w:pStyle w:val="Compact"/>
              <w:jc w:val="left"/>
            </w:pPr>
            <w:r>
              <w:t xml:space="preserve">200 M USD (pacte)</w:t>
            </w:r>
          </w:p>
        </w:tc>
        <w:tc>
          <w:tcPr>
            <w:tcW w:w="1232" w:type="dxa"/>
          </w:tcPr>
          <w:tcPr/>
          <w:p>
            <w:pPr>
              <w:pStyle w:val="Compact"/>
              <w:jc w:val="left"/>
            </w:pPr>
            <w:r>
              <w:t xml:space="preserve">—</w:t>
            </w:r>
          </w:p>
        </w:tc>
        <w:tc>
          <w:tcPr>
            <w:tcW w:w="2733" w:type="dxa"/>
          </w:tcPr>
          <w:tcPr/>
          <w:p>
            <w:pPr>
              <w:pStyle w:val="Compact"/>
              <w:jc w:val="left"/>
            </w:pPr>
            <w:r>
              <w:t xml:space="preserve">Accès hors réseau</w:t>
            </w:r>
          </w:p>
        </w:tc>
        <w:tc>
          <w:tcPr>
            <w:tcW w:w="1795" w:type="dxa"/>
          </w:tcPr>
          <w:tcPr/>
          <w:p>
            <w:pPr>
              <w:pStyle w:val="Compact"/>
              <w:jc w:val="left"/>
            </w:pPr>
            <w:r>
              <w:t xml:space="preserve">—</w:t>
            </w:r>
          </w:p>
        </w:tc>
        <w:tc>
          <w:tcPr>
            <w:tcW w:w="2275" w:type="dxa"/>
          </w:tcPr>
          <w:tcPr/>
          <w:p>
            <w:pPr>
              <w:pStyle w:val="Compact"/>
              <w:jc w:val="left"/>
            </w:pPr>
            <w:r>
              <w:t xml:space="preserve">[?]</w:t>
            </w:r>
          </w:p>
        </w:tc>
        <w:tc>
          <w:tcPr>
            <w:tcW w:w="694" w:type="dxa"/>
          </w:tcPr>
          <w:tcPr/>
          <w:p>
            <w:pPr>
              <w:pStyle w:val="Compact"/>
              <w:jc w:val="left"/>
            </w:pPr>
            <w:r>
              <w:t xml:space="preserve">[1] (pacte)</w:t>
            </w:r>
          </w:p>
        </w:tc>
      </w:tr>
    </w:tbl>
    <w:bookmarkEnd w:id="297"/>
    <w:bookmarkStart w:id="298" w:name="écart-pacte-réalité-25"/>
    <w:p>
      <w:pPr>
        <w:pStyle w:val="Heading3"/>
      </w:pPr>
      <w:r>
        <w:t xml:space="preserve">5. Écart pacte ↔ réalité</w:t>
      </w:r>
    </w:p>
    <w:p>
      <w:pPr>
        <w:numPr>
          <w:ilvl w:val="0"/>
          <w:numId w:val="1161"/>
        </w:numPr>
        <w:pStyle w:val="Compact"/>
      </w:pPr>
      <w:r>
        <w:rPr>
          <w:bCs/>
          <w:b/>
        </w:rPr>
        <w:t xml:space="preserve">Pertes ATC&amp;C</w:t>
      </w:r>
      <w:r>
        <w:t xml:space="preserve"> </w:t>
      </w:r>
      <w:r>
        <w:t xml:space="preserve">: le pacte donne 42 % (section 2.1) ou 47 % (section 2.2) [1] ; les données NERC 2025 montrent une amélioration à 33-38 % mais toujours ~14-17 points au-dessus de la cible MYTO de 20,54 % [2][3] [V]. Le pacte ne fixe aucune cible chiffrée (« aggressive targets »).</w:t>
      </w:r>
    </w:p>
    <w:p>
      <w:pPr>
        <w:numPr>
          <w:ilvl w:val="0"/>
          <w:numId w:val="1161"/>
        </w:numPr>
        <w:pStyle w:val="Compact"/>
      </w:pPr>
      <w:r>
        <w:rPr>
          <w:bCs/>
          <w:b/>
        </w:rPr>
        <w:t xml:space="preserve">Déficit tarifaire</w:t>
      </w:r>
      <w:r>
        <w:t xml:space="preserve"> </w:t>
      </w:r>
      <w:r>
        <w:t xml:space="preserve">: le pacte l’attendait à 2 200 Md NGN en 2024 ; l’ISR PSRO relève 2 226 Md NGN [4] [V] — cohérent. En 2025 l’obligation reste ≈ 1 930 Md NGN [2][3] [E], mais seulement ~4 % ont été financés [6] [S] : la promesse d’un « plan de financement continu des subventions » n’est pas tenue dans les faits.</w:t>
      </w:r>
    </w:p>
    <w:p>
      <w:pPr>
        <w:numPr>
          <w:ilvl w:val="0"/>
          <w:numId w:val="1161"/>
        </w:numPr>
        <w:pStyle w:val="Compact"/>
      </w:pPr>
      <w:r>
        <w:rPr>
          <w:bCs/>
          <w:b/>
        </w:rPr>
        <w:t xml:space="preserve">Résolution de la dette</w:t>
      </w:r>
      <w:r>
        <w:t xml:space="preserve"> </w:t>
      </w:r>
      <w:r>
        <w:t xml:space="preserve">: le rapport d’avancement du pacte déclare « Completed » l’inscription au budget 2025 d’un schéma de résolution de la dette [1] ; or la dette envers les GenCos continue de croître (≈ 7,66 T NGN en juin 2026 selon l’APGC) et la première obligation (501 Md NGN) n’en couvre qu’une faible part [7] [S].</w:t>
      </w:r>
    </w:p>
    <w:p>
      <w:pPr>
        <w:numPr>
          <w:ilvl w:val="0"/>
          <w:numId w:val="1161"/>
        </w:numPr>
        <w:pStyle w:val="Compact"/>
      </w:pPr>
      <w:r>
        <w:rPr>
          <w:bCs/>
          <w:b/>
        </w:rPr>
        <w:t xml:space="preserve">Tarif reflet des coûts / subvention plate dès 2025</w:t>
      </w:r>
      <w:r>
        <w:t xml:space="preserve"> </w:t>
      </w:r>
      <w:r>
        <w:t xml:space="preserve">: en 2025, les tarifs des bandes B-E sont restés gelés au niveau de juillet 2024 [2] [V] ; la réduction de la subvention passe par la réallocation d’énergie vers la Band A [3] [V], pas par la subvention uniforme promise.</w:t>
      </w:r>
    </w:p>
    <w:p>
      <w:pPr>
        <w:numPr>
          <w:ilvl w:val="0"/>
          <w:numId w:val="1161"/>
        </w:numPr>
        <w:pStyle w:val="Compact"/>
      </w:pPr>
      <w:r>
        <w:rPr>
          <w:bCs/>
          <w:b/>
        </w:rPr>
        <w:t xml:space="preserve">Comptage</w:t>
      </w:r>
      <w:r>
        <w:t xml:space="preserve"> </w:t>
      </w:r>
      <w:r>
        <w:t xml:space="preserve">: objectif 1,5 M compteurs en 2025 (pacte) ; ~0,9 M posés en 2025 si l’on additionne les rapports trimestriels (187 161 T1 ; 225 631 T2 ; 228 614 T3 selon la presse) [2][3] [E/S] — taux de comptage de 57,27 % fin 2025 seulement.</w:t>
      </w:r>
    </w:p>
    <w:p>
      <w:pPr>
        <w:numPr>
          <w:ilvl w:val="0"/>
          <w:numId w:val="1161"/>
        </w:numPr>
        <w:pStyle w:val="Compact"/>
      </w:pPr>
      <w:r>
        <w:t xml:space="preserve">Le pacte ne mentionne pas les notes « Moderately Unsatisfactory » du PSRO et du DISREP [4][5].</w:t>
      </w:r>
    </w:p>
    <w:bookmarkEnd w:id="298"/>
    <w:bookmarkStart w:id="299" w:name="diagnostic-synthétique-25"/>
    <w:p>
      <w:pPr>
        <w:pStyle w:val="Heading3"/>
      </w:pPr>
      <w:r>
        <w:t xml:space="preserve">6. Diagnostic synthétique</w:t>
      </w:r>
    </w:p>
    <w:p>
      <w:pPr>
        <w:numPr>
          <w:ilvl w:val="0"/>
          <w:numId w:val="1162"/>
        </w:numPr>
        <w:pStyle w:val="Compact"/>
      </w:pPr>
      <w:r>
        <w:t xml:space="preserve">Financière :</w:t>
      </w:r>
      <w:r>
        <w:t xml:space="preserve"> </w:t>
      </w:r>
      <w:r>
        <w:rPr>
          <w:bCs/>
          <w:b/>
        </w:rPr>
        <w:t xml:space="preserve">faible</w:t>
      </w:r>
      <w:r>
        <w:t xml:space="preserve"> </w:t>
      </w:r>
      <w:r>
        <w:t xml:space="preserve">— subvention implicite ≈ 1,9 T NGN/an non financée à 96 %, dette croissante envers GenCos ; les DisCos remettent &gt; 90 % de leurs obligations DRO, mais ces obligations sont plafonnées par des tarifs gelés.</w:t>
      </w:r>
    </w:p>
    <w:p>
      <w:pPr>
        <w:numPr>
          <w:ilvl w:val="0"/>
          <w:numId w:val="1162"/>
        </w:numPr>
        <w:pStyle w:val="Compact"/>
      </w:pPr>
      <w:r>
        <w:t xml:space="preserve">Technique :</w:t>
      </w:r>
      <w:r>
        <w:t xml:space="preserve"> </w:t>
      </w:r>
      <w:r>
        <w:rPr>
          <w:bCs/>
          <w:b/>
        </w:rPr>
        <w:t xml:space="preserve">faible à moyenne</w:t>
      </w:r>
      <w:r>
        <w:t xml:space="preserve"> </w:t>
      </w:r>
      <w:r>
        <w:t xml:space="preserve">— 40 % de disponibilité du parc, pertes T&amp;C ~18 %, comptage à 57 % ; amélioration de la stabilité du réseau en 2025.</w:t>
      </w:r>
    </w:p>
    <w:p>
      <w:pPr>
        <w:numPr>
          <w:ilvl w:val="0"/>
          <w:numId w:val="1162"/>
        </w:numPr>
        <w:pStyle w:val="Compact"/>
      </w:pPr>
      <w:r>
        <w:t xml:space="preserve">Gouvernance :</w:t>
      </w:r>
      <w:r>
        <w:t xml:space="preserve"> </w:t>
      </w:r>
      <w:r>
        <w:rPr>
          <w:bCs/>
          <w:b/>
        </w:rPr>
        <w:t xml:space="preserve">moyenne</w:t>
      </w:r>
      <w:r>
        <w:t xml:space="preserve"> </w:t>
      </w:r>
      <w:r>
        <w:t xml:space="preserve">— reporting réglementaire trimestriel détaillé et public (NERC), mais fragmentation réglementaire et performance très hétérogène des DisCos (Eko vs Kaduna).</w:t>
      </w:r>
    </w:p>
    <w:p>
      <w:pPr>
        <w:numPr>
          <w:ilvl w:val="0"/>
          <w:numId w:val="1162"/>
        </w:numPr>
        <w:pStyle w:val="Compact"/>
      </w:pPr>
      <w:r>
        <w:t xml:space="preserve">Causes racines : (1) tarifs non reflet des coûts et subvention non budgétée ; (2) DisCos sous-capitalisées, comptage insuffisant et faible recouvrement ; (3) actifs de production indisponibles (gaz, maintenance) et contrats hérités en devises.</w:t>
      </w:r>
    </w:p>
    <w:p>
      <w:pPr>
        <w:numPr>
          <w:ilvl w:val="0"/>
          <w:numId w:val="1162"/>
        </w:numPr>
        <w:pStyle w:val="Compact"/>
      </w:pPr>
      <w:r>
        <w:t xml:space="preserve">Phase 3 : MYTO 2025/2026, tarification par bandes (A-E) et coûts par bande, décisions des régulateurs d’États, budget fédéral de la subvention.</w:t>
      </w:r>
    </w:p>
    <w:bookmarkEnd w:id="299"/>
    <w:bookmarkStart w:id="300" w:name="inconnus-25"/>
    <w:p>
      <w:pPr>
        <w:pStyle w:val="Heading3"/>
      </w:pPr>
      <w:r>
        <w:t xml:space="preserve">7. Inconnus</w:t>
      </w:r>
    </w:p>
    <w:p>
      <w:pPr>
        <w:numPr>
          <w:ilvl w:val="0"/>
          <w:numId w:val="1163"/>
        </w:numPr>
        <w:pStyle w:val="Compact"/>
      </w:pPr>
      <w:r>
        <w:t xml:space="preserve">États financiers audités des DisCos, de TCN et de NBET : [?] non trouvés.</w:t>
      </w:r>
    </w:p>
    <w:p>
      <w:pPr>
        <w:numPr>
          <w:ilvl w:val="0"/>
          <w:numId w:val="1163"/>
        </w:numPr>
        <w:pStyle w:val="Compact"/>
      </w:pPr>
      <w:r>
        <w:t xml:space="preserve">Arriérés des MDAs fédérales et des États envers les DisCos : [?].</w:t>
      </w:r>
    </w:p>
    <w:p>
      <w:pPr>
        <w:numPr>
          <w:ilvl w:val="0"/>
          <w:numId w:val="1163"/>
        </w:numPr>
        <w:pStyle w:val="Compact"/>
      </w:pPr>
      <w:r>
        <w:t xml:space="preserve">Rapport annuel NERC 2025 (publié en août 2026) non dépouillé ; chiffres annuels 2025 (recouvrement 77,6 %) vus uniquement dans la presse [S].</w:t>
      </w:r>
    </w:p>
    <w:p>
      <w:pPr>
        <w:numPr>
          <w:ilvl w:val="0"/>
          <w:numId w:val="1163"/>
        </w:numPr>
        <w:pStyle w:val="Compact"/>
      </w:pPr>
      <w:r>
        <w:t xml:space="preserve">Actions préalables énergie de la DPF RESET : [?].</w:t>
      </w:r>
    </w:p>
    <w:p>
      <w:pPr>
        <w:numPr>
          <w:ilvl w:val="0"/>
          <w:numId w:val="1163"/>
        </w:numPr>
        <w:pStyle w:val="Compact"/>
      </w:pPr>
      <w:r>
        <w:t xml:space="preserve">Données ISR 2025-2026 (le portail BM ne renvoie que des ISR jusqu’à mars 2025).</w:t>
      </w:r>
    </w:p>
    <w:bookmarkEnd w:id="300"/>
    <w:bookmarkStart w:id="301" w:name="sources-26"/>
    <w:p>
      <w:pPr>
        <w:pStyle w:val="Heading3"/>
      </w:pPr>
      <w:r>
        <w:t xml:space="preserve">Sources</w:t>
      </w:r>
    </w:p>
    <w:p>
      <w:pPr>
        <w:pStyle w:val="FirstParagraph"/>
      </w:pPr>
      <w:r>
        <w:t xml:space="preserve">[1] Fiche phase 1 NGA_nigeria.md et pacte national du Nigeria (Mission 300), s.d. (présenté janv. 2025) — utilisé comme référence « (pacte) ».</w:t>
      </w:r>
      <w:r>
        <w:t xml:space="preserve"> </w:t>
      </w:r>
      <w:r>
        <w:t xml:space="preserve">[2] NERC, « NERC Quarterly Report — Second Quarter 2025 », 96 p. https://nerc.gov.ng/wp-content/uploads/2025/10/2025_Q2-Report.pdf (consulté 18/10/2026)</w:t>
      </w:r>
      <w:r>
        <w:t xml:space="preserve"> </w:t>
      </w:r>
      <w:r>
        <w:t xml:space="preserve">[3] NERC, « NERC Quarterly Report — Fourth Quarter 2025 », 92 p. https://nerc.gov.ng/wp-content/uploads/2026/04/2025_Q4-Report.pdf (consulté 18/10/2026)</w:t>
      </w:r>
      <w:r>
        <w:t xml:space="preserve"> </w:t>
      </w:r>
      <w:r>
        <w:t xml:space="preserve">[4] Banque mondiale, ISR « Power Sector Recovery Performance Based Operation (P164001) », 05/03/2025. https://documents.worldbank.org/curated/en/099030425193038863/pdf/P1640011af962701018a541b6c894886170.pdf</w:t>
      </w:r>
      <w:r>
        <w:t xml:space="preserve"> </w:t>
      </w:r>
      <w:r>
        <w:t xml:space="preserve">[5] Banque mondiale, ISR « Nigeria Distribution Sector Recovery Program (P172891) », Seq. 7, 30/01/2025. https://documents.worldbank.org/curated/en/099013025165516812/pdf/P1728911c752690a01abcb1fed9850eb8ec.pdf</w:t>
      </w:r>
      <w:r>
        <w:t xml:space="preserve"> </w:t>
      </w:r>
      <w:r>
        <w:t xml:space="preserve">[6] ThisDay (via AllAfrica), « Only 39% of Gencos’ Invoices Settled in 2025 As Unfunded Subsidies Hit N1.85tn », 31/03/2026. https://allafrica.com/stories/202603310022.html</w:t>
      </w:r>
      <w:r>
        <w:t xml:space="preserve"> </w:t>
      </w:r>
      <w:r>
        <w:t xml:space="preserve">[7] Arise News, « Gencos warn power sector debt could hit N17.1tn by 2033 despite bond programme », 23/07/2026. https://www.arise.tv/gencos-warn-power-sector-debt-could-hit-n17-1tn-by-2033-despite-bond-programme/</w:t>
      </w:r>
      <w:r>
        <w:t xml:space="preserve"> </w:t>
      </w:r>
      <w:r>
        <w:t xml:space="preserve">[8] Banque mondiale, ISR « NG-Electricity Transmission Project (P146330) », 04/03/2025. https://documents.worldbank.org/curated/en/099030425190539983/pdf/P14633017a60780bd1975f17c97876fe657.pdf</w:t>
      </w:r>
      <w:r>
        <w:t xml:space="preserve"> </w:t>
      </w:r>
      <w:r>
        <w:t xml:space="preserve">[9] Banque mondiale, API projets (search.worldbank.org/api/v2/projects, countrycode NG), extraction du 18/10/2026 (ID, montants, dates d’approbation, statuts).</w:t>
      </w:r>
      <w:r>
        <w:t xml:space="preserve"> </w:t>
      </w:r>
      <w:r>
        <w:t xml:space="preserve">[10] The Guardian Nigeria / AfDB, « AfDB approves $210m for Nigeria Transmission Expansion Project », nov.-déc. 2019. https://guardian.ng/news/afdb-approves-210m-for-nigeria-transmission-expansion-project/</w:t>
      </w:r>
    </w:p>
    <w:p>
      <w:r>
        <w:br w:type="page"/>
      </w:r>
    </w:p>
    <w:bookmarkEnd w:id="301"/>
    <w:bookmarkEnd w:id="302"/>
    <w:bookmarkStart w:id="312" w:name="diagnostic-opérateur-reg-eucl-rwanda"/>
    <w:p>
      <w:pPr>
        <w:pStyle w:val="Heading2"/>
      </w:pPr>
      <w:r>
        <w:t xml:space="preserve">Diagnostic opérateur — REG / EUCL (Rwanda)</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Point de départ : fiche phase 1</w:t>
      </w:r>
      <w:r>
        <w:t xml:space="preserve"> </w:t>
      </w:r>
      <w:r>
        <w:rPr>
          <w:rStyle w:val="VerbatimChar"/>
        </w:rPr>
        <w:t xml:space="preserve">../../phase1/fiches/RWA_rwanda.md</w:t>
      </w:r>
      <w:r>
        <w:t xml:space="preserve">. Recherche documentaire au 18/10/2026.</w:t>
      </w:r>
    </w:p>
    <w:bookmarkStart w:id="303" w:name="identité-26"/>
    <w:p>
      <w:pPr>
        <w:pStyle w:val="Heading3"/>
      </w:pPr>
      <w:r>
        <w:t xml:space="preserve">0. Identité</w:t>
      </w:r>
    </w:p>
    <w:p>
      <w:pPr>
        <w:numPr>
          <w:ilvl w:val="0"/>
          <w:numId w:val="1164"/>
        </w:numPr>
        <w:pStyle w:val="Compact"/>
      </w:pPr>
      <w:r>
        <w:rPr>
          <w:bCs/>
          <w:b/>
        </w:rPr>
        <w:t xml:space="preserve">Opérateurs</w:t>
      </w:r>
      <w:r>
        <w:t xml:space="preserve"> </w:t>
      </w:r>
      <w:r>
        <w:t xml:space="preserve">:</w:t>
      </w:r>
      <w:r>
        <w:t xml:space="preserve"> </w:t>
      </w:r>
      <w:r>
        <w:rPr>
          <w:bCs/>
          <w:b/>
        </w:rPr>
        <w:t xml:space="preserve">Rwanda Energy Group (REG)</w:t>
      </w:r>
      <w:r>
        <w:t xml:space="preserve">, holding 100 % publique, et ses deux filiales indépendantes :</w:t>
      </w:r>
      <w:r>
        <w:t xml:space="preserve"> </w:t>
      </w:r>
      <w:r>
        <w:rPr>
          <w:bCs/>
          <w:b/>
        </w:rPr>
        <w:t xml:space="preserve">EUCL</w:t>
      </w:r>
      <w:r>
        <w:t xml:space="preserve"> </w:t>
      </w:r>
      <w:r>
        <w:t xml:space="preserve">(Energy Utility Corporation Ltd — exploitation du réseau, ventes, recouvrement, acheteur unique des IPP) et</w:t>
      </w:r>
      <w:r>
        <w:t xml:space="preserve"> </w:t>
      </w:r>
      <w:r>
        <w:rPr>
          <w:bCs/>
          <w:b/>
        </w:rPr>
        <w:t xml:space="preserve">EDCL</w:t>
      </w:r>
      <w:r>
        <w:t xml:space="preserve"> </w:t>
      </w:r>
      <w:r>
        <w:t xml:space="preserve">(Energy Development Corporation Ltd — développement des projets publics, agence d’exécution des projets BM) [1][2] [V]. Participation privée importante en production (≈ 63 % de la capacité selon le pacte) [6] (pacte).</w:t>
      </w:r>
    </w:p>
    <w:p>
      <w:pPr>
        <w:numPr>
          <w:ilvl w:val="0"/>
          <w:numId w:val="1164"/>
        </w:numPr>
        <w:pStyle w:val="Compact"/>
      </w:pPr>
      <w:r>
        <w:rPr>
          <w:bCs/>
          <w:b/>
        </w:rPr>
        <w:t xml:space="preserve">Tutelle</w:t>
      </w:r>
      <w:r>
        <w:t xml:space="preserve"> </w:t>
      </w:r>
      <w:r>
        <w:t xml:space="preserve">: MININFRA ; MINECOFIN (Portfolio Oversight Department pour les SOE) [1][3] [V].</w:t>
      </w:r>
    </w:p>
    <w:p>
      <w:pPr>
        <w:numPr>
          <w:ilvl w:val="0"/>
          <w:numId w:val="1164"/>
        </w:numPr>
        <w:pStyle w:val="Compact"/>
      </w:pPr>
      <w:r>
        <w:rPr>
          <w:bCs/>
          <w:b/>
        </w:rPr>
        <w:t xml:space="preserve">Régulateur</w:t>
      </w:r>
      <w:r>
        <w:t xml:space="preserve"> </w:t>
      </w:r>
      <w:r>
        <w:t xml:space="preserve">: RURA — évalue les revenus requis de REG et propose les tarifs « en tenant compte des contraintes d’abordabilité » [1] [V] ; hausse tarifaire approuvée en octobre 2025 [2][6] [V].</w:t>
      </w:r>
    </w:p>
    <w:p>
      <w:pPr>
        <w:numPr>
          <w:ilvl w:val="0"/>
          <w:numId w:val="1164"/>
        </w:numPr>
        <w:pStyle w:val="Compact"/>
      </w:pPr>
      <w:r>
        <w:rPr>
          <w:bCs/>
          <w:b/>
        </w:rPr>
        <w:t xml:space="preserve">Derniers comptes</w:t>
      </w:r>
      <w:r>
        <w:t xml:space="preserve"> </w:t>
      </w:r>
      <w:r>
        <w:t xml:space="preserve">: rapport annuel REG FY2023/24 cité par l’AIIB [1] [V] ; états financiers audités FY2024/25 : [?] non trouvés en ligne. Historique : REG n’avait pas soumis ses états financiers 2017/18–2019/20 à temps (PAC, 2021) [7] [S].</w:t>
      </w:r>
    </w:p>
    <w:bookmarkEnd w:id="303"/>
    <w:bookmarkStart w:id="304" w:name="situation-financière-25"/>
    <w:p>
      <w:pPr>
        <w:pStyle w:val="Heading3"/>
      </w:pPr>
      <w:r>
        <w:t xml:space="preserve">1. Situation financière</w:t>
      </w:r>
    </w:p>
    <w:tbl>
      <w:tblPr>
        <w:tblStyle w:val="Table"/>
        <w:tblW w:type="dxa" w:w="14570"/>
        <w:tblLook w:firstRow="1" w:lastRow="0" w:firstColumn="0" w:lastColumn="0" w:noHBand="0" w:noVBand="0" w:val="0020"/>
        <w:jc w:val="start"/>
      </w:tblPr>
      <w:tblGrid>
        <w:gridCol w:w="3438"/>
        <w:gridCol w:w="7766"/>
        <w:gridCol w:w="1015"/>
        <w:gridCol w:w="1415"/>
        <w:gridCol w:w="935"/>
      </w:tblGrid>
      <w:tr>
        <w:trPr>
          <w:tblHeader w:val="true"/>
        </w:trPr>
        <w:tc>
          <w:tcPr>
            <w:tcW w:w="3438" w:type="dxa"/>
          </w:tcPr>
          <w:tcPr/>
          <w:p>
            <w:pPr>
              <w:pStyle w:val="Compact"/>
              <w:jc w:val="left"/>
            </w:pPr>
            <w:r>
              <w:t xml:space="preserve">Indicateur</w:t>
            </w:r>
          </w:p>
        </w:tc>
        <w:tc>
          <w:tcPr>
            <w:tcW w:w="7766" w:type="dxa"/>
          </w:tcPr>
          <w:tcPr/>
          <w:p>
            <w:pPr>
              <w:pStyle w:val="Compact"/>
              <w:jc w:val="left"/>
            </w:pPr>
            <w:r>
              <w:t xml:space="preserve">Valeur</w:t>
            </w:r>
          </w:p>
        </w:tc>
        <w:tc>
          <w:tcPr>
            <w:tcW w:w="1015" w:type="dxa"/>
          </w:tcPr>
          <w:tcPr/>
          <w:p>
            <w:pPr>
              <w:pStyle w:val="Compact"/>
              <w:jc w:val="left"/>
            </w:pPr>
            <w:r>
              <w:t xml:space="preserve">Année</w:t>
            </w:r>
          </w:p>
        </w:tc>
        <w:tc>
          <w:tcPr>
            <w:tcW w:w="1415" w:type="dxa"/>
          </w:tcPr>
          <w:tcPr/>
          <w:p>
            <w:pPr>
              <w:pStyle w:val="Compact"/>
              <w:jc w:val="left"/>
            </w:pPr>
            <w:r>
              <w:t xml:space="preserve">Statut</w:t>
            </w:r>
          </w:p>
        </w:tc>
        <w:tc>
          <w:tcPr>
            <w:tcW w:w="935" w:type="dxa"/>
          </w:tcPr>
          <w:tcPr/>
          <w:p>
            <w:pPr>
              <w:pStyle w:val="Compact"/>
              <w:jc w:val="left"/>
            </w:pPr>
            <w:r>
              <w:t xml:space="preserve">Source</w:t>
            </w:r>
          </w:p>
        </w:tc>
      </w:tr>
      <w:tr>
        <w:tc>
          <w:tcPr>
            <w:tcW w:w="3438" w:type="dxa"/>
          </w:tcPr>
          <w:tcPr/>
          <w:p>
            <w:pPr>
              <w:pStyle w:val="Compact"/>
              <w:jc w:val="left"/>
            </w:pPr>
            <w:r>
              <w:t xml:space="preserve">Chiffre d’affaires / résultat net / EBITDA</w:t>
            </w:r>
          </w:p>
        </w:tc>
        <w:tc>
          <w:tcPr>
            <w:tcW w:w="7766" w:type="dxa"/>
          </w:tcPr>
          <w:tcPr/>
          <w:p>
            <w:pPr>
              <w:pStyle w:val="Compact"/>
              <w:jc w:val="left"/>
            </w:pPr>
            <w:r>
              <w:t xml:space="preserve">[?] non trouvés</w:t>
            </w:r>
          </w:p>
        </w:tc>
        <w:tc>
          <w:tcPr>
            <w:tcW w:w="1015" w:type="dxa"/>
          </w:tcPr>
          <w:tcPr/>
          <w:p>
            <w:pPr>
              <w:pStyle w:val="Compact"/>
            </w:pPr>
          </w:p>
        </w:tc>
        <w:tc>
          <w:tcPr>
            <w:tcW w:w="1415" w:type="dxa"/>
          </w:tcPr>
          <w:tcPr/>
          <w:p>
            <w:pPr>
              <w:pStyle w:val="Compact"/>
            </w:pPr>
          </w:p>
        </w:tc>
        <w:tc>
          <w:tcPr>
            <w:tcW w:w="935" w:type="dxa"/>
          </w:tcPr>
          <w:tcPr/>
          <w:p>
            <w:pPr>
              <w:pStyle w:val="Compact"/>
            </w:pPr>
          </w:p>
        </w:tc>
      </w:tr>
      <w:tr>
        <w:tc>
          <w:tcPr>
            <w:tcW w:w="3438" w:type="dxa"/>
          </w:tcPr>
          <w:tcPr/>
          <w:p>
            <w:pPr>
              <w:pStyle w:val="Compact"/>
              <w:jc w:val="left"/>
            </w:pPr>
            <w:r>
              <w:t xml:space="preserve">Subventions publiques</w:t>
            </w:r>
          </w:p>
        </w:tc>
        <w:tc>
          <w:tcPr>
            <w:tcW w:w="7766" w:type="dxa"/>
          </w:tcPr>
          <w:tcPr/>
          <w:p>
            <w:pPr>
              <w:pStyle w:val="Compact"/>
              <w:jc w:val="left"/>
            </w:pPr>
            <w:r>
              <w:t xml:space="preserve">subventions de l’État à</w:t>
            </w:r>
            <w:r>
              <w:t xml:space="preserve"> </w:t>
            </w:r>
            <w:r>
              <w:rPr>
                <w:bCs/>
                <w:b/>
              </w:rPr>
              <w:t xml:space="preserve">REG, WASAC et RwandAir = 1,2 % du PIB</w:t>
            </w:r>
            <w:r>
              <w:t xml:space="preserve"> </w:t>
            </w:r>
            <w:r>
              <w:t xml:space="preserve">(montant propre à REG non isolé)</w:t>
            </w:r>
          </w:p>
        </w:tc>
        <w:tc>
          <w:tcPr>
            <w:tcW w:w="1015" w:type="dxa"/>
          </w:tcPr>
          <w:tcPr/>
          <w:p>
            <w:pPr>
              <w:pStyle w:val="Compact"/>
              <w:jc w:val="left"/>
            </w:pPr>
            <w:r>
              <w:t xml:space="preserve">2024</w:t>
            </w:r>
          </w:p>
        </w:tc>
        <w:tc>
          <w:tcPr>
            <w:tcW w:w="1415" w:type="dxa"/>
          </w:tcPr>
          <w:tcPr/>
          <w:p>
            <w:pPr>
              <w:pStyle w:val="Compact"/>
              <w:jc w:val="left"/>
            </w:pPr>
            <w:r>
              <w:t xml:space="preserve">[V]</w:t>
            </w:r>
          </w:p>
        </w:tc>
        <w:tc>
          <w:tcPr>
            <w:tcW w:w="935" w:type="dxa"/>
          </w:tcPr>
          <w:tcPr/>
          <w:p>
            <w:pPr>
              <w:pStyle w:val="Compact"/>
              <w:jc w:val="left"/>
            </w:pPr>
            <w:r>
              <w:t xml:space="preserve">[3]</w:t>
            </w:r>
          </w:p>
        </w:tc>
      </w:tr>
      <w:tr>
        <w:tc>
          <w:tcPr>
            <w:tcW w:w="3438" w:type="dxa"/>
          </w:tcPr>
          <w:tcPr/>
          <w:p>
            <w:pPr>
              <w:pStyle w:val="Compact"/>
              <w:jc w:val="left"/>
            </w:pPr>
            <w:r>
              <w:t xml:space="preserve">Garanties publiques</w:t>
            </w:r>
          </w:p>
        </w:tc>
        <w:tc>
          <w:tcPr>
            <w:tcW w:w="7766" w:type="dxa"/>
          </w:tcPr>
          <w:tcPr/>
          <w:p>
            <w:pPr>
              <w:pStyle w:val="Compact"/>
              <w:jc w:val="left"/>
            </w:pPr>
            <w:r>
              <w:t xml:space="preserve">prêts garantis (RwandAir, Bugesera Airport, REG, WASAC, ULC) ≈ 1,7 % du PIB</w:t>
            </w:r>
          </w:p>
        </w:tc>
        <w:tc>
          <w:tcPr>
            <w:tcW w:w="1015" w:type="dxa"/>
          </w:tcPr>
          <w:tcPr/>
          <w:p>
            <w:pPr>
              <w:pStyle w:val="Compact"/>
              <w:jc w:val="left"/>
            </w:pPr>
            <w:r>
              <w:t xml:space="preserve">2024</w:t>
            </w:r>
          </w:p>
        </w:tc>
        <w:tc>
          <w:tcPr>
            <w:tcW w:w="1415" w:type="dxa"/>
          </w:tcPr>
          <w:tcPr/>
          <w:p>
            <w:pPr>
              <w:pStyle w:val="Compact"/>
              <w:jc w:val="left"/>
            </w:pPr>
            <w:r>
              <w:t xml:space="preserve">[V]</w:t>
            </w:r>
          </w:p>
        </w:tc>
        <w:tc>
          <w:tcPr>
            <w:tcW w:w="935" w:type="dxa"/>
          </w:tcPr>
          <w:tcPr/>
          <w:p>
            <w:pPr>
              <w:pStyle w:val="Compact"/>
              <w:jc w:val="left"/>
            </w:pPr>
            <w:r>
              <w:t xml:space="preserve">[3]</w:t>
            </w:r>
          </w:p>
        </w:tc>
      </w:tr>
      <w:tr>
        <w:tc>
          <w:tcPr>
            <w:tcW w:w="3438" w:type="dxa"/>
          </w:tcPr>
          <w:tcPr/>
          <w:p>
            <w:pPr>
              <w:pStyle w:val="Compact"/>
              <w:jc w:val="left"/>
            </w:pPr>
            <w:r>
              <w:t xml:space="preserve">Viabilité</w:t>
            </w:r>
          </w:p>
        </w:tc>
        <w:tc>
          <w:tcPr>
            <w:tcW w:w="7766" w:type="dxa"/>
          </w:tcPr>
          <w:tcPr/>
          <w:p>
            <w:pPr>
              <w:pStyle w:val="Compact"/>
              <w:jc w:val="left"/>
            </w:pPr>
            <w:r>
              <w:t xml:space="preserve">stress test de REG achevé (fin mars 2024) ; évaluation financière prospective de REG avec AT du FMI (fin mars 2025)</w:t>
            </w:r>
          </w:p>
        </w:tc>
        <w:tc>
          <w:tcPr>
            <w:tcW w:w="1015" w:type="dxa"/>
          </w:tcPr>
          <w:tcPr/>
          <w:p>
            <w:pPr>
              <w:pStyle w:val="Compact"/>
              <w:jc w:val="left"/>
            </w:pPr>
            <w:r>
              <w:t xml:space="preserve">2024–2025</w:t>
            </w:r>
          </w:p>
        </w:tc>
        <w:tc>
          <w:tcPr>
            <w:tcW w:w="1415" w:type="dxa"/>
          </w:tcPr>
          <w:tcPr/>
          <w:p>
            <w:pPr>
              <w:pStyle w:val="Compact"/>
              <w:jc w:val="left"/>
            </w:pPr>
            <w:r>
              <w:t xml:space="preserve">[V]</w:t>
            </w:r>
          </w:p>
        </w:tc>
        <w:tc>
          <w:tcPr>
            <w:tcW w:w="935" w:type="dxa"/>
          </w:tcPr>
          <w:tcPr/>
          <w:p>
            <w:pPr>
              <w:pStyle w:val="Compact"/>
              <w:jc w:val="left"/>
            </w:pPr>
            <w:r>
              <w:t xml:space="preserve">[3]</w:t>
            </w:r>
          </w:p>
        </w:tc>
      </w:tr>
      <w:tr>
        <w:tc>
          <w:tcPr>
            <w:tcW w:w="3438" w:type="dxa"/>
          </w:tcPr>
          <w:tcPr/>
          <w:p>
            <w:pPr>
              <w:pStyle w:val="Compact"/>
              <w:jc w:val="left"/>
            </w:pPr>
            <w:r>
              <w:t xml:space="preserve">Dépendance aux subventions</w:t>
            </w:r>
          </w:p>
        </w:tc>
        <w:tc>
          <w:tcPr>
            <w:tcW w:w="7766" w:type="dxa"/>
          </w:tcPr>
          <w:tcPr/>
          <w:p>
            <w:pPr>
              <w:pStyle w:val="Compact"/>
              <w:jc w:val="left"/>
            </w:pPr>
            <w:r>
              <w:t xml:space="preserve">« financial sustainability depends on government subsidies due to the non-cost reflective nature of electricity tariffs »</w:t>
            </w:r>
          </w:p>
        </w:tc>
        <w:tc>
          <w:tcPr>
            <w:tcW w:w="1015" w:type="dxa"/>
          </w:tcPr>
          <w:tcPr/>
          <w:p>
            <w:pPr>
              <w:pStyle w:val="Compact"/>
              <w:jc w:val="left"/>
            </w:pPr>
            <w:r>
              <w:t xml:space="preserve">2025</w:t>
            </w:r>
          </w:p>
        </w:tc>
        <w:tc>
          <w:tcPr>
            <w:tcW w:w="1415" w:type="dxa"/>
          </w:tcPr>
          <w:tcPr/>
          <w:p>
            <w:pPr>
              <w:pStyle w:val="Compact"/>
              <w:jc w:val="left"/>
            </w:pPr>
            <w:r>
              <w:t xml:space="preserve">[V]</w:t>
            </w:r>
          </w:p>
        </w:tc>
        <w:tc>
          <w:tcPr>
            <w:tcW w:w="935" w:type="dxa"/>
          </w:tcPr>
          <w:tcPr/>
          <w:p>
            <w:pPr>
              <w:pStyle w:val="Compact"/>
              <w:jc w:val="left"/>
            </w:pPr>
            <w:r>
              <w:t xml:space="preserve">[1]</w:t>
            </w:r>
          </w:p>
        </w:tc>
      </w:tr>
      <w:tr>
        <w:tc>
          <w:tcPr>
            <w:tcW w:w="3438" w:type="dxa"/>
          </w:tcPr>
          <w:tcPr/>
          <w:p>
            <w:pPr>
              <w:pStyle w:val="Compact"/>
              <w:jc w:val="left"/>
            </w:pPr>
            <w:r>
              <w:t xml:space="preserve">Coût de production</w:t>
            </w:r>
          </w:p>
        </w:tc>
        <w:tc>
          <w:tcPr>
            <w:tcW w:w="7766" w:type="dxa"/>
          </w:tcPr>
          <w:tcPr/>
          <w:p>
            <w:pPr>
              <w:pStyle w:val="Compact"/>
              <w:jc w:val="left"/>
            </w:pPr>
            <w:r>
              <w:rPr>
                <w:bCs/>
                <w:b/>
              </w:rPr>
              <w:t xml:space="preserve">≈ 0,14 USD/kWh</w:t>
            </w:r>
            <w:r>
              <w:t xml:space="preserve"> </w:t>
            </w:r>
            <w:r>
              <w:t xml:space="preserve">en moyenne</w:t>
            </w:r>
          </w:p>
        </w:tc>
        <w:tc>
          <w:tcPr>
            <w:tcW w:w="1015" w:type="dxa"/>
          </w:tcPr>
          <w:tcPr/>
          <w:p>
            <w:pPr>
              <w:pStyle w:val="Compact"/>
              <w:jc w:val="left"/>
            </w:pPr>
            <w:r>
              <w:t xml:space="preserve">2025</w:t>
            </w:r>
          </w:p>
        </w:tc>
        <w:tc>
          <w:tcPr>
            <w:tcW w:w="1415" w:type="dxa"/>
          </w:tcPr>
          <w:tcPr/>
          <w:p>
            <w:pPr>
              <w:pStyle w:val="Compact"/>
              <w:jc w:val="left"/>
            </w:pPr>
            <w:r>
              <w:t xml:space="preserve">[V]</w:t>
            </w:r>
          </w:p>
        </w:tc>
        <w:tc>
          <w:tcPr>
            <w:tcW w:w="935" w:type="dxa"/>
          </w:tcPr>
          <w:tcPr/>
          <w:p>
            <w:pPr>
              <w:pStyle w:val="Compact"/>
              <w:jc w:val="left"/>
            </w:pPr>
            <w:r>
              <w:t xml:space="preserve">[2]</w:t>
            </w:r>
          </w:p>
        </w:tc>
      </w:tr>
      <w:tr>
        <w:tc>
          <w:tcPr>
            <w:tcW w:w="3438" w:type="dxa"/>
          </w:tcPr>
          <w:tcPr/>
          <w:p>
            <w:pPr>
              <w:pStyle w:val="Compact"/>
              <w:jc w:val="left"/>
            </w:pPr>
            <w:r>
              <w:t xml:space="preserve">Tarif moyen</w:t>
            </w:r>
          </w:p>
        </w:tc>
        <w:tc>
          <w:tcPr>
            <w:tcW w:w="7766" w:type="dxa"/>
          </w:tcPr>
          <w:tcPr/>
          <w:p>
            <w:pPr>
              <w:pStyle w:val="Compact"/>
              <w:jc w:val="left"/>
            </w:pPr>
            <w:r>
              <w:rPr>
                <w:bCs/>
                <w:b/>
              </w:rPr>
              <w:t xml:space="preserve">≈ 0,16 USD/kWh</w:t>
            </w:r>
            <w:r>
              <w:t xml:space="preserve"> </w:t>
            </w:r>
            <w:r>
              <w:t xml:space="preserve">après la révision de 2025 (parmi les plus élevés de la région)</w:t>
            </w:r>
          </w:p>
        </w:tc>
        <w:tc>
          <w:tcPr>
            <w:tcW w:w="1015" w:type="dxa"/>
          </w:tcPr>
          <w:tcPr/>
          <w:p>
            <w:pPr>
              <w:pStyle w:val="Compact"/>
              <w:jc w:val="left"/>
            </w:pPr>
            <w:r>
              <w:t xml:space="preserve">2025</w:t>
            </w:r>
          </w:p>
        </w:tc>
        <w:tc>
          <w:tcPr>
            <w:tcW w:w="1415" w:type="dxa"/>
          </w:tcPr>
          <w:tcPr/>
          <w:p>
            <w:pPr>
              <w:pStyle w:val="Compact"/>
              <w:jc w:val="left"/>
            </w:pPr>
            <w:r>
              <w:t xml:space="preserve">[V]</w:t>
            </w:r>
          </w:p>
        </w:tc>
        <w:tc>
          <w:tcPr>
            <w:tcW w:w="935" w:type="dxa"/>
          </w:tcPr>
          <w:tcPr/>
          <w:p>
            <w:pPr>
              <w:pStyle w:val="Compact"/>
              <w:jc w:val="left"/>
            </w:pPr>
            <w:r>
              <w:t xml:space="preserve">[2]</w:t>
            </w:r>
          </w:p>
        </w:tc>
      </w:tr>
      <w:tr>
        <w:tc>
          <w:tcPr>
            <w:tcW w:w="3438" w:type="dxa"/>
          </w:tcPr>
          <w:tcPr/>
          <w:p>
            <w:pPr>
              <w:pStyle w:val="Compact"/>
              <w:jc w:val="left"/>
            </w:pPr>
            <w:r>
              <w:t xml:space="preserve">Recette vs coût complet</w:t>
            </w:r>
          </w:p>
        </w:tc>
        <w:tc>
          <w:tcPr>
            <w:tcW w:w="7766" w:type="dxa"/>
          </w:tcPr>
          <w:tcPr/>
          <w:p>
            <w:pPr>
              <w:pStyle w:val="Compact"/>
              <w:jc w:val="left"/>
            </w:pPr>
            <w:r>
              <w:t xml:space="preserve">tarif moyen (0,16) &gt; coût de production (0,14) mais, une fois ajoutés pertes (16,3 %), réseau et dette, les revenus « ne couvrent toujours pas OPEX + dette » (pacte)</w:t>
            </w:r>
          </w:p>
        </w:tc>
        <w:tc>
          <w:tcPr>
            <w:tcW w:w="1015" w:type="dxa"/>
          </w:tcPr>
          <w:tcPr/>
          <w:p>
            <w:pPr>
              <w:pStyle w:val="Compact"/>
              <w:jc w:val="left"/>
            </w:pPr>
            <w:r>
              <w:t xml:space="preserve">2025</w:t>
            </w:r>
          </w:p>
        </w:tc>
        <w:tc>
          <w:tcPr>
            <w:tcW w:w="1415" w:type="dxa"/>
          </w:tcPr>
          <w:tcPr/>
          <w:p>
            <w:pPr>
              <w:pStyle w:val="Compact"/>
              <w:jc w:val="left"/>
            </w:pPr>
            <w:r>
              <w:t xml:space="preserve">[E] / (pacte)</w:t>
            </w:r>
          </w:p>
        </w:tc>
        <w:tc>
          <w:tcPr>
            <w:tcW w:w="935" w:type="dxa"/>
          </w:tcPr>
          <w:tcPr/>
          <w:p>
            <w:pPr>
              <w:pStyle w:val="Compact"/>
              <w:jc w:val="left"/>
            </w:pPr>
            <w:r>
              <w:t xml:space="preserve">[2][6]</w:t>
            </w:r>
          </w:p>
        </w:tc>
      </w:tr>
      <w:tr>
        <w:tc>
          <w:tcPr>
            <w:tcW w:w="3438" w:type="dxa"/>
          </w:tcPr>
          <w:tcPr/>
          <w:p>
            <w:pPr>
              <w:pStyle w:val="Compact"/>
              <w:jc w:val="left"/>
            </w:pPr>
            <w:r>
              <w:t xml:space="preserve">Hausse d’oct. 2025</w:t>
            </w:r>
          </w:p>
        </w:tc>
        <w:tc>
          <w:tcPr>
            <w:tcW w:w="7766" w:type="dxa"/>
          </w:tcPr>
          <w:tcPr/>
          <w:p>
            <w:pPr>
              <w:pStyle w:val="Compact"/>
              <w:jc w:val="left"/>
            </w:pPr>
            <w:r>
              <w:t xml:space="preserve">+45 % résidentiel, +61 % commercial, +17 à 31 % industriel ; bloc social 15 → 20 kWh/mois</w:t>
            </w:r>
          </w:p>
        </w:tc>
        <w:tc>
          <w:tcPr>
            <w:tcW w:w="1015" w:type="dxa"/>
          </w:tcPr>
          <w:tcPr/>
          <w:p>
            <w:pPr>
              <w:pStyle w:val="Compact"/>
              <w:jc w:val="left"/>
            </w:pPr>
            <w:r>
              <w:t xml:space="preserve">oct. 2025</w:t>
            </w:r>
          </w:p>
        </w:tc>
        <w:tc>
          <w:tcPr>
            <w:tcW w:w="1415" w:type="dxa"/>
          </w:tcPr>
          <w:tcPr/>
          <w:p>
            <w:pPr>
              <w:pStyle w:val="Compact"/>
              <w:jc w:val="left"/>
            </w:pPr>
            <w:r>
              <w:t xml:space="preserve">(pacte) ; confirmée par [2][4]</w:t>
            </w:r>
          </w:p>
        </w:tc>
        <w:tc>
          <w:tcPr>
            <w:tcW w:w="935" w:type="dxa"/>
          </w:tcPr>
          <w:tcPr/>
          <w:p>
            <w:pPr>
              <w:pStyle w:val="Compact"/>
              <w:jc w:val="left"/>
            </w:pPr>
            <w:r>
              <w:t xml:space="preserve">[6]</w:t>
            </w:r>
          </w:p>
        </w:tc>
      </w:tr>
      <w:tr>
        <w:tc>
          <w:tcPr>
            <w:tcW w:w="3438" w:type="dxa"/>
          </w:tcPr>
          <w:tcPr/>
          <w:p>
            <w:pPr>
              <w:pStyle w:val="Compact"/>
              <w:jc w:val="left"/>
            </w:pPr>
            <w:r>
              <w:t xml:space="preserve">Arriérés</w:t>
            </w:r>
          </w:p>
        </w:tc>
        <w:tc>
          <w:tcPr>
            <w:tcW w:w="7766" w:type="dxa"/>
          </w:tcPr>
          <w:tcPr/>
          <w:p>
            <w:pPr>
              <w:pStyle w:val="Compact"/>
              <w:jc w:val="left"/>
            </w:pPr>
            <w:r>
              <w:t xml:space="preserve">arriérés publics et privés, dettes héritées — non chiffrés</w:t>
            </w:r>
          </w:p>
        </w:tc>
        <w:tc>
          <w:tcPr>
            <w:tcW w:w="1015" w:type="dxa"/>
          </w:tcPr>
          <w:tcPr/>
          <w:p>
            <w:pPr>
              <w:pStyle w:val="Compact"/>
            </w:pPr>
          </w:p>
        </w:tc>
        <w:tc>
          <w:tcPr>
            <w:tcW w:w="1415" w:type="dxa"/>
          </w:tcPr>
          <w:tcPr/>
          <w:p>
            <w:pPr>
              <w:pStyle w:val="Compact"/>
              <w:jc w:val="left"/>
            </w:pPr>
            <w:r>
              <w:t xml:space="preserve">(pacte)</w:t>
            </w:r>
          </w:p>
        </w:tc>
        <w:tc>
          <w:tcPr>
            <w:tcW w:w="935" w:type="dxa"/>
          </w:tcPr>
          <w:tcPr/>
          <w:p>
            <w:pPr>
              <w:pStyle w:val="Compact"/>
              <w:jc w:val="left"/>
            </w:pPr>
            <w:r>
              <w:t xml:space="preserve">[6]</w:t>
            </w:r>
          </w:p>
        </w:tc>
      </w:tr>
      <w:tr>
        <w:tc>
          <w:tcPr>
            <w:tcW w:w="3438" w:type="dxa"/>
          </w:tcPr>
          <w:tcPr/>
          <w:p>
            <w:pPr>
              <w:pStyle w:val="Compact"/>
              <w:jc w:val="left"/>
            </w:pPr>
            <w:r>
              <w:t xml:space="preserve">Taux de recouvrement</w:t>
            </w:r>
          </w:p>
        </w:tc>
        <w:tc>
          <w:tcPr>
            <w:tcW w:w="7766" w:type="dxa"/>
          </w:tcPr>
          <w:tcPr/>
          <w:p>
            <w:pPr>
              <w:pStyle w:val="Compact"/>
              <w:jc w:val="left"/>
            </w:pPr>
            <w:r>
              <w:t xml:space="preserve">[?]</w:t>
            </w:r>
          </w:p>
        </w:tc>
        <w:tc>
          <w:tcPr>
            <w:tcW w:w="1015" w:type="dxa"/>
          </w:tcPr>
          <w:tcPr/>
          <w:p>
            <w:pPr>
              <w:pStyle w:val="Compact"/>
            </w:pPr>
          </w:p>
        </w:tc>
        <w:tc>
          <w:tcPr>
            <w:tcW w:w="1415" w:type="dxa"/>
          </w:tcPr>
          <w:tcPr/>
          <w:p>
            <w:pPr>
              <w:pStyle w:val="Compact"/>
            </w:pPr>
          </w:p>
        </w:tc>
        <w:tc>
          <w:tcPr>
            <w:tcW w:w="935" w:type="dxa"/>
          </w:tcPr>
          <w:tcPr/>
          <w:p>
            <w:pPr>
              <w:pStyle w:val="Compact"/>
            </w:pPr>
          </w:p>
        </w:tc>
      </w:tr>
      <w:tr>
        <w:tc>
          <w:tcPr>
            <w:tcW w:w="3438" w:type="dxa"/>
          </w:tcPr>
          <w:tcPr/>
          <w:p>
            <w:pPr>
              <w:pStyle w:val="Compact"/>
              <w:jc w:val="left"/>
            </w:pPr>
            <w:r>
              <w:t xml:space="preserve">Notation</w:t>
            </w:r>
          </w:p>
        </w:tc>
        <w:tc>
          <w:tcPr>
            <w:tcW w:w="7766" w:type="dxa"/>
          </w:tcPr>
          <w:tcPr/>
          <w:p>
            <w:pPr>
              <w:pStyle w:val="Compact"/>
              <w:jc w:val="left"/>
            </w:pPr>
            <w:r>
              <w:t xml:space="preserve">aucune</w:t>
            </w:r>
          </w:p>
        </w:tc>
        <w:tc>
          <w:tcPr>
            <w:tcW w:w="1015" w:type="dxa"/>
          </w:tcPr>
          <w:tcPr/>
          <w:p>
            <w:pPr>
              <w:pStyle w:val="Compact"/>
            </w:pPr>
          </w:p>
        </w:tc>
        <w:tc>
          <w:tcPr>
            <w:tcW w:w="1415" w:type="dxa"/>
          </w:tcPr>
          <w:tcPr/>
          <w:p>
            <w:pPr>
              <w:pStyle w:val="Compact"/>
              <w:jc w:val="left"/>
            </w:pPr>
            <w:r>
              <w:t xml:space="preserve">[?]</w:t>
            </w:r>
          </w:p>
        </w:tc>
        <w:tc>
          <w:tcPr>
            <w:tcW w:w="935" w:type="dxa"/>
          </w:tcPr>
          <w:tcPr/>
          <w:p>
            <w:pPr>
              <w:pStyle w:val="Compact"/>
            </w:pPr>
          </w:p>
        </w:tc>
      </w:tr>
    </w:tbl>
    <w:bookmarkEnd w:id="304"/>
    <w:bookmarkStart w:id="305" w:name="situation-technique-26"/>
    <w:p>
      <w:pPr>
        <w:pStyle w:val="Heading3"/>
      </w:pPr>
      <w:r>
        <w:t xml:space="preserve">2. Situation technique</w:t>
      </w:r>
    </w:p>
    <w:tbl>
      <w:tblPr>
        <w:tblStyle w:val="Table"/>
        <w:tblW w:type="dxa" w:w="14570"/>
        <w:tblLook w:firstRow="1" w:lastRow="0" w:firstColumn="0" w:lastColumn="0" w:noHBand="0" w:noVBand="0" w:val="0020"/>
        <w:jc w:val="start"/>
      </w:tblPr>
      <w:tblGrid>
        <w:gridCol w:w="2446"/>
        <w:gridCol w:w="8019"/>
        <w:gridCol w:w="1562"/>
        <w:gridCol w:w="1242"/>
        <w:gridCol w:w="1300"/>
      </w:tblGrid>
      <w:tr>
        <w:trPr>
          <w:tblHeader w:val="true"/>
        </w:trPr>
        <w:tc>
          <w:tcPr>
            <w:tcW w:w="2446" w:type="dxa"/>
          </w:tcPr>
          <w:tcPr/>
          <w:p>
            <w:pPr>
              <w:pStyle w:val="Compact"/>
              <w:jc w:val="left"/>
            </w:pPr>
            <w:r>
              <w:t xml:space="preserve">Indicateur</w:t>
            </w:r>
          </w:p>
        </w:tc>
        <w:tc>
          <w:tcPr>
            <w:tcW w:w="8019" w:type="dxa"/>
          </w:tcPr>
          <w:tcPr/>
          <w:p>
            <w:pPr>
              <w:pStyle w:val="Compact"/>
              <w:jc w:val="left"/>
            </w:pPr>
            <w:r>
              <w:t xml:space="preserve">Valeur</w:t>
            </w:r>
          </w:p>
        </w:tc>
        <w:tc>
          <w:tcPr>
            <w:tcW w:w="1562" w:type="dxa"/>
          </w:tcPr>
          <w:tcPr/>
          <w:p>
            <w:pPr>
              <w:pStyle w:val="Compact"/>
              <w:jc w:val="left"/>
            </w:pPr>
            <w:r>
              <w:t xml:space="preserve">Année</w:t>
            </w:r>
          </w:p>
        </w:tc>
        <w:tc>
          <w:tcPr>
            <w:tcW w:w="1242" w:type="dxa"/>
          </w:tcPr>
          <w:tcPr/>
          <w:p>
            <w:pPr>
              <w:pStyle w:val="Compact"/>
              <w:jc w:val="left"/>
            </w:pPr>
            <w:r>
              <w:t xml:space="preserve">Statut</w:t>
            </w:r>
          </w:p>
        </w:tc>
        <w:tc>
          <w:tcPr>
            <w:tcW w:w="1300" w:type="dxa"/>
          </w:tcPr>
          <w:tcPr/>
          <w:p>
            <w:pPr>
              <w:pStyle w:val="Compact"/>
              <w:jc w:val="left"/>
            </w:pPr>
            <w:r>
              <w:t xml:space="preserve">Source</w:t>
            </w:r>
          </w:p>
        </w:tc>
      </w:tr>
      <w:tr>
        <w:tc>
          <w:tcPr>
            <w:tcW w:w="2446" w:type="dxa"/>
          </w:tcPr>
          <w:tcPr/>
          <w:p>
            <w:pPr>
              <w:pStyle w:val="Compact"/>
              <w:jc w:val="left"/>
            </w:pPr>
            <w:r>
              <w:t xml:space="preserve">Capacité</w:t>
            </w:r>
          </w:p>
        </w:tc>
        <w:tc>
          <w:tcPr>
            <w:tcW w:w="8019" w:type="dxa"/>
          </w:tcPr>
          <w:tcPr/>
          <w:p>
            <w:pPr>
              <w:pStyle w:val="Compact"/>
              <w:jc w:val="left"/>
            </w:pPr>
            <w:r>
              <w:t xml:space="preserve">466 MW installés, dont</w:t>
            </w:r>
            <w:r>
              <w:t xml:space="preserve"> </w:t>
            </w:r>
            <w:r>
              <w:rPr>
                <w:bCs/>
                <w:b/>
              </w:rPr>
              <w:t xml:space="preserve">≈ 171 MW seulement « fermes »</w:t>
            </w:r>
            <w:r>
              <w:t xml:space="preserve"> </w:t>
            </w:r>
            <w:r>
              <w:t xml:space="preserve">(pilotables, domestiques)</w:t>
            </w:r>
          </w:p>
        </w:tc>
        <w:tc>
          <w:tcPr>
            <w:tcW w:w="1562" w:type="dxa"/>
          </w:tcPr>
          <w:tcPr/>
          <w:p>
            <w:pPr>
              <w:pStyle w:val="Compact"/>
              <w:jc w:val="left"/>
            </w:pPr>
            <w:r>
              <w:t xml:space="preserve">2025</w:t>
            </w:r>
          </w:p>
        </w:tc>
        <w:tc>
          <w:tcPr>
            <w:tcW w:w="1242" w:type="dxa"/>
          </w:tcPr>
          <w:tcPr/>
          <w:p>
            <w:pPr>
              <w:pStyle w:val="Compact"/>
              <w:jc w:val="left"/>
            </w:pPr>
            <w:r>
              <w:t xml:space="preserve">[V]</w:t>
            </w:r>
          </w:p>
        </w:tc>
        <w:tc>
          <w:tcPr>
            <w:tcW w:w="1300" w:type="dxa"/>
          </w:tcPr>
          <w:tcPr/>
          <w:p>
            <w:pPr>
              <w:pStyle w:val="Compact"/>
              <w:jc w:val="left"/>
            </w:pPr>
            <w:r>
              <w:t xml:space="preserve">[2]</w:t>
            </w:r>
          </w:p>
        </w:tc>
      </w:tr>
      <w:tr>
        <w:tc>
          <w:tcPr>
            <w:tcW w:w="2446" w:type="dxa"/>
          </w:tcPr>
          <w:tcPr/>
          <w:p>
            <w:pPr>
              <w:pStyle w:val="Compact"/>
              <w:jc w:val="left"/>
            </w:pPr>
            <w:r>
              <w:t xml:space="preserve">Pertes</w:t>
            </w:r>
          </w:p>
        </w:tc>
        <w:tc>
          <w:tcPr>
            <w:tcW w:w="8019" w:type="dxa"/>
          </w:tcPr>
          <w:tcPr/>
          <w:p>
            <w:pPr>
              <w:pStyle w:val="Compact"/>
              <w:jc w:val="left"/>
            </w:pPr>
            <w:r>
              <w:rPr>
                <w:bCs/>
                <w:b/>
              </w:rPr>
              <w:t xml:space="preserve">16,31 %</w:t>
            </w:r>
            <w:r>
              <w:t xml:space="preserve"> </w:t>
            </w:r>
            <w:r>
              <w:t xml:space="preserve">(techniques 13,3 % ; commerciales 3 %) ; 17,99 % en FY2023/24 (16,9 % FY22/23) ; cible ESSP 15 % en 2024 non atteinte</w:t>
            </w:r>
          </w:p>
        </w:tc>
        <w:tc>
          <w:tcPr>
            <w:tcW w:w="1562" w:type="dxa"/>
          </w:tcPr>
          <w:tcPr/>
          <w:p>
            <w:pPr>
              <w:pStyle w:val="Compact"/>
              <w:jc w:val="left"/>
            </w:pPr>
            <w:r>
              <w:t xml:space="preserve">FY2024/25</w:t>
            </w:r>
          </w:p>
        </w:tc>
        <w:tc>
          <w:tcPr>
            <w:tcW w:w="1242" w:type="dxa"/>
          </w:tcPr>
          <w:tcPr/>
          <w:p>
            <w:pPr>
              <w:pStyle w:val="Compact"/>
              <w:jc w:val="left"/>
            </w:pPr>
            <w:r>
              <w:t xml:space="preserve">[V]</w:t>
            </w:r>
          </w:p>
        </w:tc>
        <w:tc>
          <w:tcPr>
            <w:tcW w:w="1300" w:type="dxa"/>
          </w:tcPr>
          <w:tcPr/>
          <w:p>
            <w:pPr>
              <w:pStyle w:val="Compact"/>
              <w:jc w:val="left"/>
            </w:pPr>
            <w:r>
              <w:t xml:space="preserve">[1][2]</w:t>
            </w:r>
          </w:p>
        </w:tc>
      </w:tr>
      <w:tr>
        <w:tc>
          <w:tcPr>
            <w:tcW w:w="2446" w:type="dxa"/>
          </w:tcPr>
          <w:tcPr/>
          <w:p>
            <w:pPr>
              <w:pStyle w:val="Compact"/>
              <w:jc w:val="left"/>
            </w:pPr>
            <w:r>
              <w:t xml:space="preserve">SAIDI / SAIFI</w:t>
            </w:r>
          </w:p>
        </w:tc>
        <w:tc>
          <w:tcPr>
            <w:tcW w:w="8019" w:type="dxa"/>
          </w:tcPr>
          <w:tcPr/>
          <w:p>
            <w:pPr>
              <w:pStyle w:val="Compact"/>
              <w:jc w:val="left"/>
            </w:pPr>
            <w:r>
              <w:t xml:space="preserve">11,35 h / 16,71 (FY2024/25)</w:t>
            </w:r>
          </w:p>
        </w:tc>
        <w:tc>
          <w:tcPr>
            <w:tcW w:w="1562" w:type="dxa"/>
          </w:tcPr>
          <w:tcPr/>
          <w:p>
            <w:pPr>
              <w:pStyle w:val="Compact"/>
              <w:jc w:val="left"/>
            </w:pPr>
            <w:r>
              <w:t xml:space="preserve">2025</w:t>
            </w:r>
          </w:p>
        </w:tc>
        <w:tc>
          <w:tcPr>
            <w:tcW w:w="1242" w:type="dxa"/>
          </w:tcPr>
          <w:tcPr/>
          <w:p>
            <w:pPr>
              <w:pStyle w:val="Compact"/>
              <w:jc w:val="left"/>
            </w:pPr>
            <w:r>
              <w:t xml:space="preserve">(pacte)</w:t>
            </w:r>
          </w:p>
        </w:tc>
        <w:tc>
          <w:tcPr>
            <w:tcW w:w="1300" w:type="dxa"/>
          </w:tcPr>
          <w:tcPr/>
          <w:p>
            <w:pPr>
              <w:pStyle w:val="Compact"/>
              <w:jc w:val="left"/>
            </w:pPr>
            <w:r>
              <w:t xml:space="preserve">[6]</w:t>
            </w:r>
          </w:p>
        </w:tc>
      </w:tr>
      <w:tr>
        <w:tc>
          <w:tcPr>
            <w:tcW w:w="2446" w:type="dxa"/>
          </w:tcPr>
          <w:tcPr/>
          <w:p>
            <w:pPr>
              <w:pStyle w:val="Compact"/>
              <w:jc w:val="left"/>
            </w:pPr>
            <w:r>
              <w:t xml:space="preserve">Accès</w:t>
            </w:r>
          </w:p>
        </w:tc>
        <w:tc>
          <w:tcPr>
            <w:tcW w:w="8019" w:type="dxa"/>
          </w:tcPr>
          <w:tcPr/>
          <w:p>
            <w:pPr>
              <w:pStyle w:val="Compact"/>
              <w:jc w:val="left"/>
            </w:pPr>
            <w:r>
              <w:t xml:space="preserve">≈ 84,3 % (FY2024/25) ; 79 % fin FY2023/24 (56 % réseau, 23 % hors réseau)</w:t>
            </w:r>
          </w:p>
        </w:tc>
        <w:tc>
          <w:tcPr>
            <w:tcW w:w="1562" w:type="dxa"/>
          </w:tcPr>
          <w:tcPr/>
          <w:p>
            <w:pPr>
              <w:pStyle w:val="Compact"/>
              <w:jc w:val="left"/>
            </w:pPr>
            <w:r>
              <w:t xml:space="preserve">2024–2025</w:t>
            </w:r>
          </w:p>
        </w:tc>
        <w:tc>
          <w:tcPr>
            <w:tcW w:w="1242" w:type="dxa"/>
          </w:tcPr>
          <w:tcPr/>
          <w:p>
            <w:pPr>
              <w:pStyle w:val="Compact"/>
              <w:jc w:val="left"/>
            </w:pPr>
            <w:r>
              <w:t xml:space="preserve">[V]</w:t>
            </w:r>
          </w:p>
        </w:tc>
        <w:tc>
          <w:tcPr>
            <w:tcW w:w="1300" w:type="dxa"/>
          </w:tcPr>
          <w:tcPr/>
          <w:p>
            <w:pPr>
              <w:pStyle w:val="Compact"/>
              <w:jc w:val="left"/>
            </w:pPr>
            <w:r>
              <w:t xml:space="preserve">[1][2]</w:t>
            </w:r>
          </w:p>
        </w:tc>
      </w:tr>
      <w:tr>
        <w:tc>
          <w:tcPr>
            <w:tcW w:w="2446" w:type="dxa"/>
          </w:tcPr>
          <w:tcPr/>
          <w:p>
            <w:pPr>
              <w:pStyle w:val="Compact"/>
              <w:jc w:val="left"/>
            </w:pPr>
            <w:r>
              <w:t xml:space="preserve">Consommation</w:t>
            </w:r>
          </w:p>
        </w:tc>
        <w:tc>
          <w:tcPr>
            <w:tcW w:w="8019" w:type="dxa"/>
          </w:tcPr>
          <w:tcPr/>
          <w:p>
            <w:pPr>
              <w:pStyle w:val="Compact"/>
              <w:jc w:val="left"/>
            </w:pPr>
            <w:r>
              <w:t xml:space="preserve">16,6 kWh/mois par ménage</w:t>
            </w:r>
          </w:p>
        </w:tc>
        <w:tc>
          <w:tcPr>
            <w:tcW w:w="1562" w:type="dxa"/>
          </w:tcPr>
          <w:tcPr/>
          <w:p>
            <w:pPr>
              <w:pStyle w:val="Compact"/>
              <w:jc w:val="left"/>
            </w:pPr>
            <w:r>
              <w:t xml:space="preserve">2025</w:t>
            </w:r>
          </w:p>
        </w:tc>
        <w:tc>
          <w:tcPr>
            <w:tcW w:w="1242" w:type="dxa"/>
          </w:tcPr>
          <w:tcPr/>
          <w:p>
            <w:pPr>
              <w:pStyle w:val="Compact"/>
              <w:jc w:val="left"/>
            </w:pPr>
            <w:r>
              <w:t xml:space="preserve">[V]</w:t>
            </w:r>
          </w:p>
        </w:tc>
        <w:tc>
          <w:tcPr>
            <w:tcW w:w="1300" w:type="dxa"/>
          </w:tcPr>
          <w:tcPr/>
          <w:p>
            <w:pPr>
              <w:pStyle w:val="Compact"/>
              <w:jc w:val="left"/>
            </w:pPr>
            <w:r>
              <w:t xml:space="preserve">[2]</w:t>
            </w:r>
          </w:p>
        </w:tc>
      </w:tr>
      <w:tr>
        <w:tc>
          <w:tcPr>
            <w:tcW w:w="2446" w:type="dxa"/>
          </w:tcPr>
          <w:tcPr/>
          <w:p>
            <w:pPr>
              <w:pStyle w:val="Compact"/>
              <w:jc w:val="left"/>
            </w:pPr>
            <w:r>
              <w:t xml:space="preserve">Réseau</w:t>
            </w:r>
          </w:p>
        </w:tc>
        <w:tc>
          <w:tcPr>
            <w:tcW w:w="8019" w:type="dxa"/>
          </w:tcPr>
          <w:tcPr/>
          <w:p>
            <w:pPr>
              <w:pStyle w:val="Compact"/>
              <w:jc w:val="left"/>
            </w:pPr>
            <w:r>
              <w:t xml:space="preserve">1 158 km transport ; 32 474 km distribution (juin 2024)</w:t>
            </w:r>
          </w:p>
        </w:tc>
        <w:tc>
          <w:tcPr>
            <w:tcW w:w="1562" w:type="dxa"/>
          </w:tcPr>
          <w:tcPr/>
          <w:p>
            <w:pPr>
              <w:pStyle w:val="Compact"/>
              <w:jc w:val="left"/>
            </w:pPr>
            <w:r>
              <w:t xml:space="preserve">2024</w:t>
            </w:r>
          </w:p>
        </w:tc>
        <w:tc>
          <w:tcPr>
            <w:tcW w:w="1242" w:type="dxa"/>
          </w:tcPr>
          <w:tcPr/>
          <w:p>
            <w:pPr>
              <w:pStyle w:val="Compact"/>
              <w:jc w:val="left"/>
            </w:pPr>
            <w:r>
              <w:t xml:space="preserve">[V]</w:t>
            </w:r>
          </w:p>
        </w:tc>
        <w:tc>
          <w:tcPr>
            <w:tcW w:w="1300" w:type="dxa"/>
          </w:tcPr>
          <w:tcPr/>
          <w:p>
            <w:pPr>
              <w:pStyle w:val="Compact"/>
              <w:jc w:val="left"/>
            </w:pPr>
            <w:r>
              <w:t xml:space="preserve">[1]</w:t>
            </w:r>
          </w:p>
        </w:tc>
      </w:tr>
      <w:tr>
        <w:tc>
          <w:tcPr>
            <w:tcW w:w="2446" w:type="dxa"/>
          </w:tcPr>
          <w:tcPr/>
          <w:p>
            <w:pPr>
              <w:pStyle w:val="Compact"/>
              <w:jc w:val="left"/>
            </w:pPr>
            <w:r>
              <w:t xml:space="preserve">Mix / approvisionnement</w:t>
            </w:r>
          </w:p>
        </w:tc>
        <w:tc>
          <w:tcPr>
            <w:tcW w:w="8019" w:type="dxa"/>
          </w:tcPr>
          <w:tcPr/>
          <w:p>
            <w:pPr>
              <w:pStyle w:val="Compact"/>
              <w:jc w:val="left"/>
            </w:pPr>
            <w:r>
              <w:t xml:space="preserve">dépendance aux importations et au thermique diesel pour la pointe et la saison sèche</w:t>
            </w:r>
          </w:p>
        </w:tc>
        <w:tc>
          <w:tcPr>
            <w:tcW w:w="1562" w:type="dxa"/>
          </w:tcPr>
          <w:tcPr/>
          <w:p>
            <w:pPr>
              <w:pStyle w:val="Compact"/>
              <w:jc w:val="left"/>
            </w:pPr>
            <w:r>
              <w:t xml:space="preserve">2025</w:t>
            </w:r>
          </w:p>
        </w:tc>
        <w:tc>
          <w:tcPr>
            <w:tcW w:w="1242" w:type="dxa"/>
          </w:tcPr>
          <w:tcPr/>
          <w:p>
            <w:pPr>
              <w:pStyle w:val="Compact"/>
              <w:jc w:val="left"/>
            </w:pPr>
            <w:r>
              <w:t xml:space="preserve">[V]</w:t>
            </w:r>
          </w:p>
        </w:tc>
        <w:tc>
          <w:tcPr>
            <w:tcW w:w="1300" w:type="dxa"/>
          </w:tcPr>
          <w:tcPr/>
          <w:p>
            <w:pPr>
              <w:pStyle w:val="Compact"/>
              <w:jc w:val="left"/>
            </w:pPr>
            <w:r>
              <w:t xml:space="preserve">[2]</w:t>
            </w:r>
          </w:p>
        </w:tc>
      </w:tr>
    </w:tbl>
    <w:bookmarkEnd w:id="305"/>
    <w:bookmarkStart w:id="306" w:name="situation-économique-et-gouvernance-26"/>
    <w:p>
      <w:pPr>
        <w:pStyle w:val="Heading3"/>
      </w:pPr>
      <w:r>
        <w:t xml:space="preserve">3. Situation économique et gouvernance</w:t>
      </w:r>
    </w:p>
    <w:p>
      <w:pPr>
        <w:numPr>
          <w:ilvl w:val="0"/>
          <w:numId w:val="1165"/>
        </w:numPr>
        <w:pStyle w:val="Compact"/>
      </w:pPr>
      <w:r>
        <w:rPr>
          <w:bCs/>
          <w:b/>
        </w:rPr>
        <w:t xml:space="preserve">PPA</w:t>
      </w:r>
      <w:r>
        <w:t xml:space="preserve"> </w:t>
      </w:r>
      <w:r>
        <w:t xml:space="preserve">: coût élevé des centrales privées (pacte : 60 % des IPP à tarifs élevés et peu flexibles ; refinancement d’IPP envisagé) [6] (pacte). La BM prévoit des garanties de paiement couvrant le</w:t>
      </w:r>
      <w:r>
        <w:t xml:space="preserve"> </w:t>
      </w:r>
      <w:r>
        <w:rPr>
          <w:bCs/>
          <w:b/>
        </w:rPr>
        <w:t xml:space="preserve">risque d’acheteur d’EUCL</w:t>
      </w:r>
      <w:r>
        <w:t xml:space="preserve"> </w:t>
      </w:r>
      <w:r>
        <w:t xml:space="preserve">pour 100 MW de solaire IPP [2] [V] — reconnaissance implicite d’un risque de crédit d’EUCL.</w:t>
      </w:r>
    </w:p>
    <w:p>
      <w:pPr>
        <w:numPr>
          <w:ilvl w:val="0"/>
          <w:numId w:val="1165"/>
        </w:numPr>
        <w:pStyle w:val="Compact"/>
      </w:pPr>
      <w:r>
        <w:rPr>
          <w:bCs/>
          <w:b/>
        </w:rPr>
        <w:t xml:space="preserve">Change</w:t>
      </w:r>
      <w:r>
        <w:t xml:space="preserve"> </w:t>
      </w:r>
      <w:r>
        <w:t xml:space="preserve">: PPA majoritairement indexés sur l’USD [E] ; non documenté ici [?].</w:t>
      </w:r>
    </w:p>
    <w:p>
      <w:pPr>
        <w:numPr>
          <w:ilvl w:val="0"/>
          <w:numId w:val="1165"/>
        </w:numPr>
        <w:pStyle w:val="Compact"/>
      </w:pPr>
      <w:r>
        <w:rPr>
          <w:bCs/>
          <w:b/>
        </w:rPr>
        <w:t xml:space="preserve">Redressement</w:t>
      </w:r>
      <w:r>
        <w:t xml:space="preserve"> </w:t>
      </w:r>
      <w:r>
        <w:t xml:space="preserve">: méthodologie de revenu requis pluriannuelle d’EUCL d’ici déc. 2027 (pacte) ; RBF II (BAD/AIIB) et ENERGISE (BM) centrés sur fiabilité, accès et IPP.</w:t>
      </w:r>
    </w:p>
    <w:p>
      <w:pPr>
        <w:numPr>
          <w:ilvl w:val="0"/>
          <w:numId w:val="1165"/>
        </w:numPr>
        <w:pStyle w:val="Compact"/>
      </w:pPr>
      <w:r>
        <w:rPr>
          <w:bCs/>
          <w:b/>
        </w:rPr>
        <w:t xml:space="preserve">Gouvernance</w:t>
      </w:r>
      <w:r>
        <w:t xml:space="preserve"> </w:t>
      </w:r>
      <w:r>
        <w:t xml:space="preserve">: suivi SOE renforcé par MINECOFIN (bilans de santé trimestriels, stress tests) [3] [V].</w:t>
      </w:r>
    </w:p>
    <w:bookmarkEnd w:id="306"/>
    <w:bookmarkStart w:id="307" w:name="X033a3353a569bc70827d2f16a0e9586cf5092c8"/>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520"/>
        <w:gridCol w:w="868"/>
        <w:gridCol w:w="2003"/>
        <w:gridCol w:w="1435"/>
        <w:gridCol w:w="3521"/>
        <w:gridCol w:w="1513"/>
        <w:gridCol w:w="1012"/>
        <w:gridCol w:w="693"/>
      </w:tblGrid>
      <w:tr>
        <w:trPr>
          <w:tblHeader w:val="true"/>
        </w:trPr>
        <w:tc>
          <w:tcPr>
            <w:tcW w:w="3520" w:type="dxa"/>
          </w:tcPr>
          <w:tcPr/>
          <w:p>
            <w:pPr>
              <w:pStyle w:val="Compact"/>
              <w:jc w:val="left"/>
            </w:pPr>
            <w:r>
              <w:t xml:space="preserve">Programme / projet</w:t>
            </w:r>
          </w:p>
        </w:tc>
        <w:tc>
          <w:tcPr>
            <w:tcW w:w="868" w:type="dxa"/>
          </w:tcPr>
          <w:tcPr/>
          <w:p>
            <w:pPr>
              <w:pStyle w:val="Compact"/>
              <w:jc w:val="left"/>
            </w:pPr>
            <w:r>
              <w:t xml:space="preserve">Bailleur</w:t>
            </w:r>
          </w:p>
        </w:tc>
        <w:tc>
          <w:tcPr>
            <w:tcW w:w="2003" w:type="dxa"/>
          </w:tcPr>
          <w:tcPr/>
          <w:p>
            <w:pPr>
              <w:pStyle w:val="Compact"/>
              <w:jc w:val="left"/>
            </w:pPr>
            <w:r>
              <w:t xml:space="preserve">Montant</w:t>
            </w:r>
          </w:p>
        </w:tc>
        <w:tc>
          <w:tcPr>
            <w:tcW w:w="1435" w:type="dxa"/>
          </w:tcPr>
          <w:tcPr/>
          <w:p>
            <w:pPr>
              <w:pStyle w:val="Compact"/>
              <w:jc w:val="left"/>
            </w:pPr>
            <w:r>
              <w:t xml:space="preserve">Années</w:t>
            </w:r>
          </w:p>
        </w:tc>
        <w:tc>
          <w:tcPr>
            <w:tcW w:w="3521" w:type="dxa"/>
          </w:tcPr>
          <w:tcPr/>
          <w:p>
            <w:pPr>
              <w:pStyle w:val="Compact"/>
              <w:jc w:val="left"/>
            </w:pPr>
            <w:r>
              <w:t xml:space="preserve">Objectifs liés à l’opérateur</w:t>
            </w:r>
          </w:p>
        </w:tc>
        <w:tc>
          <w:tcPr>
            <w:tcW w:w="1513" w:type="dxa"/>
          </w:tcPr>
          <w:tcPr/>
          <w:p>
            <w:pPr>
              <w:pStyle w:val="Compact"/>
              <w:jc w:val="left"/>
            </w:pPr>
            <w:r>
              <w:t xml:space="preserve">Conditions / indicateurs</w:t>
            </w:r>
          </w:p>
        </w:tc>
        <w:tc>
          <w:tcPr>
            <w:tcW w:w="1012" w:type="dxa"/>
          </w:tcPr>
          <w:tcPr/>
          <w:p>
            <w:pPr>
              <w:pStyle w:val="Compact"/>
              <w:jc w:val="left"/>
            </w:pPr>
            <w:r>
              <w:t xml:space="preserve">Statut</w:t>
            </w:r>
          </w:p>
        </w:tc>
        <w:tc>
          <w:tcPr>
            <w:tcW w:w="693" w:type="dxa"/>
          </w:tcPr>
          <w:tcPr/>
          <w:p>
            <w:pPr>
              <w:pStyle w:val="Compact"/>
              <w:jc w:val="left"/>
            </w:pPr>
            <w:r>
              <w:t xml:space="preserve">Source</w:t>
            </w:r>
          </w:p>
        </w:tc>
      </w:tr>
      <w:tr>
        <w:tc>
          <w:tcPr>
            <w:tcW w:w="3520" w:type="dxa"/>
          </w:tcPr>
          <w:tcPr/>
          <w:p>
            <w:pPr>
              <w:pStyle w:val="Compact"/>
              <w:jc w:val="left"/>
            </w:pPr>
            <w:r>
              <w:t xml:space="preserve">ASCENT Rwanda (P180575)</w:t>
            </w:r>
          </w:p>
        </w:tc>
        <w:tc>
          <w:tcPr>
            <w:tcW w:w="868" w:type="dxa"/>
          </w:tcPr>
          <w:tcPr/>
          <w:p>
            <w:pPr>
              <w:pStyle w:val="Compact"/>
              <w:jc w:val="left"/>
            </w:pPr>
            <w:r>
              <w:t xml:space="preserve">BM</w:t>
            </w:r>
          </w:p>
        </w:tc>
        <w:tc>
          <w:tcPr>
            <w:tcW w:w="2003" w:type="dxa"/>
          </w:tcPr>
          <w:tcPr/>
          <w:p>
            <w:pPr>
              <w:pStyle w:val="Compact"/>
              <w:jc w:val="left"/>
            </w:pPr>
            <w:r>
              <w:t xml:space="preserve">300 M USD + 100 M USD don</w:t>
            </w:r>
          </w:p>
        </w:tc>
        <w:tc>
          <w:tcPr>
            <w:tcW w:w="1435" w:type="dxa"/>
          </w:tcPr>
          <w:tcPr/>
          <w:p>
            <w:pPr>
              <w:pStyle w:val="Compact"/>
              <w:jc w:val="left"/>
            </w:pPr>
            <w:r>
              <w:t xml:space="preserve">2023–2029</w:t>
            </w:r>
          </w:p>
        </w:tc>
        <w:tc>
          <w:tcPr>
            <w:tcW w:w="3521" w:type="dxa"/>
          </w:tcPr>
          <w:tcPr/>
          <w:p>
            <w:pPr>
              <w:pStyle w:val="Compact"/>
              <w:jc w:val="left"/>
            </w:pPr>
            <w:r>
              <w:t xml:space="preserve">accès réseau/hors réseau (EDCL, BRD)</w:t>
            </w:r>
          </w:p>
        </w:tc>
        <w:tc>
          <w:tcPr>
            <w:tcW w:w="1513" w:type="dxa"/>
          </w:tcPr>
          <w:tcPr/>
          <w:p>
            <w:pPr>
              <w:pStyle w:val="Compact"/>
              <w:jc w:val="left"/>
            </w:pPr>
            <w:r>
              <w:t xml:space="preserve">—</w:t>
            </w:r>
          </w:p>
        </w:tc>
        <w:tc>
          <w:tcPr>
            <w:tcW w:w="1012" w:type="dxa"/>
          </w:tcPr>
          <w:tcPr/>
          <w:p>
            <w:pPr>
              <w:pStyle w:val="Compact"/>
              <w:jc w:val="left"/>
            </w:pPr>
            <w:r>
              <w:t xml:space="preserve">Actif</w:t>
            </w:r>
          </w:p>
        </w:tc>
        <w:tc>
          <w:tcPr>
            <w:tcW w:w="693" w:type="dxa"/>
          </w:tcPr>
          <w:tcPr/>
          <w:p>
            <w:pPr>
              <w:pStyle w:val="Compact"/>
              <w:jc w:val="left"/>
            </w:pPr>
            <w:r>
              <w:t xml:space="preserve">[5]</w:t>
            </w:r>
          </w:p>
        </w:tc>
      </w:tr>
      <w:tr>
        <w:tc>
          <w:tcPr>
            <w:tcW w:w="3520" w:type="dxa"/>
          </w:tcPr>
          <w:tcPr/>
          <w:p>
            <w:pPr>
              <w:pStyle w:val="Compact"/>
              <w:jc w:val="left"/>
            </w:pPr>
            <w:r>
              <w:t xml:space="preserve">Energy Access and Quality Improvement Project — EAQIP (P172594) + AF (P176707, P513031)</w:t>
            </w:r>
          </w:p>
        </w:tc>
        <w:tc>
          <w:tcPr>
            <w:tcW w:w="868" w:type="dxa"/>
          </w:tcPr>
          <w:tcPr/>
          <w:p>
            <w:pPr>
              <w:pStyle w:val="Compact"/>
              <w:jc w:val="left"/>
            </w:pPr>
            <w:r>
              <w:t xml:space="preserve">BM</w:t>
            </w:r>
          </w:p>
        </w:tc>
        <w:tc>
          <w:tcPr>
            <w:tcW w:w="2003" w:type="dxa"/>
          </w:tcPr>
          <w:tcPr/>
          <w:p>
            <w:pPr>
              <w:pStyle w:val="Compact"/>
              <w:jc w:val="left"/>
            </w:pPr>
            <w:r>
              <w:t xml:space="preserve">150 M + 152,4 M don ; AF 14,4 M et 8,7 M dons</w:t>
            </w:r>
          </w:p>
        </w:tc>
        <w:tc>
          <w:tcPr>
            <w:tcW w:w="1435" w:type="dxa"/>
          </w:tcPr>
          <w:tcPr/>
          <w:p>
            <w:pPr>
              <w:pStyle w:val="Compact"/>
              <w:jc w:val="left"/>
            </w:pPr>
            <w:r>
              <w:t xml:space="preserve">2020–2026</w:t>
            </w:r>
          </w:p>
        </w:tc>
        <w:tc>
          <w:tcPr>
            <w:tcW w:w="3521" w:type="dxa"/>
          </w:tcPr>
          <w:tcPr/>
          <w:p>
            <w:pPr>
              <w:pStyle w:val="Compact"/>
              <w:jc w:val="left"/>
            </w:pPr>
            <w:r>
              <w:t xml:space="preserve">accès et qualité (EDCL)</w:t>
            </w:r>
          </w:p>
        </w:tc>
        <w:tc>
          <w:tcPr>
            <w:tcW w:w="1513" w:type="dxa"/>
          </w:tcPr>
          <w:tcPr/>
          <w:p>
            <w:pPr>
              <w:pStyle w:val="Compact"/>
              <w:jc w:val="left"/>
            </w:pPr>
            <w:r>
              <w:t xml:space="preserve">—</w:t>
            </w:r>
          </w:p>
        </w:tc>
        <w:tc>
          <w:tcPr>
            <w:tcW w:w="1012" w:type="dxa"/>
          </w:tcPr>
          <w:tcPr/>
          <w:p>
            <w:pPr>
              <w:pStyle w:val="Compact"/>
              <w:jc w:val="left"/>
            </w:pPr>
            <w:r>
              <w:t xml:space="preserve">Actif</w:t>
            </w:r>
          </w:p>
        </w:tc>
        <w:tc>
          <w:tcPr>
            <w:tcW w:w="693" w:type="dxa"/>
          </w:tcPr>
          <w:tcPr/>
          <w:p>
            <w:pPr>
              <w:pStyle w:val="Compact"/>
              <w:jc w:val="left"/>
            </w:pPr>
            <w:r>
              <w:t xml:space="preserve">[5]</w:t>
            </w:r>
          </w:p>
        </w:tc>
      </w:tr>
      <w:tr>
        <w:tc>
          <w:tcPr>
            <w:tcW w:w="3520" w:type="dxa"/>
          </w:tcPr>
          <w:tcPr/>
          <w:p>
            <w:pPr>
              <w:pStyle w:val="Compact"/>
              <w:jc w:val="left"/>
            </w:pPr>
            <w:r>
              <w:rPr>
                <w:bCs/>
                <w:b/>
              </w:rPr>
              <w:t xml:space="preserve">ENERGISE — Enhancing Energy Reliability, Growth, Investments and Sustainable Electrification (P516633)</w:t>
            </w:r>
          </w:p>
        </w:tc>
        <w:tc>
          <w:tcPr>
            <w:tcW w:w="868" w:type="dxa"/>
          </w:tcPr>
          <w:tcPr/>
          <w:p>
            <w:pPr>
              <w:pStyle w:val="Compact"/>
              <w:jc w:val="left"/>
            </w:pPr>
            <w:r>
              <w:t xml:space="preserve">BM (+ IFC/MIGA)</w:t>
            </w:r>
          </w:p>
        </w:tc>
        <w:tc>
          <w:tcPr>
            <w:tcW w:w="2003" w:type="dxa"/>
          </w:tcPr>
          <w:tcPr/>
          <w:p>
            <w:pPr>
              <w:pStyle w:val="Compact"/>
              <w:jc w:val="left"/>
            </w:pPr>
            <w:r>
              <w:t xml:space="preserve">100 M USD IDA (coût 125 M ; 1er d’une série, ≈ 225 M avec privé)</w:t>
            </w:r>
          </w:p>
        </w:tc>
        <w:tc>
          <w:tcPr>
            <w:tcW w:w="1435" w:type="dxa"/>
          </w:tcPr>
          <w:tcPr/>
          <w:p>
            <w:pPr>
              <w:pStyle w:val="Compact"/>
              <w:jc w:val="left"/>
            </w:pPr>
            <w:r>
              <w:t xml:space="preserve">approbation prévue 16/02/2027</w:t>
            </w:r>
          </w:p>
        </w:tc>
        <w:tc>
          <w:tcPr>
            <w:tcW w:w="3521" w:type="dxa"/>
          </w:tcPr>
          <w:tcPr/>
          <w:p>
            <w:pPr>
              <w:pStyle w:val="Compact"/>
              <w:jc w:val="left"/>
            </w:pPr>
            <w:r>
              <w:t xml:space="preserve">100 MW solaire IPP avec</w:t>
            </w:r>
            <w:r>
              <w:t xml:space="preserve"> </w:t>
            </w:r>
            <w:r>
              <w:rPr>
                <w:bCs/>
                <w:b/>
              </w:rPr>
              <w:t xml:space="preserve">garanties de paiement couvrant le risque d’acheteur d’EUCL</w:t>
            </w:r>
            <w:r>
              <w:t xml:space="preserve"> </w:t>
            </w:r>
            <w:r>
              <w:t xml:space="preserve">; BESS ; renforcement des capacités tarifaires (RURA)</w:t>
            </w:r>
          </w:p>
        </w:tc>
        <w:tc>
          <w:tcPr>
            <w:tcW w:w="1513" w:type="dxa"/>
          </w:tcPr>
          <w:tcPr/>
          <w:p>
            <w:pPr>
              <w:pStyle w:val="Compact"/>
              <w:jc w:val="left"/>
            </w:pPr>
            <w:r>
              <w:t xml:space="preserve">indicateurs : MW ENR, BESS, capitaux privés</w:t>
            </w:r>
          </w:p>
        </w:tc>
        <w:tc>
          <w:tcPr>
            <w:tcW w:w="1012" w:type="dxa"/>
          </w:tcPr>
          <w:tcPr/>
          <w:p>
            <w:pPr>
              <w:pStyle w:val="Compact"/>
              <w:jc w:val="left"/>
            </w:pPr>
            <w:r>
              <w:t xml:space="preserve">Concept (PID 25/09/2026)</w:t>
            </w:r>
          </w:p>
        </w:tc>
        <w:tc>
          <w:tcPr>
            <w:tcW w:w="693" w:type="dxa"/>
          </w:tcPr>
          <w:tcPr/>
          <w:p>
            <w:pPr>
              <w:pStyle w:val="Compact"/>
              <w:jc w:val="left"/>
            </w:pPr>
            <w:r>
              <w:t xml:space="preserve">[2]</w:t>
            </w:r>
          </w:p>
        </w:tc>
      </w:tr>
      <w:tr>
        <w:tc>
          <w:tcPr>
            <w:tcW w:w="3520" w:type="dxa"/>
          </w:tcPr>
          <w:tcPr/>
          <w:p>
            <w:pPr>
              <w:pStyle w:val="Compact"/>
              <w:jc w:val="left"/>
            </w:pPr>
            <w:r>
              <w:t xml:space="preserve">1st Inclusive and Resilient Job Creation DPF (P513028)</w:t>
            </w:r>
          </w:p>
        </w:tc>
        <w:tc>
          <w:tcPr>
            <w:tcW w:w="868" w:type="dxa"/>
          </w:tcPr>
          <w:tcPr/>
          <w:p>
            <w:pPr>
              <w:pStyle w:val="Compact"/>
              <w:jc w:val="left"/>
            </w:pPr>
            <w:r>
              <w:t xml:space="preserve">BM (DPF)</w:t>
            </w:r>
          </w:p>
        </w:tc>
        <w:tc>
          <w:tcPr>
            <w:tcW w:w="2003" w:type="dxa"/>
          </w:tcPr>
          <w:tcPr/>
          <w:p>
            <w:pPr>
              <w:pStyle w:val="Compact"/>
              <w:jc w:val="left"/>
            </w:pPr>
            <w:r>
              <w:t xml:space="preserve">100 M USD</w:t>
            </w:r>
          </w:p>
        </w:tc>
        <w:tc>
          <w:tcPr>
            <w:tcW w:w="1435" w:type="dxa"/>
          </w:tcPr>
          <w:tcPr/>
          <w:p>
            <w:pPr>
              <w:pStyle w:val="Compact"/>
              <w:jc w:val="left"/>
            </w:pPr>
            <w:r>
              <w:t xml:space="preserve">approuvé 23/03/2026</w:t>
            </w:r>
          </w:p>
        </w:tc>
        <w:tc>
          <w:tcPr>
            <w:tcW w:w="3521" w:type="dxa"/>
          </w:tcPr>
          <w:tcPr/>
          <w:p>
            <w:pPr>
              <w:pStyle w:val="Compact"/>
              <w:jc w:val="left"/>
            </w:pPr>
            <w:r>
              <w:t xml:space="preserve">mentionne la hausse tarifaire d’oct. 2025 « visant à réduire les subventions budgétaires » ; pas d’action préalable énergie identifiée</w:t>
            </w:r>
          </w:p>
        </w:tc>
        <w:tc>
          <w:tcPr>
            <w:tcW w:w="1513" w:type="dxa"/>
          </w:tcPr>
          <w:tcPr/>
          <w:p>
            <w:pPr>
              <w:pStyle w:val="Compact"/>
              <w:jc w:val="left"/>
            </w:pPr>
            <w:r>
              <w:t xml:space="preserve">—</w:t>
            </w:r>
          </w:p>
        </w:tc>
        <w:tc>
          <w:tcPr>
            <w:tcW w:w="1012" w:type="dxa"/>
          </w:tcPr>
          <w:tcPr/>
          <w:p>
            <w:pPr>
              <w:pStyle w:val="Compact"/>
              <w:jc w:val="left"/>
            </w:pPr>
            <w:r>
              <w:t xml:space="preserve">Actif</w:t>
            </w:r>
          </w:p>
        </w:tc>
        <w:tc>
          <w:tcPr>
            <w:tcW w:w="693" w:type="dxa"/>
          </w:tcPr>
          <w:tcPr/>
          <w:p>
            <w:pPr>
              <w:pStyle w:val="Compact"/>
              <w:jc w:val="left"/>
            </w:pPr>
            <w:r>
              <w:t xml:space="preserve">[4]</w:t>
            </w:r>
          </w:p>
        </w:tc>
      </w:tr>
      <w:tr>
        <w:tc>
          <w:tcPr>
            <w:tcW w:w="3520" w:type="dxa"/>
          </w:tcPr>
          <w:tcPr/>
          <w:p>
            <w:pPr>
              <w:pStyle w:val="Compact"/>
              <w:jc w:val="left"/>
            </w:pPr>
            <w:r>
              <w:t xml:space="preserve">Energy Sector DPO 1-3 + Supplemental (P162671, P166458, P169040, P173882)</w:t>
            </w:r>
          </w:p>
        </w:tc>
        <w:tc>
          <w:tcPr>
            <w:tcW w:w="868" w:type="dxa"/>
          </w:tcPr>
          <w:tcPr/>
          <w:p>
            <w:pPr>
              <w:pStyle w:val="Compact"/>
              <w:jc w:val="left"/>
            </w:pPr>
            <w:r>
              <w:t xml:space="preserve">BM (DPF)</w:t>
            </w:r>
          </w:p>
        </w:tc>
        <w:tc>
          <w:tcPr>
            <w:tcW w:w="2003" w:type="dxa"/>
          </w:tcPr>
          <w:tcPr/>
          <w:p>
            <w:pPr>
              <w:pStyle w:val="Compact"/>
              <w:jc w:val="left"/>
            </w:pPr>
            <w:r>
              <w:t xml:space="preserve">125 M ×3 + 100 M USD</w:t>
            </w:r>
          </w:p>
        </w:tc>
        <w:tc>
          <w:tcPr>
            <w:tcW w:w="1435" w:type="dxa"/>
          </w:tcPr>
          <w:tcPr/>
          <w:p>
            <w:pPr>
              <w:pStyle w:val="Compact"/>
              <w:jc w:val="left"/>
            </w:pPr>
            <w:r>
              <w:t xml:space="preserve">2017–2021</w:t>
            </w:r>
          </w:p>
        </w:tc>
        <w:tc>
          <w:tcPr>
            <w:tcW w:w="3521" w:type="dxa"/>
          </w:tcPr>
          <w:tcPr/>
          <w:p>
            <w:pPr>
              <w:pStyle w:val="Compact"/>
              <w:jc w:val="left"/>
            </w:pPr>
            <w:r>
              <w:t xml:space="preserve">transferts budgétaires au secteur ≤ 1,5 % du PIB (NST1)</w:t>
            </w:r>
          </w:p>
        </w:tc>
        <w:tc>
          <w:tcPr>
            <w:tcW w:w="1513" w:type="dxa"/>
          </w:tcPr>
          <w:tcPr/>
          <w:p>
            <w:pPr>
              <w:pStyle w:val="Compact"/>
              <w:jc w:val="left"/>
            </w:pPr>
            <w:r>
              <w:t xml:space="preserve">—</w:t>
            </w:r>
          </w:p>
        </w:tc>
        <w:tc>
          <w:tcPr>
            <w:tcW w:w="1012" w:type="dxa"/>
          </w:tcPr>
          <w:tcPr/>
          <w:p>
            <w:pPr>
              <w:pStyle w:val="Compact"/>
              <w:jc w:val="left"/>
            </w:pPr>
            <w:r>
              <w:t xml:space="preserve">Clos</w:t>
            </w:r>
          </w:p>
        </w:tc>
        <w:tc>
          <w:tcPr>
            <w:tcW w:w="693" w:type="dxa"/>
          </w:tcPr>
          <w:tcPr/>
          <w:p>
            <w:pPr>
              <w:pStyle w:val="Compact"/>
              <w:jc w:val="left"/>
            </w:pPr>
            <w:r>
              <w:t xml:space="preserve">[5][8]</w:t>
            </w:r>
          </w:p>
        </w:tc>
      </w:tr>
      <w:tr>
        <w:tc>
          <w:tcPr>
            <w:tcW w:w="3520" w:type="dxa"/>
          </w:tcPr>
          <w:tcPr/>
          <w:p>
            <w:pPr>
              <w:pStyle w:val="Compact"/>
              <w:jc w:val="left"/>
            </w:pPr>
            <w:r>
              <w:rPr>
                <w:bCs/>
                <w:b/>
              </w:rPr>
              <w:t xml:space="preserve">Rwanda Energy Sector Results-Based Financing Phase II (RBF II)</w:t>
            </w:r>
          </w:p>
        </w:tc>
        <w:tc>
          <w:tcPr>
            <w:tcW w:w="868" w:type="dxa"/>
          </w:tcPr>
          <w:tcPr/>
          <w:p>
            <w:pPr>
              <w:pStyle w:val="Compact"/>
              <w:jc w:val="left"/>
            </w:pPr>
            <w:r>
              <w:t xml:space="preserve">BAD + AIIB (P001016)</w:t>
            </w:r>
          </w:p>
        </w:tc>
        <w:tc>
          <w:tcPr>
            <w:tcW w:w="2003" w:type="dxa"/>
          </w:tcPr>
          <w:tcPr/>
          <w:p>
            <w:pPr>
              <w:pStyle w:val="Compact"/>
              <w:jc w:val="left"/>
            </w:pPr>
            <w:r>
              <w:t xml:space="preserve">173,84 M EUR (BAD) + 86,92 M EUR (AIIB) = 260,76 M EUR</w:t>
            </w:r>
          </w:p>
        </w:tc>
        <w:tc>
          <w:tcPr>
            <w:tcW w:w="1435" w:type="dxa"/>
          </w:tcPr>
          <w:tcPr/>
          <w:p>
            <w:pPr>
              <w:pStyle w:val="Compact"/>
              <w:jc w:val="left"/>
            </w:pPr>
            <w:r>
              <w:t xml:space="preserve">approuvé juil. 2025 (BAD) / oct. 2025 (AIIB)</w:t>
            </w:r>
          </w:p>
        </w:tc>
        <w:tc>
          <w:tcPr>
            <w:tcW w:w="3521" w:type="dxa"/>
          </w:tcPr>
          <w:tcPr/>
          <w:p>
            <w:pPr>
              <w:pStyle w:val="Compact"/>
              <w:jc w:val="left"/>
            </w:pPr>
            <w:r>
              <w:t xml:space="preserve">REG, EDCL, EUCL : 3 855 km MT/BT, 4 postes, 200 000 ménages</w:t>
            </w:r>
          </w:p>
        </w:tc>
        <w:tc>
          <w:tcPr>
            <w:tcW w:w="1513" w:type="dxa"/>
          </w:tcPr>
          <w:tcPr/>
          <w:p>
            <w:pPr>
              <w:pStyle w:val="Compact"/>
              <w:jc w:val="left"/>
            </w:pPr>
            <w:r>
              <w:t xml:space="preserve">DLI 1.1 fréquence des coupures ; DLI 2.x raccordements ; DLI 3.x stratégies ; pertes 18 % → 16,9 %</w:t>
            </w:r>
          </w:p>
        </w:tc>
        <w:tc>
          <w:tcPr>
            <w:tcW w:w="1012" w:type="dxa"/>
          </w:tcPr>
          <w:tcPr/>
          <w:p>
            <w:pPr>
              <w:pStyle w:val="Compact"/>
              <w:jc w:val="left"/>
            </w:pPr>
            <w:r>
              <w:t xml:space="preserve">lancé mai 2026</w:t>
            </w:r>
          </w:p>
        </w:tc>
        <w:tc>
          <w:tcPr>
            <w:tcW w:w="693" w:type="dxa"/>
          </w:tcPr>
          <w:tcPr/>
          <w:p>
            <w:pPr>
              <w:pStyle w:val="Compact"/>
              <w:jc w:val="left"/>
            </w:pPr>
            <w:r>
              <w:t xml:space="preserve">[1][9]</w:t>
            </w:r>
          </w:p>
        </w:tc>
      </w:tr>
      <w:tr>
        <w:tc>
          <w:tcPr>
            <w:tcW w:w="3520" w:type="dxa"/>
          </w:tcPr>
          <w:tcPr/>
          <w:p>
            <w:pPr>
              <w:pStyle w:val="Compact"/>
              <w:jc w:val="left"/>
            </w:pPr>
            <w:r>
              <w:t xml:space="preserve">Instrument de coordination des politiques (PCI)</w:t>
            </w:r>
          </w:p>
        </w:tc>
        <w:tc>
          <w:tcPr>
            <w:tcW w:w="868" w:type="dxa"/>
          </w:tcPr>
          <w:tcPr/>
          <w:p>
            <w:pPr>
              <w:pStyle w:val="Compact"/>
              <w:jc w:val="left"/>
            </w:pPr>
            <w:r>
              <w:t xml:space="preserve">FMI</w:t>
            </w:r>
          </w:p>
        </w:tc>
        <w:tc>
          <w:tcPr>
            <w:tcW w:w="2003" w:type="dxa"/>
          </w:tcPr>
          <w:tcPr/>
          <w:p>
            <w:pPr>
              <w:pStyle w:val="Compact"/>
              <w:jc w:val="left"/>
            </w:pPr>
            <w:r>
              <w:t xml:space="preserve">—</w:t>
            </w:r>
          </w:p>
        </w:tc>
        <w:tc>
          <w:tcPr>
            <w:tcW w:w="1435" w:type="dxa"/>
          </w:tcPr>
          <w:tcPr/>
          <w:p>
            <w:pPr>
              <w:pStyle w:val="Compact"/>
              <w:jc w:val="left"/>
            </w:pPr>
            <w:r>
              <w:t xml:space="preserve">2022–2025</w:t>
            </w:r>
          </w:p>
        </w:tc>
        <w:tc>
          <w:tcPr>
            <w:tcW w:w="3521" w:type="dxa"/>
          </w:tcPr>
          <w:tcPr/>
          <w:p>
            <w:pPr>
              <w:pStyle w:val="Compact"/>
              <w:jc w:val="left"/>
            </w:pPr>
            <w:r>
              <w:t xml:space="preserve">risques budgétaires des SOE (REG)</w:t>
            </w:r>
          </w:p>
        </w:tc>
        <w:tc>
          <w:tcPr>
            <w:tcW w:w="1513" w:type="dxa"/>
          </w:tcPr>
          <w:tcPr/>
          <w:p>
            <w:pPr>
              <w:pStyle w:val="Compact"/>
              <w:jc w:val="left"/>
            </w:pPr>
            <w:r>
              <w:t xml:space="preserve">stress tests</w:t>
            </w:r>
          </w:p>
        </w:tc>
        <w:tc>
          <w:tcPr>
            <w:tcW w:w="1012" w:type="dxa"/>
          </w:tcPr>
          <w:tcPr/>
          <w:p>
            <w:pPr>
              <w:pStyle w:val="Compact"/>
              <w:jc w:val="left"/>
            </w:pPr>
            <w:r>
              <w:t xml:space="preserve">5e revue juin 2025</w:t>
            </w:r>
          </w:p>
        </w:tc>
        <w:tc>
          <w:tcPr>
            <w:tcW w:w="693" w:type="dxa"/>
          </w:tcPr>
          <w:tcPr/>
          <w:p>
            <w:pPr>
              <w:pStyle w:val="Compact"/>
              <w:jc w:val="left"/>
            </w:pPr>
            <w:r>
              <w:t xml:space="preserve">[3]</w:t>
            </w:r>
          </w:p>
        </w:tc>
      </w:tr>
    </w:tbl>
    <w:bookmarkEnd w:id="307"/>
    <w:bookmarkStart w:id="308" w:name="écart-pacte-réalité-26"/>
    <w:p>
      <w:pPr>
        <w:pStyle w:val="Heading3"/>
      </w:pPr>
      <w:r>
        <w:t xml:space="preserve">5. Écart pacte ↔ réalité</w:t>
      </w:r>
    </w:p>
    <w:p>
      <w:pPr>
        <w:numPr>
          <w:ilvl w:val="0"/>
          <w:numId w:val="1166"/>
        </w:numPr>
        <w:pStyle w:val="Compact"/>
      </w:pPr>
      <w:r>
        <w:rPr>
          <w:bCs/>
          <w:b/>
        </w:rPr>
        <w:t xml:space="preserve">Pertes</w:t>
      </w:r>
      <w:r>
        <w:t xml:space="preserve"> </w:t>
      </w:r>
      <w:r>
        <w:t xml:space="preserve">: pacte 16,1–16,3 % (base) → 14,2 % ; les sources montrent une</w:t>
      </w:r>
      <w:r>
        <w:t xml:space="preserve"> </w:t>
      </w:r>
      <w:r>
        <w:rPr>
          <w:bCs/>
          <w:b/>
        </w:rPr>
        <w:t xml:space="preserve">hausse à 17,99 % en FY2023/24</w:t>
      </w:r>
      <w:r>
        <w:t xml:space="preserve"> </w:t>
      </w:r>
      <w:r>
        <w:t xml:space="preserve">avant le retour à 16,31 % [1][2] — la tendance n’est pas monotone et l’objectif ESSP 2024 (15 %) a été manqué.</w:t>
      </w:r>
    </w:p>
    <w:p>
      <w:pPr>
        <w:numPr>
          <w:ilvl w:val="0"/>
          <w:numId w:val="1166"/>
        </w:numPr>
        <w:pStyle w:val="Compact"/>
      </w:pPr>
      <w:r>
        <w:rPr>
          <w:bCs/>
          <w:b/>
        </w:rPr>
        <w:t xml:space="preserve">Capacité</w:t>
      </w:r>
      <w:r>
        <w:t xml:space="preserve"> </w:t>
      </w:r>
      <w:r>
        <w:t xml:space="preserve">: le pacte affiche 466 MW ; seuls ≈ 171 MW sont fermes [2] — la sécurité d’approvisionnement est plus fragile que ne le suggère la capacité nominale.</w:t>
      </w:r>
    </w:p>
    <w:p>
      <w:pPr>
        <w:numPr>
          <w:ilvl w:val="0"/>
          <w:numId w:val="1166"/>
        </w:numPr>
        <w:pStyle w:val="Compact"/>
      </w:pPr>
      <w:r>
        <w:rPr>
          <w:bCs/>
          <w:b/>
        </w:rPr>
        <w:t xml:space="preserve">Subventions</w:t>
      </w:r>
      <w:r>
        <w:t xml:space="preserve"> </w:t>
      </w:r>
      <w:r>
        <w:t xml:space="preserve">: le pacte fixe un indicateur « subventions ≤ 5 % » sans base ; le FMI chiffre les subventions à REG + WASAC + RwandAir à 1,2 % du PIB (2024) sans isoler REG [3] — base toujours non établie.</w:t>
      </w:r>
    </w:p>
    <w:p>
      <w:pPr>
        <w:numPr>
          <w:ilvl w:val="0"/>
          <w:numId w:val="1166"/>
        </w:numPr>
        <w:pStyle w:val="Compact"/>
      </w:pPr>
      <w:r>
        <w:rPr>
          <w:bCs/>
          <w:b/>
        </w:rPr>
        <w:t xml:space="preserve">Coût vs tarif</w:t>
      </w:r>
      <w:r>
        <w:t xml:space="preserve"> </w:t>
      </w:r>
      <w:r>
        <w:t xml:space="preserve">: la BM souligne que le problème principal est un</w:t>
      </w:r>
      <w:r>
        <w:t xml:space="preserve"> </w:t>
      </w:r>
      <w:r>
        <w:rPr>
          <w:bCs/>
          <w:b/>
        </w:rPr>
        <w:t xml:space="preserve">coût de production élevé (0,14 USD/kWh)</w:t>
      </w:r>
      <w:r>
        <w:t xml:space="preserve"> </w:t>
      </w:r>
      <w:r>
        <w:t xml:space="preserve">qui pousse des tarifs déjà chers (0,16 USD/kWh) [2], ce qui rejoint le levier « refinancement d’IPP » du pacte.</w:t>
      </w:r>
    </w:p>
    <w:bookmarkEnd w:id="308"/>
    <w:bookmarkStart w:id="309" w:name="diagnostic-synthétique-26"/>
    <w:p>
      <w:pPr>
        <w:pStyle w:val="Heading3"/>
      </w:pPr>
      <w:r>
        <w:t xml:space="preserve">6. Diagnostic synthétique</w:t>
      </w:r>
    </w:p>
    <w:p>
      <w:pPr>
        <w:numPr>
          <w:ilvl w:val="0"/>
          <w:numId w:val="1167"/>
        </w:numPr>
        <w:pStyle w:val="Compact"/>
      </w:pPr>
      <w:r>
        <w:rPr>
          <w:bCs/>
          <w:b/>
        </w:rPr>
        <w:t xml:space="preserve">Financier : moyen-faible</w:t>
      </w:r>
      <w:r>
        <w:t xml:space="preserve"> </w:t>
      </w:r>
      <w:r>
        <w:t xml:space="preserve">(dépendance aux subventions, tarifs déjà élevés, garanties publiques ; comptes récents non accessibles).</w:t>
      </w:r>
      <w:r>
        <w:t xml:space="preserve"> </w:t>
      </w:r>
      <w:r>
        <w:rPr>
          <w:bCs/>
          <w:b/>
        </w:rPr>
        <w:t xml:space="preserve">Technique : moyen</w:t>
      </w:r>
      <w:r>
        <w:t xml:space="preserve"> </w:t>
      </w:r>
      <w:r>
        <w:t xml:space="preserve">(pertes 16 %, accès élevé, mais faible capacité ferme).</w:t>
      </w:r>
      <w:r>
        <w:t xml:space="preserve"> </w:t>
      </w:r>
      <w:r>
        <w:rPr>
          <w:bCs/>
          <w:b/>
        </w:rPr>
        <w:t xml:space="preserve">Gouvernance : moyenne-forte</w:t>
      </w:r>
      <w:r>
        <w:t xml:space="preserve"> </w:t>
      </w:r>
      <w:r>
        <w:t xml:space="preserve">(suivi des SOE, RURA actif, conditionnalité historique BM).</w:t>
      </w:r>
    </w:p>
    <w:p>
      <w:pPr>
        <w:numPr>
          <w:ilvl w:val="0"/>
          <w:numId w:val="1167"/>
        </w:numPr>
        <w:pStyle w:val="Compact"/>
      </w:pPr>
      <w:r>
        <w:rPr>
          <w:bCs/>
          <w:b/>
        </w:rPr>
        <w:t xml:space="preserve">Causes racines</w:t>
      </w:r>
      <w:r>
        <w:t xml:space="preserve"> </w:t>
      </w:r>
      <w:r>
        <w:t xml:space="preserve">: (1) coûts d’achat élevés des PPA (méthane, tourbe, diesel, imports) ; (2) consommation unitaire très faible (16,6 kWh/mois) qui limite les recettes ; (3) capacité ferme insuffisante.</w:t>
      </w:r>
    </w:p>
    <w:p>
      <w:pPr>
        <w:numPr>
          <w:ilvl w:val="0"/>
          <w:numId w:val="1167"/>
        </w:numPr>
        <w:pStyle w:val="Compact"/>
      </w:pPr>
      <w:r>
        <w:rPr>
          <w:bCs/>
          <w:b/>
        </w:rPr>
        <w:t xml:space="preserve">Phase 3</w:t>
      </w:r>
      <w:r>
        <w:t xml:space="preserve"> </w:t>
      </w:r>
      <w:r>
        <w:t xml:space="preserve">: grille d’octobre 2025, méthodologie de revenu requis 2027, coût par source (PPA), effet du bloc social de 20 kWh.</w:t>
      </w:r>
    </w:p>
    <w:bookmarkEnd w:id="309"/>
    <w:bookmarkStart w:id="310" w:name="inconnus-26"/>
    <w:p>
      <w:pPr>
        <w:pStyle w:val="Heading3"/>
      </w:pPr>
      <w:r>
        <w:t xml:space="preserve">7. Inconnus</w:t>
      </w:r>
    </w:p>
    <w:p>
      <w:pPr>
        <w:numPr>
          <w:ilvl w:val="0"/>
          <w:numId w:val="1168"/>
        </w:numPr>
        <w:pStyle w:val="Compact"/>
      </w:pPr>
      <w:r>
        <w:t xml:space="preserve">États financiers audités REG/EUCL FY2024/25 (CA, résultat, dette, arriérés) [?].</w:t>
      </w:r>
    </w:p>
    <w:p>
      <w:pPr>
        <w:numPr>
          <w:ilvl w:val="0"/>
          <w:numId w:val="1168"/>
        </w:numPr>
        <w:pStyle w:val="Compact"/>
      </w:pPr>
      <w:r>
        <w:t xml:space="preserve">Montant de la subvention propre à REG [?].</w:t>
      </w:r>
    </w:p>
    <w:p>
      <w:pPr>
        <w:numPr>
          <w:ilvl w:val="0"/>
          <w:numId w:val="1168"/>
        </w:numPr>
        <w:pStyle w:val="Compact"/>
      </w:pPr>
      <w:r>
        <w:t xml:space="preserve">Taux de recouvrement [?].</w:t>
      </w:r>
    </w:p>
    <w:p>
      <w:pPr>
        <w:numPr>
          <w:ilvl w:val="0"/>
          <w:numId w:val="1168"/>
        </w:numPr>
        <w:pStyle w:val="Compact"/>
      </w:pPr>
      <w:r>
        <w:t xml:space="preserve">Projets BAD antérieurs encore actifs (montants) [?].</w:t>
      </w:r>
    </w:p>
    <w:bookmarkEnd w:id="310"/>
    <w:bookmarkStart w:id="311" w:name="sources-27"/>
    <w:p>
      <w:pPr>
        <w:pStyle w:val="Heading3"/>
      </w:pPr>
      <w:r>
        <w:t xml:space="preserve">Sources</w:t>
      </w:r>
    </w:p>
    <w:p>
      <w:pPr>
        <w:pStyle w:val="FirstParagraph"/>
      </w:pPr>
      <w:r>
        <w:t xml:space="preserve">[1] AIIB,</w:t>
      </w:r>
      <w:r>
        <w:t xml:space="preserve"> </w:t>
      </w:r>
      <w:r>
        <w:rPr>
          <w:iCs/>
          <w:i/>
        </w:rPr>
        <w:t xml:space="preserve">Rwanda Energy Sector Results-Based Financing Project (Phase II)</w:t>
      </w:r>
      <w:r>
        <w:t xml:space="preserve">, Project Document (approbation), 16/10/2025 (P001016) — cite le rapport annuel REG FY2023/24. https://www.aiib.org/en/projects/details/2025/_download/Rwanda/P001016_Rwanda-Energy-Sector-RBF-Project_Approval-PD_16Oct25.pdf</w:t>
      </w:r>
      <w:r>
        <w:t xml:space="preserve"> </w:t>
      </w:r>
      <w:r>
        <w:t xml:space="preserve">[2] Banque mondiale,</w:t>
      </w:r>
      <w:r>
        <w:t xml:space="preserve"> </w:t>
      </w:r>
      <w:r>
        <w:rPr>
          <w:iCs/>
          <w:i/>
        </w:rPr>
        <w:t xml:space="preserve">ENERGISE (P516633)</w:t>
      </w:r>
      <w:r>
        <w:t xml:space="preserve">, Concept Project Information Document, 25/09/2026. https://documents.worldbank.org/curated/en/099092526023517495/text/P516633-1a6eff23-b07a-4197-a9da-ae749cd9586e.txt</w:t>
      </w:r>
      <w:r>
        <w:t xml:space="preserve"> </w:t>
      </w:r>
      <w:r>
        <w:t xml:space="preserve">[3] FMI,</w:t>
      </w:r>
      <w:r>
        <w:t xml:space="preserve"> </w:t>
      </w:r>
      <w:r>
        <w:rPr>
          <w:iCs/>
          <w:i/>
        </w:rPr>
        <w:t xml:space="preserve">Rwanda — Fifth Review under the Policy Coordination Instrument</w:t>
      </w:r>
      <w:r>
        <w:t xml:space="preserve">, Country Report No. 25/127, juin 2025 (MEFP, risques des SOE).</w:t>
      </w:r>
      <w:r>
        <w:t xml:space="preserve"> </w:t>
      </w:r>
      <w:r>
        <w:t xml:space="preserve">[4] Banque mondiale,</w:t>
      </w:r>
      <w:r>
        <w:t xml:space="preserve"> </w:t>
      </w:r>
      <w:r>
        <w:rPr>
          <w:iCs/>
          <w:i/>
        </w:rPr>
        <w:t xml:space="preserve">Rwanda Inclusive and Resilient Job Creation DPF</w:t>
      </w:r>
      <w:r>
        <w:t xml:space="preserve">, Program Document, 24/02/2026 (P513028).</w:t>
      </w:r>
      <w:r>
        <w:t xml:space="preserve"> </w:t>
      </w:r>
      <w:r>
        <w:t xml:space="preserve">[5] Banque mondiale, base de données des projets (API v3, 18/10/2026) — P180575, P172594, P176707, P513031, P516633, P513028, P162671, P166458, P169040, P173882.</w:t>
      </w:r>
      <w:r>
        <w:t xml:space="preserve"> </w:t>
      </w:r>
      <w:r>
        <w:t xml:space="preserve">[6] Gouvernement du Rwanda,</w:t>
      </w:r>
      <w:r>
        <w:t xml:space="preserve"> </w:t>
      </w:r>
      <w:r>
        <w:rPr>
          <w:iCs/>
          <w:i/>
        </w:rPr>
        <w:t xml:space="preserve">National Energy Compact</w:t>
      </w:r>
      <w:r>
        <w:t xml:space="preserve">, juin 2026 (pacte ; voir fiche phase 1).</w:t>
      </w:r>
      <w:r>
        <w:t xml:space="preserve"> </w:t>
      </w:r>
      <w:r>
        <w:t xml:space="preserve">[7] KT Press, « PAC asks energy company to recover loss in billions », sept. 2021. https://www.ktpress.rw/2021/09/pac-asks-energy-company-to-recover-loss-in-billions/</w:t>
      </w:r>
      <w:r>
        <w:t xml:space="preserve"> </w:t>
      </w:r>
      <w:r>
        <w:t xml:space="preserve">[8] MINECOFIN, communiqué « World Bank–Government sign $125 million for fiscally sustainable electricity services » (2019 ; vu via résultats de recherche).</w:t>
      </w:r>
      <w:r>
        <w:t xml:space="preserve"> </w:t>
      </w:r>
      <w:r>
        <w:t xml:space="preserve">[9] BAD, communiqué « African Development Bank approves financing to advance Rwanda’s universal energy access », juillet 2025 (via AllAfrica). https://allafrica.com/stories/202507180517.html ; DevelopmentAid, lancement du programme, mai 2026 [S].</w:t>
      </w:r>
    </w:p>
    <w:p>
      <w:r>
        <w:br w:type="page"/>
      </w:r>
    </w:p>
    <w:bookmarkEnd w:id="311"/>
    <w:bookmarkEnd w:id="312"/>
    <w:bookmarkStart w:id="322" w:name="diagnostic-opérateur-senelec-sénégal"/>
    <w:p>
      <w:pPr>
        <w:pStyle w:val="Heading2"/>
      </w:pPr>
      <w:r>
        <w:t xml:space="preserve">Diagnostic opérateur — SENELEC (Sénégal)</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la fiche phase 1 : ../../phase1/fiches/SEN_senegal.md (« pacte »).</w:t>
      </w:r>
    </w:p>
    <w:bookmarkStart w:id="313" w:name="identité-27"/>
    <w:p>
      <w:pPr>
        <w:pStyle w:val="Heading3"/>
      </w:pPr>
      <w:r>
        <w:t xml:space="preserve">0. Identité</w:t>
      </w:r>
    </w:p>
    <w:p>
      <w:pPr>
        <w:numPr>
          <w:ilvl w:val="0"/>
          <w:numId w:val="1169"/>
        </w:numPr>
        <w:pStyle w:val="Compact"/>
      </w:pPr>
      <w:r>
        <w:rPr>
          <w:bCs/>
          <w:b/>
        </w:rPr>
        <w:t xml:space="preserve">Opérateur</w:t>
      </w:r>
      <w:r>
        <w:t xml:space="preserve"> </w:t>
      </w:r>
      <w:r>
        <w:t xml:space="preserve">: SENELEC (Société nationale d’électricité du Sénégal), société anonyme à capitaux publics. Elle est verticalement intégrée : production propre, acheteur unique auprès des IPP, transport, distribution et commercialisation. Capital social : 175,24 Md FCFA au 31/12/2023 [1, p. 46] [V]. Effectif permanent : 3 435 agents (2023) [1] [V].</w:t>
      </w:r>
    </w:p>
    <w:p>
      <w:pPr>
        <w:numPr>
          <w:ilvl w:val="0"/>
          <w:numId w:val="1169"/>
        </w:numPr>
        <w:pStyle w:val="Compact"/>
      </w:pPr>
      <w:r>
        <w:rPr>
          <w:bCs/>
          <w:b/>
        </w:rPr>
        <w:t xml:space="preserve">Producteurs</w:t>
      </w:r>
      <w:r>
        <w:t xml:space="preserve"> </w:t>
      </w:r>
      <w:r>
        <w:t xml:space="preserve">: les IPP conventionnels (Kounoune, Tobène, ContourGlobal, CES Sendou, Malicounda Power), la barge Karpowership en location, les IPP solaires (Ten Merina, Bokhol, Mékhé, Kahone, Sakal…) et l’éolien de Taïba Ndiaye fournissent la majeure partie de l’énergie. Les IPP conventionnels ont produit 3 650 GWh en 2023, contre une production propre de SENELEC de 1 738 GWh [1, p. 21] [V].</w:t>
      </w:r>
    </w:p>
    <w:p>
      <w:pPr>
        <w:numPr>
          <w:ilvl w:val="0"/>
          <w:numId w:val="1169"/>
        </w:numPr>
        <w:pStyle w:val="Compact"/>
      </w:pPr>
      <w:r>
        <w:rPr>
          <w:bCs/>
          <w:b/>
        </w:rPr>
        <w:t xml:space="preserve">Tutelle</w:t>
      </w:r>
      <w:r>
        <w:t xml:space="preserve"> </w:t>
      </w:r>
      <w:r>
        <w:t xml:space="preserve">: ministère de l’Énergie, du Pétrole et des Mines (MEPM) [2] [V].</w:t>
      </w:r>
    </w:p>
    <w:p>
      <w:pPr>
        <w:numPr>
          <w:ilvl w:val="0"/>
          <w:numId w:val="1169"/>
        </w:numPr>
        <w:pStyle w:val="Compact"/>
      </w:pPr>
      <w:r>
        <w:rPr>
          <w:bCs/>
          <w:b/>
        </w:rPr>
        <w:t xml:space="preserve">Régulateur</w:t>
      </w:r>
      <w:r>
        <w:t xml:space="preserve"> </w:t>
      </w:r>
      <w:r>
        <w:t xml:space="preserve">: CRSE (Commission de régulation du secteur de l’énergie). Elle fixe le revenu maximum autorisé (RMA) ; la compensation due par l’État correspond à l’écart entre ce RMA et les recettes tarifaires [pacte ; 4] [S]. Son degré d’indépendance effective n’a pas été évalué → [?].</w:t>
      </w:r>
    </w:p>
    <w:p>
      <w:pPr>
        <w:numPr>
          <w:ilvl w:val="0"/>
          <w:numId w:val="1169"/>
        </w:numPr>
        <w:pStyle w:val="Compact"/>
      </w:pPr>
      <w:r>
        <w:rPr>
          <w:bCs/>
          <w:b/>
        </w:rPr>
        <w:t xml:space="preserve">Dernier exercice publié</w:t>
      </w:r>
      <w:r>
        <w:t xml:space="preserve"> </w:t>
      </w:r>
      <w:r>
        <w:t xml:space="preserve">: 2023, par le rapport annuel (SIG, compte de résultat, bilan) [1] [V]. Un rapport annuel 2024 existe sur senelec.sn : il est indexé par les moteurs de recherche, mais le lien renvoyait une erreur 404 le 18/10/2026. Seul son extrait indexé (rendement de 81,18 %) a pu être lu [1b] [V partiel]. La certification par un commissaire aux comptes n’est pas explicitement attestée dans le rapport 2023 → [?].</w:t>
      </w:r>
    </w:p>
    <w:bookmarkEnd w:id="313"/>
    <w:bookmarkStart w:id="314" w:name="situation-financière-26"/>
    <w:p>
      <w:pPr>
        <w:pStyle w:val="Heading3"/>
      </w:pPr>
      <w:r>
        <w:t xml:space="preserve">1. Situation financière</w:t>
      </w:r>
    </w:p>
    <w:tbl>
      <w:tblPr>
        <w:tblStyle w:val="Table"/>
        <w:tblW w:type="dxa" w:w="14570"/>
        <w:tblLook w:firstRow="1" w:lastRow="0" w:firstColumn="0" w:lastColumn="0" w:noHBand="0" w:noVBand="0" w:val="0020"/>
        <w:jc w:val="start"/>
      </w:tblPr>
      <w:tblGrid>
        <w:gridCol w:w="2956"/>
        <w:gridCol w:w="8067"/>
        <w:gridCol w:w="1004"/>
        <w:gridCol w:w="961"/>
        <w:gridCol w:w="1580"/>
      </w:tblGrid>
      <w:tr>
        <w:trPr>
          <w:tblHeader w:val="true"/>
        </w:trPr>
        <w:tc>
          <w:tcPr>
            <w:tcW w:w="2956" w:type="dxa"/>
          </w:tcPr>
          <w:tcPr/>
          <w:p>
            <w:pPr>
              <w:pStyle w:val="Compact"/>
              <w:jc w:val="left"/>
            </w:pPr>
            <w:r>
              <w:t xml:space="preserve">Indicateur</w:t>
            </w:r>
          </w:p>
        </w:tc>
        <w:tc>
          <w:tcPr>
            <w:tcW w:w="8067" w:type="dxa"/>
          </w:tcPr>
          <w:tcPr/>
          <w:p>
            <w:pPr>
              <w:pStyle w:val="Compact"/>
              <w:jc w:val="left"/>
            </w:pPr>
            <w:r>
              <w:t xml:space="preserve">Valeur</w:t>
            </w:r>
          </w:p>
        </w:tc>
        <w:tc>
          <w:tcPr>
            <w:tcW w:w="1004" w:type="dxa"/>
          </w:tcPr>
          <w:tcPr/>
          <w:p>
            <w:pPr>
              <w:pStyle w:val="Compact"/>
              <w:jc w:val="left"/>
            </w:pPr>
            <w:r>
              <w:t xml:space="preserve">Année</w:t>
            </w:r>
          </w:p>
        </w:tc>
        <w:tc>
          <w:tcPr>
            <w:tcW w:w="961" w:type="dxa"/>
          </w:tcPr>
          <w:tcPr/>
          <w:p>
            <w:pPr>
              <w:pStyle w:val="Compact"/>
              <w:jc w:val="left"/>
            </w:pPr>
            <w:r>
              <w:t xml:space="preserve">Statut</w:t>
            </w:r>
          </w:p>
        </w:tc>
        <w:tc>
          <w:tcPr>
            <w:tcW w:w="1580" w:type="dxa"/>
          </w:tcPr>
          <w:tcPr/>
          <w:p>
            <w:pPr>
              <w:pStyle w:val="Compact"/>
              <w:jc w:val="left"/>
            </w:pPr>
            <w:r>
              <w:t xml:space="preserve">Source</w:t>
            </w:r>
          </w:p>
        </w:tc>
      </w:tr>
      <w:tr>
        <w:tc>
          <w:tcPr>
            <w:tcW w:w="2956" w:type="dxa"/>
          </w:tcPr>
          <w:tcPr/>
          <w:p>
            <w:pPr>
              <w:pStyle w:val="Compact"/>
              <w:jc w:val="left"/>
            </w:pPr>
            <w:r>
              <w:t xml:space="preserve">Chiffre d’affaires HT</w:t>
            </w:r>
          </w:p>
        </w:tc>
        <w:tc>
          <w:tcPr>
            <w:tcW w:w="8067" w:type="dxa"/>
          </w:tcPr>
          <w:tcPr/>
          <w:p>
            <w:pPr>
              <w:pStyle w:val="Compact"/>
              <w:jc w:val="left"/>
            </w:pPr>
            <w:r>
              <w:t xml:space="preserve">963,83 Md FCFA (885,90 en 2022). Il inclut l’« écart sur RMA » (compensation) de 249,28 Md FCFA (333,25 en 2022) ; les ventes d’énergie proprement dites s’élèvent à 697,06 Md FCFA</w:t>
            </w:r>
          </w:p>
        </w:tc>
        <w:tc>
          <w:tcPr>
            <w:tcW w:w="1004" w:type="dxa"/>
          </w:tcPr>
          <w:tcPr/>
          <w:p>
            <w:pPr>
              <w:pStyle w:val="Compact"/>
              <w:jc w:val="left"/>
            </w:pPr>
            <w:r>
              <w:t xml:space="preserve">2023</w:t>
            </w:r>
          </w:p>
        </w:tc>
        <w:tc>
          <w:tcPr>
            <w:tcW w:w="961" w:type="dxa"/>
          </w:tcPr>
          <w:tcPr/>
          <w:p>
            <w:pPr>
              <w:pStyle w:val="Compact"/>
              <w:jc w:val="left"/>
            </w:pPr>
            <w:r>
              <w:t xml:space="preserve">[V]</w:t>
            </w:r>
          </w:p>
        </w:tc>
        <w:tc>
          <w:tcPr>
            <w:tcW w:w="1580" w:type="dxa"/>
          </w:tcPr>
          <w:tcPr/>
          <w:p>
            <w:pPr>
              <w:pStyle w:val="Compact"/>
              <w:jc w:val="left"/>
            </w:pPr>
            <w:r>
              <w:t xml:space="preserve">[1, p. 43-44]</w:t>
            </w:r>
          </w:p>
        </w:tc>
      </w:tr>
      <w:tr>
        <w:tc>
          <w:tcPr>
            <w:tcW w:w="2956" w:type="dxa"/>
          </w:tcPr>
          <w:tcPr/>
          <w:p>
            <w:pPr>
              <w:pStyle w:val="Compact"/>
              <w:jc w:val="left"/>
            </w:pPr>
            <w:r>
              <w:t xml:space="preserve">Résultat net / marge nette</w:t>
            </w:r>
          </w:p>
        </w:tc>
        <w:tc>
          <w:tcPr>
            <w:tcW w:w="8067" w:type="dxa"/>
          </w:tcPr>
          <w:tcPr/>
          <w:p>
            <w:pPr>
              <w:pStyle w:val="Compact"/>
              <w:jc w:val="left"/>
            </w:pPr>
            <w:r>
              <w:t xml:space="preserve">+33,56 Md FCFA (40,17 en 2022), soit une marge de 3,5 % [E]. Il intègre un résultat HAO de +18,60 Md ; hors compensation, le résultat serait fortement négatif [E]</w:t>
            </w:r>
          </w:p>
        </w:tc>
        <w:tc>
          <w:tcPr>
            <w:tcW w:w="1004" w:type="dxa"/>
          </w:tcPr>
          <w:tcPr/>
          <w:p>
            <w:pPr>
              <w:pStyle w:val="Compact"/>
              <w:jc w:val="left"/>
            </w:pPr>
            <w:r>
              <w:t xml:space="preserve">2023</w:t>
            </w:r>
          </w:p>
        </w:tc>
        <w:tc>
          <w:tcPr>
            <w:tcW w:w="961" w:type="dxa"/>
          </w:tcPr>
          <w:tcPr/>
          <w:p>
            <w:pPr>
              <w:pStyle w:val="Compact"/>
              <w:jc w:val="left"/>
            </w:pPr>
            <w:r>
              <w:t xml:space="preserve">[V]</w:t>
            </w:r>
          </w:p>
        </w:tc>
        <w:tc>
          <w:tcPr>
            <w:tcW w:w="1580" w:type="dxa"/>
          </w:tcPr>
          <w:tcPr/>
          <w:p>
            <w:pPr>
              <w:pStyle w:val="Compact"/>
              <w:jc w:val="left"/>
            </w:pPr>
            <w:r>
              <w:t xml:space="preserve">[1, p. 43]</w:t>
            </w:r>
          </w:p>
        </w:tc>
      </w:tr>
      <w:tr>
        <w:tc>
          <w:tcPr>
            <w:tcW w:w="2956" w:type="dxa"/>
          </w:tcPr>
          <w:tcPr/>
          <w:p>
            <w:pPr>
              <w:pStyle w:val="Compact"/>
              <w:jc w:val="left"/>
            </w:pPr>
            <w:r>
              <w:t xml:space="preserve">Résultat net 2024</w:t>
            </w:r>
          </w:p>
        </w:tc>
        <w:tc>
          <w:tcPr>
            <w:tcW w:w="8067" w:type="dxa"/>
          </w:tcPr>
          <w:tcPr/>
          <w:p>
            <w:pPr>
              <w:pStyle w:val="Compact"/>
              <w:jc w:val="left"/>
            </w:pPr>
            <w:r>
              <w:t xml:space="preserve">environ 39 Md FCFA (presse)</w:t>
            </w:r>
          </w:p>
        </w:tc>
        <w:tc>
          <w:tcPr>
            <w:tcW w:w="1004" w:type="dxa"/>
          </w:tcPr>
          <w:tcPr/>
          <w:p>
            <w:pPr>
              <w:pStyle w:val="Compact"/>
              <w:jc w:val="left"/>
            </w:pPr>
            <w:r>
              <w:t xml:space="preserve">2024</w:t>
            </w:r>
          </w:p>
        </w:tc>
        <w:tc>
          <w:tcPr>
            <w:tcW w:w="961" w:type="dxa"/>
          </w:tcPr>
          <w:tcPr/>
          <w:p>
            <w:pPr>
              <w:pStyle w:val="Compact"/>
              <w:jc w:val="left"/>
            </w:pPr>
            <w:r>
              <w:t xml:space="preserve">[S]</w:t>
            </w:r>
          </w:p>
        </w:tc>
        <w:tc>
          <w:tcPr>
            <w:tcW w:w="1580" w:type="dxa"/>
          </w:tcPr>
          <w:tcPr/>
          <w:p>
            <w:pPr>
              <w:pStyle w:val="Compact"/>
              <w:jc w:val="left"/>
            </w:pPr>
            <w:r>
              <w:t xml:space="preserve">[5]</w:t>
            </w:r>
          </w:p>
        </w:tc>
      </w:tr>
      <w:tr>
        <w:tc>
          <w:tcPr>
            <w:tcW w:w="2956" w:type="dxa"/>
          </w:tcPr>
          <w:tcPr/>
          <w:p>
            <w:pPr>
              <w:pStyle w:val="Compact"/>
              <w:jc w:val="left"/>
            </w:pPr>
            <w:r>
              <w:t xml:space="preserve">EBITDA (EBE)</w:t>
            </w:r>
          </w:p>
        </w:tc>
        <w:tc>
          <w:tcPr>
            <w:tcW w:w="8067" w:type="dxa"/>
          </w:tcPr>
          <w:tcPr/>
          <w:p>
            <w:pPr>
              <w:pStyle w:val="Compact"/>
              <w:jc w:val="left"/>
            </w:pPr>
            <w:r>
              <w:t xml:space="preserve">107,97 Md FCFA (111,53 en 2022) ; résultat d’exploitation de 43,06 Md</w:t>
            </w:r>
          </w:p>
        </w:tc>
        <w:tc>
          <w:tcPr>
            <w:tcW w:w="1004" w:type="dxa"/>
          </w:tcPr>
          <w:tcPr/>
          <w:p>
            <w:pPr>
              <w:pStyle w:val="Compact"/>
              <w:jc w:val="left"/>
            </w:pPr>
            <w:r>
              <w:t xml:space="preserve">2023</w:t>
            </w:r>
          </w:p>
        </w:tc>
        <w:tc>
          <w:tcPr>
            <w:tcW w:w="961" w:type="dxa"/>
          </w:tcPr>
          <w:tcPr/>
          <w:p>
            <w:pPr>
              <w:pStyle w:val="Compact"/>
              <w:jc w:val="left"/>
            </w:pPr>
            <w:r>
              <w:t xml:space="preserve">[V]</w:t>
            </w:r>
          </w:p>
        </w:tc>
        <w:tc>
          <w:tcPr>
            <w:tcW w:w="1580" w:type="dxa"/>
          </w:tcPr>
          <w:tcPr/>
          <w:p>
            <w:pPr>
              <w:pStyle w:val="Compact"/>
              <w:jc w:val="left"/>
            </w:pPr>
            <w:r>
              <w:t xml:space="preserve">[1, p. 43]</w:t>
            </w:r>
          </w:p>
        </w:tc>
      </w:tr>
      <w:tr>
        <w:tc>
          <w:tcPr>
            <w:tcW w:w="2956" w:type="dxa"/>
          </w:tcPr>
          <w:tcPr/>
          <w:p>
            <w:pPr>
              <w:pStyle w:val="Compact"/>
              <w:jc w:val="left"/>
            </w:pPr>
            <w:r>
              <w:t xml:space="preserve">Charges principales</w:t>
            </w:r>
          </w:p>
        </w:tc>
        <w:tc>
          <w:tcPr>
            <w:tcW w:w="8067" w:type="dxa"/>
          </w:tcPr>
          <w:tcPr/>
          <w:p>
            <w:pPr>
              <w:pStyle w:val="Compact"/>
              <w:jc w:val="left"/>
            </w:pPr>
            <w:r>
              <w:t xml:space="preserve">achats d’énergie : 489,53 Md FCFA ; matières premières (combustibles) : 187,39 Md ; personnel : 83,51 Md ; charges financières : 29,29 Md</w:t>
            </w:r>
          </w:p>
        </w:tc>
        <w:tc>
          <w:tcPr>
            <w:tcW w:w="1004" w:type="dxa"/>
          </w:tcPr>
          <w:tcPr/>
          <w:p>
            <w:pPr>
              <w:pStyle w:val="Compact"/>
              <w:jc w:val="left"/>
            </w:pPr>
            <w:r>
              <w:t xml:space="preserve">2023</w:t>
            </w:r>
          </w:p>
        </w:tc>
        <w:tc>
          <w:tcPr>
            <w:tcW w:w="961" w:type="dxa"/>
          </w:tcPr>
          <w:tcPr/>
          <w:p>
            <w:pPr>
              <w:pStyle w:val="Compact"/>
              <w:jc w:val="left"/>
            </w:pPr>
            <w:r>
              <w:t xml:space="preserve">[V]</w:t>
            </w:r>
          </w:p>
        </w:tc>
        <w:tc>
          <w:tcPr>
            <w:tcW w:w="1580" w:type="dxa"/>
          </w:tcPr>
          <w:tcPr/>
          <w:p>
            <w:pPr>
              <w:pStyle w:val="Compact"/>
              <w:jc w:val="left"/>
            </w:pPr>
            <w:r>
              <w:t xml:space="preserve">[1, p. 44]</w:t>
            </w:r>
          </w:p>
        </w:tc>
      </w:tr>
      <w:tr>
        <w:tc>
          <w:tcPr>
            <w:tcW w:w="2956" w:type="dxa"/>
          </w:tcPr>
          <w:tcPr/>
          <w:p>
            <w:pPr>
              <w:pStyle w:val="Compact"/>
              <w:jc w:val="left"/>
            </w:pPr>
            <w:r>
              <w:t xml:space="preserve">Dette totale ; dette IPP</w:t>
            </w:r>
          </w:p>
        </w:tc>
        <w:tc>
          <w:tcPr>
            <w:tcW w:w="8067" w:type="dxa"/>
          </w:tcPr>
          <w:tcPr/>
          <w:p>
            <w:pPr>
              <w:pStyle w:val="Compact"/>
              <w:jc w:val="left"/>
            </w:pPr>
            <w:r>
              <w:t xml:space="preserve">passif circulant : 771,93 Md FCFA ; trésorerie passive (concours bancaires) : 202,60 Md FCFA (+60,8 %) ; total bilan : 2 085,75 Md FCFA</w:t>
            </w:r>
          </w:p>
        </w:tc>
        <w:tc>
          <w:tcPr>
            <w:tcW w:w="1004" w:type="dxa"/>
          </w:tcPr>
          <w:tcPr/>
          <w:p>
            <w:pPr>
              <w:pStyle w:val="Compact"/>
              <w:jc w:val="left"/>
            </w:pPr>
            <w:r>
              <w:t xml:space="preserve">2023</w:t>
            </w:r>
          </w:p>
        </w:tc>
        <w:tc>
          <w:tcPr>
            <w:tcW w:w="961" w:type="dxa"/>
          </w:tcPr>
          <w:tcPr/>
          <w:p>
            <w:pPr>
              <w:pStyle w:val="Compact"/>
              <w:jc w:val="left"/>
            </w:pPr>
            <w:r>
              <w:t xml:space="preserve">[V]</w:t>
            </w:r>
          </w:p>
        </w:tc>
        <w:tc>
          <w:tcPr>
            <w:tcW w:w="1580" w:type="dxa"/>
          </w:tcPr>
          <w:tcPr/>
          <w:p>
            <w:pPr>
              <w:pStyle w:val="Compact"/>
              <w:jc w:val="left"/>
            </w:pPr>
            <w:r>
              <w:t xml:space="preserve">[1, p. 46]</w:t>
            </w:r>
          </w:p>
        </w:tc>
      </w:tr>
      <w:tr>
        <w:tc>
          <w:tcPr>
            <w:tcW w:w="2956" w:type="dxa"/>
          </w:tcPr>
          <w:tcPr/>
          <w:p>
            <w:pPr>
              <w:pStyle w:val="Compact"/>
              <w:jc w:val="left"/>
            </w:pPr>
            <w:r>
              <w:t xml:space="preserve">Ventilation de la dette (pacte)</w:t>
            </w:r>
          </w:p>
        </w:tc>
        <w:tc>
          <w:tcPr>
            <w:tcW w:w="8067" w:type="dxa"/>
          </w:tcPr>
          <w:tcPr/>
          <w:p>
            <w:pPr>
              <w:pStyle w:val="Compact"/>
              <w:jc w:val="left"/>
            </w:pPr>
            <w:r>
              <w:t xml:space="preserve">78,9 Md FCFA envers les IPP ; 377,2 Md envers l’État ; 204,5 Md envers les autres fournisseurs (pacte)</w:t>
            </w:r>
          </w:p>
        </w:tc>
        <w:tc>
          <w:tcPr>
            <w:tcW w:w="1004" w:type="dxa"/>
          </w:tcPr>
          <w:tcPr/>
          <w:p>
            <w:pPr>
              <w:pStyle w:val="Compact"/>
              <w:jc w:val="left"/>
            </w:pPr>
            <w:r>
              <w:t xml:space="preserve">2023</w:t>
            </w:r>
          </w:p>
        </w:tc>
        <w:tc>
          <w:tcPr>
            <w:tcW w:w="961" w:type="dxa"/>
          </w:tcPr>
          <w:tcPr/>
          <w:p>
            <w:pPr>
              <w:pStyle w:val="Compact"/>
              <w:jc w:val="left"/>
            </w:pPr>
            <w:r>
              <w:t xml:space="preserve">[V] (pacte)</w:t>
            </w:r>
          </w:p>
        </w:tc>
        <w:tc>
          <w:tcPr>
            <w:tcW w:w="1580" w:type="dxa"/>
          </w:tcPr>
          <w:tcPr/>
          <w:p>
            <w:pPr>
              <w:pStyle w:val="Compact"/>
              <w:jc w:val="left"/>
            </w:pPr>
            <w:r>
              <w:t xml:space="preserve">phase 1</w:t>
            </w:r>
          </w:p>
        </w:tc>
      </w:tr>
      <w:tr>
        <w:tc>
          <w:tcPr>
            <w:tcW w:w="2956" w:type="dxa"/>
          </w:tcPr>
          <w:tcPr/>
          <w:p>
            <w:pPr>
              <w:pStyle w:val="Compact"/>
              <w:jc w:val="left"/>
            </w:pPr>
            <w:r>
              <w:t xml:space="preserve">Créances clients brutes</w:t>
            </w:r>
          </w:p>
        </w:tc>
        <w:tc>
          <w:tcPr>
            <w:tcW w:w="8067" w:type="dxa"/>
          </w:tcPr>
          <w:tcPr/>
          <w:p>
            <w:pPr>
              <w:pStyle w:val="Compact"/>
              <w:jc w:val="left"/>
            </w:pPr>
            <w:r>
              <w:t xml:space="preserve">194,87 Md FCFA fin 2023, dont 79,15 Md sur l’Administration (+18 % sur l’année), 113,16 Md sur les particuliers et 2,56 Md sur les ambassades</w:t>
            </w:r>
          </w:p>
        </w:tc>
        <w:tc>
          <w:tcPr>
            <w:tcW w:w="1004" w:type="dxa"/>
          </w:tcPr>
          <w:tcPr/>
          <w:p>
            <w:pPr>
              <w:pStyle w:val="Compact"/>
              <w:jc w:val="left"/>
            </w:pPr>
            <w:r>
              <w:t xml:space="preserve">déc. 2023</w:t>
            </w:r>
          </w:p>
        </w:tc>
        <w:tc>
          <w:tcPr>
            <w:tcW w:w="961" w:type="dxa"/>
          </w:tcPr>
          <w:tcPr/>
          <w:p>
            <w:pPr>
              <w:pStyle w:val="Compact"/>
              <w:jc w:val="left"/>
            </w:pPr>
            <w:r>
              <w:t xml:space="preserve">[V]</w:t>
            </w:r>
          </w:p>
        </w:tc>
        <w:tc>
          <w:tcPr>
            <w:tcW w:w="1580" w:type="dxa"/>
          </w:tcPr>
          <w:tcPr/>
          <w:p>
            <w:pPr>
              <w:pStyle w:val="Compact"/>
              <w:jc w:val="left"/>
            </w:pPr>
            <w:r>
              <w:t xml:space="preserve">[1, p. 42]</w:t>
            </w:r>
          </w:p>
        </w:tc>
      </w:tr>
      <w:tr>
        <w:tc>
          <w:tcPr>
            <w:tcW w:w="2956" w:type="dxa"/>
          </w:tcPr>
          <w:tcPr/>
          <w:p>
            <w:pPr>
              <w:pStyle w:val="Compact"/>
              <w:jc w:val="left"/>
            </w:pPr>
            <w:r>
              <w:t xml:space="preserve">Créances nettes / autres créances</w:t>
            </w:r>
          </w:p>
        </w:tc>
        <w:tc>
          <w:tcPr>
            <w:tcW w:w="8067" w:type="dxa"/>
          </w:tcPr>
          <w:tcPr/>
          <w:p>
            <w:pPr>
              <w:pStyle w:val="Compact"/>
              <w:jc w:val="left"/>
            </w:pPr>
            <w:r>
              <w:t xml:space="preserve">créances clients nettes : 236,58 Md FCFA ; « autres créances » : 453,88 Md FCFA. Ces dernières contiennent vraisemblablement la compensation due par l’État [E]</w:t>
            </w:r>
          </w:p>
        </w:tc>
        <w:tc>
          <w:tcPr>
            <w:tcW w:w="1004" w:type="dxa"/>
          </w:tcPr>
          <w:tcPr/>
          <w:p>
            <w:pPr>
              <w:pStyle w:val="Compact"/>
              <w:jc w:val="left"/>
            </w:pPr>
            <w:r>
              <w:t xml:space="preserve">2023</w:t>
            </w:r>
          </w:p>
        </w:tc>
        <w:tc>
          <w:tcPr>
            <w:tcW w:w="961" w:type="dxa"/>
          </w:tcPr>
          <w:tcPr/>
          <w:p>
            <w:pPr>
              <w:pStyle w:val="Compact"/>
              <w:jc w:val="left"/>
            </w:pPr>
            <w:r>
              <w:t xml:space="preserve">[V]</w:t>
            </w:r>
          </w:p>
        </w:tc>
        <w:tc>
          <w:tcPr>
            <w:tcW w:w="1580" w:type="dxa"/>
          </w:tcPr>
          <w:tcPr/>
          <w:p>
            <w:pPr>
              <w:pStyle w:val="Compact"/>
              <w:jc w:val="left"/>
            </w:pPr>
            <w:r>
              <w:t xml:space="preserve">[1, p. 46]</w:t>
            </w:r>
          </w:p>
        </w:tc>
      </w:tr>
      <w:tr>
        <w:tc>
          <w:tcPr>
            <w:tcW w:w="2956" w:type="dxa"/>
          </w:tcPr>
          <w:tcPr/>
          <w:p>
            <w:pPr>
              <w:pStyle w:val="Compact"/>
              <w:jc w:val="left"/>
            </w:pPr>
            <w:r>
              <w:t xml:space="preserve">Compensation due par l’État</w:t>
            </w:r>
          </w:p>
        </w:tc>
        <w:tc>
          <w:tcPr>
            <w:tcW w:w="8067" w:type="dxa"/>
          </w:tcPr>
          <w:tcPr/>
          <w:p>
            <w:pPr>
              <w:pStyle w:val="Compact"/>
              <w:jc w:val="left"/>
            </w:pPr>
            <w:r>
              <w:t xml:space="preserve">178,807 Md FCFA au titre du RMA final 2024 (décision CRSE, au 01/07/2025) ; plus de 193,196 Md FCFA de compensations dues à SENELEC et aux concessionnaires ruraux fin novembre 2025</w:t>
            </w:r>
          </w:p>
        </w:tc>
        <w:tc>
          <w:tcPr>
            <w:tcW w:w="1004" w:type="dxa"/>
          </w:tcPr>
          <w:tcPr/>
          <w:p>
            <w:pPr>
              <w:pStyle w:val="Compact"/>
              <w:jc w:val="left"/>
            </w:pPr>
            <w:r>
              <w:t xml:space="preserve">2024-2025</w:t>
            </w:r>
          </w:p>
        </w:tc>
        <w:tc>
          <w:tcPr>
            <w:tcW w:w="961" w:type="dxa"/>
          </w:tcPr>
          <w:tcPr/>
          <w:p>
            <w:pPr>
              <w:pStyle w:val="Compact"/>
              <w:jc w:val="left"/>
            </w:pPr>
            <w:r>
              <w:t xml:space="preserve">[S] (presse citant la CRSE)</w:t>
            </w:r>
          </w:p>
        </w:tc>
        <w:tc>
          <w:tcPr>
            <w:tcW w:w="1580" w:type="dxa"/>
          </w:tcPr>
          <w:tcPr/>
          <w:p>
            <w:pPr>
              <w:pStyle w:val="Compact"/>
              <w:jc w:val="left"/>
            </w:pPr>
            <w:r>
              <w:t xml:space="preserve">[4]</w:t>
            </w:r>
          </w:p>
        </w:tc>
      </w:tr>
      <w:tr>
        <w:tc>
          <w:tcPr>
            <w:tcW w:w="2956" w:type="dxa"/>
          </w:tcPr>
          <w:tcPr/>
          <w:p>
            <w:pPr>
              <w:pStyle w:val="Compact"/>
              <w:jc w:val="left"/>
            </w:pPr>
            <w:r>
              <w:t xml:space="preserve">Transferts / subventions de l’État</w:t>
            </w:r>
          </w:p>
        </w:tc>
        <w:tc>
          <w:tcPr>
            <w:tcW w:w="8067" w:type="dxa"/>
          </w:tcPr>
          <w:tcPr/>
          <w:p>
            <w:pPr>
              <w:pStyle w:val="Compact"/>
              <w:jc w:val="left"/>
            </w:pPr>
            <w:r>
              <w:t xml:space="preserve">compensation comptabilisée : 249,28 Md FCFA en 2023 et 333,25 Md en 2022 [1]. Besoin total de subventions énergétiques (électricité et produits pétroliers) estimé à environ 1 000 Md FCFA (1 771 M USD) en 2026, contre 930 Md au pic de 2022 [2]</w:t>
            </w:r>
          </w:p>
        </w:tc>
        <w:tc>
          <w:tcPr>
            <w:tcW w:w="1004" w:type="dxa"/>
          </w:tcPr>
          <w:tcPr/>
          <w:p>
            <w:pPr>
              <w:pStyle w:val="Compact"/>
              <w:jc w:val="left"/>
            </w:pPr>
            <w:r>
              <w:t xml:space="preserve">2022-2026</w:t>
            </w:r>
          </w:p>
        </w:tc>
        <w:tc>
          <w:tcPr>
            <w:tcW w:w="961" w:type="dxa"/>
          </w:tcPr>
          <w:tcPr/>
          <w:p>
            <w:pPr>
              <w:pStyle w:val="Compact"/>
              <w:jc w:val="left"/>
            </w:pPr>
            <w:r>
              <w:t xml:space="preserve">[V]</w:t>
            </w:r>
          </w:p>
        </w:tc>
        <w:tc>
          <w:tcPr>
            <w:tcW w:w="1580" w:type="dxa"/>
          </w:tcPr>
          <w:tcPr/>
          <w:p>
            <w:pPr>
              <w:pStyle w:val="Compact"/>
              <w:jc w:val="left"/>
            </w:pPr>
            <w:r>
              <w:t xml:space="preserve">[1 ; 2, §6]</w:t>
            </w:r>
          </w:p>
        </w:tc>
      </w:tr>
      <w:tr>
        <w:tc>
          <w:tcPr>
            <w:tcW w:w="2956" w:type="dxa"/>
          </w:tcPr>
          <w:tcPr/>
          <w:p>
            <w:pPr>
              <w:pStyle w:val="Compact"/>
              <w:jc w:val="left"/>
            </w:pPr>
            <w:r>
              <w:t xml:space="preserve">Taux de recouvrement</w:t>
            </w:r>
          </w:p>
        </w:tc>
        <w:tc>
          <w:tcPr>
            <w:tcW w:w="8067" w:type="dxa"/>
          </w:tcPr>
          <w:tcPr/>
          <w:p>
            <w:pPr>
              <w:pStyle w:val="Compact"/>
              <w:jc w:val="left"/>
            </w:pPr>
            <w:r>
              <w:t xml:space="preserve">94,65 % des encaissements rapportés au chiffre d’affaires énergie (CAE) facturé en 2023. Ce taux tombe à 92,91 % à la DGC, qui regroupe les grands comptes et pèse 59,6 % du CAE</w:t>
            </w:r>
          </w:p>
        </w:tc>
        <w:tc>
          <w:tcPr>
            <w:tcW w:w="1004" w:type="dxa"/>
          </w:tcPr>
          <w:tcPr/>
          <w:p>
            <w:pPr>
              <w:pStyle w:val="Compact"/>
              <w:jc w:val="left"/>
            </w:pPr>
            <w:r>
              <w:t xml:space="preserve">2023</w:t>
            </w:r>
          </w:p>
        </w:tc>
        <w:tc>
          <w:tcPr>
            <w:tcW w:w="961" w:type="dxa"/>
          </w:tcPr>
          <w:tcPr/>
          <w:p>
            <w:pPr>
              <w:pStyle w:val="Compact"/>
              <w:jc w:val="left"/>
            </w:pPr>
            <w:r>
              <w:t xml:space="preserve">[V]</w:t>
            </w:r>
          </w:p>
        </w:tc>
        <w:tc>
          <w:tcPr>
            <w:tcW w:w="1580" w:type="dxa"/>
          </w:tcPr>
          <w:tcPr/>
          <w:p>
            <w:pPr>
              <w:pStyle w:val="Compact"/>
              <w:jc w:val="left"/>
            </w:pPr>
            <w:r>
              <w:t xml:space="preserve">[1, p. 42]</w:t>
            </w:r>
          </w:p>
        </w:tc>
      </w:tr>
      <w:tr>
        <w:tc>
          <w:tcPr>
            <w:tcW w:w="2956" w:type="dxa"/>
          </w:tcPr>
          <w:tcPr/>
          <w:p>
            <w:pPr>
              <w:pStyle w:val="Compact"/>
              <w:jc w:val="left"/>
            </w:pPr>
            <w:r>
              <w:t xml:space="preserve">Indicateur « rendement global » de la BM</w:t>
            </w:r>
          </w:p>
        </w:tc>
        <w:tc>
          <w:tcPr>
            <w:tcW w:w="8067" w:type="dxa"/>
          </w:tcPr>
          <w:tcPr/>
          <w:p>
            <w:pPr>
              <w:pStyle w:val="Compact"/>
              <w:jc w:val="left"/>
            </w:pPr>
            <w:r>
              <w:t xml:space="preserve">81,5 % en 2021 (référence), avec des cibles de 84 % (déc. 2024) et 85,2 % (juin 2027)</w:t>
            </w:r>
          </w:p>
        </w:tc>
        <w:tc>
          <w:tcPr>
            <w:tcW w:w="1004" w:type="dxa"/>
          </w:tcPr>
          <w:tcPr/>
          <w:p>
            <w:pPr>
              <w:pStyle w:val="Compact"/>
              <w:jc w:val="left"/>
            </w:pPr>
            <w:r>
              <w:t xml:space="preserve">2021</w:t>
            </w:r>
          </w:p>
        </w:tc>
        <w:tc>
          <w:tcPr>
            <w:tcW w:w="961" w:type="dxa"/>
          </w:tcPr>
          <w:tcPr/>
          <w:p>
            <w:pPr>
              <w:pStyle w:val="Compact"/>
              <w:jc w:val="left"/>
            </w:pPr>
            <w:r>
              <w:t xml:space="preserve">[V]</w:t>
            </w:r>
          </w:p>
        </w:tc>
        <w:tc>
          <w:tcPr>
            <w:tcW w:w="1580" w:type="dxa"/>
          </w:tcPr>
          <w:tcPr/>
          <w:p>
            <w:pPr>
              <w:pStyle w:val="Compact"/>
              <w:jc w:val="left"/>
            </w:pPr>
            <w:r>
              <w:t xml:space="preserve">[3, cadre de résultats]</w:t>
            </w:r>
          </w:p>
        </w:tc>
      </w:tr>
      <w:tr>
        <w:tc>
          <w:tcPr>
            <w:tcW w:w="2956" w:type="dxa"/>
          </w:tcPr>
          <w:tcPr/>
          <w:p>
            <w:pPr>
              <w:pStyle w:val="Compact"/>
              <w:jc w:val="left"/>
            </w:pPr>
            <w:r>
              <w:t xml:space="preserve">Recette moyenne par kWh</w:t>
            </w:r>
          </w:p>
        </w:tc>
        <w:tc>
          <w:tcPr>
            <w:tcW w:w="8067" w:type="dxa"/>
          </w:tcPr>
          <w:tcPr/>
          <w:p>
            <w:pPr>
              <w:pStyle w:val="Compact"/>
              <w:jc w:val="left"/>
            </w:pPr>
            <w:r>
              <w:t xml:space="preserve">128,72 FCFA/kWh (110,18 en 2022) : BT 131,55 ; MT 139,03 ; HT 98,35 ; exportations 101,46</w:t>
            </w:r>
          </w:p>
        </w:tc>
        <w:tc>
          <w:tcPr>
            <w:tcW w:w="1004" w:type="dxa"/>
          </w:tcPr>
          <w:tcPr/>
          <w:p>
            <w:pPr>
              <w:pStyle w:val="Compact"/>
              <w:jc w:val="left"/>
            </w:pPr>
            <w:r>
              <w:t xml:space="preserve">2023</w:t>
            </w:r>
          </w:p>
        </w:tc>
        <w:tc>
          <w:tcPr>
            <w:tcW w:w="961" w:type="dxa"/>
          </w:tcPr>
          <w:tcPr/>
          <w:p>
            <w:pPr>
              <w:pStyle w:val="Compact"/>
              <w:jc w:val="left"/>
            </w:pPr>
            <w:r>
              <w:t xml:space="preserve">[V]</w:t>
            </w:r>
          </w:p>
        </w:tc>
        <w:tc>
          <w:tcPr>
            <w:tcW w:w="1580" w:type="dxa"/>
          </w:tcPr>
          <w:tcPr/>
          <w:p>
            <w:pPr>
              <w:pStyle w:val="Compact"/>
              <w:jc w:val="left"/>
            </w:pPr>
            <w:r>
              <w:t xml:space="preserve">[1, p. 40]</w:t>
            </w:r>
          </w:p>
        </w:tc>
      </w:tr>
      <w:tr>
        <w:tc>
          <w:tcPr>
            <w:tcW w:w="2956" w:type="dxa"/>
          </w:tcPr>
          <w:tcPr/>
          <w:p>
            <w:pPr>
              <w:pStyle w:val="Compact"/>
              <w:jc w:val="left"/>
            </w:pPr>
            <w:r>
              <w:t xml:space="preserve">Coût complet par kWh</w:t>
            </w:r>
          </w:p>
        </w:tc>
        <w:tc>
          <w:tcPr>
            <w:tcW w:w="8067" w:type="dxa"/>
          </w:tcPr>
          <w:tcPr/>
          <w:p>
            <w:pPr>
              <w:pStyle w:val="Compact"/>
              <w:jc w:val="left"/>
            </w:pPr>
            <w:r>
              <w:t xml:space="preserve">non publié. Seul est publié un coût variable de 73,97 FCFA/kWh (83,75 en 2022). Coût moyen de production de 71,27 FCFA/kWh selon le pacte</w:t>
            </w:r>
          </w:p>
        </w:tc>
        <w:tc>
          <w:tcPr>
            <w:tcW w:w="1004" w:type="dxa"/>
          </w:tcPr>
          <w:tcPr/>
          <w:p>
            <w:pPr>
              <w:pStyle w:val="Compact"/>
              <w:jc w:val="left"/>
            </w:pPr>
            <w:r>
              <w:t xml:space="preserve">2023</w:t>
            </w:r>
          </w:p>
        </w:tc>
        <w:tc>
          <w:tcPr>
            <w:tcW w:w="961" w:type="dxa"/>
          </w:tcPr>
          <w:tcPr/>
          <w:p>
            <w:pPr>
              <w:pStyle w:val="Compact"/>
              <w:jc w:val="left"/>
            </w:pPr>
            <w:r>
              <w:t xml:space="preserve">[V] / pacte</w:t>
            </w:r>
          </w:p>
        </w:tc>
        <w:tc>
          <w:tcPr>
            <w:tcW w:w="1580" w:type="dxa"/>
          </w:tcPr>
          <w:tcPr/>
          <w:p>
            <w:pPr>
              <w:pStyle w:val="Compact"/>
              <w:jc w:val="left"/>
            </w:pPr>
            <w:r>
              <w:t xml:space="preserve">[1, p. 7]</w:t>
            </w:r>
          </w:p>
        </w:tc>
      </w:tr>
      <w:tr>
        <w:tc>
          <w:tcPr>
            <w:tcW w:w="2956" w:type="dxa"/>
          </w:tcPr>
          <w:tcPr/>
          <w:p>
            <w:pPr>
              <w:pStyle w:val="Compact"/>
              <w:jc w:val="left"/>
            </w:pPr>
            <w:r>
              <w:t xml:space="preserve">Couverture des coûts par les ventes</w:t>
            </w:r>
          </w:p>
        </w:tc>
        <w:tc>
          <w:tcPr>
            <w:tcW w:w="8067" w:type="dxa"/>
          </w:tcPr>
          <w:tcPr/>
          <w:p>
            <w:pPr>
              <w:pStyle w:val="Compact"/>
              <w:jc w:val="left"/>
            </w:pPr>
            <w:r>
              <w:t xml:space="preserve">(697,06 + 16,13 + 1,36) / environ 920 Md de charges, soit environ 75 % [E]. Le pacte indique 72 % en moyenne sur 2021-2023</w:t>
            </w:r>
          </w:p>
        </w:tc>
        <w:tc>
          <w:tcPr>
            <w:tcW w:w="1004" w:type="dxa"/>
          </w:tcPr>
          <w:tcPr/>
          <w:p>
            <w:pPr>
              <w:pStyle w:val="Compact"/>
              <w:jc w:val="left"/>
            </w:pPr>
            <w:r>
              <w:t xml:space="preserve">2023</w:t>
            </w:r>
          </w:p>
        </w:tc>
        <w:tc>
          <w:tcPr>
            <w:tcW w:w="961" w:type="dxa"/>
          </w:tcPr>
          <w:tcPr/>
          <w:p>
            <w:pPr>
              <w:pStyle w:val="Compact"/>
              <w:jc w:val="left"/>
            </w:pPr>
            <w:r>
              <w:t xml:space="preserve">[E]</w:t>
            </w:r>
          </w:p>
        </w:tc>
        <w:tc>
          <w:tcPr>
            <w:tcW w:w="1580" w:type="dxa"/>
          </w:tcPr>
          <w:tcPr/>
          <w:p>
            <w:pPr>
              <w:pStyle w:val="Compact"/>
              <w:jc w:val="left"/>
            </w:pPr>
            <w:r>
              <w:t xml:space="preserve">[1] ; pacte</w:t>
            </w:r>
          </w:p>
        </w:tc>
      </w:tr>
      <w:tr>
        <w:tc>
          <w:tcPr>
            <w:tcW w:w="2956" w:type="dxa"/>
          </w:tcPr>
          <w:tcPr/>
          <w:p>
            <w:pPr>
              <w:pStyle w:val="Compact"/>
              <w:jc w:val="left"/>
            </w:pPr>
            <w:r>
              <w:t xml:space="preserve">Déficit quasi-budgétaire</w:t>
            </w:r>
          </w:p>
        </w:tc>
        <w:tc>
          <w:tcPr>
            <w:tcW w:w="8067" w:type="dxa"/>
          </w:tcPr>
          <w:tcPr/>
          <w:p>
            <w:pPr>
              <w:pStyle w:val="Compact"/>
              <w:jc w:val="left"/>
            </w:pPr>
            <w:r>
              <w:t xml:space="preserve">non estimé publiquement. Selon le diagnostic financier financé par PPIAF/BM, la réduction des pertes pourrait diminuer la compensation de 54 % au plus, et l’évolution du mix de 73 % au plus</w:t>
            </w:r>
          </w:p>
        </w:tc>
        <w:tc>
          <w:tcPr>
            <w:tcW w:w="1004" w:type="dxa"/>
          </w:tcPr>
          <w:tcPr/>
          <w:p>
            <w:pPr>
              <w:pStyle w:val="Compact"/>
              <w:jc w:val="left"/>
            </w:pPr>
            <w:r>
              <w:t xml:space="preserve">2025-26</w:t>
            </w:r>
          </w:p>
        </w:tc>
        <w:tc>
          <w:tcPr>
            <w:tcW w:w="961" w:type="dxa"/>
          </w:tcPr>
          <w:tcPr/>
          <w:p>
            <w:pPr>
              <w:pStyle w:val="Compact"/>
              <w:jc w:val="left"/>
            </w:pPr>
            <w:r>
              <w:t xml:space="preserve">[V]</w:t>
            </w:r>
          </w:p>
        </w:tc>
        <w:tc>
          <w:tcPr>
            <w:tcW w:w="1580" w:type="dxa"/>
          </w:tcPr>
          <w:tcPr/>
          <w:p>
            <w:pPr>
              <w:pStyle w:val="Compact"/>
              <w:jc w:val="left"/>
            </w:pPr>
            <w:r>
              <w:t xml:space="preserve">[2, §6]</w:t>
            </w:r>
          </w:p>
        </w:tc>
      </w:tr>
      <w:tr>
        <w:tc>
          <w:tcPr>
            <w:tcW w:w="2956" w:type="dxa"/>
          </w:tcPr>
          <w:tcPr/>
          <w:p>
            <w:pPr>
              <w:pStyle w:val="Compact"/>
              <w:jc w:val="left"/>
            </w:pPr>
            <w:r>
              <w:t xml:space="preserve">Notation de crédit</w:t>
            </w:r>
          </w:p>
        </w:tc>
        <w:tc>
          <w:tcPr>
            <w:tcW w:w="8067" w:type="dxa"/>
          </w:tcPr>
          <w:tcPr/>
          <w:p>
            <w:pPr>
              <w:pStyle w:val="Compact"/>
              <w:jc w:val="left"/>
            </w:pPr>
            <w:r>
              <w:t xml:space="preserve">SENELEC : non notée [?]. Souverain : six dégradations en 13 mois après l’audit des finances publiques 2019-2023 (Moody’s B3 en février 2025, puis plus bas)</w:t>
            </w:r>
          </w:p>
        </w:tc>
        <w:tc>
          <w:tcPr>
            <w:tcW w:w="1004" w:type="dxa"/>
          </w:tcPr>
          <w:tcPr/>
          <w:p>
            <w:pPr>
              <w:pStyle w:val="Compact"/>
              <w:jc w:val="left"/>
            </w:pPr>
            <w:r>
              <w:t xml:space="preserve">2025-26</w:t>
            </w:r>
          </w:p>
        </w:tc>
        <w:tc>
          <w:tcPr>
            <w:tcW w:w="961" w:type="dxa"/>
          </w:tcPr>
          <w:tcPr/>
          <w:p>
            <w:pPr>
              <w:pStyle w:val="Compact"/>
              <w:jc w:val="left"/>
            </w:pPr>
            <w:r>
              <w:t xml:space="preserve">[V]</w:t>
            </w:r>
          </w:p>
        </w:tc>
        <w:tc>
          <w:tcPr>
            <w:tcW w:w="1580" w:type="dxa"/>
          </w:tcPr>
          <w:tcPr/>
          <w:p>
            <w:pPr>
              <w:pStyle w:val="Compact"/>
              <w:jc w:val="left"/>
            </w:pPr>
            <w:r>
              <w:t xml:space="preserve">[2, §3 ; 3, §30]</w:t>
            </w:r>
          </w:p>
        </w:tc>
      </w:tr>
    </w:tbl>
    <w:bookmarkEnd w:id="314"/>
    <w:bookmarkStart w:id="315" w:name="situation-technique-27"/>
    <w:p>
      <w:pPr>
        <w:pStyle w:val="Heading3"/>
      </w:pPr>
      <w:r>
        <w:t xml:space="preserve">2. Situation technique</w:t>
      </w:r>
    </w:p>
    <w:tbl>
      <w:tblPr>
        <w:tblStyle w:val="Table"/>
        <w:tblW w:type="dxa" w:w="14570"/>
        <w:tblLook w:firstRow="1" w:lastRow="0" w:firstColumn="0" w:lastColumn="0" w:noHBand="0" w:noVBand="0" w:val="0020"/>
        <w:jc w:val="start"/>
      </w:tblPr>
      <w:tblGrid>
        <w:gridCol w:w="2740"/>
        <w:gridCol w:w="7952"/>
        <w:gridCol w:w="1202"/>
        <w:gridCol w:w="965"/>
        <w:gridCol w:w="1709"/>
      </w:tblGrid>
      <w:tr>
        <w:trPr>
          <w:tblHeader w:val="true"/>
        </w:trPr>
        <w:tc>
          <w:tcPr>
            <w:tcW w:w="2740" w:type="dxa"/>
          </w:tcPr>
          <w:tcPr/>
          <w:p>
            <w:pPr>
              <w:pStyle w:val="Compact"/>
              <w:jc w:val="left"/>
            </w:pPr>
            <w:r>
              <w:t xml:space="preserve">Indicateur</w:t>
            </w:r>
          </w:p>
        </w:tc>
        <w:tc>
          <w:tcPr>
            <w:tcW w:w="7952" w:type="dxa"/>
          </w:tcPr>
          <w:tcPr/>
          <w:p>
            <w:pPr>
              <w:pStyle w:val="Compact"/>
              <w:jc w:val="left"/>
            </w:pPr>
            <w:r>
              <w:t xml:space="preserve">Valeur</w:t>
            </w:r>
          </w:p>
        </w:tc>
        <w:tc>
          <w:tcPr>
            <w:tcW w:w="1202" w:type="dxa"/>
          </w:tcPr>
          <w:tcPr/>
          <w:p>
            <w:pPr>
              <w:pStyle w:val="Compact"/>
              <w:jc w:val="left"/>
            </w:pPr>
            <w:r>
              <w:t xml:space="preserve">Année</w:t>
            </w:r>
          </w:p>
        </w:tc>
        <w:tc>
          <w:tcPr>
            <w:tcW w:w="965" w:type="dxa"/>
          </w:tcPr>
          <w:tcPr/>
          <w:p>
            <w:pPr>
              <w:pStyle w:val="Compact"/>
              <w:jc w:val="left"/>
            </w:pPr>
            <w:r>
              <w:t xml:space="preserve">Statut</w:t>
            </w:r>
          </w:p>
        </w:tc>
        <w:tc>
          <w:tcPr>
            <w:tcW w:w="1709" w:type="dxa"/>
          </w:tcPr>
          <w:tcPr/>
          <w:p>
            <w:pPr>
              <w:pStyle w:val="Compact"/>
              <w:jc w:val="left"/>
            </w:pPr>
            <w:r>
              <w:t xml:space="preserve">Source</w:t>
            </w:r>
          </w:p>
        </w:tc>
      </w:tr>
      <w:tr>
        <w:tc>
          <w:tcPr>
            <w:tcW w:w="2740" w:type="dxa"/>
          </w:tcPr>
          <w:tcPr/>
          <w:p>
            <w:pPr>
              <w:pStyle w:val="Compact"/>
              <w:jc w:val="left"/>
            </w:pPr>
            <w:r>
              <w:t xml:space="preserve">Capacité installée</w:t>
            </w:r>
          </w:p>
        </w:tc>
        <w:tc>
          <w:tcPr>
            <w:tcW w:w="7952" w:type="dxa"/>
          </w:tcPr>
          <w:tcPr/>
          <w:p>
            <w:pPr>
              <w:pStyle w:val="Compact"/>
              <w:jc w:val="left"/>
            </w:pPr>
            <w:r>
              <w:t xml:space="preserve">1 960,14 MW : thermique 1 413,43 (72 %), hydro 121, solaire 267,01, éolien 158,70. Par catégorie : IPP conventionnels 535,07 ; Karpowership 360,62 ; thermique propre SENELEC sur le réseau interconnecté (RI) 456,97 ; réseau non interconnecté (RNI) 54,76</w:t>
            </w:r>
          </w:p>
        </w:tc>
        <w:tc>
          <w:tcPr>
            <w:tcW w:w="1202" w:type="dxa"/>
          </w:tcPr>
          <w:tcPr/>
          <w:p>
            <w:pPr>
              <w:pStyle w:val="Compact"/>
              <w:jc w:val="left"/>
            </w:pPr>
            <w:r>
              <w:t xml:space="preserve">2023</w:t>
            </w:r>
          </w:p>
        </w:tc>
        <w:tc>
          <w:tcPr>
            <w:tcW w:w="965" w:type="dxa"/>
          </w:tcPr>
          <w:tcPr/>
          <w:p>
            <w:pPr>
              <w:pStyle w:val="Compact"/>
              <w:jc w:val="left"/>
            </w:pPr>
            <w:r>
              <w:t xml:space="preserve">[V]</w:t>
            </w:r>
          </w:p>
        </w:tc>
        <w:tc>
          <w:tcPr>
            <w:tcW w:w="1709" w:type="dxa"/>
          </w:tcPr>
          <w:tcPr/>
          <w:p>
            <w:pPr>
              <w:pStyle w:val="Compact"/>
              <w:jc w:val="left"/>
            </w:pPr>
            <w:r>
              <w:t xml:space="preserve">[1, p. 19]</w:t>
            </w:r>
          </w:p>
        </w:tc>
      </w:tr>
      <w:tr>
        <w:tc>
          <w:tcPr>
            <w:tcW w:w="2740" w:type="dxa"/>
          </w:tcPr>
          <w:tcPr/>
          <w:p>
            <w:pPr>
              <w:pStyle w:val="Compact"/>
              <w:jc w:val="left"/>
            </w:pPr>
            <w:r>
              <w:t xml:space="preserve">Disponibilité et pointe</w:t>
            </w:r>
          </w:p>
        </w:tc>
        <w:tc>
          <w:tcPr>
            <w:tcW w:w="7952" w:type="dxa"/>
          </w:tcPr>
          <w:tcPr/>
          <w:p>
            <w:pPr>
              <w:pStyle w:val="Compact"/>
              <w:jc w:val="left"/>
            </w:pPr>
            <w:r>
              <w:t xml:space="preserve">disponibilité du parc propre : 85,01 % ; pointe du RI : 1 075 MW (19/10/2023)</w:t>
            </w:r>
          </w:p>
        </w:tc>
        <w:tc>
          <w:tcPr>
            <w:tcW w:w="1202" w:type="dxa"/>
          </w:tcPr>
          <w:tcPr/>
          <w:p>
            <w:pPr>
              <w:pStyle w:val="Compact"/>
              <w:jc w:val="left"/>
            </w:pPr>
            <w:r>
              <w:t xml:space="preserve">2023</w:t>
            </w:r>
          </w:p>
        </w:tc>
        <w:tc>
          <w:tcPr>
            <w:tcW w:w="965" w:type="dxa"/>
          </w:tcPr>
          <w:tcPr/>
          <w:p>
            <w:pPr>
              <w:pStyle w:val="Compact"/>
              <w:jc w:val="left"/>
            </w:pPr>
            <w:r>
              <w:t xml:space="preserve">[V]</w:t>
            </w:r>
          </w:p>
        </w:tc>
        <w:tc>
          <w:tcPr>
            <w:tcW w:w="1709" w:type="dxa"/>
          </w:tcPr>
          <w:tcPr/>
          <w:p>
            <w:pPr>
              <w:pStyle w:val="Compact"/>
              <w:jc w:val="left"/>
            </w:pPr>
            <w:r>
              <w:t xml:space="preserve">[1]</w:t>
            </w:r>
          </w:p>
        </w:tc>
      </w:tr>
      <w:tr>
        <w:tc>
          <w:tcPr>
            <w:tcW w:w="2740" w:type="dxa"/>
          </w:tcPr>
          <w:tcPr/>
          <w:p>
            <w:pPr>
              <w:pStyle w:val="Compact"/>
              <w:jc w:val="left"/>
            </w:pPr>
            <w:r>
              <w:t xml:space="preserve">Production nette</w:t>
            </w:r>
          </w:p>
        </w:tc>
        <w:tc>
          <w:tcPr>
            <w:tcW w:w="7952" w:type="dxa"/>
          </w:tcPr>
          <w:tcPr/>
          <w:p>
            <w:pPr>
              <w:pStyle w:val="Compact"/>
              <w:jc w:val="left"/>
            </w:pPr>
            <w:r>
              <w:t xml:space="preserve">6 617,91 GWh (5 874,79 en 2022)</w:t>
            </w:r>
          </w:p>
        </w:tc>
        <w:tc>
          <w:tcPr>
            <w:tcW w:w="1202" w:type="dxa"/>
          </w:tcPr>
          <w:tcPr/>
          <w:p>
            <w:pPr>
              <w:pStyle w:val="Compact"/>
              <w:jc w:val="left"/>
            </w:pPr>
            <w:r>
              <w:t xml:space="preserve">2023</w:t>
            </w:r>
          </w:p>
        </w:tc>
        <w:tc>
          <w:tcPr>
            <w:tcW w:w="965" w:type="dxa"/>
          </w:tcPr>
          <w:tcPr/>
          <w:p>
            <w:pPr>
              <w:pStyle w:val="Compact"/>
              <w:jc w:val="left"/>
            </w:pPr>
            <w:r>
              <w:t xml:space="preserve">[V]</w:t>
            </w:r>
          </w:p>
        </w:tc>
        <w:tc>
          <w:tcPr>
            <w:tcW w:w="1709" w:type="dxa"/>
          </w:tcPr>
          <w:tcPr/>
          <w:p>
            <w:pPr>
              <w:pStyle w:val="Compact"/>
              <w:jc w:val="left"/>
            </w:pPr>
            <w:r>
              <w:t xml:space="preserve">[1, p. 7]</w:t>
            </w:r>
          </w:p>
        </w:tc>
      </w:tr>
      <w:tr>
        <w:tc>
          <w:tcPr>
            <w:tcW w:w="2740" w:type="dxa"/>
          </w:tcPr>
          <w:tcPr/>
          <w:p>
            <w:pPr>
              <w:pStyle w:val="Compact"/>
              <w:jc w:val="left"/>
            </w:pPr>
            <w:r>
              <w:t xml:space="preserve">Rendement brut (1 – pertes)</w:t>
            </w:r>
          </w:p>
        </w:tc>
        <w:tc>
          <w:tcPr>
            <w:tcW w:w="7952" w:type="dxa"/>
          </w:tcPr>
          <w:tcPr/>
          <w:p>
            <w:pPr>
              <w:pStyle w:val="Compact"/>
              <w:jc w:val="left"/>
            </w:pPr>
            <w:r>
              <w:t xml:space="preserve">81,22 % en 2023 (82,30 % en 2022), soit environ 18,8 % de pertes globales [E] ; 81,18 % en 2024</w:t>
            </w:r>
          </w:p>
        </w:tc>
        <w:tc>
          <w:tcPr>
            <w:tcW w:w="1202" w:type="dxa"/>
          </w:tcPr>
          <w:tcPr/>
          <w:p>
            <w:pPr>
              <w:pStyle w:val="Compact"/>
              <w:jc w:val="left"/>
            </w:pPr>
            <w:r>
              <w:t xml:space="preserve">2023-24</w:t>
            </w:r>
          </w:p>
        </w:tc>
        <w:tc>
          <w:tcPr>
            <w:tcW w:w="965" w:type="dxa"/>
          </w:tcPr>
          <w:tcPr/>
          <w:p>
            <w:pPr>
              <w:pStyle w:val="Compact"/>
              <w:jc w:val="left"/>
            </w:pPr>
            <w:r>
              <w:t xml:space="preserve">[V]</w:t>
            </w:r>
          </w:p>
        </w:tc>
        <w:tc>
          <w:tcPr>
            <w:tcW w:w="1709" w:type="dxa"/>
          </w:tcPr>
          <w:tcPr/>
          <w:p>
            <w:pPr>
              <w:pStyle w:val="Compact"/>
              <w:jc w:val="left"/>
            </w:pPr>
            <w:r>
              <w:t xml:space="preserve">[1 ; 1b]</w:t>
            </w:r>
          </w:p>
        </w:tc>
      </w:tr>
      <w:tr>
        <w:tc>
          <w:tcPr>
            <w:tcW w:w="2740" w:type="dxa"/>
          </w:tcPr>
          <w:tcPr/>
          <w:p>
            <w:pPr>
              <w:pStyle w:val="Compact"/>
              <w:jc w:val="left"/>
            </w:pPr>
            <w:r>
              <w:t xml:space="preserve">Pertes ATC&amp;C</w:t>
            </w:r>
          </w:p>
        </w:tc>
        <w:tc>
          <w:tcPr>
            <w:tcW w:w="7952" w:type="dxa"/>
          </w:tcPr>
          <w:tcPr/>
          <w:p>
            <w:pPr>
              <w:pStyle w:val="Compact"/>
              <w:jc w:val="left"/>
            </w:pPr>
            <w:r>
              <w:t xml:space="preserve">référence de 18,5 % (déc. 2021), 16 % (juin 2025), cibles de 15,6 % (2027), 15,2 % (2028) et 14,8 % (juin 2029). La répartition entre pertes techniques et commerciales n’est pas publiée [?]</w:t>
            </w:r>
          </w:p>
        </w:tc>
        <w:tc>
          <w:tcPr>
            <w:tcW w:w="1202" w:type="dxa"/>
          </w:tcPr>
          <w:tcPr/>
          <w:p>
            <w:pPr>
              <w:pStyle w:val="Compact"/>
              <w:jc w:val="left"/>
            </w:pPr>
            <w:r>
              <w:t xml:space="preserve">2021-2029</w:t>
            </w:r>
          </w:p>
        </w:tc>
        <w:tc>
          <w:tcPr>
            <w:tcW w:w="965" w:type="dxa"/>
          </w:tcPr>
          <w:tcPr/>
          <w:p>
            <w:pPr>
              <w:pStyle w:val="Compact"/>
              <w:jc w:val="left"/>
            </w:pPr>
            <w:r>
              <w:t xml:space="preserve">[V]</w:t>
            </w:r>
          </w:p>
        </w:tc>
        <w:tc>
          <w:tcPr>
            <w:tcW w:w="1709" w:type="dxa"/>
          </w:tcPr>
          <w:tcPr/>
          <w:p>
            <w:pPr>
              <w:pStyle w:val="Compact"/>
              <w:jc w:val="left"/>
            </w:pPr>
            <w:r>
              <w:t xml:space="preserve">[2, cadre de résultats]</w:t>
            </w:r>
          </w:p>
        </w:tc>
      </w:tr>
      <w:tr>
        <w:tc>
          <w:tcPr>
            <w:tcW w:w="2740" w:type="dxa"/>
          </w:tcPr>
          <w:tcPr/>
          <w:p>
            <w:pPr>
              <w:pStyle w:val="Compact"/>
              <w:jc w:val="left"/>
            </w:pPr>
            <w:r>
              <w:t xml:space="preserve">Pertes liées à la fraude</w:t>
            </w:r>
          </w:p>
        </w:tc>
        <w:tc>
          <w:tcPr>
            <w:tcW w:w="7952" w:type="dxa"/>
          </w:tcPr>
          <w:tcPr/>
          <w:p>
            <w:pPr>
              <w:pStyle w:val="Compact"/>
              <w:jc w:val="left"/>
            </w:pPr>
            <w:r>
              <w:t xml:space="preserve">estimation de SENELEC : environ 25 Md FCFA par an</w:t>
            </w:r>
          </w:p>
        </w:tc>
        <w:tc>
          <w:tcPr>
            <w:tcW w:w="1202" w:type="dxa"/>
          </w:tcPr>
          <w:tcPr/>
          <w:p>
            <w:pPr>
              <w:pStyle w:val="Compact"/>
              <w:jc w:val="left"/>
            </w:pPr>
            <w:r>
              <w:t xml:space="preserve">2025</w:t>
            </w:r>
          </w:p>
        </w:tc>
        <w:tc>
          <w:tcPr>
            <w:tcW w:w="965" w:type="dxa"/>
          </w:tcPr>
          <w:tcPr/>
          <w:p>
            <w:pPr>
              <w:pStyle w:val="Compact"/>
              <w:jc w:val="left"/>
            </w:pPr>
            <w:r>
              <w:t xml:space="preserve">[S]</w:t>
            </w:r>
          </w:p>
        </w:tc>
        <w:tc>
          <w:tcPr>
            <w:tcW w:w="1709" w:type="dxa"/>
          </w:tcPr>
          <w:tcPr/>
          <w:p>
            <w:pPr>
              <w:pStyle w:val="Compact"/>
              <w:jc w:val="left"/>
            </w:pPr>
            <w:r>
              <w:t xml:space="preserve">[5]</w:t>
            </w:r>
          </w:p>
        </w:tc>
      </w:tr>
      <w:tr>
        <w:tc>
          <w:tcPr>
            <w:tcW w:w="2740" w:type="dxa"/>
          </w:tcPr>
          <w:tcPr/>
          <w:p>
            <w:pPr>
              <w:pStyle w:val="Compact"/>
              <w:jc w:val="left"/>
            </w:pPr>
            <w:r>
              <w:t xml:space="preserve">SAIDI / SAIFI ; END</w:t>
            </w:r>
          </w:p>
        </w:tc>
        <w:tc>
          <w:tcPr>
            <w:tcW w:w="7952" w:type="dxa"/>
          </w:tcPr>
          <w:tcPr/>
          <w:p>
            <w:pPr>
              <w:pStyle w:val="Compact"/>
              <w:jc w:val="left"/>
            </w:pPr>
            <w:r>
              <w:t xml:space="preserve">SAIDI de 7 h 19 et SAIFI de 8,4 en 2023 (14 h 20 et 15,8 en 2022) ; énergie non distribuée de 11,64 GWh</w:t>
            </w:r>
          </w:p>
        </w:tc>
        <w:tc>
          <w:tcPr>
            <w:tcW w:w="1202" w:type="dxa"/>
          </w:tcPr>
          <w:tcPr/>
          <w:p>
            <w:pPr>
              <w:pStyle w:val="Compact"/>
              <w:jc w:val="left"/>
            </w:pPr>
            <w:r>
              <w:t xml:space="preserve">2023</w:t>
            </w:r>
          </w:p>
        </w:tc>
        <w:tc>
          <w:tcPr>
            <w:tcW w:w="965" w:type="dxa"/>
          </w:tcPr>
          <w:tcPr/>
          <w:p>
            <w:pPr>
              <w:pStyle w:val="Compact"/>
              <w:jc w:val="left"/>
            </w:pPr>
            <w:r>
              <w:t xml:space="preserve">[V]</w:t>
            </w:r>
          </w:p>
        </w:tc>
        <w:tc>
          <w:tcPr>
            <w:tcW w:w="1709" w:type="dxa"/>
          </w:tcPr>
          <w:tcPr/>
          <w:p>
            <w:pPr>
              <w:pStyle w:val="Compact"/>
              <w:jc w:val="left"/>
            </w:pPr>
            <w:r>
              <w:t xml:space="preserve">[1, p. 7]</w:t>
            </w:r>
          </w:p>
        </w:tc>
      </w:tr>
      <w:tr>
        <w:tc>
          <w:tcPr>
            <w:tcW w:w="2740" w:type="dxa"/>
          </w:tcPr>
          <w:tcPr/>
          <w:p>
            <w:pPr>
              <w:pStyle w:val="Compact"/>
              <w:jc w:val="left"/>
            </w:pPr>
            <w:r>
              <w:t xml:space="preserve">Délestages</w:t>
            </w:r>
          </w:p>
        </w:tc>
        <w:tc>
          <w:tcPr>
            <w:tcW w:w="7952" w:type="dxa"/>
          </w:tcPr>
          <w:tcPr/>
          <w:p>
            <w:pPr>
              <w:pStyle w:val="Compact"/>
              <w:jc w:val="left"/>
            </w:pPr>
            <w:r>
              <w:t xml:space="preserve">511 délestages en 2023 (295 automatiques, 216 manuels) ; aucun délestage pour manque de combustible</w:t>
            </w:r>
          </w:p>
        </w:tc>
        <w:tc>
          <w:tcPr>
            <w:tcW w:w="1202" w:type="dxa"/>
          </w:tcPr>
          <w:tcPr/>
          <w:p>
            <w:pPr>
              <w:pStyle w:val="Compact"/>
              <w:jc w:val="left"/>
            </w:pPr>
            <w:r>
              <w:t xml:space="preserve">2023</w:t>
            </w:r>
          </w:p>
        </w:tc>
        <w:tc>
          <w:tcPr>
            <w:tcW w:w="965" w:type="dxa"/>
          </w:tcPr>
          <w:tcPr/>
          <w:p>
            <w:pPr>
              <w:pStyle w:val="Compact"/>
              <w:jc w:val="left"/>
            </w:pPr>
            <w:r>
              <w:t xml:space="preserve">[V]</w:t>
            </w:r>
          </w:p>
        </w:tc>
        <w:tc>
          <w:tcPr>
            <w:tcW w:w="1709" w:type="dxa"/>
          </w:tcPr>
          <w:tcPr/>
          <w:p>
            <w:pPr>
              <w:pStyle w:val="Compact"/>
              <w:jc w:val="left"/>
            </w:pPr>
            <w:r>
              <w:t xml:space="preserve">[1, p. 26-27]</w:t>
            </w:r>
          </w:p>
        </w:tc>
      </w:tr>
      <w:tr>
        <w:tc>
          <w:tcPr>
            <w:tcW w:w="2740" w:type="dxa"/>
          </w:tcPr>
          <w:tcPr/>
          <w:p>
            <w:pPr>
              <w:pStyle w:val="Compact"/>
              <w:jc w:val="left"/>
            </w:pPr>
            <w:r>
              <w:t xml:space="preserve">Clients</w:t>
            </w:r>
          </w:p>
        </w:tc>
        <w:tc>
          <w:tcPr>
            <w:tcW w:w="7952" w:type="dxa"/>
          </w:tcPr>
          <w:tcPr/>
          <w:p>
            <w:pPr>
              <w:pStyle w:val="Compact"/>
              <w:jc w:val="left"/>
            </w:pPr>
            <w:r>
              <w:t xml:space="preserve">2 410 431, dont 2 406 892 en BT (+9,6 %)</w:t>
            </w:r>
          </w:p>
        </w:tc>
        <w:tc>
          <w:tcPr>
            <w:tcW w:w="1202" w:type="dxa"/>
          </w:tcPr>
          <w:tcPr/>
          <w:p>
            <w:pPr>
              <w:pStyle w:val="Compact"/>
              <w:jc w:val="left"/>
            </w:pPr>
            <w:r>
              <w:t xml:space="preserve">2023</w:t>
            </w:r>
          </w:p>
        </w:tc>
        <w:tc>
          <w:tcPr>
            <w:tcW w:w="965" w:type="dxa"/>
          </w:tcPr>
          <w:tcPr/>
          <w:p>
            <w:pPr>
              <w:pStyle w:val="Compact"/>
              <w:jc w:val="left"/>
            </w:pPr>
            <w:r>
              <w:t xml:space="preserve">[V]</w:t>
            </w:r>
          </w:p>
        </w:tc>
        <w:tc>
          <w:tcPr>
            <w:tcW w:w="1709" w:type="dxa"/>
          </w:tcPr>
          <w:tcPr/>
          <w:p>
            <w:pPr>
              <w:pStyle w:val="Compact"/>
              <w:jc w:val="left"/>
            </w:pPr>
            <w:r>
              <w:t xml:space="preserve">[1, p. 7]</w:t>
            </w:r>
          </w:p>
        </w:tc>
      </w:tr>
      <w:tr>
        <w:tc>
          <w:tcPr>
            <w:tcW w:w="2740" w:type="dxa"/>
          </w:tcPr>
          <w:tcPr/>
          <w:p>
            <w:pPr>
              <w:pStyle w:val="Compact"/>
              <w:jc w:val="left"/>
            </w:pPr>
            <w:r>
              <w:t xml:space="preserve">Prépaiement</w:t>
            </w:r>
          </w:p>
        </w:tc>
        <w:tc>
          <w:tcPr>
            <w:tcW w:w="7952" w:type="dxa"/>
          </w:tcPr>
          <w:tcPr/>
          <w:p>
            <w:pPr>
              <w:pStyle w:val="Compact"/>
              <w:jc w:val="left"/>
            </w:pPr>
            <w:r>
              <w:t xml:space="preserve">1 563 912 compteurs Woyofal en 2023 et 1 703 568 en 2024 (pacte), soit environ 65 % des clients en 2023 [E]</w:t>
            </w:r>
          </w:p>
        </w:tc>
        <w:tc>
          <w:tcPr>
            <w:tcW w:w="1202" w:type="dxa"/>
          </w:tcPr>
          <w:tcPr/>
          <w:p>
            <w:pPr>
              <w:pStyle w:val="Compact"/>
              <w:jc w:val="left"/>
            </w:pPr>
            <w:r>
              <w:t xml:space="preserve">2023-24</w:t>
            </w:r>
          </w:p>
        </w:tc>
        <w:tc>
          <w:tcPr>
            <w:tcW w:w="965" w:type="dxa"/>
          </w:tcPr>
          <w:tcPr/>
          <w:p>
            <w:pPr>
              <w:pStyle w:val="Compact"/>
              <w:jc w:val="left"/>
            </w:pPr>
            <w:r>
              <w:t xml:space="preserve">pacte / [E]</w:t>
            </w:r>
          </w:p>
        </w:tc>
        <w:tc>
          <w:tcPr>
            <w:tcW w:w="1709" w:type="dxa"/>
          </w:tcPr>
          <w:tcPr/>
          <w:p>
            <w:pPr>
              <w:pStyle w:val="Compact"/>
              <w:jc w:val="left"/>
            </w:pPr>
            <w:r>
              <w:t xml:space="preserve">phase 1</w:t>
            </w:r>
          </w:p>
        </w:tc>
      </w:tr>
      <w:tr>
        <w:tc>
          <w:tcPr>
            <w:tcW w:w="2740" w:type="dxa"/>
          </w:tcPr>
          <w:tcPr/>
          <w:p>
            <w:pPr>
              <w:pStyle w:val="Compact"/>
              <w:jc w:val="left"/>
            </w:pPr>
            <w:r>
              <w:t xml:space="preserve">Mix et coût de production</w:t>
            </w:r>
          </w:p>
        </w:tc>
        <w:tc>
          <w:tcPr>
            <w:tcW w:w="7952" w:type="dxa"/>
          </w:tcPr>
          <w:tcPr/>
          <w:p>
            <w:pPr>
              <w:pStyle w:val="Compact"/>
              <w:jc w:val="left"/>
            </w:pPr>
            <w:r>
              <w:t xml:space="preserve">dominante thermique (HFO/diesel, charbon CES Sendou, Karpowership), conversion au gaz en cours. Coût variable de 73,97 FCFA/kWh [1]. Coûts de production parmi les plus élevés de la région [2, §17]</w:t>
            </w:r>
          </w:p>
        </w:tc>
        <w:tc>
          <w:tcPr>
            <w:tcW w:w="1202" w:type="dxa"/>
          </w:tcPr>
          <w:tcPr/>
          <w:p>
            <w:pPr>
              <w:pStyle w:val="Compact"/>
              <w:jc w:val="left"/>
            </w:pPr>
            <w:r>
              <w:t xml:space="preserve">2023-26</w:t>
            </w:r>
          </w:p>
        </w:tc>
        <w:tc>
          <w:tcPr>
            <w:tcW w:w="965" w:type="dxa"/>
          </w:tcPr>
          <w:tcPr/>
          <w:p>
            <w:pPr>
              <w:pStyle w:val="Compact"/>
              <w:jc w:val="left"/>
            </w:pPr>
            <w:r>
              <w:t xml:space="preserve">[V]</w:t>
            </w:r>
          </w:p>
        </w:tc>
        <w:tc>
          <w:tcPr>
            <w:tcW w:w="1709" w:type="dxa"/>
          </w:tcPr>
          <w:tcPr/>
          <w:p>
            <w:pPr>
              <w:pStyle w:val="Compact"/>
              <w:jc w:val="left"/>
            </w:pPr>
            <w:r>
              <w:t xml:space="preserve">[1 ; 2]</w:t>
            </w:r>
          </w:p>
        </w:tc>
      </w:tr>
    </w:tbl>
    <w:bookmarkEnd w:id="315"/>
    <w:bookmarkStart w:id="316" w:name="situation-économique-et-gouvernance-27"/>
    <w:p>
      <w:pPr>
        <w:pStyle w:val="Heading3"/>
      </w:pPr>
      <w:r>
        <w:t xml:space="preserve">3. Situation économique et gouvernance</w:t>
      </w:r>
    </w:p>
    <w:p>
      <w:pPr>
        <w:numPr>
          <w:ilvl w:val="0"/>
          <w:numId w:val="1170"/>
        </w:numPr>
        <w:pStyle w:val="Compact"/>
      </w:pPr>
      <w:r>
        <w:rPr>
          <w:bCs/>
          <w:b/>
        </w:rPr>
        <w:t xml:space="preserve">Contrats d’achat (PPA)</w:t>
      </w:r>
      <w:r>
        <w:t xml:space="preserve"> </w:t>
      </w:r>
      <w:r>
        <w:t xml:space="preserve">: les achats d’énergie (489,53 Md FCFA) représentent environ 51 % des charges courantes en 2023 [1] [E]. Les termes des PPA (take-or-pay, devises, indexation) ne sont pas publiés → [?]. La location de la Karpowership coûterait 30 à 50 Md FCFA par an selon la presse [5] [S].</w:t>
      </w:r>
    </w:p>
    <w:p>
      <w:pPr>
        <w:numPr>
          <w:ilvl w:val="0"/>
          <w:numId w:val="1170"/>
        </w:numPr>
        <w:pStyle w:val="Compact"/>
      </w:pPr>
      <w:r>
        <w:rPr>
          <w:bCs/>
          <w:b/>
        </w:rPr>
        <w:t xml:space="preserve">Exposition au change et au combustible</w:t>
      </w:r>
      <w:r>
        <w:t xml:space="preserve"> </w:t>
      </w:r>
      <w:r>
        <w:t xml:space="preserve">: forte. Le pétrole importé et le gaz sont achetés en devises. Le choc pétrolier lié au conflit au Moyen-Orient (2026) pousse les besoins de subventions énergétiques vers 1 000 Md FCFA [2, §6] [V]. L’État n’a pas répercuté la hausse sur les prix intérieurs [2] [V].</w:t>
      </w:r>
    </w:p>
    <w:p>
      <w:pPr>
        <w:numPr>
          <w:ilvl w:val="0"/>
          <w:numId w:val="1170"/>
        </w:numPr>
        <w:pStyle w:val="Compact"/>
      </w:pPr>
      <w:r>
        <w:rPr>
          <w:bCs/>
          <w:b/>
        </w:rPr>
        <w:t xml:space="preserve">Contrat de performance / redressement</w:t>
      </w:r>
      <w:r>
        <w:t xml:space="preserve"> </w:t>
      </w:r>
      <w:r>
        <w:t xml:space="preserve">: un contrat de performance État-SENELEC existe et a été audité (pacte, non consulté) [?]. Un diagnostic financier et un plan de redressement ont été réalisés par la BM avec financement PPIAF ; le Gouvernement en a endossé les recommandations, reprises dans le pacte M300 [2, §46] [V]. Le plan Nodalis figure aussi parmi les actions ajoutées au pacte (phase 1). Le projet BM « ne suppose pas d’ajustement tarifaire immédiat » [2, §46] [V]. Une baisse de tarif décidée en 2025 aurait coûté environ 18 Md FCFA à SENELEC [6] [S].</w:t>
      </w:r>
    </w:p>
    <w:p>
      <w:pPr>
        <w:numPr>
          <w:ilvl w:val="0"/>
          <w:numId w:val="1170"/>
        </w:numPr>
        <w:pStyle w:val="Compact"/>
      </w:pPr>
      <w:r>
        <w:rPr>
          <w:bCs/>
          <w:b/>
        </w:rPr>
        <w:t xml:space="preserve">Gouvernance</w:t>
      </w:r>
      <w:r>
        <w:t xml:space="preserve"> </w:t>
      </w:r>
      <w:r>
        <w:t xml:space="preserve">: la revue indépendante de la passation des marchés de SENELEC (gestions 2022 et 2023) a été publiée par l’ARCOP [7] [V, non lue]. L’audit interne de l’unité de gestion du projet BM a été suspendu pour des raisons RH [2, §45] [V]. La filialisation (Transport) est en projet de loi (pacte).</w:t>
      </w:r>
    </w:p>
    <w:p>
      <w:pPr>
        <w:numPr>
          <w:ilvl w:val="0"/>
          <w:numId w:val="1170"/>
        </w:numPr>
        <w:pStyle w:val="Compact"/>
      </w:pPr>
      <w:r>
        <w:rPr>
          <w:bCs/>
          <w:b/>
        </w:rPr>
        <w:t xml:space="preserve">Contexte budgétaire</w:t>
      </w:r>
      <w:r>
        <w:t xml:space="preserve"> </w:t>
      </w:r>
      <w:r>
        <w:t xml:space="preserve">: l’audit des finances publiques 2019-2023 a révélé une dette cachée et une procédure de</w:t>
      </w:r>
      <w:r>
        <w:t xml:space="preserve"> </w:t>
      </w:r>
      <w:r>
        <w:rPr>
          <w:iCs/>
          <w:i/>
        </w:rPr>
        <w:t xml:space="preserve">misreporting</w:t>
      </w:r>
      <w:r>
        <w:t xml:space="preserve"> </w:t>
      </w:r>
      <w:r>
        <w:t xml:space="preserve">au FMI. Le gouvernement a reconnu 1 956 Md FCFA d’arriérés intérieurs (fin mars 2025) [8] [S]. Un accord technique (staff-level) a été conclu le 01/09/2026 pour une FEC de 36 mois d’environ 2,2 Md USD. Il prévoit un meilleur suivi des arriérés intérieurs et de la supervision des entreprises publiques, sans mention explicite de l’énergie [9] [V]. La DPF BM « Senegal First Accountability, Consolidation, and Economic Transformation » (P506839, 300 M USD) est marquée</w:t>
      </w:r>
      <w:r>
        <w:t xml:space="preserve"> </w:t>
      </w:r>
      <w:r>
        <w:rPr>
          <w:bCs/>
          <w:b/>
        </w:rPr>
        <w:t xml:space="preserve">« Dropped »</w:t>
      </w:r>
      <w:r>
        <w:t xml:space="preserve"> </w:t>
      </w:r>
      <w:r>
        <w:t xml:space="preserve">[10] [V].</w:t>
      </w:r>
    </w:p>
    <w:bookmarkEnd w:id="316"/>
    <w:bookmarkStart w:id="317" w:name="Xeef987bf61fd2d9735f2ad1ef76f6f8dbae5531"/>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444"/>
        <w:gridCol w:w="712"/>
        <w:gridCol w:w="1747"/>
        <w:gridCol w:w="1544"/>
        <w:gridCol w:w="3560"/>
        <w:gridCol w:w="1599"/>
        <w:gridCol w:w="1260"/>
        <w:gridCol w:w="701"/>
      </w:tblGrid>
      <w:tr>
        <w:trPr>
          <w:tblHeader w:val="true"/>
        </w:trPr>
        <w:tc>
          <w:tcPr>
            <w:tcW w:w="3444" w:type="dxa"/>
          </w:tcPr>
          <w:tcPr/>
          <w:p>
            <w:pPr>
              <w:pStyle w:val="Compact"/>
              <w:jc w:val="left"/>
            </w:pPr>
            <w:r>
              <w:t xml:space="preserve">Programme / projet</w:t>
            </w:r>
          </w:p>
        </w:tc>
        <w:tc>
          <w:tcPr>
            <w:tcW w:w="712" w:type="dxa"/>
          </w:tcPr>
          <w:tcPr/>
          <w:p>
            <w:pPr>
              <w:pStyle w:val="Compact"/>
              <w:jc w:val="left"/>
            </w:pPr>
            <w:r>
              <w:t xml:space="preserve">Bailleur</w:t>
            </w:r>
          </w:p>
        </w:tc>
        <w:tc>
          <w:tcPr>
            <w:tcW w:w="1747" w:type="dxa"/>
          </w:tcPr>
          <w:tcPr/>
          <w:p>
            <w:pPr>
              <w:pStyle w:val="Compact"/>
              <w:jc w:val="left"/>
            </w:pPr>
            <w:r>
              <w:t xml:space="preserve">Montant</w:t>
            </w:r>
          </w:p>
        </w:tc>
        <w:tc>
          <w:tcPr>
            <w:tcW w:w="1544" w:type="dxa"/>
          </w:tcPr>
          <w:tcPr/>
          <w:p>
            <w:pPr>
              <w:pStyle w:val="Compact"/>
              <w:jc w:val="left"/>
            </w:pPr>
            <w:r>
              <w:t xml:space="preserve">Années</w:t>
            </w:r>
          </w:p>
        </w:tc>
        <w:tc>
          <w:tcPr>
            <w:tcW w:w="3560" w:type="dxa"/>
          </w:tcPr>
          <w:tcPr/>
          <w:p>
            <w:pPr>
              <w:pStyle w:val="Compact"/>
              <w:jc w:val="left"/>
            </w:pPr>
            <w:r>
              <w:t xml:space="preserve">Objectifs liés à l’opérateur</w:t>
            </w:r>
          </w:p>
        </w:tc>
        <w:tc>
          <w:tcPr>
            <w:tcW w:w="1599" w:type="dxa"/>
          </w:tcPr>
          <w:tcPr/>
          <w:p>
            <w:pPr>
              <w:pStyle w:val="Compact"/>
              <w:jc w:val="left"/>
            </w:pPr>
            <w:r>
              <w:t xml:space="preserve">Conditions / indicateurs</w:t>
            </w:r>
          </w:p>
        </w:tc>
        <w:tc>
          <w:tcPr>
            <w:tcW w:w="1260" w:type="dxa"/>
          </w:tcPr>
          <w:tcPr/>
          <w:p>
            <w:pPr>
              <w:pStyle w:val="Compact"/>
              <w:jc w:val="left"/>
            </w:pPr>
            <w:r>
              <w:t xml:space="preserve">Statut</w:t>
            </w:r>
          </w:p>
        </w:tc>
        <w:tc>
          <w:tcPr>
            <w:tcW w:w="701" w:type="dxa"/>
          </w:tcPr>
          <w:tcPr/>
          <w:p>
            <w:pPr>
              <w:pStyle w:val="Compact"/>
              <w:jc w:val="left"/>
            </w:pPr>
            <w:r>
              <w:t xml:space="preserve">Source</w:t>
            </w:r>
          </w:p>
        </w:tc>
      </w:tr>
      <w:tr>
        <w:tc>
          <w:tcPr>
            <w:tcW w:w="3444" w:type="dxa"/>
          </w:tcPr>
          <w:tcPr/>
          <w:p>
            <w:pPr>
              <w:pStyle w:val="Compact"/>
              <w:jc w:val="left"/>
            </w:pPr>
            <w:r>
              <w:t xml:space="preserve">Senegal Energy Access Scale Up Project (PADAES),</w:t>
            </w:r>
            <w:r>
              <w:t xml:space="preserve"> </w:t>
            </w:r>
            <w:r>
              <w:rPr>
                <w:bCs/>
                <w:b/>
              </w:rPr>
              <w:t xml:space="preserve">P176620</w:t>
            </w:r>
          </w:p>
        </w:tc>
        <w:tc>
          <w:tcPr>
            <w:tcW w:w="712" w:type="dxa"/>
          </w:tcPr>
          <w:tcPr/>
          <w:p>
            <w:pPr>
              <w:pStyle w:val="Compact"/>
              <w:jc w:val="left"/>
            </w:pPr>
            <w:r>
              <w:t xml:space="preserve">BM (IDA)</w:t>
            </w:r>
          </w:p>
        </w:tc>
        <w:tc>
          <w:tcPr>
            <w:tcW w:w="1747" w:type="dxa"/>
          </w:tcPr>
          <w:tcPr/>
          <w:p>
            <w:pPr>
              <w:pStyle w:val="Compact"/>
              <w:jc w:val="left"/>
            </w:pPr>
            <w:r>
              <w:t xml:space="preserve">150 M USD (parent), 155,87 M USD avec la 1re AF</w:t>
            </w:r>
          </w:p>
        </w:tc>
        <w:tc>
          <w:tcPr>
            <w:tcW w:w="1544" w:type="dxa"/>
          </w:tcPr>
          <w:tcPr/>
          <w:p>
            <w:pPr>
              <w:pStyle w:val="Compact"/>
              <w:jc w:val="left"/>
            </w:pPr>
            <w:r>
              <w:t xml:space="preserve">approuvé le 08/03/2022, clôture le 30/06/2029</w:t>
            </w:r>
          </w:p>
        </w:tc>
        <w:tc>
          <w:tcPr>
            <w:tcW w:w="3560" w:type="dxa"/>
          </w:tcPr>
          <w:tcPr/>
          <w:p>
            <w:pPr>
              <w:pStyle w:val="Compact"/>
              <w:jc w:val="left"/>
            </w:pPr>
            <w:r>
              <w:t xml:space="preserve">raccordements, réduction des pertes, renforcement de SENELEC</w:t>
            </w:r>
          </w:p>
        </w:tc>
        <w:tc>
          <w:tcPr>
            <w:tcW w:w="1599" w:type="dxa"/>
          </w:tcPr>
          <w:tcPr/>
          <w:p>
            <w:pPr>
              <w:pStyle w:val="Compact"/>
              <w:jc w:val="left"/>
            </w:pPr>
            <w:r>
              <w:t xml:space="preserve">rendement global de 81,5 % porté à 85,2 % ; politique de raccordement social (lifeline)</w:t>
            </w:r>
          </w:p>
        </w:tc>
        <w:tc>
          <w:tcPr>
            <w:tcW w:w="1260" w:type="dxa"/>
          </w:tcPr>
          <w:tcPr/>
          <w:p>
            <w:pPr>
              <w:pStyle w:val="Compact"/>
              <w:jc w:val="left"/>
            </w:pPr>
            <w:r>
              <w:t xml:space="preserve">actif, notes ISR « Moderately Satisfactory » (06/2026)</w:t>
            </w:r>
          </w:p>
        </w:tc>
        <w:tc>
          <w:tcPr>
            <w:tcW w:w="701" w:type="dxa"/>
          </w:tcPr>
          <w:tcPr/>
          <w:p>
            <w:pPr>
              <w:pStyle w:val="Compact"/>
              <w:jc w:val="left"/>
            </w:pPr>
            <w:r>
              <w:t xml:space="preserve">[10 ; 3 ; 2]</w:t>
            </w:r>
          </w:p>
        </w:tc>
      </w:tr>
      <w:tr>
        <w:tc>
          <w:tcPr>
            <w:tcW w:w="3444" w:type="dxa"/>
          </w:tcPr>
          <w:tcPr/>
          <w:p>
            <w:pPr>
              <w:pStyle w:val="Compact"/>
              <w:jc w:val="left"/>
            </w:pPr>
            <w:r>
              <w:t xml:space="preserve">1re AF PADAES,</w:t>
            </w:r>
            <w:r>
              <w:t xml:space="preserve"> </w:t>
            </w:r>
            <w:r>
              <w:rPr>
                <w:bCs/>
                <w:b/>
              </w:rPr>
              <w:t xml:space="preserve">P511965</w:t>
            </w:r>
          </w:p>
        </w:tc>
        <w:tc>
          <w:tcPr>
            <w:tcW w:w="712" w:type="dxa"/>
          </w:tcPr>
          <w:tcPr/>
          <w:p>
            <w:pPr>
              <w:pStyle w:val="Compact"/>
              <w:jc w:val="left"/>
            </w:pPr>
            <w:r>
              <w:t xml:space="preserve">BM (IDA)</w:t>
            </w:r>
          </w:p>
        </w:tc>
        <w:tc>
          <w:tcPr>
            <w:tcW w:w="1747" w:type="dxa"/>
          </w:tcPr>
          <w:tcPr/>
          <w:p>
            <w:pPr>
              <w:pStyle w:val="Compact"/>
              <w:jc w:val="left"/>
            </w:pPr>
            <w:r>
              <w:t xml:space="preserve">5,20 M EUR (5,87 M USD)</w:t>
            </w:r>
          </w:p>
        </w:tc>
        <w:tc>
          <w:tcPr>
            <w:tcW w:w="1544" w:type="dxa"/>
          </w:tcPr>
          <w:tcPr/>
          <w:p>
            <w:pPr>
              <w:pStyle w:val="Compact"/>
              <w:jc w:val="left"/>
            </w:pPr>
            <w:r>
              <w:t xml:space="preserve">27/06/2025</w:t>
            </w:r>
          </w:p>
        </w:tc>
        <w:tc>
          <w:tcPr>
            <w:tcW w:w="3560" w:type="dxa"/>
          </w:tcPr>
          <w:tcPr/>
          <w:p>
            <w:pPr>
              <w:pStyle w:val="Compact"/>
              <w:jc w:val="left"/>
            </w:pPr>
            <w:r>
              <w:t xml:space="preserve">transfert de la maîtrise d’ouvrage de GES à SENELEC</w:t>
            </w:r>
          </w:p>
        </w:tc>
        <w:tc>
          <w:tcPr>
            <w:tcW w:w="1599" w:type="dxa"/>
          </w:tcPr>
          <w:tcPr/>
          <w:p>
            <w:pPr>
              <w:pStyle w:val="Compact"/>
              <w:jc w:val="left"/>
            </w:pPr>
            <w:r>
              <w:t xml:space="preserve">—</w:t>
            </w:r>
          </w:p>
        </w:tc>
        <w:tc>
          <w:tcPr>
            <w:tcW w:w="1260" w:type="dxa"/>
          </w:tcPr>
          <w:tcPr/>
          <w:p>
            <w:pPr>
              <w:pStyle w:val="Compact"/>
              <w:jc w:val="left"/>
            </w:pPr>
            <w:r>
              <w:t xml:space="preserve">actif</w:t>
            </w:r>
          </w:p>
        </w:tc>
        <w:tc>
          <w:tcPr>
            <w:tcW w:w="701" w:type="dxa"/>
          </w:tcPr>
          <w:tcPr/>
          <w:p>
            <w:pPr>
              <w:pStyle w:val="Compact"/>
              <w:jc w:val="left"/>
            </w:pPr>
            <w:r>
              <w:t xml:space="preserve">[3 ; 10]</w:t>
            </w:r>
          </w:p>
        </w:tc>
      </w:tr>
      <w:tr>
        <w:tc>
          <w:tcPr>
            <w:tcW w:w="3444" w:type="dxa"/>
          </w:tcPr>
          <w:tcPr/>
          <w:p>
            <w:pPr>
              <w:pStyle w:val="Compact"/>
              <w:jc w:val="left"/>
            </w:pPr>
            <w:r>
              <w:t xml:space="preserve">2e AF PADAES,</w:t>
            </w:r>
            <w:r>
              <w:t xml:space="preserve"> </w:t>
            </w:r>
            <w:r>
              <w:rPr>
                <w:bCs/>
                <w:b/>
              </w:rPr>
              <w:t xml:space="preserve">P515030</w:t>
            </w:r>
            <w:r>
              <w:t xml:space="preserve"> </w:t>
            </w:r>
            <w:r>
              <w:t xml:space="preserve">(SUW-SML)</w:t>
            </w:r>
          </w:p>
        </w:tc>
        <w:tc>
          <w:tcPr>
            <w:tcW w:w="712" w:type="dxa"/>
          </w:tcPr>
          <w:tcPr/>
          <w:p>
            <w:pPr>
              <w:pStyle w:val="Compact"/>
              <w:jc w:val="left"/>
            </w:pPr>
            <w:r>
              <w:t xml:space="preserve">BM (IDA)</w:t>
            </w:r>
          </w:p>
        </w:tc>
        <w:tc>
          <w:tcPr>
            <w:tcW w:w="1747" w:type="dxa"/>
          </w:tcPr>
          <w:tcPr/>
          <w:p>
            <w:pPr>
              <w:pStyle w:val="Compact"/>
              <w:jc w:val="left"/>
            </w:pPr>
            <w:r>
              <w:t xml:space="preserve">85,40 M EUR (100 M USD)</w:t>
            </w:r>
          </w:p>
        </w:tc>
        <w:tc>
          <w:tcPr>
            <w:tcW w:w="1544" w:type="dxa"/>
          </w:tcPr>
          <w:tcPr/>
          <w:p>
            <w:pPr>
              <w:pStyle w:val="Compact"/>
              <w:jc w:val="left"/>
            </w:pPr>
            <w:r>
              <w:t xml:space="preserve">23/06/2026 ; clôture prolongée de 24 mois</w:t>
            </w:r>
          </w:p>
        </w:tc>
        <w:tc>
          <w:tcPr>
            <w:tcW w:w="3560" w:type="dxa"/>
          </w:tcPr>
          <w:tcPr/>
          <w:p>
            <w:pPr>
              <w:pStyle w:val="Compact"/>
              <w:jc w:val="left"/>
            </w:pPr>
            <w:r>
              <w:t xml:space="preserve">243 000 raccordements en RBF ; programme de réduction des pertes techniques et commerciales de SENELEC (8,9 M USD) ; plateforme MRV et mise à jour de la base clients ; études EnR</w:t>
            </w:r>
          </w:p>
        </w:tc>
        <w:tc>
          <w:tcPr>
            <w:tcW w:w="1599" w:type="dxa"/>
          </w:tcPr>
          <w:tcPr/>
          <w:p>
            <w:pPr>
              <w:pStyle w:val="Compact"/>
              <w:jc w:val="left"/>
            </w:pPr>
            <w:r>
              <w:rPr>
                <w:bCs/>
                <w:b/>
              </w:rPr>
              <w:t xml:space="preserve">ATC&amp;C de 16 % ramené à 14,8 % (juin 2029)</w:t>
            </w:r>
            <w:r>
              <w:t xml:space="preserve"> </w:t>
            </w:r>
            <w:r>
              <w:t xml:space="preserve">; paiements sur résultats vérifiés</w:t>
            </w:r>
          </w:p>
        </w:tc>
        <w:tc>
          <w:tcPr>
            <w:tcW w:w="1260" w:type="dxa"/>
          </w:tcPr>
          <w:tcPr/>
          <w:p>
            <w:pPr>
              <w:pStyle w:val="Compact"/>
              <w:jc w:val="left"/>
            </w:pPr>
            <w:r>
              <w:t xml:space="preserve">actif</w:t>
            </w:r>
          </w:p>
        </w:tc>
        <w:tc>
          <w:tcPr>
            <w:tcW w:w="701" w:type="dxa"/>
          </w:tcPr>
          <w:tcPr/>
          <w:p>
            <w:pPr>
              <w:pStyle w:val="Compact"/>
              <w:jc w:val="left"/>
            </w:pPr>
            <w:r>
              <w:t xml:space="preserve">[2 ; 10]</w:t>
            </w:r>
          </w:p>
        </w:tc>
      </w:tr>
      <w:tr>
        <w:tc>
          <w:tcPr>
            <w:tcW w:w="3444" w:type="dxa"/>
          </w:tcPr>
          <w:tcPr/>
          <w:p>
            <w:pPr>
              <w:pStyle w:val="Compact"/>
              <w:jc w:val="left"/>
            </w:pPr>
            <w:r>
              <w:t xml:space="preserve">Regional Electricity Access and BEST Project,</w:t>
            </w:r>
            <w:r>
              <w:t xml:space="preserve"> </w:t>
            </w:r>
            <w:r>
              <w:rPr>
                <w:bCs/>
                <w:b/>
              </w:rPr>
              <w:t xml:space="preserve">P167569</w:t>
            </w:r>
            <w:r>
              <w:t xml:space="preserve"> </w:t>
            </w:r>
            <w:r>
              <w:t xml:space="preserve">(SN, CI, MR, NE, ML, CEDEAO)</w:t>
            </w:r>
          </w:p>
        </w:tc>
        <w:tc>
          <w:tcPr>
            <w:tcW w:w="712" w:type="dxa"/>
          </w:tcPr>
          <w:tcPr/>
          <w:p>
            <w:pPr>
              <w:pStyle w:val="Compact"/>
              <w:jc w:val="left"/>
            </w:pPr>
            <w:r>
              <w:t xml:space="preserve">BM</w:t>
            </w:r>
          </w:p>
        </w:tc>
        <w:tc>
          <w:tcPr>
            <w:tcW w:w="1747" w:type="dxa"/>
          </w:tcPr>
          <w:tcPr/>
          <w:p>
            <w:pPr>
              <w:pStyle w:val="Compact"/>
              <w:jc w:val="left"/>
            </w:pPr>
            <w:r>
              <w:t xml:space="preserve">465 M USD (régional)</w:t>
            </w:r>
          </w:p>
        </w:tc>
        <w:tc>
          <w:tcPr>
            <w:tcW w:w="1544" w:type="dxa"/>
          </w:tcPr>
          <w:tcPr/>
          <w:p>
            <w:pPr>
              <w:pStyle w:val="Compact"/>
              <w:jc w:val="left"/>
            </w:pPr>
            <w:r>
              <w:t xml:space="preserve">10/06/2021 – 30/06/2028</w:t>
            </w:r>
          </w:p>
        </w:tc>
        <w:tc>
          <w:tcPr>
            <w:tcW w:w="3560" w:type="dxa"/>
          </w:tcPr>
          <w:tcPr/>
          <w:p>
            <w:pPr>
              <w:pStyle w:val="Compact"/>
              <w:jc w:val="left"/>
            </w:pPr>
            <w:r>
              <w:t xml:space="preserve">accès, stockage par batteries, intégration EnR</w:t>
            </w:r>
          </w:p>
        </w:tc>
        <w:tc>
          <w:tcPr>
            <w:tcW w:w="1599" w:type="dxa"/>
          </w:tcPr>
          <w:tcPr/>
          <w:p>
            <w:pPr>
              <w:pStyle w:val="Compact"/>
              <w:jc w:val="left"/>
            </w:pPr>
            <w:r>
              <w:t xml:space="preserve">—</w:t>
            </w:r>
          </w:p>
        </w:tc>
        <w:tc>
          <w:tcPr>
            <w:tcW w:w="1260" w:type="dxa"/>
          </w:tcPr>
          <w:tcPr/>
          <w:p>
            <w:pPr>
              <w:pStyle w:val="Compact"/>
              <w:jc w:val="left"/>
            </w:pPr>
            <w:r>
              <w:t xml:space="preserve">actif</w:t>
            </w:r>
          </w:p>
        </w:tc>
        <w:tc>
          <w:tcPr>
            <w:tcW w:w="701" w:type="dxa"/>
          </w:tcPr>
          <w:tcPr/>
          <w:p>
            <w:pPr>
              <w:pStyle w:val="Compact"/>
              <w:jc w:val="left"/>
            </w:pPr>
            <w:r>
              <w:t xml:space="preserve">[10]</w:t>
            </w:r>
          </w:p>
        </w:tc>
      </w:tr>
      <w:tr>
        <w:tc>
          <w:tcPr>
            <w:tcW w:w="3444" w:type="dxa"/>
          </w:tcPr>
          <w:tcPr/>
          <w:p>
            <w:pPr>
              <w:pStyle w:val="Compact"/>
              <w:jc w:val="left"/>
            </w:pPr>
            <w:r>
              <w:t xml:space="preserve">Strengthening Senegal’s Fiscal Sustainability Program,</w:t>
            </w:r>
            <w:r>
              <w:t xml:space="preserve"> </w:t>
            </w:r>
            <w:r>
              <w:rPr>
                <w:bCs/>
                <w:b/>
              </w:rPr>
              <w:t xml:space="preserve">P510613</w:t>
            </w:r>
            <w:r>
              <w:t xml:space="preserve"> </w:t>
            </w:r>
            <w:r>
              <w:t xml:space="preserve">(PforR)</w:t>
            </w:r>
          </w:p>
        </w:tc>
        <w:tc>
          <w:tcPr>
            <w:tcW w:w="712" w:type="dxa"/>
          </w:tcPr>
          <w:tcPr/>
          <w:p>
            <w:pPr>
              <w:pStyle w:val="Compact"/>
              <w:jc w:val="left"/>
            </w:pPr>
            <w:r>
              <w:t xml:space="preserve">BM</w:t>
            </w:r>
          </w:p>
        </w:tc>
        <w:tc>
          <w:tcPr>
            <w:tcW w:w="1747" w:type="dxa"/>
          </w:tcPr>
          <w:tcPr/>
          <w:p>
            <w:pPr>
              <w:pStyle w:val="Compact"/>
              <w:jc w:val="left"/>
            </w:pPr>
            <w:r>
              <w:t xml:space="preserve">115 M USD</w:t>
            </w:r>
          </w:p>
        </w:tc>
        <w:tc>
          <w:tcPr>
            <w:tcW w:w="1544" w:type="dxa"/>
          </w:tcPr>
          <w:tcPr/>
          <w:p>
            <w:pPr>
              <w:pStyle w:val="Compact"/>
              <w:jc w:val="left"/>
            </w:pPr>
            <w:r>
              <w:t xml:space="preserve">24/06/2025 – 2029</w:t>
            </w:r>
          </w:p>
        </w:tc>
        <w:tc>
          <w:tcPr>
            <w:tcW w:w="3560" w:type="dxa"/>
          </w:tcPr>
          <w:tcPr/>
          <w:p>
            <w:pPr>
              <w:pStyle w:val="Compact"/>
              <w:jc w:val="left"/>
            </w:pPr>
            <w:r>
              <w:t xml:space="preserve">contenu énergie et DLI non consultés → [?]</w:t>
            </w:r>
          </w:p>
        </w:tc>
        <w:tc>
          <w:tcPr>
            <w:tcW w:w="1599" w:type="dxa"/>
          </w:tcPr>
          <w:tcPr/>
          <w:p>
            <w:pPr>
              <w:pStyle w:val="Compact"/>
              <w:jc w:val="left"/>
            </w:pPr>
            <w:r>
              <w:t xml:space="preserve">[?]</w:t>
            </w:r>
          </w:p>
        </w:tc>
        <w:tc>
          <w:tcPr>
            <w:tcW w:w="1260" w:type="dxa"/>
          </w:tcPr>
          <w:tcPr/>
          <w:p>
            <w:pPr>
              <w:pStyle w:val="Compact"/>
              <w:jc w:val="left"/>
            </w:pPr>
            <w:r>
              <w:t xml:space="preserve">actif</w:t>
            </w:r>
          </w:p>
        </w:tc>
        <w:tc>
          <w:tcPr>
            <w:tcW w:w="701" w:type="dxa"/>
          </w:tcPr>
          <w:tcPr/>
          <w:p>
            <w:pPr>
              <w:pStyle w:val="Compact"/>
              <w:jc w:val="left"/>
            </w:pPr>
            <w:r>
              <w:t xml:space="preserve">[10]</w:t>
            </w:r>
          </w:p>
        </w:tc>
      </w:tr>
      <w:tr>
        <w:tc>
          <w:tcPr>
            <w:tcW w:w="3444" w:type="dxa"/>
          </w:tcPr>
          <w:tcPr/>
          <w:p>
            <w:pPr>
              <w:pStyle w:val="Compact"/>
              <w:jc w:val="left"/>
            </w:pPr>
            <w:r>
              <w:t xml:space="preserve">Senegal-Mauritania Accelerating Gas Resources (SMART GAS) Ph. 1,</w:t>
            </w:r>
            <w:r>
              <w:t xml:space="preserve"> </w:t>
            </w:r>
            <w:r>
              <w:rPr>
                <w:bCs/>
                <w:b/>
              </w:rPr>
              <w:t xml:space="preserve">P516520</w:t>
            </w:r>
          </w:p>
        </w:tc>
        <w:tc>
          <w:tcPr>
            <w:tcW w:w="712" w:type="dxa"/>
          </w:tcPr>
          <w:tcPr/>
          <w:p>
            <w:pPr>
              <w:pStyle w:val="Compact"/>
              <w:jc w:val="left"/>
            </w:pPr>
            <w:r>
              <w:t xml:space="preserve">BM</w:t>
            </w:r>
          </w:p>
        </w:tc>
        <w:tc>
          <w:tcPr>
            <w:tcW w:w="1747" w:type="dxa"/>
          </w:tcPr>
          <w:tcPr/>
          <w:p>
            <w:pPr>
              <w:pStyle w:val="Compact"/>
              <w:jc w:val="left"/>
            </w:pPr>
            <w:r>
              <w:t xml:space="preserve">50 M USD</w:t>
            </w:r>
          </w:p>
        </w:tc>
        <w:tc>
          <w:tcPr>
            <w:tcW w:w="1544" w:type="dxa"/>
          </w:tcPr>
          <w:tcPr/>
          <w:p>
            <w:pPr>
              <w:pStyle w:val="Compact"/>
              <w:jc w:val="left"/>
            </w:pPr>
            <w:r>
              <w:t xml:space="preserve">prévu le 22/12/2026</w:t>
            </w:r>
          </w:p>
        </w:tc>
        <w:tc>
          <w:tcPr>
            <w:tcW w:w="3560" w:type="dxa"/>
          </w:tcPr>
          <w:tcPr/>
          <w:p>
            <w:pPr>
              <w:pStyle w:val="Compact"/>
              <w:jc w:val="left"/>
            </w:pPr>
            <w:r>
              <w:t xml:space="preserve">régulation gaz, gas-to-power, production privée</w:t>
            </w:r>
          </w:p>
        </w:tc>
        <w:tc>
          <w:tcPr>
            <w:tcW w:w="1599" w:type="dxa"/>
          </w:tcPr>
          <w:tcPr/>
          <w:p>
            <w:pPr>
              <w:pStyle w:val="Compact"/>
              <w:jc w:val="left"/>
            </w:pPr>
            <w:r>
              <w:t xml:space="preserve">—</w:t>
            </w:r>
          </w:p>
        </w:tc>
        <w:tc>
          <w:tcPr>
            <w:tcW w:w="1260" w:type="dxa"/>
          </w:tcPr>
          <w:tcPr/>
          <w:p>
            <w:pPr>
              <w:pStyle w:val="Compact"/>
              <w:jc w:val="left"/>
            </w:pPr>
            <w:r>
              <w:t xml:space="preserve">en préparation (pipeline)</w:t>
            </w:r>
          </w:p>
        </w:tc>
        <w:tc>
          <w:tcPr>
            <w:tcW w:w="701" w:type="dxa"/>
          </w:tcPr>
          <w:tcPr/>
          <w:p>
            <w:pPr>
              <w:pStyle w:val="Compact"/>
              <w:jc w:val="left"/>
            </w:pPr>
            <w:r>
              <w:t xml:space="preserve">[10]</w:t>
            </w:r>
          </w:p>
        </w:tc>
      </w:tr>
      <w:tr>
        <w:tc>
          <w:tcPr>
            <w:tcW w:w="3444" w:type="dxa"/>
          </w:tcPr>
          <w:tcPr/>
          <w:p>
            <w:pPr>
              <w:pStyle w:val="Compact"/>
              <w:jc w:val="left"/>
            </w:pPr>
            <w:r>
              <w:t xml:space="preserve">Projet d’amélioration de l’accès à l’électricité en zones périurbaines et rurales (46002-P-SN-FA0-005)</w:t>
            </w:r>
          </w:p>
        </w:tc>
        <w:tc>
          <w:tcPr>
            <w:tcW w:w="712" w:type="dxa"/>
          </w:tcPr>
          <w:tcPr/>
          <w:p>
            <w:pPr>
              <w:pStyle w:val="Compact"/>
              <w:jc w:val="left"/>
            </w:pPr>
            <w:r>
              <w:t xml:space="preserve">BAD</w:t>
            </w:r>
          </w:p>
        </w:tc>
        <w:tc>
          <w:tcPr>
            <w:tcW w:w="1747" w:type="dxa"/>
          </w:tcPr>
          <w:tcPr/>
          <w:p>
            <w:pPr>
              <w:pStyle w:val="Compact"/>
              <w:jc w:val="left"/>
            </w:pPr>
            <w:r>
              <w:t xml:space="preserve">89,52 M USD (IATI) ; 20,8 M USD décaissés</w:t>
            </w:r>
          </w:p>
        </w:tc>
        <w:tc>
          <w:tcPr>
            <w:tcW w:w="1544" w:type="dxa"/>
          </w:tcPr>
          <w:tcPr/>
          <w:p>
            <w:pPr>
              <w:pStyle w:val="Compact"/>
              <w:jc w:val="left"/>
            </w:pPr>
            <w:r>
              <w:t xml:space="preserve">début 2018-12</w:t>
            </w:r>
          </w:p>
        </w:tc>
        <w:tc>
          <w:tcPr>
            <w:tcW w:w="3560" w:type="dxa"/>
          </w:tcPr>
          <w:tcPr/>
          <w:p>
            <w:pPr>
              <w:pStyle w:val="Compact"/>
              <w:jc w:val="left"/>
            </w:pPr>
            <w:r>
              <w:t xml:space="preserve">extension des réseaux de distribution de SENELEC hors Dakar. C’est probablement le « 76,3 M EUR » du pacte [E]</w:t>
            </w:r>
          </w:p>
        </w:tc>
        <w:tc>
          <w:tcPr>
            <w:tcW w:w="1599" w:type="dxa"/>
          </w:tcPr>
          <w:tcPr/>
          <w:p>
            <w:pPr>
              <w:pStyle w:val="Compact"/>
              <w:jc w:val="left"/>
            </w:pPr>
            <w:r>
              <w:t xml:space="preserve">[?]</w:t>
            </w:r>
          </w:p>
        </w:tc>
        <w:tc>
          <w:tcPr>
            <w:tcW w:w="1260" w:type="dxa"/>
          </w:tcPr>
          <w:tcPr/>
          <w:p>
            <w:pPr>
              <w:pStyle w:val="Compact"/>
              <w:jc w:val="left"/>
            </w:pPr>
            <w:r>
              <w:t xml:space="preserve">en cours (IATI)</w:t>
            </w:r>
          </w:p>
        </w:tc>
        <w:tc>
          <w:tcPr>
            <w:tcW w:w="701" w:type="dxa"/>
          </w:tcPr>
          <w:tcPr/>
          <w:p>
            <w:pPr>
              <w:pStyle w:val="Compact"/>
              <w:jc w:val="left"/>
            </w:pPr>
            <w:r>
              <w:t xml:space="preserve">[11]</w:t>
            </w:r>
          </w:p>
        </w:tc>
      </w:tr>
      <w:tr>
        <w:tc>
          <w:tcPr>
            <w:tcW w:w="3444" w:type="dxa"/>
          </w:tcPr>
          <w:tcPr/>
          <w:p>
            <w:pPr>
              <w:pStyle w:val="Compact"/>
              <w:jc w:val="left"/>
            </w:pPr>
            <w:r>
              <w:t xml:space="preserve">Programme de promotion des lampes efficaces (46002-P-SN-FZ0-004)</w:t>
            </w:r>
          </w:p>
        </w:tc>
        <w:tc>
          <w:tcPr>
            <w:tcW w:w="712" w:type="dxa"/>
          </w:tcPr>
          <w:tcPr/>
          <w:p>
            <w:pPr>
              <w:pStyle w:val="Compact"/>
              <w:jc w:val="left"/>
            </w:pPr>
            <w:r>
              <w:t xml:space="preserve">BAD</w:t>
            </w:r>
          </w:p>
        </w:tc>
        <w:tc>
          <w:tcPr>
            <w:tcW w:w="1747" w:type="dxa"/>
          </w:tcPr>
          <w:tcPr/>
          <w:p>
            <w:pPr>
              <w:pStyle w:val="Compact"/>
              <w:jc w:val="left"/>
            </w:pPr>
            <w:r>
              <w:t xml:space="preserve">6,78 M DTS (8,84 M USD)</w:t>
            </w:r>
          </w:p>
        </w:tc>
        <w:tc>
          <w:tcPr>
            <w:tcW w:w="1544" w:type="dxa"/>
          </w:tcPr>
          <w:tcPr/>
          <w:p>
            <w:pPr>
              <w:pStyle w:val="Compact"/>
              <w:jc w:val="left"/>
            </w:pPr>
            <w:r>
              <w:t xml:space="preserve">16/12/2024</w:t>
            </w:r>
          </w:p>
        </w:tc>
        <w:tc>
          <w:tcPr>
            <w:tcW w:w="3560" w:type="dxa"/>
          </w:tcPr>
          <w:tcPr/>
          <w:p>
            <w:pPr>
              <w:pStyle w:val="Compact"/>
              <w:jc w:val="left"/>
            </w:pPr>
            <w:r>
              <w:t xml:space="preserve">efficacité énergétique, baisse de la pointe</w:t>
            </w:r>
          </w:p>
        </w:tc>
        <w:tc>
          <w:tcPr>
            <w:tcW w:w="1599" w:type="dxa"/>
          </w:tcPr>
          <w:tcPr/>
          <w:p>
            <w:pPr>
              <w:pStyle w:val="Compact"/>
              <w:jc w:val="left"/>
            </w:pPr>
            <w:r>
              <w:t xml:space="preserve">[?]</w:t>
            </w:r>
          </w:p>
        </w:tc>
        <w:tc>
          <w:tcPr>
            <w:tcW w:w="1260" w:type="dxa"/>
          </w:tcPr>
          <w:tcPr/>
          <w:p>
            <w:pPr>
              <w:pStyle w:val="Compact"/>
              <w:jc w:val="left"/>
            </w:pPr>
            <w:r>
              <w:t xml:space="preserve">approuvé</w:t>
            </w:r>
          </w:p>
        </w:tc>
        <w:tc>
          <w:tcPr>
            <w:tcW w:w="701" w:type="dxa"/>
          </w:tcPr>
          <w:tcPr/>
          <w:p>
            <w:pPr>
              <w:pStyle w:val="Compact"/>
              <w:jc w:val="left"/>
            </w:pPr>
            <w:r>
              <w:t xml:space="preserve">[11]</w:t>
            </w:r>
          </w:p>
        </w:tc>
      </w:tr>
      <w:tr>
        <w:tc>
          <w:tcPr>
            <w:tcW w:w="3444" w:type="dxa"/>
          </w:tcPr>
          <w:tcPr/>
          <w:p>
            <w:pPr>
              <w:pStyle w:val="Compact"/>
              <w:jc w:val="left"/>
            </w:pPr>
            <w:r>
              <w:t xml:space="preserve">Projet Malicounda 120 MW dual fuel (46002-P-SN-F00-009)</w:t>
            </w:r>
          </w:p>
        </w:tc>
        <w:tc>
          <w:tcPr>
            <w:tcW w:w="712" w:type="dxa"/>
          </w:tcPr>
          <w:tcPr/>
          <w:p>
            <w:pPr>
              <w:pStyle w:val="Compact"/>
              <w:jc w:val="left"/>
            </w:pPr>
            <w:r>
              <w:t xml:space="preserve">BAD (non souverain)</w:t>
            </w:r>
          </w:p>
        </w:tc>
        <w:tc>
          <w:tcPr>
            <w:tcW w:w="1747" w:type="dxa"/>
          </w:tcPr>
          <w:tcPr/>
          <w:p>
            <w:pPr>
              <w:pStyle w:val="Compact"/>
              <w:jc w:val="left"/>
            </w:pPr>
            <w:r>
              <w:t xml:space="preserve">57,84 M USD</w:t>
            </w:r>
          </w:p>
        </w:tc>
        <w:tc>
          <w:tcPr>
            <w:tcW w:w="1544" w:type="dxa"/>
          </w:tcPr>
          <w:tcPr/>
          <w:p>
            <w:pPr>
              <w:pStyle w:val="Compact"/>
              <w:jc w:val="left"/>
            </w:pPr>
            <w:r>
              <w:t xml:space="preserve">2022</w:t>
            </w:r>
          </w:p>
        </w:tc>
        <w:tc>
          <w:tcPr>
            <w:tcW w:w="3560" w:type="dxa"/>
          </w:tcPr>
          <w:tcPr/>
          <w:p>
            <w:pPr>
              <w:pStyle w:val="Compact"/>
              <w:jc w:val="left"/>
            </w:pPr>
            <w:r>
              <w:t xml:space="preserve">IPP vendant à SENELEC</w:t>
            </w:r>
          </w:p>
        </w:tc>
        <w:tc>
          <w:tcPr>
            <w:tcW w:w="1599" w:type="dxa"/>
          </w:tcPr>
          <w:tcPr/>
          <w:p>
            <w:pPr>
              <w:pStyle w:val="Compact"/>
              <w:jc w:val="left"/>
            </w:pPr>
            <w:r>
              <w:t xml:space="preserve">—</w:t>
            </w:r>
          </w:p>
        </w:tc>
        <w:tc>
          <w:tcPr>
            <w:tcW w:w="1260" w:type="dxa"/>
          </w:tcPr>
          <w:tcPr/>
          <w:p>
            <w:pPr>
              <w:pStyle w:val="Compact"/>
              <w:jc w:val="left"/>
            </w:pPr>
            <w:r>
              <w:t xml:space="preserve">en exploitation</w:t>
            </w:r>
          </w:p>
        </w:tc>
        <w:tc>
          <w:tcPr>
            <w:tcW w:w="701" w:type="dxa"/>
          </w:tcPr>
          <w:tcPr/>
          <w:p>
            <w:pPr>
              <w:pStyle w:val="Compact"/>
              <w:jc w:val="left"/>
            </w:pPr>
            <w:r>
              <w:t xml:space="preserve">[11]</w:t>
            </w:r>
          </w:p>
        </w:tc>
      </w:tr>
      <w:tr>
        <w:tc>
          <w:tcPr>
            <w:tcW w:w="3444" w:type="dxa"/>
          </w:tcPr>
          <w:tcPr/>
          <w:p>
            <w:pPr>
              <w:pStyle w:val="Compact"/>
              <w:jc w:val="left"/>
            </w:pPr>
            <w:r>
              <w:t xml:space="preserve">FEC FMI (accord technique)</w:t>
            </w:r>
          </w:p>
        </w:tc>
        <w:tc>
          <w:tcPr>
            <w:tcW w:w="712" w:type="dxa"/>
          </w:tcPr>
          <w:tcPr/>
          <w:p>
            <w:pPr>
              <w:pStyle w:val="Compact"/>
              <w:jc w:val="left"/>
            </w:pPr>
            <w:r>
              <w:t xml:space="preserve">FMI</w:t>
            </w:r>
          </w:p>
        </w:tc>
        <w:tc>
          <w:tcPr>
            <w:tcW w:w="1747" w:type="dxa"/>
          </w:tcPr>
          <w:tcPr/>
          <w:p>
            <w:pPr>
              <w:pStyle w:val="Compact"/>
              <w:jc w:val="left"/>
            </w:pPr>
            <w:r>
              <w:t xml:space="preserve">environ 2,2 Md USD</w:t>
            </w:r>
          </w:p>
        </w:tc>
        <w:tc>
          <w:tcPr>
            <w:tcW w:w="1544" w:type="dxa"/>
          </w:tcPr>
          <w:tcPr/>
          <w:p>
            <w:pPr>
              <w:pStyle w:val="Compact"/>
              <w:jc w:val="left"/>
            </w:pPr>
            <w:r>
              <w:t xml:space="preserve">2026-2029</w:t>
            </w:r>
          </w:p>
        </w:tc>
        <w:tc>
          <w:tcPr>
            <w:tcW w:w="3560" w:type="dxa"/>
          </w:tcPr>
          <w:tcPr/>
          <w:p>
            <w:pPr>
              <w:pStyle w:val="Compact"/>
              <w:jc w:val="left"/>
            </w:pPr>
            <w:r>
              <w:t xml:space="preserve">arriérés intérieurs, supervision des entreprises publiques</w:t>
            </w:r>
          </w:p>
        </w:tc>
        <w:tc>
          <w:tcPr>
            <w:tcW w:w="1599" w:type="dxa"/>
          </w:tcPr>
          <w:tcPr/>
          <w:p>
            <w:pPr>
              <w:pStyle w:val="Compact"/>
              <w:jc w:val="left"/>
            </w:pPr>
            <w:r>
              <w:t xml:space="preserve">approbation du CA conditionnée au traitement du</w:t>
            </w:r>
            <w:r>
              <w:t xml:space="preserve"> </w:t>
            </w:r>
            <w:r>
              <w:rPr>
                <w:iCs/>
                <w:i/>
              </w:rPr>
              <w:t xml:space="preserve">misreporting</w:t>
            </w:r>
          </w:p>
        </w:tc>
        <w:tc>
          <w:tcPr>
            <w:tcW w:w="1260" w:type="dxa"/>
          </w:tcPr>
          <w:tcPr/>
          <w:p>
            <w:pPr>
              <w:pStyle w:val="Compact"/>
              <w:jc w:val="left"/>
            </w:pPr>
            <w:r>
              <w:t xml:space="preserve">en attente</w:t>
            </w:r>
          </w:p>
        </w:tc>
        <w:tc>
          <w:tcPr>
            <w:tcW w:w="701" w:type="dxa"/>
          </w:tcPr>
          <w:tcPr/>
          <w:p>
            <w:pPr>
              <w:pStyle w:val="Compact"/>
              <w:jc w:val="left"/>
            </w:pPr>
            <w:r>
              <w:t xml:space="preserve">[9]</w:t>
            </w:r>
          </w:p>
        </w:tc>
      </w:tr>
    </w:tbl>
    <w:bookmarkEnd w:id="317"/>
    <w:bookmarkStart w:id="318" w:name="écart-pacte-réalité-27"/>
    <w:p>
      <w:pPr>
        <w:pStyle w:val="Heading3"/>
      </w:pPr>
      <w:r>
        <w:t xml:space="preserve">5. Écart pacte ↔ réalité</w:t>
      </w:r>
    </w:p>
    <w:p>
      <w:pPr>
        <w:numPr>
          <w:ilvl w:val="0"/>
          <w:numId w:val="1171"/>
        </w:numPr>
        <w:pStyle w:val="Compact"/>
      </w:pPr>
      <w:r>
        <w:rPr>
          <w:bCs/>
          <w:b/>
        </w:rPr>
        <w:t xml:space="preserve">Rendement global</w:t>
      </w:r>
      <w:r>
        <w:t xml:space="preserve"> </w:t>
      </w:r>
      <w:r>
        <w:t xml:space="preserve">: le pacte annonce 81,7 % en 2023, le rapport annuel 81,22 % (et 81,18 % en 2024) [1 ; 1b]. L’écart est faible, mais il va dans le sens défavorable. Le pacte ne renseigne pas l’ATC&amp;C, alors que la BM le mesure à 16 % en juin 2025 [2].</w:t>
      </w:r>
    </w:p>
    <w:p>
      <w:pPr>
        <w:numPr>
          <w:ilvl w:val="0"/>
          <w:numId w:val="1171"/>
        </w:numPr>
        <w:pStyle w:val="Compact"/>
      </w:pPr>
      <w:r>
        <w:rPr>
          <w:bCs/>
          <w:b/>
        </w:rPr>
        <w:t xml:space="preserve">Couverture des coûts</w:t>
      </w:r>
      <w:r>
        <w:t xml:space="preserve"> </w:t>
      </w:r>
      <w:r>
        <w:t xml:space="preserve">: le pacte cite 72 % ; le calcul sur le compte de résultat 2023 donne environ 75 % [E]. Les ordres de grandeur sont cohérents. En revanche, la « subvention = 30 % du tarif » du pacte paraît sous-estimée : la compensation 2023 (249 Md) représente environ 36 % des ventes d’énergie (697 Md) [E].</w:t>
      </w:r>
    </w:p>
    <w:p>
      <w:pPr>
        <w:numPr>
          <w:ilvl w:val="0"/>
          <w:numId w:val="1171"/>
        </w:numPr>
        <w:pStyle w:val="Compact"/>
      </w:pPr>
      <w:r>
        <w:rPr>
          <w:bCs/>
          <w:b/>
        </w:rPr>
        <w:t xml:space="preserve">Bénéfices</w:t>
      </w:r>
      <w:r>
        <w:t xml:space="preserve"> </w:t>
      </w:r>
      <w:r>
        <w:t xml:space="preserve">: le pacte évoque « plus de 35 Md FCFA de bénéfices sur 2021-2023 ». Les seuls résultats 2022 et 2023 totalisent 73,7 Md FCFA [1] : le pacte minore donc ces bénéfices. Ils restent toutefois entièrement dépendants de la compensation [E].</w:t>
      </w:r>
    </w:p>
    <w:p>
      <w:pPr>
        <w:numPr>
          <w:ilvl w:val="0"/>
          <w:numId w:val="1171"/>
        </w:numPr>
        <w:pStyle w:val="Compact"/>
      </w:pPr>
      <w:r>
        <w:rPr>
          <w:bCs/>
          <w:b/>
        </w:rPr>
        <w:t xml:space="preserve">Engagement de « baisse de la subvention d’ici fin 2025 »</w:t>
      </w:r>
      <w:r>
        <w:t xml:space="preserve"> </w:t>
      </w:r>
      <w:r>
        <w:t xml:space="preserve">: la trajectoire va à l’inverse. Une baisse tarifaire a été décidée en 2025 [6] [S], la compensation 2024 due atteint environ 179 Md FCFA et reste impayée [4], et le besoin de subventions énergétiques est projeté à environ 1 000 Md FCFA en 2026 [2]. Le projet BM écarte explicitement tout ajustement tarifaire immédiat [2].</w:t>
      </w:r>
    </w:p>
    <w:p>
      <w:pPr>
        <w:numPr>
          <w:ilvl w:val="0"/>
          <w:numId w:val="1171"/>
        </w:numPr>
        <w:pStyle w:val="Compact"/>
      </w:pPr>
      <w:r>
        <w:rPr>
          <w:bCs/>
          <w:b/>
        </w:rPr>
        <w:t xml:space="preserve">Contexte budgétaire</w:t>
      </w:r>
      <w:r>
        <w:t xml:space="preserve"> </w:t>
      </w:r>
      <w:r>
        <w:t xml:space="preserve">: la crise de la dette cachée (dégradations,</w:t>
      </w:r>
      <w:r>
        <w:t xml:space="preserve"> </w:t>
      </w:r>
      <w:r>
        <w:rPr>
          <w:iCs/>
          <w:i/>
        </w:rPr>
        <w:t xml:space="preserve">misreporting</w:t>
      </w:r>
      <w:r>
        <w:t xml:space="preserve">, DPF BM abandonnée) n’est pas traitée dans le pacte, qui date de janvier 2025 [2 ; 9 ; 10].</w:t>
      </w:r>
    </w:p>
    <w:bookmarkEnd w:id="318"/>
    <w:bookmarkStart w:id="319" w:name="diagnostic-synthétique-27"/>
    <w:p>
      <w:pPr>
        <w:pStyle w:val="Heading3"/>
      </w:pPr>
      <w:r>
        <w:t xml:space="preserve">6. Diagnostic synthétique</w:t>
      </w:r>
    </w:p>
    <w:p>
      <w:pPr>
        <w:numPr>
          <w:ilvl w:val="0"/>
          <w:numId w:val="1172"/>
        </w:numPr>
        <w:pStyle w:val="Compact"/>
      </w:pPr>
      <w:r>
        <w:rPr>
          <w:bCs/>
          <w:b/>
        </w:rPr>
        <w:t xml:space="preserve">Financière : faible.</w:t>
      </w:r>
      <w:r>
        <w:t xml:space="preserve"> </w:t>
      </w:r>
      <w:r>
        <w:t xml:space="preserve">La rentabilité est purement comptable, assurée par une compensation de 250 à 330 Md FCFA par an, versée avec retard. La trésorerie passive augmente de 61 % en 2023 et les créances sur l’Administration progressent. L’État, lui-même en crise de liquidité, est à la fois débiteur et créancier de SENELEC.</w:t>
      </w:r>
    </w:p>
    <w:p>
      <w:pPr>
        <w:numPr>
          <w:ilvl w:val="0"/>
          <w:numId w:val="1172"/>
        </w:numPr>
        <w:pStyle w:val="Compact"/>
      </w:pPr>
      <w:r>
        <w:rPr>
          <w:bCs/>
          <w:b/>
        </w:rPr>
        <w:t xml:space="preserve">Technique : moyenne.</w:t>
      </w:r>
      <w:r>
        <w:t xml:space="preserve"> </w:t>
      </w:r>
      <w:r>
        <w:t xml:space="preserve">Le SAIDI s’améliore nettement en 2023 et la disponibilité du parc atteint 85 %, mais les pertes restent élevées (environ 19 % ; ATC&amp;C de 16 %) et le parc thermique est loué à prix élevé.</w:t>
      </w:r>
    </w:p>
    <w:p>
      <w:pPr>
        <w:numPr>
          <w:ilvl w:val="0"/>
          <w:numId w:val="1172"/>
        </w:numPr>
        <w:pStyle w:val="Compact"/>
      </w:pPr>
      <w:r>
        <w:rPr>
          <w:bCs/>
          <w:b/>
        </w:rPr>
        <w:t xml:space="preserve">Gouvernance : moyenne.</w:t>
      </w:r>
      <w:r>
        <w:t xml:space="preserve"> </w:t>
      </w:r>
      <w:r>
        <w:t xml:space="preserve">Les rapports annuels sont publiés et un contrat de performance existe, mais le rapport 2024 est inaccessible, la certification n’est pas visible, l’audit interne de l’unité de projet est suspendu et la filialisation est inachevée.</w:t>
      </w:r>
    </w:p>
    <w:p>
      <w:pPr>
        <w:numPr>
          <w:ilvl w:val="0"/>
          <w:numId w:val="1172"/>
        </w:numPr>
        <w:pStyle w:val="Compact"/>
      </w:pPr>
      <w:r>
        <w:rPr>
          <w:bCs/>
          <w:b/>
        </w:rPr>
        <w:t xml:space="preserve">Causes racines</w:t>
      </w:r>
      <w:r>
        <w:t xml:space="preserve"> </w:t>
      </w:r>
      <w:r>
        <w:t xml:space="preserve">: (1) un coût de production élevé (thermique importé, Karpowership, IPP) face à des tarifs gelés ; (2) un modèle de compensation ex post dépendant d’un Trésor sous contrainte ; (3) des pertes et des factures publiques non budgétisées.</w:t>
      </w:r>
    </w:p>
    <w:p>
      <w:pPr>
        <w:numPr>
          <w:ilvl w:val="0"/>
          <w:numId w:val="1172"/>
        </w:numPr>
        <w:pStyle w:val="Compact"/>
      </w:pPr>
      <w:r>
        <w:rPr>
          <w:bCs/>
          <w:b/>
        </w:rPr>
        <w:t xml:space="preserve">Phase 3</w:t>
      </w:r>
      <w:r>
        <w:t xml:space="preserve"> </w:t>
      </w:r>
      <w:r>
        <w:t xml:space="preserve">: décisions RMA de la CRSE de 2023 à 2026 ; montant et calendrier des compensations payées ou dues ; coût d’achat aux IPP et à la Karpowership par kWh ; impact de la baisse tarifaire de 2025 ; coût du gas-to-power.</w:t>
      </w:r>
    </w:p>
    <w:bookmarkEnd w:id="319"/>
    <w:bookmarkStart w:id="320" w:name="inconnus-27"/>
    <w:p>
      <w:pPr>
        <w:pStyle w:val="Heading3"/>
      </w:pPr>
      <w:r>
        <w:t xml:space="preserve">7. Inconnus</w:t>
      </w:r>
    </w:p>
    <w:p>
      <w:pPr>
        <w:numPr>
          <w:ilvl w:val="0"/>
          <w:numId w:val="1173"/>
        </w:numPr>
        <w:pStyle w:val="Compact"/>
      </w:pPr>
      <w:r>
        <w:t xml:space="preserve">États financiers 2024 complets (rapport inaccessible) et 2025 [?].</w:t>
      </w:r>
    </w:p>
    <w:p>
      <w:pPr>
        <w:numPr>
          <w:ilvl w:val="0"/>
          <w:numId w:val="1173"/>
        </w:numPr>
        <w:pStyle w:val="Compact"/>
      </w:pPr>
      <w:r>
        <w:t xml:space="preserve">Termes des PPA et coût par IPP [?] ; montant exact de la dette envers l’État et les IPP fin 2024 [?].</w:t>
      </w:r>
    </w:p>
    <w:p>
      <w:pPr>
        <w:numPr>
          <w:ilvl w:val="0"/>
          <w:numId w:val="1173"/>
        </w:numPr>
        <w:pStyle w:val="Compact"/>
      </w:pPr>
      <w:r>
        <w:t xml:space="preserve">Pertes techniques et commerciales séparées [?] ; contenu du contrat de performance [?] ; DLI énergie du PforR P510613 [?].</w:t>
      </w:r>
    </w:p>
    <w:p>
      <w:pPr>
        <w:numPr>
          <w:ilvl w:val="0"/>
          <w:numId w:val="1173"/>
        </w:numPr>
        <w:pStyle w:val="Compact"/>
      </w:pPr>
      <w:r>
        <w:t xml:space="preserve">Commissaire aux comptes et opinion d’audit [?].</w:t>
      </w:r>
    </w:p>
    <w:bookmarkEnd w:id="320"/>
    <w:bookmarkStart w:id="321" w:name="sources-28"/>
    <w:p>
      <w:pPr>
        <w:pStyle w:val="Heading3"/>
      </w:pPr>
      <w:r>
        <w:t xml:space="preserve">Sources</w:t>
      </w:r>
    </w:p>
    <w:p>
      <w:pPr>
        <w:pStyle w:val="FirstParagraph"/>
      </w:pPr>
      <w:r>
        <w:t xml:space="preserve">[1] SENELEC,</w:t>
      </w:r>
      <w:r>
        <w:t xml:space="preserve"> </w:t>
      </w:r>
      <w:r>
        <w:rPr>
          <w:iCs/>
          <w:i/>
        </w:rPr>
        <w:t xml:space="preserve">Rapport annuel 2023</w:t>
      </w:r>
      <w:r>
        <w:t xml:space="preserve"> </w:t>
      </w:r>
      <w:r>
        <w:t xml:space="preserve">(SIG, compte de résultat, bilan, indicateurs commerciaux et techniques). https://www.senelec.sn/media/rapports/pdf/rapport-annuel-senelec-2023-vf-ok1745314522.pdf (téléchargé le 18/10/2026).</w:t>
      </w:r>
      <w:r>
        <w:t xml:space="preserve"> </w:t>
      </w:r>
      <w:r>
        <w:t xml:space="preserve">[1b] SENELEC,</w:t>
      </w:r>
      <w:r>
        <w:t xml:space="preserve"> </w:t>
      </w:r>
      <w:r>
        <w:rPr>
          <w:iCs/>
          <w:i/>
        </w:rPr>
        <w:t xml:space="preserve">Rapport annuel 2024</w:t>
      </w:r>
      <w:r>
        <w:t xml:space="preserve">, https://www.senelec.sn/assets/uploads/media-uploader/rapport-annuel-senelec-20241760024319.pdf. Lien en erreur 404 le 18/10/2026 ; seul l’extrait indexé (rendement de 81,18 %) a été lu.</w:t>
      </w:r>
      <w:r>
        <w:t xml:space="preserve"> </w:t>
      </w:r>
      <w:r>
        <w:t xml:space="preserve">[2] Banque mondiale,</w:t>
      </w:r>
      <w:r>
        <w:t xml:space="preserve"> </w:t>
      </w:r>
      <w:r>
        <w:rPr>
          <w:iCs/>
          <w:i/>
        </w:rPr>
        <w:t xml:space="preserve">Project Paper — Second Additional Financing to the Senegal Energy Access Scale Up Project (P176620)</w:t>
      </w:r>
      <w:r>
        <w:t xml:space="preserve">, Report No. PPIAF000297, 22/06/2026. https://documents1.worldbank.org/curated/en/099063026103535217/pdf/BOSIB-7104153a-1167-49a2-885f-9f0e4929a169.pdf</w:t>
      </w:r>
      <w:r>
        <w:t xml:space="preserve"> </w:t>
      </w:r>
      <w:r>
        <w:t xml:space="preserve">[3] Banque mondiale,</w:t>
      </w:r>
      <w:r>
        <w:t xml:space="preserve"> </w:t>
      </w:r>
      <w:r>
        <w:rPr>
          <w:iCs/>
          <w:i/>
        </w:rPr>
        <w:t xml:space="preserve">Project Paper — Additional Financing PADAES</w:t>
      </w:r>
      <w:r>
        <w:t xml:space="preserve">, Report No. PPIAF000208, 27/06/2025. https://documents1.worldbank.org/curated/en/099063025155534535/pdf/BOSIB-0b188de3-4ecc-4e6f-a4f9-b91fd2e1a584.pdf</w:t>
      </w:r>
      <w:r>
        <w:t xml:space="preserve"> </w:t>
      </w:r>
      <w:r>
        <w:t xml:space="preserve">[4] Le Soleil, « Compensation tarifaire : plus de 193,196 milliards de FCFA dus à Senelec et aux concessionnaires d’électrification rurale », déc. 2025 (cite une décision de la CRSE). https://lesoleil.sn/actualites/economie/compensation-tarifaire-plus-de-193196-milliards-de-fcfa-dus-a-senelec-et-aux-concessionnaires-delectrification-rurale/ ; reprise sur https://fr.allafrica.com/stories/202512020172.html</w:t>
      </w:r>
      <w:r>
        <w:t xml:space="preserve"> </w:t>
      </w:r>
      <w:r>
        <w:t xml:space="preserve">[5] Sud Quotidien / AllAfrica, 20/10/2025. https://fr.allafrica.com/stories/202510200557.html</w:t>
      </w:r>
      <w:r>
        <w:t xml:space="preserve"> </w:t>
      </w:r>
      <w:r>
        <w:t xml:space="preserve">[6] Senego, « SENELEC : une ardoise totale de plus de 600 milliards FCFA pèse sur sa trésorerie », 2025. https://senego.com/senelec-une-ardoise-totale-de-plus-de-600-milliards-fcfa-pese-sur-sa-tresorerie_2007883.html (contenu partiel).</w:t>
      </w:r>
      <w:r>
        <w:t xml:space="preserve"> </w:t>
      </w:r>
      <w:r>
        <w:t xml:space="preserve">[7] ARCOP,</w:t>
      </w:r>
      <w:r>
        <w:t xml:space="preserve"> </w:t>
      </w:r>
      <w:r>
        <w:rPr>
          <w:iCs/>
          <w:i/>
        </w:rPr>
        <w:t xml:space="preserve">Revue indépendante de la passation des marchés de la Senelec, gestion 2023</w:t>
      </w:r>
      <w:r>
        <w:t xml:space="preserve">. https://www.vie-publique.sn/documents/8793/revue-independante-passation-marches-senelec-gestion-2023-arcop</w:t>
      </w:r>
      <w:r>
        <w:t xml:space="preserve"> </w:t>
      </w:r>
      <w:r>
        <w:t xml:space="preserve">[8] Capmad, « Sénégal : le gouvernement reconnaît 1 956 milliards FCFA d’arriérés… », 09/2026. https://www.capmad.com/article/senegal-le-gouvernement-reconnait-1-956-milliards-fcfa-darrieres-dus-aux-entreprises-et-promet-un-apurement-prioritaire</w:t>
      </w:r>
      <w:r>
        <w:t xml:space="preserve"> </w:t>
      </w:r>
      <w:r>
        <w:t xml:space="preserve">[9] FMI, communiqué de presse n° 26/282, « IMF Reaches Staff-Level Agreement on an ECF Arrangement with Senegal », 01/09/2026. https://www.imf.org/en/news/articles/2026/09/01/pr26282-senegal-imf-reaches-sla-ecf-arrangement</w:t>
      </w:r>
      <w:r>
        <w:t xml:space="preserve"> </w:t>
      </w:r>
      <w:r>
        <w:t xml:space="preserve">[10] Banque mondiale, API Projects (search.worldbank.org/api/v3/projects), fiches P176620, P511965, P515030, P510613, P506839, P167569, P516520, consultées le 18/10/2026.</w:t>
      </w:r>
      <w:r>
        <w:t xml:space="preserve"> </w:t>
      </w:r>
      <w:r>
        <w:t xml:space="preserve">[11] BAD, données IATI publiées par la BAD (XM-DAC-46002), via d-portal.org, consultées le 18/10/2026 (activités 46002-P-SN-FA0-005, -FZ0-004, -F00-009).</w:t>
      </w:r>
    </w:p>
    <w:p>
      <w:r>
        <w:br w:type="page"/>
      </w:r>
    </w:p>
    <w:bookmarkEnd w:id="321"/>
    <w:bookmarkEnd w:id="322"/>
    <w:bookmarkStart w:id="332" w:name="X04f413faa145831df93b87958cc7b3f3e2fd0cb"/>
    <w:p>
      <w:pPr>
        <w:pStyle w:val="Heading2"/>
      </w:pPr>
      <w:r>
        <w:t xml:space="preserve">Diagnostic opérateur — EDSA (distribution) et EGTC (production-transport) (Sierra Leone)</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../phase1/fiches/SLE_sierra-leone.md.</w:t>
      </w:r>
    </w:p>
    <w:bookmarkStart w:id="323" w:name="identité-28"/>
    <w:p>
      <w:pPr>
        <w:pStyle w:val="Heading3"/>
      </w:pPr>
      <w:r>
        <w:t xml:space="preserve">0. Identité</w:t>
      </w:r>
    </w:p>
    <w:p>
      <w:pPr>
        <w:numPr>
          <w:ilvl w:val="0"/>
          <w:numId w:val="1174"/>
        </w:numPr>
        <w:pStyle w:val="Compact"/>
      </w:pPr>
      <w:r>
        <w:t xml:space="preserve">Opérateurs : Electricity Distribution and Supply Authority (EDSA, distribution et vente) et Electricity Generation and Transmission Company (EGTC, production publique dont Bumbuna, transport), issues du dégroupage de la NPA ; IPP thermiques (dont centrale flottante) et importations CLSG (Côte d’Ivoire, production CIE) [1] (pacte) ; [3] [V].</w:t>
      </w:r>
    </w:p>
    <w:p>
      <w:pPr>
        <w:numPr>
          <w:ilvl w:val="0"/>
          <w:numId w:val="1174"/>
        </w:numPr>
        <w:pStyle w:val="Compact"/>
      </w:pPr>
      <w:r>
        <w:t xml:space="preserve">Statut / tutelle : entités publiques sous Ministry of Energy ; la séparation des actifs EGTC/EDSA n’est pas achevée (registre d’actifs = déclencheur de la DPF 2 BM) [3] [V].</w:t>
      </w:r>
    </w:p>
    <w:p>
      <w:pPr>
        <w:numPr>
          <w:ilvl w:val="0"/>
          <w:numId w:val="1174"/>
        </w:numPr>
        <w:pStyle w:val="Compact"/>
      </w:pPr>
      <w:r>
        <w:t xml:space="preserve">Régulateur : Electricity and Water Regulatory Commission (EWRC) ; projet de loi EWRC soumis au Parlement (action préalable DPF 2024) pour couvrir opérateurs publics et privés [3] [V].</w:t>
      </w:r>
    </w:p>
    <w:p>
      <w:pPr>
        <w:numPr>
          <w:ilvl w:val="0"/>
          <w:numId w:val="1174"/>
        </w:numPr>
        <w:pStyle w:val="Compact"/>
      </w:pPr>
      <w:r>
        <w:t xml:space="preserve">Historique : contrat de gestion (management contract) financé par ESURP, terminé en mars 2020 ; supervision jugée insatisfaisante [4] [V].</w:t>
      </w:r>
    </w:p>
    <w:p>
      <w:pPr>
        <w:numPr>
          <w:ilvl w:val="0"/>
          <w:numId w:val="1174"/>
        </w:numPr>
        <w:pStyle w:val="Compact"/>
      </w:pPr>
      <w:r>
        <w:t xml:space="preserve">Dernier exercice publié : [?] — le gouvernement s’est engagé auprès du FMI à publier les états financiers audités 2024 d’EDSA et un état de ses dettes envers les IPP à fin 2025</w:t>
      </w:r>
      <w:r>
        <w:t xml:space="preserve"> </w:t>
      </w:r>
      <w:r>
        <w:rPr>
          <w:bCs/>
          <w:b/>
        </w:rPr>
        <w:t xml:space="preserve">d’ici juin 2026</w:t>
      </w:r>
      <w:r>
        <w:t xml:space="preserve"> </w:t>
      </w:r>
      <w:r>
        <w:t xml:space="preserve">[2] [V] ; publication effective non vérifiée.</w:t>
      </w:r>
    </w:p>
    <w:bookmarkEnd w:id="323"/>
    <w:bookmarkStart w:id="324" w:name="situation-financière-27"/>
    <w:p>
      <w:pPr>
        <w:pStyle w:val="Heading3"/>
      </w:pPr>
      <w:r>
        <w:t xml:space="preserve">1. Situation financière</w:t>
      </w:r>
    </w:p>
    <w:tbl>
      <w:tblPr>
        <w:tblStyle w:val="Table"/>
        <w:tblW w:type="dxa" w:w="14570"/>
        <w:tblLook w:firstRow="1" w:lastRow="0" w:firstColumn="0" w:lastColumn="0" w:noHBand="0" w:noVBand="0" w:val="0020"/>
        <w:jc w:val="start"/>
      </w:tblPr>
      <w:tblGrid>
        <w:gridCol w:w="3598"/>
        <w:gridCol w:w="7620"/>
        <w:gridCol w:w="1340"/>
        <w:gridCol w:w="1067"/>
        <w:gridCol w:w="943"/>
      </w:tblGrid>
      <w:tr>
        <w:trPr>
          <w:tblHeader w:val="true"/>
        </w:trPr>
        <w:tc>
          <w:tcPr>
            <w:tcW w:w="3598" w:type="dxa"/>
          </w:tcPr>
          <w:tcPr/>
          <w:p>
            <w:pPr>
              <w:pStyle w:val="Compact"/>
              <w:jc w:val="left"/>
            </w:pPr>
            <w:r>
              <w:t xml:space="preserve">Indicateur</w:t>
            </w:r>
          </w:p>
        </w:tc>
        <w:tc>
          <w:tcPr>
            <w:tcW w:w="7620" w:type="dxa"/>
          </w:tcPr>
          <w:tcPr/>
          <w:p>
            <w:pPr>
              <w:pStyle w:val="Compact"/>
              <w:jc w:val="left"/>
            </w:pPr>
            <w:r>
              <w:t xml:space="preserve">Valeur</w:t>
            </w:r>
          </w:p>
        </w:tc>
        <w:tc>
          <w:tcPr>
            <w:tcW w:w="1340" w:type="dxa"/>
          </w:tcPr>
          <w:tcPr/>
          <w:p>
            <w:pPr>
              <w:pStyle w:val="Compact"/>
              <w:jc w:val="left"/>
            </w:pPr>
            <w:r>
              <w:t xml:space="preserve">Année</w:t>
            </w:r>
          </w:p>
        </w:tc>
        <w:tc>
          <w:tcPr>
            <w:tcW w:w="1067" w:type="dxa"/>
          </w:tcPr>
          <w:tcPr/>
          <w:p>
            <w:pPr>
              <w:pStyle w:val="Compact"/>
              <w:jc w:val="left"/>
            </w:pPr>
            <w:r>
              <w:t xml:space="preserve">Statut</w:t>
            </w:r>
          </w:p>
        </w:tc>
        <w:tc>
          <w:tcPr>
            <w:tcW w:w="943" w:type="dxa"/>
          </w:tcPr>
          <w:tcPr/>
          <w:p>
            <w:pPr>
              <w:pStyle w:val="Compact"/>
              <w:jc w:val="left"/>
            </w:pPr>
            <w:r>
              <w:t xml:space="preserve">Source</w:t>
            </w:r>
          </w:p>
        </w:tc>
      </w:tr>
      <w:tr>
        <w:tc>
          <w:tcPr>
            <w:tcW w:w="3598" w:type="dxa"/>
          </w:tcPr>
          <w:tcPr/>
          <w:p>
            <w:pPr>
              <w:pStyle w:val="Compact"/>
              <w:jc w:val="left"/>
            </w:pPr>
            <w:r>
              <w:t xml:space="preserve">Recettes vs coût de l’énergie</w:t>
            </w:r>
          </w:p>
        </w:tc>
        <w:tc>
          <w:tcPr>
            <w:tcW w:w="7620" w:type="dxa"/>
          </w:tcPr>
          <w:tcPr/>
          <w:p>
            <w:pPr>
              <w:pStyle w:val="Compact"/>
              <w:jc w:val="left"/>
            </w:pPr>
            <w:r>
              <w:t xml:space="preserve">EDSA a encaissé 1,0 Md NLe (47,6 M USD) contre 2,1 Md NLe (98,2 M USD) dépensés pour l’électricité</w:t>
            </w:r>
          </w:p>
        </w:tc>
        <w:tc>
          <w:tcPr>
            <w:tcW w:w="1340" w:type="dxa"/>
          </w:tcPr>
          <w:tcPr/>
          <w:p>
            <w:pPr>
              <w:pStyle w:val="Compact"/>
              <w:jc w:val="left"/>
            </w:pPr>
            <w:r>
              <w:t xml:space="preserve">2023</w:t>
            </w:r>
          </w:p>
        </w:tc>
        <w:tc>
          <w:tcPr>
            <w:tcW w:w="1067" w:type="dxa"/>
          </w:tcPr>
          <w:tcPr/>
          <w:p>
            <w:pPr>
              <w:pStyle w:val="Compact"/>
              <w:jc w:val="left"/>
            </w:pPr>
            <w:r>
              <w:t xml:space="preserve">[V]</w:t>
            </w:r>
          </w:p>
        </w:tc>
        <w:tc>
          <w:tcPr>
            <w:tcW w:w="943" w:type="dxa"/>
          </w:tcPr>
          <w:tcPr/>
          <w:p>
            <w:pPr>
              <w:pStyle w:val="Compact"/>
              <w:jc w:val="left"/>
            </w:pPr>
            <w:r>
              <w:t xml:space="preserve">[3]</w:t>
            </w:r>
          </w:p>
        </w:tc>
      </w:tr>
      <w:tr>
        <w:tc>
          <w:tcPr>
            <w:tcW w:w="3598" w:type="dxa"/>
          </w:tcPr>
          <w:tcPr/>
          <w:p>
            <w:pPr>
              <w:pStyle w:val="Compact"/>
              <w:jc w:val="left"/>
            </w:pPr>
            <w:r>
              <w:t xml:space="preserve">Résultat</w:t>
            </w:r>
          </w:p>
        </w:tc>
        <w:tc>
          <w:tcPr>
            <w:tcW w:w="7620" w:type="dxa"/>
          </w:tcPr>
          <w:tcPr/>
          <w:p>
            <w:pPr>
              <w:pStyle w:val="Compact"/>
              <w:jc w:val="left"/>
            </w:pPr>
            <w:r>
              <w:t xml:space="preserve">déficitaire chaque année depuis 2019</w:t>
            </w:r>
          </w:p>
        </w:tc>
        <w:tc>
          <w:tcPr>
            <w:tcW w:w="1340" w:type="dxa"/>
          </w:tcPr>
          <w:tcPr/>
          <w:p>
            <w:pPr>
              <w:pStyle w:val="Compact"/>
              <w:jc w:val="left"/>
            </w:pPr>
            <w:r>
              <w:t xml:space="preserve">2019-2023</w:t>
            </w:r>
          </w:p>
        </w:tc>
        <w:tc>
          <w:tcPr>
            <w:tcW w:w="1067" w:type="dxa"/>
          </w:tcPr>
          <w:tcPr/>
          <w:p>
            <w:pPr>
              <w:pStyle w:val="Compact"/>
              <w:jc w:val="left"/>
            </w:pPr>
            <w:r>
              <w:t xml:space="preserve">[V]</w:t>
            </w:r>
          </w:p>
        </w:tc>
        <w:tc>
          <w:tcPr>
            <w:tcW w:w="943" w:type="dxa"/>
          </w:tcPr>
          <w:tcPr/>
          <w:p>
            <w:pPr>
              <w:pStyle w:val="Compact"/>
              <w:jc w:val="left"/>
            </w:pPr>
            <w:r>
              <w:t xml:space="preserve">[3]</w:t>
            </w:r>
          </w:p>
        </w:tc>
      </w:tr>
      <w:tr>
        <w:tc>
          <w:tcPr>
            <w:tcW w:w="3598" w:type="dxa"/>
          </w:tcPr>
          <w:tcPr/>
          <w:p>
            <w:pPr>
              <w:pStyle w:val="Compact"/>
              <w:jc w:val="left"/>
            </w:pPr>
            <w:r>
              <w:t xml:space="preserve">Subventions de l’État</w:t>
            </w:r>
          </w:p>
        </w:tc>
        <w:tc>
          <w:tcPr>
            <w:tcW w:w="7620" w:type="dxa"/>
          </w:tcPr>
          <w:tcPr/>
          <w:p>
            <w:pPr>
              <w:pStyle w:val="Compact"/>
              <w:jc w:val="left"/>
            </w:pPr>
            <w:r>
              <w:t xml:space="preserve">&gt; 130 M USD cumulés 2019-2023 ; projection 61,3 M USD (1 % du PIB) en 2024</w:t>
            </w:r>
          </w:p>
        </w:tc>
        <w:tc>
          <w:tcPr>
            <w:tcW w:w="1340" w:type="dxa"/>
          </w:tcPr>
          <w:tcPr/>
          <w:p>
            <w:pPr>
              <w:pStyle w:val="Compact"/>
              <w:jc w:val="left"/>
            </w:pPr>
            <w:r>
              <w:t xml:space="preserve">2019-2024</w:t>
            </w:r>
          </w:p>
        </w:tc>
        <w:tc>
          <w:tcPr>
            <w:tcW w:w="1067" w:type="dxa"/>
          </w:tcPr>
          <w:tcPr/>
          <w:p>
            <w:pPr>
              <w:pStyle w:val="Compact"/>
              <w:jc w:val="left"/>
            </w:pPr>
            <w:r>
              <w:t xml:space="preserve">[V]</w:t>
            </w:r>
          </w:p>
        </w:tc>
        <w:tc>
          <w:tcPr>
            <w:tcW w:w="943" w:type="dxa"/>
          </w:tcPr>
          <w:tcPr/>
          <w:p>
            <w:pPr>
              <w:pStyle w:val="Compact"/>
              <w:jc w:val="left"/>
            </w:pPr>
            <w:r>
              <w:t xml:space="preserve">[3]</w:t>
            </w:r>
          </w:p>
        </w:tc>
      </w:tr>
      <w:tr>
        <w:tc>
          <w:tcPr>
            <w:tcW w:w="3598" w:type="dxa"/>
          </w:tcPr>
          <w:tcPr/>
          <w:p>
            <w:pPr>
              <w:pStyle w:val="Compact"/>
              <w:jc w:val="left"/>
            </w:pPr>
            <w:r>
              <w:t xml:space="preserve">Transferts budgétaires aux IPP (pour EDSA)</w:t>
            </w:r>
          </w:p>
        </w:tc>
        <w:tc>
          <w:tcPr>
            <w:tcW w:w="7620" w:type="dxa"/>
          </w:tcPr>
          <w:tcPr/>
          <w:p>
            <w:pPr>
              <w:pStyle w:val="Compact"/>
              <w:jc w:val="left"/>
            </w:pPr>
            <w:r>
              <w:t xml:space="preserve">1 112 M NLe (0,8 % PIB) en 2024 ; 443 M NLe (0,3 %) en 2025 (prél.) ; 1 432 M NLe (0,8 %) projetés en 2026 ; 62,5 M USD en 2026 → 20 M USD en 2030 ; dépassement de +42,5 M USD attendu en 2026</w:t>
            </w:r>
          </w:p>
        </w:tc>
        <w:tc>
          <w:tcPr>
            <w:tcW w:w="1340" w:type="dxa"/>
          </w:tcPr>
          <w:tcPr/>
          <w:p>
            <w:pPr>
              <w:pStyle w:val="Compact"/>
              <w:jc w:val="left"/>
            </w:pPr>
            <w:r>
              <w:t xml:space="preserve">2024-2030</w:t>
            </w:r>
          </w:p>
        </w:tc>
        <w:tc>
          <w:tcPr>
            <w:tcW w:w="1067" w:type="dxa"/>
          </w:tcPr>
          <w:tcPr/>
          <w:p>
            <w:pPr>
              <w:pStyle w:val="Compact"/>
              <w:jc w:val="left"/>
            </w:pPr>
            <w:r>
              <w:t xml:space="preserve">[V]</w:t>
            </w:r>
          </w:p>
        </w:tc>
        <w:tc>
          <w:tcPr>
            <w:tcW w:w="943" w:type="dxa"/>
          </w:tcPr>
          <w:tcPr/>
          <w:p>
            <w:pPr>
              <w:pStyle w:val="Compact"/>
              <w:jc w:val="left"/>
            </w:pPr>
            <w:r>
              <w:t xml:space="preserve">[2]</w:t>
            </w:r>
          </w:p>
        </w:tc>
      </w:tr>
      <w:tr>
        <w:tc>
          <w:tcPr>
            <w:tcW w:w="3598" w:type="dxa"/>
          </w:tcPr>
          <w:tcPr/>
          <w:p>
            <w:pPr>
              <w:pStyle w:val="Compact"/>
              <w:jc w:val="left"/>
            </w:pPr>
            <w:r>
              <w:t xml:space="preserve">Arriérés d’EDSA envers les IPP</w:t>
            </w:r>
          </w:p>
        </w:tc>
        <w:tc>
          <w:tcPr>
            <w:tcW w:w="7620" w:type="dxa"/>
          </w:tcPr>
          <w:tcPr/>
          <w:p>
            <w:pPr>
              <w:pStyle w:val="Compact"/>
              <w:jc w:val="left"/>
            </w:pPr>
            <w:r>
              <w:t xml:space="preserve">75,7 M USD (août 2024) ; 68,5 M USD (oct. 2024, base DPF ; cible 37,5 M USD déc. 2027) ;</w:t>
            </w:r>
            <w:r>
              <w:t xml:space="preserve"> </w:t>
            </w:r>
            <w:r>
              <w:rPr>
                <w:bCs/>
                <w:b/>
              </w:rPr>
              <w:t xml:space="preserve">113 M USD (fin févr. 2026)</w:t>
            </w:r>
            <w:r>
              <w:t xml:space="preserve"> </w:t>
            </w:r>
            <w:r>
              <w:t xml:space="preserve">suivis par l’unité des risques budgétaires du MoF</w:t>
            </w:r>
          </w:p>
        </w:tc>
        <w:tc>
          <w:tcPr>
            <w:tcW w:w="1340" w:type="dxa"/>
          </w:tcPr>
          <w:tcPr/>
          <w:p>
            <w:pPr>
              <w:pStyle w:val="Compact"/>
              <w:jc w:val="left"/>
            </w:pPr>
            <w:r>
              <w:t xml:space="preserve">2024-2026</w:t>
            </w:r>
          </w:p>
        </w:tc>
        <w:tc>
          <w:tcPr>
            <w:tcW w:w="1067" w:type="dxa"/>
          </w:tcPr>
          <w:tcPr/>
          <w:p>
            <w:pPr>
              <w:pStyle w:val="Compact"/>
              <w:jc w:val="left"/>
            </w:pPr>
            <w:r>
              <w:t xml:space="preserve">[V]</w:t>
            </w:r>
          </w:p>
        </w:tc>
        <w:tc>
          <w:tcPr>
            <w:tcW w:w="943" w:type="dxa"/>
          </w:tcPr>
          <w:tcPr/>
          <w:p>
            <w:pPr>
              <w:pStyle w:val="Compact"/>
              <w:jc w:val="left"/>
            </w:pPr>
            <w:r>
              <w:t xml:space="preserve">[3][2]</w:t>
            </w:r>
          </w:p>
        </w:tc>
      </w:tr>
      <w:tr>
        <w:tc>
          <w:tcPr>
            <w:tcW w:w="3598" w:type="dxa"/>
          </w:tcPr>
          <w:tcPr/>
          <w:p>
            <w:pPr>
              <w:pStyle w:val="Compact"/>
              <w:jc w:val="left"/>
            </w:pPr>
            <w:r>
              <w:t xml:space="preserve">Écarts de facturation IPP</w:t>
            </w:r>
          </w:p>
        </w:tc>
        <w:tc>
          <w:tcPr>
            <w:tcW w:w="7620" w:type="dxa"/>
          </w:tcPr>
          <w:tcPr/>
          <w:p>
            <w:pPr>
              <w:pStyle w:val="Compact"/>
              <w:jc w:val="left"/>
            </w:pPr>
            <w:r>
              <w:t xml:space="preserve">8,6 M USD de discordances factures/paiements IPP révélées par un audit</w:t>
            </w:r>
          </w:p>
        </w:tc>
        <w:tc>
          <w:tcPr>
            <w:tcW w:w="1340" w:type="dxa"/>
          </w:tcPr>
          <w:tcPr/>
          <w:p>
            <w:pPr>
              <w:pStyle w:val="Compact"/>
              <w:jc w:val="left"/>
            </w:pPr>
            <w:r>
              <w:t xml:space="preserve">2023</w:t>
            </w:r>
          </w:p>
        </w:tc>
        <w:tc>
          <w:tcPr>
            <w:tcW w:w="1067" w:type="dxa"/>
          </w:tcPr>
          <w:tcPr/>
          <w:p>
            <w:pPr>
              <w:pStyle w:val="Compact"/>
              <w:jc w:val="left"/>
            </w:pPr>
            <w:r>
              <w:t xml:space="preserve">[V]</w:t>
            </w:r>
          </w:p>
        </w:tc>
        <w:tc>
          <w:tcPr>
            <w:tcW w:w="943" w:type="dxa"/>
          </w:tcPr>
          <w:tcPr/>
          <w:p>
            <w:pPr>
              <w:pStyle w:val="Compact"/>
              <w:jc w:val="left"/>
            </w:pPr>
            <w:r>
              <w:t xml:space="preserve">[3]</w:t>
            </w:r>
          </w:p>
        </w:tc>
      </w:tr>
      <w:tr>
        <w:tc>
          <w:tcPr>
            <w:tcW w:w="3598" w:type="dxa"/>
          </w:tcPr>
          <w:tcPr/>
          <w:p>
            <w:pPr>
              <w:pStyle w:val="Compact"/>
              <w:jc w:val="left"/>
            </w:pPr>
            <w:r>
              <w:t xml:space="preserve">Comptes bancaires</w:t>
            </w:r>
          </w:p>
        </w:tc>
        <w:tc>
          <w:tcPr>
            <w:tcW w:w="7620" w:type="dxa"/>
          </w:tcPr>
          <w:tcPr/>
          <w:p>
            <w:pPr>
              <w:pStyle w:val="Compact"/>
              <w:jc w:val="left"/>
            </w:pPr>
            <w:r>
              <w:t xml:space="preserve">7 comptes de recettes et 4 comptes d’exploitation ; compte unique de recettes approuvé par le Cabinet (action préalable DPF)</w:t>
            </w:r>
          </w:p>
        </w:tc>
        <w:tc>
          <w:tcPr>
            <w:tcW w:w="1340" w:type="dxa"/>
          </w:tcPr>
          <w:tcPr/>
          <w:p>
            <w:pPr>
              <w:pStyle w:val="Compact"/>
              <w:jc w:val="left"/>
            </w:pPr>
            <w:r>
              <w:t xml:space="preserve">2024</w:t>
            </w:r>
          </w:p>
        </w:tc>
        <w:tc>
          <w:tcPr>
            <w:tcW w:w="1067" w:type="dxa"/>
          </w:tcPr>
          <w:tcPr/>
          <w:p>
            <w:pPr>
              <w:pStyle w:val="Compact"/>
              <w:jc w:val="left"/>
            </w:pPr>
            <w:r>
              <w:t xml:space="preserve">[V]</w:t>
            </w:r>
          </w:p>
        </w:tc>
        <w:tc>
          <w:tcPr>
            <w:tcW w:w="943" w:type="dxa"/>
          </w:tcPr>
          <w:tcPr/>
          <w:p>
            <w:pPr>
              <w:pStyle w:val="Compact"/>
              <w:jc w:val="left"/>
            </w:pPr>
            <w:r>
              <w:t xml:space="preserve">[3]</w:t>
            </w:r>
          </w:p>
        </w:tc>
      </w:tr>
      <w:tr>
        <w:tc>
          <w:tcPr>
            <w:tcW w:w="3598" w:type="dxa"/>
          </w:tcPr>
          <w:tcPr/>
          <w:p>
            <w:pPr>
              <w:pStyle w:val="Compact"/>
              <w:jc w:val="left"/>
            </w:pPr>
            <w:r>
              <w:t xml:space="preserve">Taux de recouvrement</w:t>
            </w:r>
          </w:p>
        </w:tc>
        <w:tc>
          <w:tcPr>
            <w:tcW w:w="7620" w:type="dxa"/>
          </w:tcPr>
          <w:tcPr/>
          <w:p>
            <w:pPr>
              <w:pStyle w:val="Compact"/>
              <w:jc w:val="left"/>
            </w:pPr>
            <w:r>
              <w:t xml:space="preserve">ratio 0,57 (post-payé, 2024, pacte)</w:t>
            </w:r>
          </w:p>
        </w:tc>
        <w:tc>
          <w:tcPr>
            <w:tcW w:w="1340" w:type="dxa"/>
          </w:tcPr>
          <w:tcPr/>
          <w:p>
            <w:pPr>
              <w:pStyle w:val="Compact"/>
              <w:jc w:val="left"/>
            </w:pPr>
            <w:r>
              <w:t xml:space="preserve">2024</w:t>
            </w:r>
          </w:p>
        </w:tc>
        <w:tc>
          <w:tcPr>
            <w:tcW w:w="1067" w:type="dxa"/>
          </w:tcPr>
          <w:tcPr/>
          <w:p>
            <w:pPr>
              <w:pStyle w:val="Compact"/>
              <w:jc w:val="left"/>
            </w:pPr>
            <w:r>
              <w:t xml:space="preserve">(pacte)</w:t>
            </w:r>
          </w:p>
        </w:tc>
        <w:tc>
          <w:tcPr>
            <w:tcW w:w="943" w:type="dxa"/>
          </w:tcPr>
          <w:tcPr/>
          <w:p>
            <w:pPr>
              <w:pStyle w:val="Compact"/>
              <w:jc w:val="left"/>
            </w:pPr>
            <w:r>
              <w:t xml:space="preserve">[1]</w:t>
            </w:r>
          </w:p>
        </w:tc>
      </w:tr>
      <w:tr>
        <w:tc>
          <w:tcPr>
            <w:tcW w:w="3598" w:type="dxa"/>
          </w:tcPr>
          <w:tcPr/>
          <w:p>
            <w:pPr>
              <w:pStyle w:val="Compact"/>
              <w:jc w:val="left"/>
            </w:pPr>
            <w:r>
              <w:t xml:space="preserve">Recette moyenne vs coût par kWh</w:t>
            </w:r>
          </w:p>
        </w:tc>
        <w:tc>
          <w:tcPr>
            <w:tcW w:w="7620" w:type="dxa"/>
          </w:tcPr>
          <w:tcPr/>
          <w:p>
            <w:pPr>
              <w:pStyle w:val="Compact"/>
              <w:jc w:val="left"/>
            </w:pPr>
            <w:r>
              <w:t xml:space="preserve">tarif moyen 0,21 USD/kWh ; coût de fourniture ~0,28 USD/kWh (pacte)</w:t>
            </w:r>
          </w:p>
        </w:tc>
        <w:tc>
          <w:tcPr>
            <w:tcW w:w="1340" w:type="dxa"/>
          </w:tcPr>
          <w:tcPr/>
          <w:p>
            <w:pPr>
              <w:pStyle w:val="Compact"/>
              <w:jc w:val="left"/>
            </w:pPr>
            <w:r>
              <w:t xml:space="preserve">2024</w:t>
            </w:r>
          </w:p>
        </w:tc>
        <w:tc>
          <w:tcPr>
            <w:tcW w:w="1067" w:type="dxa"/>
          </w:tcPr>
          <w:tcPr/>
          <w:p>
            <w:pPr>
              <w:pStyle w:val="Compact"/>
              <w:jc w:val="left"/>
            </w:pPr>
            <w:r>
              <w:t xml:space="preserve">(pacte)</w:t>
            </w:r>
          </w:p>
        </w:tc>
        <w:tc>
          <w:tcPr>
            <w:tcW w:w="943" w:type="dxa"/>
          </w:tcPr>
          <w:tcPr/>
          <w:p>
            <w:pPr>
              <w:pStyle w:val="Compact"/>
              <w:jc w:val="left"/>
            </w:pPr>
            <w:r>
              <w:t xml:space="preserve">[1]</w:t>
            </w:r>
          </w:p>
        </w:tc>
      </w:tr>
      <w:tr>
        <w:tc>
          <w:tcPr>
            <w:tcW w:w="3598" w:type="dxa"/>
          </w:tcPr>
          <w:tcPr/>
          <w:p>
            <w:pPr>
              <w:pStyle w:val="Compact"/>
              <w:jc w:val="left"/>
            </w:pPr>
            <w:r>
              <w:t xml:space="preserve">Notation de crédit</w:t>
            </w:r>
          </w:p>
        </w:tc>
        <w:tc>
          <w:tcPr>
            <w:tcW w:w="7620" w:type="dxa"/>
          </w:tcPr>
          <w:tcPr/>
          <w:p>
            <w:pPr>
              <w:pStyle w:val="Compact"/>
              <w:jc w:val="left"/>
            </w:pPr>
            <w:r>
              <w:t xml:space="preserve">[?] non trouvé</w:t>
            </w:r>
          </w:p>
        </w:tc>
        <w:tc>
          <w:tcPr>
            <w:tcW w:w="1340" w:type="dxa"/>
          </w:tcPr>
          <w:tcPr/>
          <w:p>
            <w:pPr>
              <w:pStyle w:val="Compact"/>
              <w:jc w:val="left"/>
            </w:pPr>
            <w:r>
              <w:t xml:space="preserve">—</w:t>
            </w:r>
          </w:p>
        </w:tc>
        <w:tc>
          <w:tcPr>
            <w:tcW w:w="1067" w:type="dxa"/>
          </w:tcPr>
          <w:tcPr/>
          <w:p>
            <w:pPr>
              <w:pStyle w:val="Compact"/>
              <w:jc w:val="left"/>
            </w:pPr>
            <w:r>
              <w:t xml:space="preserve">[?]</w:t>
            </w:r>
          </w:p>
        </w:tc>
        <w:tc>
          <w:tcPr>
            <w:tcW w:w="943" w:type="dxa"/>
          </w:tcPr>
          <w:tcPr/>
          <w:p>
            <w:pPr>
              <w:pStyle w:val="Compact"/>
              <w:jc w:val="left"/>
            </w:pPr>
            <w:r>
              <w:t xml:space="preserve">—</w:t>
            </w:r>
          </w:p>
        </w:tc>
      </w:tr>
    </w:tbl>
    <w:bookmarkEnd w:id="324"/>
    <w:bookmarkStart w:id="325" w:name="situation-technique-28"/>
    <w:p>
      <w:pPr>
        <w:pStyle w:val="Heading3"/>
      </w:pPr>
      <w:r>
        <w:t xml:space="preserve">2. Situation technique</w:t>
      </w:r>
    </w:p>
    <w:tbl>
      <w:tblPr>
        <w:tblStyle w:val="Table"/>
        <w:tblW w:type="dxa" w:w="14570"/>
        <w:tblLook w:firstRow="1" w:lastRow="0" w:firstColumn="0" w:lastColumn="0" w:noHBand="0" w:noVBand="0" w:val="0020"/>
        <w:jc w:val="start"/>
      </w:tblPr>
      <w:tblGrid>
        <w:gridCol w:w="3481"/>
        <w:gridCol w:w="7272"/>
        <w:gridCol w:w="1180"/>
        <w:gridCol w:w="1613"/>
        <w:gridCol w:w="1022"/>
      </w:tblGrid>
      <w:tr>
        <w:trPr>
          <w:tblHeader w:val="true"/>
        </w:trPr>
        <w:tc>
          <w:tcPr>
            <w:tcW w:w="3481" w:type="dxa"/>
          </w:tcPr>
          <w:tcPr/>
          <w:p>
            <w:pPr>
              <w:pStyle w:val="Compact"/>
              <w:jc w:val="left"/>
            </w:pPr>
            <w:r>
              <w:t xml:space="preserve">Indicateur</w:t>
            </w:r>
          </w:p>
        </w:tc>
        <w:tc>
          <w:tcPr>
            <w:tcW w:w="7272" w:type="dxa"/>
          </w:tcPr>
          <w:tcPr/>
          <w:p>
            <w:pPr>
              <w:pStyle w:val="Compact"/>
              <w:jc w:val="left"/>
            </w:pPr>
            <w:r>
              <w:t xml:space="preserve">Valeur</w:t>
            </w:r>
          </w:p>
        </w:tc>
        <w:tc>
          <w:tcPr>
            <w:tcW w:w="1180" w:type="dxa"/>
          </w:tcPr>
          <w:tcPr/>
          <w:p>
            <w:pPr>
              <w:pStyle w:val="Compact"/>
              <w:jc w:val="left"/>
            </w:pPr>
            <w:r>
              <w:t xml:space="preserve">Année</w:t>
            </w:r>
          </w:p>
        </w:tc>
        <w:tc>
          <w:tcPr>
            <w:tcW w:w="1613" w:type="dxa"/>
          </w:tcPr>
          <w:tcPr/>
          <w:p>
            <w:pPr>
              <w:pStyle w:val="Compact"/>
              <w:jc w:val="left"/>
            </w:pPr>
            <w:r>
              <w:t xml:space="preserve">Statut</w:t>
            </w:r>
          </w:p>
        </w:tc>
        <w:tc>
          <w:tcPr>
            <w:tcW w:w="1022" w:type="dxa"/>
          </w:tcPr>
          <w:tcPr/>
          <w:p>
            <w:pPr>
              <w:pStyle w:val="Compact"/>
              <w:jc w:val="left"/>
            </w:pPr>
            <w:r>
              <w:t xml:space="preserve">Source</w:t>
            </w:r>
          </w:p>
        </w:tc>
      </w:tr>
      <w:tr>
        <w:tc>
          <w:tcPr>
            <w:tcW w:w="3481" w:type="dxa"/>
          </w:tcPr>
          <w:tcPr/>
          <w:p>
            <w:pPr>
              <w:pStyle w:val="Compact"/>
              <w:jc w:val="left"/>
            </w:pPr>
            <w:r>
              <w:t xml:space="preserve">Pertes techniques et commerciales d’EDSA</w:t>
            </w:r>
          </w:p>
        </w:tc>
        <w:tc>
          <w:tcPr>
            <w:tcW w:w="7272" w:type="dxa"/>
          </w:tcPr>
          <w:tcPr/>
          <w:p>
            <w:pPr>
              <w:pStyle w:val="Compact"/>
              <w:jc w:val="left"/>
            </w:pPr>
            <w:r>
              <w:t xml:space="preserve">62 % (fin 2023, base DPF ; cible 40 % fin 2027) ; « 60 % de l’approvisionnement » (déc. 2023)</w:t>
            </w:r>
          </w:p>
        </w:tc>
        <w:tc>
          <w:tcPr>
            <w:tcW w:w="1180" w:type="dxa"/>
          </w:tcPr>
          <w:tcPr/>
          <w:p>
            <w:pPr>
              <w:pStyle w:val="Compact"/>
              <w:jc w:val="left"/>
            </w:pPr>
            <w:r>
              <w:t xml:space="preserve">2023</w:t>
            </w:r>
          </w:p>
        </w:tc>
        <w:tc>
          <w:tcPr>
            <w:tcW w:w="1613" w:type="dxa"/>
          </w:tcPr>
          <w:tcPr/>
          <w:p>
            <w:pPr>
              <w:pStyle w:val="Compact"/>
              <w:jc w:val="left"/>
            </w:pPr>
            <w:r>
              <w:t xml:space="preserve">[V]</w:t>
            </w:r>
          </w:p>
        </w:tc>
        <w:tc>
          <w:tcPr>
            <w:tcW w:w="1022" w:type="dxa"/>
          </w:tcPr>
          <w:tcPr/>
          <w:p>
            <w:pPr>
              <w:pStyle w:val="Compact"/>
              <w:jc w:val="left"/>
            </w:pPr>
            <w:r>
              <w:t xml:space="preserve">[3]</w:t>
            </w:r>
          </w:p>
        </w:tc>
      </w:tr>
      <w:tr>
        <w:tc>
          <w:tcPr>
            <w:tcW w:w="3481" w:type="dxa"/>
          </w:tcPr>
          <w:tcPr/>
          <w:p>
            <w:pPr>
              <w:pStyle w:val="Compact"/>
              <w:jc w:val="left"/>
            </w:pPr>
            <w:r>
              <w:t xml:space="preserve">Pertes ATC&amp;C d’EDSA (indicateur ESURP)</w:t>
            </w:r>
          </w:p>
        </w:tc>
        <w:tc>
          <w:tcPr>
            <w:tcW w:w="7272" w:type="dxa"/>
          </w:tcPr>
          <w:tcPr/>
          <w:p>
            <w:pPr>
              <w:pStyle w:val="Compact"/>
              <w:jc w:val="left"/>
            </w:pPr>
            <w:r>
              <w:t xml:space="preserve">51 % (2016) ; 38 % (juin 2023) ; 43 % (nov. 2023) ; cible 30 % non atteinte à la clôture</w:t>
            </w:r>
          </w:p>
        </w:tc>
        <w:tc>
          <w:tcPr>
            <w:tcW w:w="1180" w:type="dxa"/>
          </w:tcPr>
          <w:tcPr/>
          <w:p>
            <w:pPr>
              <w:pStyle w:val="Compact"/>
              <w:jc w:val="left"/>
            </w:pPr>
            <w:r>
              <w:t xml:space="preserve">2016-2023</w:t>
            </w:r>
          </w:p>
        </w:tc>
        <w:tc>
          <w:tcPr>
            <w:tcW w:w="1613" w:type="dxa"/>
          </w:tcPr>
          <w:tcPr/>
          <w:p>
            <w:pPr>
              <w:pStyle w:val="Compact"/>
              <w:jc w:val="left"/>
            </w:pPr>
            <w:r>
              <w:t xml:space="preserve">[V]</w:t>
            </w:r>
          </w:p>
        </w:tc>
        <w:tc>
          <w:tcPr>
            <w:tcW w:w="1022" w:type="dxa"/>
          </w:tcPr>
          <w:tcPr/>
          <w:p>
            <w:pPr>
              <w:pStyle w:val="Compact"/>
              <w:jc w:val="left"/>
            </w:pPr>
            <w:r>
              <w:t xml:space="preserve">[4]</w:t>
            </w:r>
          </w:p>
        </w:tc>
      </w:tr>
      <w:tr>
        <w:tc>
          <w:tcPr>
            <w:tcW w:w="3481" w:type="dxa"/>
          </w:tcPr>
          <w:tcPr/>
          <w:p>
            <w:pPr>
              <w:pStyle w:val="Compact"/>
              <w:jc w:val="left"/>
            </w:pPr>
            <w:r>
              <w:t xml:space="preserve">Capacité</w:t>
            </w:r>
          </w:p>
        </w:tc>
        <w:tc>
          <w:tcPr>
            <w:tcW w:w="7272" w:type="dxa"/>
          </w:tcPr>
          <w:tcPr/>
          <w:p>
            <w:pPr>
              <w:pStyle w:val="Compact"/>
              <w:jc w:val="left"/>
            </w:pPr>
            <w:r>
              <w:t xml:space="preserve">~271 MW installés, ~140 MW disponibles (pacte)</w:t>
            </w:r>
          </w:p>
        </w:tc>
        <w:tc>
          <w:tcPr>
            <w:tcW w:w="1180" w:type="dxa"/>
          </w:tcPr>
          <w:tcPr/>
          <w:p>
            <w:pPr>
              <w:pStyle w:val="Compact"/>
              <w:jc w:val="left"/>
            </w:pPr>
            <w:r>
              <w:t xml:space="preserve">2025</w:t>
            </w:r>
          </w:p>
        </w:tc>
        <w:tc>
          <w:tcPr>
            <w:tcW w:w="1613" w:type="dxa"/>
          </w:tcPr>
          <w:tcPr/>
          <w:p>
            <w:pPr>
              <w:pStyle w:val="Compact"/>
              <w:jc w:val="left"/>
            </w:pPr>
            <w:r>
              <w:t xml:space="preserve">(pacte)</w:t>
            </w:r>
          </w:p>
        </w:tc>
        <w:tc>
          <w:tcPr>
            <w:tcW w:w="1022" w:type="dxa"/>
          </w:tcPr>
          <w:tcPr/>
          <w:p>
            <w:pPr>
              <w:pStyle w:val="Compact"/>
              <w:jc w:val="left"/>
            </w:pPr>
            <w:r>
              <w:t xml:space="preserve">[1]</w:t>
            </w:r>
          </w:p>
        </w:tc>
      </w:tr>
      <w:tr>
        <w:tc>
          <w:tcPr>
            <w:tcW w:w="3481" w:type="dxa"/>
          </w:tcPr>
          <w:tcPr/>
          <w:p>
            <w:pPr>
              <w:pStyle w:val="Compact"/>
              <w:jc w:val="left"/>
            </w:pPr>
            <w:r>
              <w:t xml:space="preserve">Mix</w:t>
            </w:r>
          </w:p>
        </w:tc>
        <w:tc>
          <w:tcPr>
            <w:tcW w:w="7272" w:type="dxa"/>
          </w:tcPr>
          <w:tcPr/>
          <w:p>
            <w:pPr>
              <w:pStyle w:val="Compact"/>
              <w:jc w:val="left"/>
            </w:pPr>
            <w:r>
              <w:t xml:space="preserve">« 90 % hydro » selon une annexe climat du FMI (à considérer avec prudence, saisonnalité de Bumbuna)</w:t>
            </w:r>
          </w:p>
        </w:tc>
        <w:tc>
          <w:tcPr>
            <w:tcW w:w="1180" w:type="dxa"/>
          </w:tcPr>
          <w:tcPr/>
          <w:p>
            <w:pPr>
              <w:pStyle w:val="Compact"/>
              <w:jc w:val="left"/>
            </w:pPr>
            <w:r>
              <w:t xml:space="preserve">—</w:t>
            </w:r>
          </w:p>
        </w:tc>
        <w:tc>
          <w:tcPr>
            <w:tcW w:w="1613" w:type="dxa"/>
          </w:tcPr>
          <w:tcPr/>
          <w:p>
            <w:pPr>
              <w:pStyle w:val="Compact"/>
              <w:jc w:val="left"/>
            </w:pPr>
            <w:r>
              <w:t xml:space="preserve">[V] (prudence)</w:t>
            </w:r>
          </w:p>
        </w:tc>
        <w:tc>
          <w:tcPr>
            <w:tcW w:w="1022" w:type="dxa"/>
          </w:tcPr>
          <w:tcPr/>
          <w:p>
            <w:pPr>
              <w:pStyle w:val="Compact"/>
              <w:jc w:val="left"/>
            </w:pPr>
            <w:r>
              <w:t xml:space="preserve">[2]</w:t>
            </w:r>
          </w:p>
        </w:tc>
      </w:tr>
      <w:tr>
        <w:tc>
          <w:tcPr>
            <w:tcW w:w="3481" w:type="dxa"/>
          </w:tcPr>
          <w:tcPr/>
          <w:p>
            <w:pPr>
              <w:pStyle w:val="Compact"/>
              <w:jc w:val="left"/>
            </w:pPr>
            <w:r>
              <w:t xml:space="preserve">Clients</w:t>
            </w:r>
          </w:p>
        </w:tc>
        <w:tc>
          <w:tcPr>
            <w:tcW w:w="7272" w:type="dxa"/>
          </w:tcPr>
          <w:tcPr/>
          <w:p>
            <w:pPr>
              <w:pStyle w:val="Compact"/>
              <w:jc w:val="left"/>
            </w:pPr>
            <w:r>
              <w:t xml:space="preserve">345 858 clients comptés (2025, pacte)</w:t>
            </w:r>
          </w:p>
        </w:tc>
        <w:tc>
          <w:tcPr>
            <w:tcW w:w="1180" w:type="dxa"/>
          </w:tcPr>
          <w:tcPr/>
          <w:p>
            <w:pPr>
              <w:pStyle w:val="Compact"/>
              <w:jc w:val="left"/>
            </w:pPr>
            <w:r>
              <w:t xml:space="preserve">2025</w:t>
            </w:r>
          </w:p>
        </w:tc>
        <w:tc>
          <w:tcPr>
            <w:tcW w:w="1613" w:type="dxa"/>
          </w:tcPr>
          <w:tcPr/>
          <w:p>
            <w:pPr>
              <w:pStyle w:val="Compact"/>
              <w:jc w:val="left"/>
            </w:pPr>
            <w:r>
              <w:t xml:space="preserve">(pacte)</w:t>
            </w:r>
          </w:p>
        </w:tc>
        <w:tc>
          <w:tcPr>
            <w:tcW w:w="1022" w:type="dxa"/>
          </w:tcPr>
          <w:tcPr/>
          <w:p>
            <w:pPr>
              <w:pStyle w:val="Compact"/>
              <w:jc w:val="left"/>
            </w:pPr>
            <w:r>
              <w:t xml:space="preserve">[1]</w:t>
            </w:r>
          </w:p>
        </w:tc>
      </w:tr>
      <w:tr>
        <w:tc>
          <w:tcPr>
            <w:tcW w:w="3481" w:type="dxa"/>
          </w:tcPr>
          <w:tcPr/>
          <w:p>
            <w:pPr>
              <w:pStyle w:val="Compact"/>
              <w:jc w:val="left"/>
            </w:pPr>
            <w:r>
              <w:t xml:space="preserve">SAIDI / SAIFI ; délestages</w:t>
            </w:r>
          </w:p>
        </w:tc>
        <w:tc>
          <w:tcPr>
            <w:tcW w:w="7272" w:type="dxa"/>
          </w:tcPr>
          <w:tcPr/>
          <w:p>
            <w:pPr>
              <w:pStyle w:val="Compact"/>
              <w:jc w:val="left"/>
            </w:pPr>
            <w:r>
              <w:t xml:space="preserve">[?] non trouvé</w:t>
            </w:r>
          </w:p>
        </w:tc>
        <w:tc>
          <w:tcPr>
            <w:tcW w:w="1180" w:type="dxa"/>
          </w:tcPr>
          <w:tcPr/>
          <w:p>
            <w:pPr>
              <w:pStyle w:val="Compact"/>
              <w:jc w:val="left"/>
            </w:pPr>
            <w:r>
              <w:t xml:space="preserve">—</w:t>
            </w:r>
          </w:p>
        </w:tc>
        <w:tc>
          <w:tcPr>
            <w:tcW w:w="1613" w:type="dxa"/>
          </w:tcPr>
          <w:tcPr/>
          <w:p>
            <w:pPr>
              <w:pStyle w:val="Compact"/>
              <w:jc w:val="left"/>
            </w:pPr>
            <w:r>
              <w:t xml:space="preserve">[?]</w:t>
            </w:r>
          </w:p>
        </w:tc>
        <w:tc>
          <w:tcPr>
            <w:tcW w:w="1022" w:type="dxa"/>
          </w:tcPr>
          <w:tcPr/>
          <w:p>
            <w:pPr>
              <w:pStyle w:val="Compact"/>
              <w:jc w:val="left"/>
            </w:pPr>
            <w:r>
              <w:t xml:space="preserve">—</w:t>
            </w:r>
          </w:p>
        </w:tc>
      </w:tr>
    </w:tbl>
    <w:bookmarkEnd w:id="325"/>
    <w:bookmarkStart w:id="326" w:name="situation-économique-et-gouvernance-28"/>
    <w:p>
      <w:pPr>
        <w:pStyle w:val="Heading3"/>
      </w:pPr>
      <w:r>
        <w:t xml:space="preserve">3. Situation économique et gouvernance</w:t>
      </w:r>
    </w:p>
    <w:p>
      <w:pPr>
        <w:numPr>
          <w:ilvl w:val="0"/>
          <w:numId w:val="1175"/>
        </w:numPr>
        <w:pStyle w:val="Compact"/>
      </w:pPr>
      <w:r>
        <w:t xml:space="preserve">PPA : IPP thermiques au diesel/HFO coûteux ; le FMI identifie les arriérés d’EDSA envers les IPP, les pertes techniques et le faible recouvrement comme « risques budgétaires substantiels » [2] [V]. Le MoF cessera de demander des devises à la BSL pour les transferts aux IPP [2] [V].</w:t>
      </w:r>
    </w:p>
    <w:p>
      <w:pPr>
        <w:numPr>
          <w:ilvl w:val="0"/>
          <w:numId w:val="1175"/>
        </w:numPr>
        <w:pStyle w:val="Compact"/>
      </w:pPr>
      <w:r>
        <w:t xml:space="preserve">Combustible / change : forte dépendance au diesel ; hausse des prix des carburants en 2026 (+28 % essence, +46 % diesel) [2] [V].</w:t>
      </w:r>
    </w:p>
    <w:p>
      <w:pPr>
        <w:numPr>
          <w:ilvl w:val="0"/>
          <w:numId w:val="1175"/>
        </w:numPr>
        <w:pStyle w:val="Compact"/>
      </w:pPr>
      <w:r>
        <w:t xml:space="preserve">Redressement / concession : concession privée d’exploitation-maintenance de la distribution ; le gouvernement annonce en avril 2026 un transfert de l’exploitation « d’ici fin 2026 », sans vente de l’actif [5] [S] ; le FMI fixe un nouveau repère structurel : opérationnalisation complète de la concession</w:t>
      </w:r>
      <w:r>
        <w:t xml:space="preserve"> </w:t>
      </w:r>
      <w:r>
        <w:rPr>
          <w:bCs/>
          <w:b/>
        </w:rPr>
        <w:t xml:space="preserve">fin mai 2027</w:t>
      </w:r>
      <w:r>
        <w:t xml:space="preserve"> </w:t>
      </w:r>
      <w:r>
        <w:t xml:space="preserve">[2] [V] ; la presse ougandaise rapporte des négociations finales avec Umeme pour une concession de 15 ans [6] [S, non vérifié — page inaccessible].</w:t>
      </w:r>
    </w:p>
    <w:p>
      <w:pPr>
        <w:numPr>
          <w:ilvl w:val="0"/>
          <w:numId w:val="1175"/>
        </w:numPr>
        <w:pStyle w:val="Compact"/>
      </w:pPr>
      <w:r>
        <w:t xml:space="preserve">Gouvernance : compte unique de recettes géré par un agent fiduciaire indépendant, audit trimestriel publié par l’EWRC (DPF) ; mécanisme de cascade de paiements (waterfall) = déclencheur DPF 2 ; tarif pluriannuel (MYTO) = déclencheur DPF 3 [3] [V]. Le compte unique est aussi une condition préalable du compact MCC [3] [V].</w:t>
      </w:r>
    </w:p>
    <w:bookmarkEnd w:id="326"/>
    <w:bookmarkStart w:id="327" w:name="X84a5e66abd1d9a0a5063cc1c9a39d75236b88d7"/>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082"/>
        <w:gridCol w:w="981"/>
        <w:gridCol w:w="2401"/>
        <w:gridCol w:w="924"/>
        <w:gridCol w:w="2541"/>
        <w:gridCol w:w="2179"/>
        <w:gridCol w:w="1625"/>
        <w:gridCol w:w="833"/>
      </w:tblGrid>
      <w:tr>
        <w:trPr>
          <w:tblHeader w:val="true"/>
        </w:trPr>
        <w:tc>
          <w:tcPr>
            <w:tcW w:w="3082" w:type="dxa"/>
          </w:tcPr>
          <w:tcPr/>
          <w:p>
            <w:pPr>
              <w:pStyle w:val="Compact"/>
              <w:jc w:val="left"/>
            </w:pPr>
            <w:r>
              <w:t xml:space="preserve">Programme / projet</w:t>
            </w:r>
          </w:p>
        </w:tc>
        <w:tc>
          <w:tcPr>
            <w:tcW w:w="981" w:type="dxa"/>
          </w:tcPr>
          <w:tcPr/>
          <w:p>
            <w:pPr>
              <w:pStyle w:val="Compact"/>
              <w:jc w:val="left"/>
            </w:pPr>
            <w:r>
              <w:t xml:space="preserve">Bailleur</w:t>
            </w:r>
          </w:p>
        </w:tc>
        <w:tc>
          <w:tcPr>
            <w:tcW w:w="2401" w:type="dxa"/>
          </w:tcPr>
          <w:tcPr/>
          <w:p>
            <w:pPr>
              <w:pStyle w:val="Compact"/>
              <w:jc w:val="left"/>
            </w:pPr>
            <w:r>
              <w:t xml:space="preserve">Montant</w:t>
            </w:r>
          </w:p>
        </w:tc>
        <w:tc>
          <w:tcPr>
            <w:tcW w:w="924" w:type="dxa"/>
          </w:tcPr>
          <w:tcPr/>
          <w:p>
            <w:pPr>
              <w:pStyle w:val="Compact"/>
              <w:jc w:val="left"/>
            </w:pPr>
            <w:r>
              <w:t xml:space="preserve">Années</w:t>
            </w:r>
          </w:p>
        </w:tc>
        <w:tc>
          <w:tcPr>
            <w:tcW w:w="2541" w:type="dxa"/>
          </w:tcPr>
          <w:tcPr/>
          <w:p>
            <w:pPr>
              <w:pStyle w:val="Compact"/>
              <w:jc w:val="left"/>
            </w:pPr>
            <w:r>
              <w:t xml:space="preserve">Objectifs liés à l’opérateur</w:t>
            </w:r>
          </w:p>
        </w:tc>
        <w:tc>
          <w:tcPr>
            <w:tcW w:w="2179" w:type="dxa"/>
          </w:tcPr>
          <w:tcPr/>
          <w:p>
            <w:pPr>
              <w:pStyle w:val="Compact"/>
              <w:jc w:val="left"/>
            </w:pPr>
            <w:r>
              <w:t xml:space="preserve">Conditions / indicateurs</w:t>
            </w:r>
          </w:p>
        </w:tc>
        <w:tc>
          <w:tcPr>
            <w:tcW w:w="1625" w:type="dxa"/>
          </w:tcPr>
          <w:tcPr/>
          <w:p>
            <w:pPr>
              <w:pStyle w:val="Compact"/>
              <w:jc w:val="left"/>
            </w:pPr>
            <w:r>
              <w:t xml:space="preserve">Statut d’exécution</w:t>
            </w:r>
          </w:p>
        </w:tc>
        <w:tc>
          <w:tcPr>
            <w:tcW w:w="833" w:type="dxa"/>
          </w:tcPr>
          <w:tcPr/>
          <w:p>
            <w:pPr>
              <w:pStyle w:val="Compact"/>
              <w:jc w:val="left"/>
            </w:pPr>
            <w:r>
              <w:t xml:space="preserve">Source</w:t>
            </w:r>
          </w:p>
        </w:tc>
      </w:tr>
      <w:tr>
        <w:tc>
          <w:tcPr>
            <w:tcW w:w="3082" w:type="dxa"/>
          </w:tcPr>
          <w:tcPr/>
          <w:p>
            <w:pPr>
              <w:pStyle w:val="Compact"/>
              <w:jc w:val="left"/>
            </w:pPr>
            <w:r>
              <w:t xml:space="preserve">Sierra Leone First Macro Stability and Resilience DPF with Cat DDO, P503960</w:t>
            </w:r>
          </w:p>
        </w:tc>
        <w:tc>
          <w:tcPr>
            <w:tcW w:w="981" w:type="dxa"/>
          </w:tcPr>
          <w:tcPr/>
          <w:p>
            <w:pPr>
              <w:pStyle w:val="Compact"/>
              <w:jc w:val="left"/>
            </w:pPr>
            <w:r>
              <w:t xml:space="preserve">BM (IDA, dons)</w:t>
            </w:r>
          </w:p>
        </w:tc>
        <w:tc>
          <w:tcPr>
            <w:tcW w:w="2401" w:type="dxa"/>
          </w:tcPr>
          <w:tcPr/>
          <w:p>
            <w:pPr>
              <w:pStyle w:val="Compact"/>
              <w:jc w:val="left"/>
            </w:pPr>
            <w:r>
              <w:t xml:space="preserve">60 M USD + Cat DDO 20 M USD</w:t>
            </w:r>
          </w:p>
        </w:tc>
        <w:tc>
          <w:tcPr>
            <w:tcW w:w="924" w:type="dxa"/>
          </w:tcPr>
          <w:tcPr/>
          <w:p>
            <w:pPr>
              <w:pStyle w:val="Compact"/>
              <w:jc w:val="left"/>
            </w:pPr>
            <w:r>
              <w:t xml:space="preserve">approuvé 13/12/2024</w:t>
            </w:r>
          </w:p>
        </w:tc>
        <w:tc>
          <w:tcPr>
            <w:tcW w:w="2541" w:type="dxa"/>
          </w:tcPr>
          <w:tcPr/>
          <w:p>
            <w:pPr>
              <w:pStyle w:val="Compact"/>
              <w:jc w:val="left"/>
            </w:pPr>
            <w:r>
              <w:t xml:space="preserve">Performance et transparence d’EDSA, participation privée</w:t>
            </w:r>
          </w:p>
        </w:tc>
        <w:tc>
          <w:tcPr>
            <w:tcW w:w="2179" w:type="dxa"/>
          </w:tcPr>
          <w:tcPr/>
          <w:p>
            <w:pPr>
              <w:pStyle w:val="Compact"/>
              <w:jc w:val="left"/>
            </w:pPr>
            <w:r>
              <w:t xml:space="preserve">Actions préalables : #3 projet de loi EWRC ; #4 compte unique de recettes EDSA audité trimestriellement. Déclencheurs DPF2 : séparation des actifs EGTC/EDSA ; attribution compétitive de la gestion de la distribution à un concessionnaire ; waterfall opéré par un agent fiduciaire. DPF3 : plan d’investissement 5 ans et revenu requis approuvés par l’EWRC ; MYTO reflet des coûts. Résultats : pertes 62 → 40 % ; arriérés IPP 68,5 → 37,5 M USD (2027)</w:t>
            </w:r>
          </w:p>
        </w:tc>
        <w:tc>
          <w:tcPr>
            <w:tcW w:w="1625" w:type="dxa"/>
          </w:tcPr>
          <w:tcPr/>
          <w:p>
            <w:pPr>
              <w:pStyle w:val="Compact"/>
              <w:jc w:val="left"/>
            </w:pPr>
            <w:r>
              <w:t xml:space="preserve">Actif ; DPF 2 en pipeline (P508913)</w:t>
            </w:r>
          </w:p>
        </w:tc>
        <w:tc>
          <w:tcPr>
            <w:tcW w:w="833" w:type="dxa"/>
          </w:tcPr>
          <w:tcPr/>
          <w:p>
            <w:pPr>
              <w:pStyle w:val="Compact"/>
              <w:jc w:val="left"/>
            </w:pPr>
            <w:r>
              <w:t xml:space="preserve">[3][7]</w:t>
            </w:r>
          </w:p>
        </w:tc>
      </w:tr>
      <w:tr>
        <w:tc>
          <w:tcPr>
            <w:tcW w:w="3082" w:type="dxa"/>
          </w:tcPr>
          <w:tcPr/>
          <w:p>
            <w:pPr>
              <w:pStyle w:val="Compact"/>
              <w:jc w:val="left"/>
            </w:pPr>
            <w:r>
              <w:t xml:space="preserve">Sierra Leone Energy Sector Utility Reform Project (ESURP), P120304</w:t>
            </w:r>
          </w:p>
        </w:tc>
        <w:tc>
          <w:tcPr>
            <w:tcW w:w="981" w:type="dxa"/>
          </w:tcPr>
          <w:tcPr/>
          <w:p>
            <w:pPr>
              <w:pStyle w:val="Compact"/>
              <w:jc w:val="left"/>
            </w:pPr>
            <w:r>
              <w:t xml:space="preserve">BM (IDA)</w:t>
            </w:r>
          </w:p>
        </w:tc>
        <w:tc>
          <w:tcPr>
            <w:tcW w:w="2401" w:type="dxa"/>
          </w:tcPr>
          <w:tcPr/>
          <w:p>
            <w:pPr>
              <w:pStyle w:val="Compact"/>
              <w:jc w:val="left"/>
            </w:pPr>
            <w:r>
              <w:t xml:space="preserve">40 M USD (2013) + AF 50 M USD (2019)</w:t>
            </w:r>
          </w:p>
        </w:tc>
        <w:tc>
          <w:tcPr>
            <w:tcW w:w="924" w:type="dxa"/>
          </w:tcPr>
          <w:tcPr/>
          <w:p>
            <w:pPr>
              <w:pStyle w:val="Compact"/>
              <w:jc w:val="left"/>
            </w:pPr>
            <w:r>
              <w:t xml:space="preserve">2013-2024</w:t>
            </w:r>
          </w:p>
        </w:tc>
        <w:tc>
          <w:tcPr>
            <w:tcW w:w="2541" w:type="dxa"/>
          </w:tcPr>
          <w:tcPr/>
          <w:p>
            <w:pPr>
              <w:pStyle w:val="Compact"/>
              <w:jc w:val="left"/>
            </w:pPr>
            <w:r>
              <w:t xml:space="preserve">Performance opérationnelle d’EDSA (dont contrat de gestion, IMIS, réseau Freetown)</w:t>
            </w:r>
          </w:p>
        </w:tc>
        <w:tc>
          <w:tcPr>
            <w:tcW w:w="2179" w:type="dxa"/>
          </w:tcPr>
          <w:tcPr/>
          <w:p>
            <w:pPr>
              <w:pStyle w:val="Compact"/>
              <w:jc w:val="left"/>
            </w:pPr>
            <w:r>
              <w:t xml:space="preserve">ATC&amp;C 51 → 30 % (cible) ; réalisé 43 % (nov. 2023)</w:t>
            </w:r>
          </w:p>
        </w:tc>
        <w:tc>
          <w:tcPr>
            <w:tcW w:w="1625" w:type="dxa"/>
          </w:tcPr>
          <w:tcPr/>
          <w:p>
            <w:pPr>
              <w:pStyle w:val="Compact"/>
              <w:jc w:val="left"/>
            </w:pPr>
            <w:r>
              <w:t xml:space="preserve">Clos (clôture révisée 31/03/2024) ; PDO « Moderately Satisfactory »</w:t>
            </w:r>
          </w:p>
        </w:tc>
        <w:tc>
          <w:tcPr>
            <w:tcW w:w="833" w:type="dxa"/>
          </w:tcPr>
          <w:tcPr/>
          <w:p>
            <w:pPr>
              <w:pStyle w:val="Compact"/>
              <w:jc w:val="left"/>
            </w:pPr>
            <w:r>
              <w:t xml:space="preserve">[4]</w:t>
            </w:r>
          </w:p>
        </w:tc>
      </w:tr>
      <w:tr>
        <w:tc>
          <w:tcPr>
            <w:tcW w:w="3082" w:type="dxa"/>
          </w:tcPr>
          <w:tcPr/>
          <w:p>
            <w:pPr>
              <w:pStyle w:val="Compact"/>
              <w:jc w:val="left"/>
            </w:pPr>
            <w:r>
              <w:t xml:space="preserve">Enhancing Sierra Leone Energy Access (ESLEAP), P171059 + AF P178677</w:t>
            </w:r>
          </w:p>
        </w:tc>
        <w:tc>
          <w:tcPr>
            <w:tcW w:w="981" w:type="dxa"/>
          </w:tcPr>
          <w:tcPr/>
          <w:p>
            <w:pPr>
              <w:pStyle w:val="Compact"/>
              <w:jc w:val="left"/>
            </w:pPr>
            <w:r>
              <w:t xml:space="preserve">BM</w:t>
            </w:r>
          </w:p>
        </w:tc>
        <w:tc>
          <w:tcPr>
            <w:tcW w:w="2401" w:type="dxa"/>
          </w:tcPr>
          <w:tcPr/>
          <w:p>
            <w:pPr>
              <w:pStyle w:val="Compact"/>
              <w:jc w:val="left"/>
            </w:pPr>
            <w:r>
              <w:t xml:space="preserve">50 M USD + 13 M USD</w:t>
            </w:r>
          </w:p>
        </w:tc>
        <w:tc>
          <w:tcPr>
            <w:tcW w:w="924" w:type="dxa"/>
          </w:tcPr>
          <w:tcPr/>
          <w:p>
            <w:pPr>
              <w:pStyle w:val="Compact"/>
              <w:jc w:val="left"/>
            </w:pPr>
            <w:r>
              <w:t xml:space="preserve">2021-2025</w:t>
            </w:r>
          </w:p>
        </w:tc>
        <w:tc>
          <w:tcPr>
            <w:tcW w:w="2541" w:type="dxa"/>
          </w:tcPr>
          <w:tcPr/>
          <w:p>
            <w:pPr>
              <w:pStyle w:val="Compact"/>
              <w:jc w:val="left"/>
            </w:pPr>
            <w:r>
              <w:t xml:space="preserve">Accès hors réseau / mini-réseaux</w:t>
            </w:r>
          </w:p>
        </w:tc>
        <w:tc>
          <w:tcPr>
            <w:tcW w:w="2179" w:type="dxa"/>
          </w:tcPr>
          <w:tcPr/>
          <w:p>
            <w:pPr>
              <w:pStyle w:val="Compact"/>
              <w:jc w:val="left"/>
            </w:pPr>
            <w:r>
              <w:t xml:space="preserve">—</w:t>
            </w:r>
          </w:p>
        </w:tc>
        <w:tc>
          <w:tcPr>
            <w:tcW w:w="1625" w:type="dxa"/>
          </w:tcPr>
          <w:tcPr/>
          <w:p>
            <w:pPr>
              <w:pStyle w:val="Compact"/>
              <w:jc w:val="left"/>
            </w:pPr>
            <w:r>
              <w:t xml:space="preserve">Actif (clôture 31/12/2025)</w:t>
            </w:r>
          </w:p>
        </w:tc>
        <w:tc>
          <w:tcPr>
            <w:tcW w:w="833" w:type="dxa"/>
          </w:tcPr>
          <w:tcPr/>
          <w:p>
            <w:pPr>
              <w:pStyle w:val="Compact"/>
              <w:jc w:val="left"/>
            </w:pPr>
            <w:r>
              <w:t xml:space="preserve">[7]</w:t>
            </w:r>
          </w:p>
        </w:tc>
      </w:tr>
      <w:tr>
        <w:tc>
          <w:tcPr>
            <w:tcW w:w="3082" w:type="dxa"/>
          </w:tcPr>
          <w:tcPr/>
          <w:p>
            <w:pPr>
              <w:pStyle w:val="Compact"/>
              <w:jc w:val="left"/>
            </w:pPr>
            <w:r>
              <w:t xml:space="preserve">Western Area Power Generation Project, P153805</w:t>
            </w:r>
          </w:p>
        </w:tc>
        <w:tc>
          <w:tcPr>
            <w:tcW w:w="981" w:type="dxa"/>
          </w:tcPr>
          <w:tcPr/>
          <w:p>
            <w:pPr>
              <w:pStyle w:val="Compact"/>
              <w:jc w:val="left"/>
            </w:pPr>
            <w:r>
              <w:t xml:space="preserve">BM (garantie)</w:t>
            </w:r>
          </w:p>
        </w:tc>
        <w:tc>
          <w:tcPr>
            <w:tcW w:w="2401" w:type="dxa"/>
          </w:tcPr>
          <w:tcPr/>
          <w:p>
            <w:pPr>
              <w:pStyle w:val="Compact"/>
              <w:jc w:val="left"/>
            </w:pPr>
            <w:r>
              <w:t xml:space="preserve">40 M USD</w:t>
            </w:r>
          </w:p>
        </w:tc>
        <w:tc>
          <w:tcPr>
            <w:tcW w:w="924" w:type="dxa"/>
          </w:tcPr>
          <w:tcPr/>
          <w:p>
            <w:pPr>
              <w:pStyle w:val="Compact"/>
              <w:jc w:val="left"/>
            </w:pPr>
            <w:r>
              <w:t xml:space="preserve">2016-2019</w:t>
            </w:r>
          </w:p>
        </w:tc>
        <w:tc>
          <w:tcPr>
            <w:tcW w:w="2541" w:type="dxa"/>
          </w:tcPr>
          <w:tcPr/>
          <w:p>
            <w:pPr>
              <w:pStyle w:val="Compact"/>
              <w:jc w:val="left"/>
            </w:pPr>
            <w:r>
              <w:t xml:space="preserve">Production IPP</w:t>
            </w:r>
          </w:p>
        </w:tc>
        <w:tc>
          <w:tcPr>
            <w:tcW w:w="2179" w:type="dxa"/>
          </w:tcPr>
          <w:tcPr/>
          <w:p>
            <w:pPr>
              <w:pStyle w:val="Compact"/>
              <w:jc w:val="left"/>
            </w:pPr>
            <w:r>
              <w:t xml:space="preserve">—</w:t>
            </w:r>
          </w:p>
        </w:tc>
        <w:tc>
          <w:tcPr>
            <w:tcW w:w="1625" w:type="dxa"/>
          </w:tcPr>
          <w:tcPr/>
          <w:p>
            <w:pPr>
              <w:pStyle w:val="Compact"/>
              <w:jc w:val="left"/>
            </w:pPr>
            <w:r>
              <w:t xml:space="preserve">Clos</w:t>
            </w:r>
          </w:p>
        </w:tc>
        <w:tc>
          <w:tcPr>
            <w:tcW w:w="833" w:type="dxa"/>
          </w:tcPr>
          <w:tcPr/>
          <w:p>
            <w:pPr>
              <w:pStyle w:val="Compact"/>
              <w:jc w:val="left"/>
            </w:pPr>
            <w:r>
              <w:t xml:space="preserve">[7]</w:t>
            </w:r>
          </w:p>
        </w:tc>
      </w:tr>
      <w:tr>
        <w:tc>
          <w:tcPr>
            <w:tcW w:w="3082" w:type="dxa"/>
          </w:tcPr>
          <w:tcPr/>
          <w:p>
            <w:pPr>
              <w:pStyle w:val="Compact"/>
              <w:jc w:val="left"/>
            </w:pPr>
            <w:r>
              <w:t xml:space="preserve">Regional Emergency Solar Power Intervention Project (RESPITE), P179267</w:t>
            </w:r>
          </w:p>
        </w:tc>
        <w:tc>
          <w:tcPr>
            <w:tcW w:w="981" w:type="dxa"/>
          </w:tcPr>
          <w:tcPr/>
          <w:p>
            <w:pPr>
              <w:pStyle w:val="Compact"/>
              <w:jc w:val="left"/>
            </w:pPr>
            <w:r>
              <w:t xml:space="preserve">BM (régional)</w:t>
            </w:r>
          </w:p>
        </w:tc>
        <w:tc>
          <w:tcPr>
            <w:tcW w:w="2401" w:type="dxa"/>
          </w:tcPr>
          <w:tcPr/>
          <w:p>
            <w:pPr>
              <w:pStyle w:val="Compact"/>
              <w:jc w:val="left"/>
            </w:pPr>
            <w:r>
              <w:t xml:space="preserve">311 M USD au total (part SL 75 M USD selon le pacte : 40 MW solaires Newton/Lungi)</w:t>
            </w:r>
          </w:p>
        </w:tc>
        <w:tc>
          <w:tcPr>
            <w:tcW w:w="924" w:type="dxa"/>
          </w:tcPr>
          <w:tcPr/>
          <w:p>
            <w:pPr>
              <w:pStyle w:val="Compact"/>
              <w:jc w:val="left"/>
            </w:pPr>
            <w:r>
              <w:t xml:space="preserve">2022-</w:t>
            </w:r>
          </w:p>
        </w:tc>
        <w:tc>
          <w:tcPr>
            <w:tcW w:w="2541" w:type="dxa"/>
          </w:tcPr>
          <w:tcPr/>
          <w:p>
            <w:pPr>
              <w:pStyle w:val="Compact"/>
              <w:jc w:val="left"/>
            </w:pPr>
            <w:r>
              <w:t xml:space="preserve">Solaire réseau</w:t>
            </w:r>
          </w:p>
        </w:tc>
        <w:tc>
          <w:tcPr>
            <w:tcW w:w="2179" w:type="dxa"/>
          </w:tcPr>
          <w:tcPr/>
          <w:p>
            <w:pPr>
              <w:pStyle w:val="Compact"/>
              <w:jc w:val="left"/>
            </w:pPr>
            <w:r>
              <w:t xml:space="preserve">—</w:t>
            </w:r>
          </w:p>
        </w:tc>
        <w:tc>
          <w:tcPr>
            <w:tcW w:w="1625" w:type="dxa"/>
          </w:tcPr>
          <w:tcPr/>
          <w:p>
            <w:pPr>
              <w:pStyle w:val="Compact"/>
              <w:jc w:val="left"/>
            </w:pPr>
            <w:r>
              <w:t xml:space="preserve">Actif</w:t>
            </w:r>
          </w:p>
        </w:tc>
        <w:tc>
          <w:tcPr>
            <w:tcW w:w="833" w:type="dxa"/>
          </w:tcPr>
          <w:tcPr/>
          <w:p>
            <w:pPr>
              <w:pStyle w:val="Compact"/>
              <w:jc w:val="left"/>
            </w:pPr>
            <w:r>
              <w:t xml:space="preserve">[7] ; [1] (pacte)</w:t>
            </w:r>
          </w:p>
        </w:tc>
      </w:tr>
      <w:tr>
        <w:tc>
          <w:tcPr>
            <w:tcW w:w="3082" w:type="dxa"/>
          </w:tcPr>
          <w:tcPr/>
          <w:p>
            <w:pPr>
              <w:pStyle w:val="Compact"/>
              <w:jc w:val="left"/>
            </w:pPr>
            <w:r>
              <w:t xml:space="preserve">SL Inclusive and Sustainable Growth DPO/DPF I-III (P175342, P178321, P178322)</w:t>
            </w:r>
          </w:p>
        </w:tc>
        <w:tc>
          <w:tcPr>
            <w:tcW w:w="981" w:type="dxa"/>
          </w:tcPr>
          <w:tcPr/>
          <w:p>
            <w:pPr>
              <w:pStyle w:val="Compact"/>
              <w:jc w:val="left"/>
            </w:pPr>
            <w:r>
              <w:t xml:space="preserve">BM</w:t>
            </w:r>
          </w:p>
        </w:tc>
        <w:tc>
          <w:tcPr>
            <w:tcW w:w="2401" w:type="dxa"/>
          </w:tcPr>
          <w:tcPr/>
          <w:p>
            <w:pPr>
              <w:pStyle w:val="Compact"/>
              <w:jc w:val="left"/>
            </w:pPr>
            <w:r>
              <w:t xml:space="preserve">75 M ; 100 M ; 65 M USD</w:t>
            </w:r>
          </w:p>
        </w:tc>
        <w:tc>
          <w:tcPr>
            <w:tcW w:w="924" w:type="dxa"/>
          </w:tcPr>
          <w:tcPr/>
          <w:p>
            <w:pPr>
              <w:pStyle w:val="Compact"/>
              <w:jc w:val="left"/>
            </w:pPr>
            <w:r>
              <w:t xml:space="preserve">2021-2024</w:t>
            </w:r>
          </w:p>
        </w:tc>
        <w:tc>
          <w:tcPr>
            <w:tcW w:w="2541" w:type="dxa"/>
          </w:tcPr>
          <w:tcPr/>
          <w:p>
            <w:pPr>
              <w:pStyle w:val="Compact"/>
              <w:jc w:val="left"/>
            </w:pPr>
            <w:r>
              <w:t xml:space="preserve">[?] actions énergie non extraites</w:t>
            </w:r>
          </w:p>
        </w:tc>
        <w:tc>
          <w:tcPr>
            <w:tcW w:w="2179" w:type="dxa"/>
          </w:tcPr>
          <w:tcPr/>
          <w:p>
            <w:pPr>
              <w:pStyle w:val="Compact"/>
              <w:jc w:val="left"/>
            </w:pPr>
            <w:r>
              <w:t xml:space="preserve">—</w:t>
            </w:r>
          </w:p>
        </w:tc>
        <w:tc>
          <w:tcPr>
            <w:tcW w:w="1625" w:type="dxa"/>
          </w:tcPr>
          <w:tcPr/>
          <w:p>
            <w:pPr>
              <w:pStyle w:val="Compact"/>
              <w:jc w:val="left"/>
            </w:pPr>
            <w:r>
              <w:t xml:space="preserve">Clos/actif</w:t>
            </w:r>
          </w:p>
        </w:tc>
        <w:tc>
          <w:tcPr>
            <w:tcW w:w="833" w:type="dxa"/>
          </w:tcPr>
          <w:tcPr/>
          <w:p>
            <w:pPr>
              <w:pStyle w:val="Compact"/>
              <w:jc w:val="left"/>
            </w:pPr>
            <w:r>
              <w:t xml:space="preserve">[7]</w:t>
            </w:r>
          </w:p>
        </w:tc>
      </w:tr>
      <w:tr>
        <w:tc>
          <w:tcPr>
            <w:tcW w:w="3082" w:type="dxa"/>
          </w:tcPr>
          <w:tcPr/>
          <w:p>
            <w:pPr>
              <w:pStyle w:val="Compact"/>
              <w:jc w:val="left"/>
            </w:pPr>
            <w:r>
              <w:t xml:space="preserve">Compact énergie MCC</w:t>
            </w:r>
          </w:p>
        </w:tc>
        <w:tc>
          <w:tcPr>
            <w:tcW w:w="981" w:type="dxa"/>
          </w:tcPr>
          <w:tcPr/>
          <w:p>
            <w:pPr>
              <w:pStyle w:val="Compact"/>
              <w:jc w:val="left"/>
            </w:pPr>
            <w:r>
              <w:t xml:space="preserve">MCC (États-Unis)</w:t>
            </w:r>
          </w:p>
        </w:tc>
        <w:tc>
          <w:tcPr>
            <w:tcW w:w="2401" w:type="dxa"/>
          </w:tcPr>
          <w:tcPr/>
          <w:p>
            <w:pPr>
              <w:pStyle w:val="Compact"/>
              <w:jc w:val="left"/>
            </w:pPr>
            <w:r>
              <w:t xml:space="preserve">438,4 M USD (DPF BM) ; 494,9 M USD coût total dont 14,2 M de l’État (pacte)</w:t>
            </w:r>
          </w:p>
        </w:tc>
        <w:tc>
          <w:tcPr>
            <w:tcW w:w="924" w:type="dxa"/>
          </w:tcPr>
          <w:tcPr/>
          <w:p>
            <w:pPr>
              <w:pStyle w:val="Compact"/>
              <w:jc w:val="left"/>
            </w:pPr>
            <w:r>
              <w:t xml:space="preserve">2024-2032</w:t>
            </w:r>
          </w:p>
        </w:tc>
        <w:tc>
          <w:tcPr>
            <w:tcW w:w="2541" w:type="dxa"/>
          </w:tcPr>
          <w:tcPr/>
          <w:p>
            <w:pPr>
              <w:pStyle w:val="Compact"/>
              <w:jc w:val="left"/>
            </w:pPr>
            <w:r>
              <w:t xml:space="preserve">Transport (corridor sud), réforme EDSA</w:t>
            </w:r>
          </w:p>
        </w:tc>
        <w:tc>
          <w:tcPr>
            <w:tcW w:w="2179" w:type="dxa"/>
          </w:tcPr>
          <w:tcPr/>
          <w:p>
            <w:pPr>
              <w:pStyle w:val="Compact"/>
              <w:jc w:val="left"/>
            </w:pPr>
            <w:r>
              <w:t xml:space="preserve">Compte unique de recettes = condition préalable</w:t>
            </w:r>
          </w:p>
        </w:tc>
        <w:tc>
          <w:tcPr>
            <w:tcW w:w="1625" w:type="dxa"/>
          </w:tcPr>
          <w:tcPr/>
          <w:p>
            <w:pPr>
              <w:pStyle w:val="Compact"/>
              <w:jc w:val="left"/>
            </w:pPr>
            <w:r>
              <w:t xml:space="preserve">[?]</w:t>
            </w:r>
          </w:p>
        </w:tc>
        <w:tc>
          <w:tcPr>
            <w:tcW w:w="833" w:type="dxa"/>
          </w:tcPr>
          <w:tcPr/>
          <w:p>
            <w:pPr>
              <w:pStyle w:val="Compact"/>
              <w:jc w:val="left"/>
            </w:pPr>
            <w:r>
              <w:t xml:space="preserve">[3] ; [1] (pacte)</w:t>
            </w:r>
          </w:p>
        </w:tc>
      </w:tr>
      <w:tr>
        <w:tc>
          <w:tcPr>
            <w:tcW w:w="3082" w:type="dxa"/>
          </w:tcPr>
          <w:tcPr/>
          <w:p>
            <w:pPr>
              <w:pStyle w:val="Compact"/>
              <w:jc w:val="left"/>
            </w:pPr>
            <w:r>
              <w:t xml:space="preserve">Ligne Bo-Kenema</w:t>
            </w:r>
          </w:p>
        </w:tc>
        <w:tc>
          <w:tcPr>
            <w:tcW w:w="981" w:type="dxa"/>
          </w:tcPr>
          <w:tcPr/>
          <w:p>
            <w:pPr>
              <w:pStyle w:val="Compact"/>
              <w:jc w:val="left"/>
            </w:pPr>
            <w:r>
              <w:t xml:space="preserve">FCDO / BAD</w:t>
            </w:r>
          </w:p>
        </w:tc>
        <w:tc>
          <w:tcPr>
            <w:tcW w:w="2401" w:type="dxa"/>
          </w:tcPr>
          <w:tcPr/>
          <w:p>
            <w:pPr>
              <w:pStyle w:val="Compact"/>
              <w:jc w:val="left"/>
            </w:pPr>
            <w:r>
              <w:t xml:space="preserve">40 M USD (pacte)</w:t>
            </w:r>
          </w:p>
        </w:tc>
        <w:tc>
          <w:tcPr>
            <w:tcW w:w="924" w:type="dxa"/>
          </w:tcPr>
          <w:tcPr/>
          <w:p>
            <w:pPr>
              <w:pStyle w:val="Compact"/>
              <w:jc w:val="left"/>
            </w:pPr>
            <w:r>
              <w:t xml:space="preserve">—</w:t>
            </w:r>
          </w:p>
        </w:tc>
        <w:tc>
          <w:tcPr>
            <w:tcW w:w="2541" w:type="dxa"/>
          </w:tcPr>
          <w:tcPr/>
          <w:p>
            <w:pPr>
              <w:pStyle w:val="Compact"/>
              <w:jc w:val="left"/>
            </w:pPr>
            <w:r>
              <w:t xml:space="preserve">Réseau</w:t>
            </w:r>
          </w:p>
        </w:tc>
        <w:tc>
          <w:tcPr>
            <w:tcW w:w="2179" w:type="dxa"/>
          </w:tcPr>
          <w:tcPr/>
          <w:p>
            <w:pPr>
              <w:pStyle w:val="Compact"/>
              <w:jc w:val="left"/>
            </w:pPr>
            <w:r>
              <w:t xml:space="preserve">—</w:t>
            </w:r>
          </w:p>
        </w:tc>
        <w:tc>
          <w:tcPr>
            <w:tcW w:w="1625" w:type="dxa"/>
          </w:tcPr>
          <w:tcPr/>
          <w:p>
            <w:pPr>
              <w:pStyle w:val="Compact"/>
              <w:jc w:val="left"/>
            </w:pPr>
            <w:r>
              <w:t xml:space="preserve">[?]</w:t>
            </w:r>
          </w:p>
        </w:tc>
        <w:tc>
          <w:tcPr>
            <w:tcW w:w="833" w:type="dxa"/>
          </w:tcPr>
          <w:tcPr/>
          <w:p>
            <w:pPr>
              <w:pStyle w:val="Compact"/>
              <w:jc w:val="left"/>
            </w:pPr>
            <w:r>
              <w:t xml:space="preserve">[1] (pacte)</w:t>
            </w:r>
          </w:p>
        </w:tc>
      </w:tr>
      <w:tr>
        <w:tc>
          <w:tcPr>
            <w:tcW w:w="3082" w:type="dxa"/>
          </w:tcPr>
          <w:tcPr/>
          <w:p>
            <w:pPr>
              <w:pStyle w:val="Compact"/>
              <w:jc w:val="left"/>
            </w:pPr>
            <w:r>
              <w:t xml:space="preserve">ECF FMI</w:t>
            </w:r>
          </w:p>
        </w:tc>
        <w:tc>
          <w:tcPr>
            <w:tcW w:w="981" w:type="dxa"/>
          </w:tcPr>
          <w:tcPr/>
          <w:p>
            <w:pPr>
              <w:pStyle w:val="Compact"/>
              <w:jc w:val="left"/>
            </w:pPr>
            <w:r>
              <w:t xml:space="preserve">FMI</w:t>
            </w:r>
          </w:p>
        </w:tc>
        <w:tc>
          <w:tcPr>
            <w:tcW w:w="2401" w:type="dxa"/>
          </w:tcPr>
          <w:tcPr/>
          <w:p>
            <w:pPr>
              <w:pStyle w:val="Compact"/>
              <w:jc w:val="left"/>
            </w:pPr>
            <w:r>
              <w:t xml:space="preserve">décaissements cumulés ~158,6 M USD</w:t>
            </w:r>
          </w:p>
        </w:tc>
        <w:tc>
          <w:tcPr>
            <w:tcW w:w="924" w:type="dxa"/>
          </w:tcPr>
          <w:tcPr/>
          <w:p>
            <w:pPr>
              <w:pStyle w:val="Compact"/>
              <w:jc w:val="left"/>
            </w:pPr>
            <w:r>
              <w:t xml:space="preserve">2024-</w:t>
            </w:r>
          </w:p>
        </w:tc>
        <w:tc>
          <w:tcPr>
            <w:tcW w:w="2541" w:type="dxa"/>
          </w:tcPr>
          <w:tcPr/>
          <w:p>
            <w:pPr>
              <w:pStyle w:val="Compact"/>
              <w:jc w:val="left"/>
            </w:pPr>
            <w:r>
              <w:t xml:space="preserve">Contenir les transferts IPP, concession EDSA</w:t>
            </w:r>
          </w:p>
        </w:tc>
        <w:tc>
          <w:tcPr>
            <w:tcW w:w="2179" w:type="dxa"/>
          </w:tcPr>
          <w:tcPr/>
          <w:p>
            <w:pPr>
              <w:pStyle w:val="Compact"/>
              <w:jc w:val="left"/>
            </w:pPr>
            <w:r>
              <w:t xml:space="preserve">Repère : concession opérationnelle fin mai 2027 ; publication des comptes 2024 d’EDSA (juin 2026)</w:t>
            </w:r>
          </w:p>
        </w:tc>
        <w:tc>
          <w:tcPr>
            <w:tcW w:w="1625" w:type="dxa"/>
          </w:tcPr>
          <w:tcPr/>
          <w:p>
            <w:pPr>
              <w:pStyle w:val="Compact"/>
              <w:jc w:val="left"/>
            </w:pPr>
            <w:r>
              <w:t xml:space="preserve">3e revue achevée 18/06/2026</w:t>
            </w:r>
          </w:p>
        </w:tc>
        <w:tc>
          <w:tcPr>
            <w:tcW w:w="833" w:type="dxa"/>
          </w:tcPr>
          <w:tcPr/>
          <w:p>
            <w:pPr>
              <w:pStyle w:val="Compact"/>
              <w:jc w:val="left"/>
            </w:pPr>
            <w:r>
              <w:t xml:space="preserve">[2]</w:t>
            </w:r>
          </w:p>
        </w:tc>
      </w:tr>
    </w:tbl>
    <w:bookmarkEnd w:id="327"/>
    <w:bookmarkStart w:id="328" w:name="écart-pacte-réalité-28"/>
    <w:p>
      <w:pPr>
        <w:pStyle w:val="Heading3"/>
      </w:pPr>
      <w:r>
        <w:t xml:space="preserve">5. Écart pacte ↔ réalité</w:t>
      </w:r>
    </w:p>
    <w:p>
      <w:pPr>
        <w:numPr>
          <w:ilvl w:val="0"/>
          <w:numId w:val="1176"/>
        </w:numPr>
        <w:pStyle w:val="Compact"/>
      </w:pPr>
      <w:r>
        <w:rPr>
          <w:bCs/>
          <w:b/>
        </w:rPr>
        <w:t xml:space="preserve">Concession EDSA</w:t>
      </w:r>
      <w:r>
        <w:t xml:space="preserve"> </w:t>
      </w:r>
      <w:r>
        <w:t xml:space="preserve">: le pacte prévoit la fin de la passation en déc. 2025 et le démarrage en</w:t>
      </w:r>
      <w:r>
        <w:t xml:space="preserve"> </w:t>
      </w:r>
      <w:r>
        <w:rPr>
          <w:bCs/>
          <w:b/>
        </w:rPr>
        <w:t xml:space="preserve">mars 2026</w:t>
      </w:r>
      <w:r>
        <w:t xml:space="preserve"> </w:t>
      </w:r>
      <w:r>
        <w:t xml:space="preserve">[1] ; en avril 2026 le gouvernement parle de « fin 2026 » [5] et le FMI de</w:t>
      </w:r>
      <w:r>
        <w:t xml:space="preserve"> </w:t>
      </w:r>
      <w:r>
        <w:rPr>
          <w:bCs/>
          <w:b/>
        </w:rPr>
        <w:t xml:space="preserve">fin mai 2027</w:t>
      </w:r>
      <w:r>
        <w:t xml:space="preserve"> </w:t>
      </w:r>
      <w:r>
        <w:t xml:space="preserve">[2] — glissement d’au moins 14 mois.</w:t>
      </w:r>
    </w:p>
    <w:p>
      <w:pPr>
        <w:numPr>
          <w:ilvl w:val="0"/>
          <w:numId w:val="1176"/>
        </w:numPr>
        <w:pStyle w:val="Compact"/>
      </w:pPr>
      <w:r>
        <w:rPr>
          <w:bCs/>
          <w:b/>
        </w:rPr>
        <w:t xml:space="preserve">Arriérés</w:t>
      </w:r>
      <w:r>
        <w:t xml:space="preserve"> </w:t>
      </w:r>
      <w:r>
        <w:t xml:space="preserve">: le pacte cite 26 M USD d’arriérés d’importation (2024) [1] ; les arriérés d’EDSA envers les IPP atteignaient 75,7 M USD (août 2024) [3] puis</w:t>
      </w:r>
      <w:r>
        <w:t xml:space="preserve"> </w:t>
      </w:r>
      <w:r>
        <w:rPr>
          <w:bCs/>
          <w:b/>
        </w:rPr>
        <w:t xml:space="preserve">113 M USD (févr. 2026)</w:t>
      </w:r>
      <w:r>
        <w:t xml:space="preserve"> </w:t>
      </w:r>
      <w:r>
        <w:t xml:space="preserve">[2] — en hausse, à rebours de la trajectoire DPF (37,5 M USD en 2027).</w:t>
      </w:r>
    </w:p>
    <w:p>
      <w:pPr>
        <w:numPr>
          <w:ilvl w:val="0"/>
          <w:numId w:val="1176"/>
        </w:numPr>
        <w:pStyle w:val="Compact"/>
      </w:pPr>
      <w:r>
        <w:rPr>
          <w:bCs/>
          <w:b/>
        </w:rPr>
        <w:t xml:space="preserve">Pertes</w:t>
      </w:r>
      <w:r>
        <w:t xml:space="preserve"> </w:t>
      </w:r>
      <w:r>
        <w:t xml:space="preserve">: pacte « &gt; 50 % / 53,2 % » [1] ; DPF 62 % (fin 2023) [3] ; ISR ESURP 43 % ATC&amp;C (nov. 2023) [4] — trois mesures incompatibles, le choix de l’indicateur conditionne le diagnostic.</w:t>
      </w:r>
    </w:p>
    <w:p>
      <w:pPr>
        <w:numPr>
          <w:ilvl w:val="0"/>
          <w:numId w:val="1176"/>
        </w:numPr>
        <w:pStyle w:val="Compact"/>
      </w:pPr>
      <w:r>
        <w:rPr>
          <w:bCs/>
          <w:b/>
        </w:rPr>
        <w:t xml:space="preserve">Subventions</w:t>
      </w:r>
      <w:r>
        <w:t xml:space="preserve"> </w:t>
      </w:r>
      <w:r>
        <w:t xml:space="preserve">: pacte &gt; 40 M USD fin 2024 [1] ; DPF : projection 61,3 M USD en 2024 [3] ; FMI : 1 112 M NLe de transferts IPP en 2024 (0,8 % PIB) [2] — l’ordre de grandeur du pacte est probablement sous-estimé [E].</w:t>
      </w:r>
    </w:p>
    <w:p>
      <w:pPr>
        <w:numPr>
          <w:ilvl w:val="0"/>
          <w:numId w:val="1176"/>
        </w:numPr>
        <w:pStyle w:val="Compact"/>
      </w:pPr>
      <w:r>
        <w:rPr>
          <w:bCs/>
          <w:b/>
        </w:rPr>
        <w:t xml:space="preserve">Comptes audités 2024</w:t>
      </w:r>
      <w:r>
        <w:t xml:space="preserve"> </w:t>
      </w:r>
      <w:r>
        <w:t xml:space="preserve">: promis pour déc. 2025 (pacte), repoussés à juin 2026 (FMI) [2].</w:t>
      </w:r>
    </w:p>
    <w:p>
      <w:pPr>
        <w:numPr>
          <w:ilvl w:val="0"/>
          <w:numId w:val="1176"/>
        </w:numPr>
        <w:pStyle w:val="Compact"/>
      </w:pPr>
      <w:r>
        <w:t xml:space="preserve">Le pacte ne tire pas le bilan du contrat de gestion antérieur (terminé en mars 2020, supervision défaillante) [4].</w:t>
      </w:r>
    </w:p>
    <w:bookmarkEnd w:id="328"/>
    <w:bookmarkStart w:id="329" w:name="diagnostic-synthétique-28"/>
    <w:p>
      <w:pPr>
        <w:pStyle w:val="Heading3"/>
      </w:pPr>
      <w:r>
        <w:t xml:space="preserve">6. Diagnostic synthétique</w:t>
      </w:r>
    </w:p>
    <w:p>
      <w:pPr>
        <w:numPr>
          <w:ilvl w:val="0"/>
          <w:numId w:val="1177"/>
        </w:numPr>
        <w:pStyle w:val="Compact"/>
      </w:pPr>
      <w:r>
        <w:t xml:space="preserve">Financière :</w:t>
      </w:r>
      <w:r>
        <w:t xml:space="preserve"> </w:t>
      </w:r>
      <w:r>
        <w:rPr>
          <w:bCs/>
          <w:b/>
        </w:rPr>
        <w:t xml:space="preserve">très faible</w:t>
      </w:r>
      <w:r>
        <w:t xml:space="preserve"> </w:t>
      </w:r>
      <w:r>
        <w:t xml:space="preserve">— EDSA couvre moins de la moitié du coût de l’énergie achetée (2023), arriérés IPP en hausse, dépendance aux transferts budgétaires.</w:t>
      </w:r>
    </w:p>
    <w:p>
      <w:pPr>
        <w:numPr>
          <w:ilvl w:val="0"/>
          <w:numId w:val="1177"/>
        </w:numPr>
        <w:pStyle w:val="Compact"/>
      </w:pPr>
      <w:r>
        <w:t xml:space="preserve">Technique :</w:t>
      </w:r>
      <w:r>
        <w:t xml:space="preserve"> </w:t>
      </w:r>
      <w:r>
        <w:rPr>
          <w:bCs/>
          <w:b/>
        </w:rPr>
        <w:t xml:space="preserve">très faible</w:t>
      </w:r>
      <w:r>
        <w:t xml:space="preserve"> </w:t>
      </w:r>
      <w:r>
        <w:t xml:space="preserve">— pertes 43-62 %, goulet du transport vers Freetown, parc thermique coûteux.</w:t>
      </w:r>
    </w:p>
    <w:p>
      <w:pPr>
        <w:numPr>
          <w:ilvl w:val="0"/>
          <w:numId w:val="1177"/>
        </w:numPr>
        <w:pStyle w:val="Compact"/>
      </w:pPr>
      <w:r>
        <w:t xml:space="preserve">Gouvernance :</w:t>
      </w:r>
      <w:r>
        <w:t xml:space="preserve"> </w:t>
      </w:r>
      <w:r>
        <w:rPr>
          <w:bCs/>
          <w:b/>
        </w:rPr>
        <w:t xml:space="preserve">faible, en réforme</w:t>
      </w:r>
      <w:r>
        <w:t xml:space="preserve"> </w:t>
      </w:r>
      <w:r>
        <w:t xml:space="preserve">— compte unique et cascade de paiements en cours, séparation EGTC/EDSA inachevée, concession retardée.</w:t>
      </w:r>
    </w:p>
    <w:p>
      <w:pPr>
        <w:numPr>
          <w:ilvl w:val="0"/>
          <w:numId w:val="1177"/>
        </w:numPr>
        <w:pStyle w:val="Compact"/>
      </w:pPr>
      <w:r>
        <w:t xml:space="preserve">Causes racines : (1) pertes et fraude massives, comptage incomplet ; (2) achats d’énergie thermique chère sans couverture tarifaire ; (3) gouvernance financière opaque (multiplicité de comptes, écarts IPP).</w:t>
      </w:r>
    </w:p>
    <w:p>
      <w:pPr>
        <w:numPr>
          <w:ilvl w:val="0"/>
          <w:numId w:val="1177"/>
        </w:numPr>
        <w:pStyle w:val="Compact"/>
      </w:pPr>
      <w:r>
        <w:t xml:space="preserve">Phase 3 : MYTO EWRC, révision du PPA EDSA-EGTC, coût de service, revenu requis du concessionnaire.</w:t>
      </w:r>
    </w:p>
    <w:bookmarkEnd w:id="329"/>
    <w:bookmarkStart w:id="330" w:name="inconnus-28"/>
    <w:p>
      <w:pPr>
        <w:pStyle w:val="Heading3"/>
      </w:pPr>
      <w:r>
        <w:t xml:space="preserve">7. Inconnus</w:t>
      </w:r>
    </w:p>
    <w:p>
      <w:pPr>
        <w:numPr>
          <w:ilvl w:val="0"/>
          <w:numId w:val="1178"/>
        </w:numPr>
        <w:pStyle w:val="Compact"/>
      </w:pPr>
      <w:r>
        <w:t xml:space="preserve">États financiers audités d’EDSA et d’EGTC (2023-2025) : [?].</w:t>
      </w:r>
    </w:p>
    <w:p>
      <w:pPr>
        <w:numPr>
          <w:ilvl w:val="0"/>
          <w:numId w:val="1178"/>
        </w:numPr>
        <w:pStyle w:val="Compact"/>
      </w:pPr>
      <w:r>
        <w:t xml:space="preserve">Concessionnaire retenu, contrat signé : [?] (Umeme cité par la presse, non confirmé).</w:t>
      </w:r>
    </w:p>
    <w:p>
      <w:pPr>
        <w:numPr>
          <w:ilvl w:val="0"/>
          <w:numId w:val="1178"/>
        </w:numPr>
        <w:pStyle w:val="Compact"/>
      </w:pPr>
      <w:r>
        <w:t xml:space="preserve">Recouvrement actualisé 2025 : [?].</w:t>
      </w:r>
    </w:p>
    <w:p>
      <w:pPr>
        <w:numPr>
          <w:ilvl w:val="0"/>
          <w:numId w:val="1178"/>
        </w:numPr>
        <w:pStyle w:val="Compact"/>
      </w:pPr>
      <w:r>
        <w:t xml:space="preserve">Actions préalables énergie de la DPF 2 (2025-2026) : [?] (pipeline P508913 seulement).</w:t>
      </w:r>
    </w:p>
    <w:p>
      <w:pPr>
        <w:numPr>
          <w:ilvl w:val="0"/>
          <w:numId w:val="1178"/>
        </w:numPr>
        <w:pStyle w:val="Compact"/>
      </w:pPr>
      <w:r>
        <w:t xml:space="preserve">Montants BAD précis : [?].</w:t>
      </w:r>
    </w:p>
    <w:bookmarkEnd w:id="330"/>
    <w:bookmarkStart w:id="331" w:name="sources-29"/>
    <w:p>
      <w:pPr>
        <w:pStyle w:val="Heading3"/>
      </w:pPr>
      <w:r>
        <w:t xml:space="preserve">Sources</w:t>
      </w:r>
    </w:p>
    <w:p>
      <w:pPr>
        <w:pStyle w:val="FirstParagraph"/>
      </w:pPr>
      <w:r>
        <w:t xml:space="preserve">[1] Fiche phase 1 SLE_sierra-leone.md / pacte national de la Sierra Leone (Mission 300), s.d. (base 2025) — référence « (pacte) ».</w:t>
      </w:r>
      <w:r>
        <w:t xml:space="preserve"> </w:t>
      </w:r>
      <w:r>
        <w:t xml:space="preserve">[2] FMI, « Sierra Leone: Third Review under the ECF Arrangement … », IMF Country Report No. 26/168, mai 2026 (§16 et note 4 ; MEFP ; tableaux budgétaires). https://www.imf.org/-/media/files/publications/cr/2026/english/1sleea2026002.pdf</w:t>
      </w:r>
      <w:r>
        <w:t xml:space="preserve"> </w:t>
      </w:r>
      <w:r>
        <w:t xml:space="preserve">[3] Banque mondiale, Program Document « Sierra Leone First Macro Stability and Resilience DPF with a Cat DDO (P503960) », nov. 2024. https://documents.worldbank.org/curated/en/099112024114074409/pdf/BOSIB1ceebb50306b1a9f0166ac6104bd26.pdf</w:t>
      </w:r>
      <w:r>
        <w:t xml:space="preserve"> </w:t>
      </w:r>
      <w:r>
        <w:t xml:space="preserve">[4] Banque mondiale, ISR « Sierra Leone Energy Sector Utility Reform Project (P120304) », 02/01/2024. https://documents.worldbank.org/curated/en/099010224190066059/pdf/P1203041231da904c19f7115ce9046dd004.pdf</w:t>
      </w:r>
      <w:r>
        <w:t xml:space="preserve"> </w:t>
      </w:r>
      <w:r>
        <w:t xml:space="preserve">[5] Ministry of Information and Civic Education (Sierra Leone), « EDSA Operations Set For Private Sector Management By End Of 2026 », 09/04/2026. https://moice.gov.sl/edsa-operations-set-for-private-sector-management-by-end-of-2026/</w:t>
      </w:r>
      <w:r>
        <w:t xml:space="preserve"> </w:t>
      </w:r>
      <w:r>
        <w:t xml:space="preserve">[6] Daily Monitor (Ouganda), « Umeme nears 15-year Sierra Leone power distribution deal » (date non vérifiée, page inaccessible HTTP 403 ; contenu vu via résultat de recherche). https://www.monitor.co.ug/uganda/business/markets/umeme-nears-15-year-sierra-leone-power-distribution-deal–5577492</w:t>
      </w:r>
      <w:r>
        <w:t xml:space="preserve"> </w:t>
      </w:r>
      <w:r>
        <w:t xml:space="preserve">[7] Banque mondiale, API projets (countrycode SL) et recherche « Regional Emergency Solar », extraction du 18/10/2026.</w:t>
      </w:r>
    </w:p>
    <w:p>
      <w:r>
        <w:br w:type="page"/>
      </w:r>
    </w:p>
    <w:bookmarkEnd w:id="331"/>
    <w:bookmarkEnd w:id="332"/>
    <w:bookmarkStart w:id="342" w:name="X8b60a620cf20271e9615f74e40c6ed7c8929f20"/>
    <w:p>
      <w:pPr>
        <w:pStyle w:val="Heading2"/>
      </w:pPr>
      <w:r>
        <w:t xml:space="preserve">Diagnostic opérateur — EMAE (São Tomé-et-Príncipe)</w:t>
      </w:r>
    </w:p>
    <w:p>
      <w:pPr>
        <w:pStyle w:val="BlockText"/>
      </w:pPr>
      <w:r>
        <w:t xml:space="preserve">Phase 2 — Mission 300. Statuts :</w:t>
      </w:r>
      <w:r>
        <w:t xml:space="preserve"> </w:t>
      </w:r>
      <w:r>
        <w:rPr>
          <w:bCs/>
          <w:b/>
        </w:rPr>
        <w:t xml:space="preserve">[V]</w:t>
      </w:r>
      <w:r>
        <w:t xml:space="preserve"> </w:t>
      </w:r>
      <w:r>
        <w:t xml:space="preserve">document primaire (états financiers, régulateur, document de projet BM/BAD, FMI)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Pacte : ../../phase1/fiches/STP_sao-tome-et-principe.md (« (pacte) », [P]). Recherche du 2026-10-18.</w:t>
      </w:r>
    </w:p>
    <w:bookmarkStart w:id="333" w:name="identité-29"/>
    <w:p>
      <w:pPr>
        <w:pStyle w:val="Heading3"/>
      </w:pPr>
      <w:r>
        <w:t xml:space="preserve">0. Identité</w:t>
      </w:r>
    </w:p>
    <w:p>
      <w:pPr>
        <w:numPr>
          <w:ilvl w:val="0"/>
          <w:numId w:val="1179"/>
        </w:numPr>
        <w:pStyle w:val="Compact"/>
      </w:pPr>
      <w:r>
        <w:t xml:space="preserve">EMAE (Empresa de Água e Electricidade) : entreprise publique intégrée eau + électricité (production, transport, distribution) ; tutelle technique MIRN/MINRA, financière Ministère des Finances [1][P] [V]. Producteurs privés de location : un « investisseur privé étranger a installé cinq nouveaux groupes » début 2024 (FMI) [2] [V] ; litige avec Tesla STP (société turque) sur la dette d’EMAE (EMAE reconnaît ~2,85 M EUR, Tesla réclame 7,5 M EUR à l’État) [6] [S].</w:t>
      </w:r>
    </w:p>
    <w:p>
      <w:pPr>
        <w:numPr>
          <w:ilvl w:val="0"/>
          <w:numId w:val="1179"/>
        </w:numPr>
        <w:pStyle w:val="Compact"/>
      </w:pPr>
      <w:r>
        <w:t xml:space="preserve">Juin 2024 : le Conseil des ministres ordonne une « intervention urgente » dans la gestion d’EMAE par deux administrateurs temporaires [6] [S]. Août 2026 : concours public de recrutement de la direction d’EMAE, en application de la résolution 74/2021, avec l’appui d’un cabinet et sous suivi de la BM (communiqué du gouvernement du 05-08-2026) [5] [V]. La BM note que la principale recommandation du plan d’amélioration de la gestion (MIP) — sélection compétitive des dirigeants — « ne démarre que maintenant », plus de trois ans après [1] [V].</w:t>
      </w:r>
    </w:p>
    <w:p>
      <w:pPr>
        <w:numPr>
          <w:ilvl w:val="0"/>
          <w:numId w:val="1179"/>
        </w:numPr>
        <w:pStyle w:val="Compact"/>
      </w:pPr>
      <w:r>
        <w:t xml:space="preserve">Régulateur : AGER (Autoridade Geral de Regulação), « renforcé comme régulateur indépendant » avec une méthodologie tarifaire [1] [V].</w:t>
      </w:r>
    </w:p>
    <w:p>
      <w:pPr>
        <w:numPr>
          <w:ilvl w:val="0"/>
          <w:numId w:val="1179"/>
        </w:numPr>
        <w:pStyle w:val="Compact"/>
      </w:pPr>
      <w:r>
        <w:t xml:space="preserve">Comptes : publication trimestrielle des KPI d’EMAE = repère structurel FMI (SB7) ; publication des KPI T4 2024 et T1 2025 retardée [2] [V]. États financiers audités d’EMAE : [?] non trouvés.</w:t>
      </w:r>
    </w:p>
    <w:bookmarkEnd w:id="333"/>
    <w:bookmarkStart w:id="334" w:name="situation-financière-28"/>
    <w:p>
      <w:pPr>
        <w:pStyle w:val="Heading3"/>
      </w:pPr>
      <w:r>
        <w:t xml:space="preserve">1. Situation financière</w:t>
      </w:r>
    </w:p>
    <w:tbl>
      <w:tblPr>
        <w:tblStyle w:val="Table"/>
        <w:tblW w:type="dxa" w:w="14570"/>
        <w:tblLook w:firstRow="1" w:lastRow="0" w:firstColumn="0" w:lastColumn="0" w:noHBand="0" w:noVBand="0" w:val="0020"/>
        <w:jc w:val="start"/>
      </w:tblPr>
      <w:tblGrid>
        <w:gridCol w:w="3227"/>
        <w:gridCol w:w="7842"/>
        <w:gridCol w:w="1360"/>
        <w:gridCol w:w="1070"/>
        <w:gridCol w:w="1069"/>
      </w:tblGrid>
      <w:tr>
        <w:trPr>
          <w:tblHeader w:val="true"/>
        </w:trPr>
        <w:tc>
          <w:tcPr>
            <w:tcW w:w="3227" w:type="dxa"/>
          </w:tcPr>
          <w:tcPr/>
          <w:p>
            <w:pPr>
              <w:pStyle w:val="Compact"/>
              <w:jc w:val="left"/>
            </w:pPr>
            <w:r>
              <w:t xml:space="preserve">Indicateur</w:t>
            </w:r>
          </w:p>
        </w:tc>
        <w:tc>
          <w:tcPr>
            <w:tcW w:w="7842" w:type="dxa"/>
          </w:tcPr>
          <w:tcPr/>
          <w:p>
            <w:pPr>
              <w:pStyle w:val="Compact"/>
              <w:jc w:val="left"/>
            </w:pPr>
            <w:r>
              <w:t xml:space="preserve">Valeur</w:t>
            </w:r>
          </w:p>
        </w:tc>
        <w:tc>
          <w:tcPr>
            <w:tcW w:w="1360" w:type="dxa"/>
          </w:tcPr>
          <w:tcPr/>
          <w:p>
            <w:pPr>
              <w:pStyle w:val="Compact"/>
              <w:jc w:val="left"/>
            </w:pPr>
            <w:r>
              <w:t xml:space="preserve">Année</w:t>
            </w:r>
          </w:p>
        </w:tc>
        <w:tc>
          <w:tcPr>
            <w:tcW w:w="1070" w:type="dxa"/>
          </w:tcPr>
          <w:tcPr/>
          <w:p>
            <w:pPr>
              <w:pStyle w:val="Compact"/>
              <w:jc w:val="left"/>
            </w:pPr>
            <w:r>
              <w:t xml:space="preserve">Statut</w:t>
            </w:r>
          </w:p>
        </w:tc>
        <w:tc>
          <w:tcPr>
            <w:tcW w:w="1069" w:type="dxa"/>
          </w:tcPr>
          <w:tcPr/>
          <w:p>
            <w:pPr>
              <w:pStyle w:val="Compact"/>
              <w:jc w:val="left"/>
            </w:pPr>
            <w:r>
              <w:t xml:space="preserve">Source</w:t>
            </w:r>
          </w:p>
        </w:tc>
      </w:tr>
      <w:tr>
        <w:tc>
          <w:tcPr>
            <w:tcW w:w="3227" w:type="dxa"/>
          </w:tcPr>
          <w:tcPr/>
          <w:p>
            <w:pPr>
              <w:pStyle w:val="Compact"/>
              <w:jc w:val="left"/>
            </w:pPr>
            <w:r>
              <w:t xml:space="preserve">Chiffre d’affaires</w:t>
            </w:r>
          </w:p>
        </w:tc>
        <w:tc>
          <w:tcPr>
            <w:tcW w:w="7842" w:type="dxa"/>
          </w:tcPr>
          <w:tcPr/>
          <w:p>
            <w:pPr>
              <w:pStyle w:val="Compact"/>
              <w:jc w:val="left"/>
            </w:pPr>
            <w:r>
              <w:t xml:space="preserve">[?] non trouvé</w:t>
            </w:r>
          </w:p>
        </w:tc>
        <w:tc>
          <w:tcPr>
            <w:tcW w:w="1360" w:type="dxa"/>
          </w:tcPr>
          <w:tcPr/>
          <w:p>
            <w:pPr>
              <w:pStyle w:val="Compact"/>
              <w:jc w:val="left"/>
            </w:pPr>
            <w:r>
              <w:t xml:space="preserve">—</w:t>
            </w:r>
          </w:p>
        </w:tc>
        <w:tc>
          <w:tcPr>
            <w:tcW w:w="1070" w:type="dxa"/>
          </w:tcPr>
          <w:tcPr/>
          <w:p>
            <w:pPr>
              <w:pStyle w:val="Compact"/>
              <w:jc w:val="left"/>
            </w:pPr>
            <w:r>
              <w:t xml:space="preserve">[?]</w:t>
            </w:r>
          </w:p>
        </w:tc>
        <w:tc>
          <w:tcPr>
            <w:tcW w:w="1069" w:type="dxa"/>
          </w:tcPr>
          <w:tcPr/>
          <w:p>
            <w:pPr>
              <w:pStyle w:val="Compact"/>
              <w:jc w:val="left"/>
            </w:pPr>
            <w:r>
              <w:t xml:space="preserve">—</w:t>
            </w:r>
          </w:p>
        </w:tc>
      </w:tr>
      <w:tr>
        <w:tc>
          <w:tcPr>
            <w:tcW w:w="3227" w:type="dxa"/>
          </w:tcPr>
          <w:tcPr/>
          <w:p>
            <w:pPr>
              <w:pStyle w:val="Compact"/>
              <w:jc w:val="left"/>
            </w:pPr>
            <w:r>
              <w:t xml:space="preserve">Résultat net</w:t>
            </w:r>
          </w:p>
        </w:tc>
        <w:tc>
          <w:tcPr>
            <w:tcW w:w="7842" w:type="dxa"/>
          </w:tcPr>
          <w:tcPr/>
          <w:p>
            <w:pPr>
              <w:pStyle w:val="Compact"/>
              <w:jc w:val="left"/>
            </w:pPr>
            <w:r>
              <w:t xml:space="preserve">[?] ; la BM qualifie EMAE d’« insolvable »</w:t>
            </w:r>
          </w:p>
        </w:tc>
        <w:tc>
          <w:tcPr>
            <w:tcW w:w="1360" w:type="dxa"/>
          </w:tcPr>
          <w:tcPr/>
          <w:p>
            <w:pPr>
              <w:pStyle w:val="Compact"/>
              <w:jc w:val="left"/>
            </w:pPr>
            <w:r>
              <w:t xml:space="preserve">2026</w:t>
            </w:r>
          </w:p>
        </w:tc>
        <w:tc>
          <w:tcPr>
            <w:tcW w:w="1070" w:type="dxa"/>
          </w:tcPr>
          <w:tcPr/>
          <w:p>
            <w:pPr>
              <w:pStyle w:val="Compact"/>
              <w:jc w:val="left"/>
            </w:pPr>
            <w:r>
              <w:t xml:space="preserve">[V]</w:t>
            </w:r>
          </w:p>
        </w:tc>
        <w:tc>
          <w:tcPr>
            <w:tcW w:w="1069" w:type="dxa"/>
          </w:tcPr>
          <w:tcPr/>
          <w:p>
            <w:pPr>
              <w:pStyle w:val="Compact"/>
              <w:jc w:val="left"/>
            </w:pPr>
            <w:r>
              <w:t xml:space="preserve">[1]</w:t>
            </w:r>
          </w:p>
        </w:tc>
      </w:tr>
      <w:tr>
        <w:tc>
          <w:tcPr>
            <w:tcW w:w="3227" w:type="dxa"/>
          </w:tcPr>
          <w:tcPr/>
          <w:p>
            <w:pPr>
              <w:pStyle w:val="Compact"/>
              <w:jc w:val="left"/>
            </w:pPr>
            <w:r>
              <w:t xml:space="preserve">EBITDA</w:t>
            </w:r>
          </w:p>
        </w:tc>
        <w:tc>
          <w:tcPr>
            <w:tcW w:w="7842" w:type="dxa"/>
          </w:tcPr>
          <w:tcPr/>
          <w:p>
            <w:pPr>
              <w:pStyle w:val="Compact"/>
              <w:jc w:val="left"/>
            </w:pPr>
            <w:r>
              <w:t xml:space="preserve">[?]</w:t>
            </w:r>
          </w:p>
        </w:tc>
        <w:tc>
          <w:tcPr>
            <w:tcW w:w="1360" w:type="dxa"/>
          </w:tcPr>
          <w:tcPr/>
          <w:p>
            <w:pPr>
              <w:pStyle w:val="Compact"/>
              <w:jc w:val="left"/>
            </w:pPr>
            <w:r>
              <w:t xml:space="preserve">—</w:t>
            </w:r>
          </w:p>
        </w:tc>
        <w:tc>
          <w:tcPr>
            <w:tcW w:w="1070" w:type="dxa"/>
          </w:tcPr>
          <w:tcPr/>
          <w:p>
            <w:pPr>
              <w:pStyle w:val="Compact"/>
              <w:jc w:val="left"/>
            </w:pPr>
            <w:r>
              <w:t xml:space="preserve">[?]</w:t>
            </w:r>
          </w:p>
        </w:tc>
        <w:tc>
          <w:tcPr>
            <w:tcW w:w="1069" w:type="dxa"/>
          </w:tcPr>
          <w:tcPr/>
          <w:p>
            <w:pPr>
              <w:pStyle w:val="Compact"/>
              <w:jc w:val="left"/>
            </w:pPr>
            <w:r>
              <w:t xml:space="preserve">—</w:t>
            </w:r>
          </w:p>
        </w:tc>
      </w:tr>
      <w:tr>
        <w:tc>
          <w:tcPr>
            <w:tcW w:w="3227" w:type="dxa"/>
          </w:tcPr>
          <w:tcPr/>
          <w:p>
            <w:pPr>
              <w:pStyle w:val="Compact"/>
              <w:jc w:val="left"/>
            </w:pPr>
            <w:r>
              <w:t xml:space="preserve">Dette ; fournisseurs</w:t>
            </w:r>
          </w:p>
        </w:tc>
        <w:tc>
          <w:tcPr>
            <w:tcW w:w="7842" w:type="dxa"/>
          </w:tcPr>
          <w:tcPr/>
          <w:p>
            <w:pPr>
              <w:pStyle w:val="Compact"/>
              <w:jc w:val="left"/>
            </w:pPr>
            <w:r>
              <w:rPr>
                <w:bCs/>
                <w:b/>
              </w:rPr>
              <w:t xml:space="preserve">Dette d’EMAE envers ENCO (fournisseur de carburant) : 33,3 % du PIB (2022), 28,3 % (2023)</w:t>
            </w:r>
            <w:r>
              <w:t xml:space="preserve">, ~23-27 % (2024) — incluse dans la dette publique de l’AVD ; &gt; 26 % du PIB fin 2019 (BM)</w:t>
            </w:r>
          </w:p>
        </w:tc>
        <w:tc>
          <w:tcPr>
            <w:tcW w:w="1360" w:type="dxa"/>
          </w:tcPr>
          <w:tcPr/>
          <w:p>
            <w:pPr>
              <w:pStyle w:val="Compact"/>
              <w:jc w:val="left"/>
            </w:pPr>
            <w:r>
              <w:t xml:space="preserve">2019-2024</w:t>
            </w:r>
          </w:p>
        </w:tc>
        <w:tc>
          <w:tcPr>
            <w:tcW w:w="1070" w:type="dxa"/>
          </w:tcPr>
          <w:tcPr/>
          <w:p>
            <w:pPr>
              <w:pStyle w:val="Compact"/>
              <w:jc w:val="left"/>
            </w:pPr>
            <w:r>
              <w:t xml:space="preserve">[V]</w:t>
            </w:r>
          </w:p>
        </w:tc>
        <w:tc>
          <w:tcPr>
            <w:tcW w:w="1069" w:type="dxa"/>
          </w:tcPr>
          <w:tcPr/>
          <w:p>
            <w:pPr>
              <w:pStyle w:val="Compact"/>
              <w:jc w:val="left"/>
            </w:pPr>
            <w:r>
              <w:t xml:space="preserve">[2][1]</w:t>
            </w:r>
          </w:p>
        </w:tc>
      </w:tr>
      <w:tr>
        <w:tc>
          <w:tcPr>
            <w:tcW w:w="3227" w:type="dxa"/>
          </w:tcPr>
          <w:tcPr/>
          <w:p>
            <w:pPr>
              <w:pStyle w:val="Compact"/>
              <w:jc w:val="left"/>
            </w:pPr>
            <w:r>
              <w:t xml:space="preserve">Arriérés de l’État</w:t>
            </w:r>
          </w:p>
        </w:tc>
        <w:tc>
          <w:tcPr>
            <w:tcW w:w="7842" w:type="dxa"/>
          </w:tcPr>
          <w:tcPr/>
          <w:p>
            <w:pPr>
              <w:pStyle w:val="Compact"/>
              <w:jc w:val="left"/>
            </w:pPr>
            <w:r>
              <w:t xml:space="preserve">[?] montant ; les avances de l’État pour le carburant doivent être remboursées par EMAE à partir des factures d’eau/électricité payées par les entités publiques</w:t>
            </w:r>
          </w:p>
        </w:tc>
        <w:tc>
          <w:tcPr>
            <w:tcW w:w="1360" w:type="dxa"/>
          </w:tcPr>
          <w:tcPr/>
          <w:p>
            <w:pPr>
              <w:pStyle w:val="Compact"/>
              <w:jc w:val="left"/>
            </w:pPr>
            <w:r>
              <w:t xml:space="preserve">2025</w:t>
            </w:r>
          </w:p>
        </w:tc>
        <w:tc>
          <w:tcPr>
            <w:tcW w:w="1070" w:type="dxa"/>
          </w:tcPr>
          <w:tcPr/>
          <w:p>
            <w:pPr>
              <w:pStyle w:val="Compact"/>
              <w:jc w:val="left"/>
            </w:pPr>
            <w:r>
              <w:t xml:space="preserve">[V]</w:t>
            </w:r>
          </w:p>
        </w:tc>
        <w:tc>
          <w:tcPr>
            <w:tcW w:w="1069" w:type="dxa"/>
          </w:tcPr>
          <w:tcPr/>
          <w:p>
            <w:pPr>
              <w:pStyle w:val="Compact"/>
              <w:jc w:val="left"/>
            </w:pPr>
            <w:r>
              <w:t xml:space="preserve">[2]</w:t>
            </w:r>
          </w:p>
        </w:tc>
      </w:tr>
      <w:tr>
        <w:tc>
          <w:tcPr>
            <w:tcW w:w="3227" w:type="dxa"/>
          </w:tcPr>
          <w:tcPr/>
          <w:p>
            <w:pPr>
              <w:pStyle w:val="Compact"/>
              <w:jc w:val="left"/>
            </w:pPr>
            <w:r>
              <w:t xml:space="preserve">Transferts / subventions</w:t>
            </w:r>
          </w:p>
        </w:tc>
        <w:tc>
          <w:tcPr>
            <w:tcW w:w="7842" w:type="dxa"/>
          </w:tcPr>
          <w:tcPr/>
          <w:p>
            <w:pPr>
              <w:pStyle w:val="Compact"/>
              <w:jc w:val="left"/>
            </w:pPr>
            <w:r>
              <w:rPr>
                <w:bCs/>
                <w:b/>
              </w:rPr>
              <w:t xml:space="preserve">Depuis 2023, l’État finance directement les deux tiers des importations de carburant</w:t>
            </w:r>
            <w:r>
              <w:t xml:space="preserve"> </w:t>
            </w:r>
            <w:r>
              <w:t xml:space="preserve">(le fournisseur ayant cessé le crédit), surtout destinées à EMAE ; impact sur le solde budgétaire : −3,2 % du PIB (2023) et −1,8 % (2024)</w:t>
            </w:r>
          </w:p>
        </w:tc>
        <w:tc>
          <w:tcPr>
            <w:tcW w:w="1360" w:type="dxa"/>
          </w:tcPr>
          <w:tcPr/>
          <w:p>
            <w:pPr>
              <w:pStyle w:val="Compact"/>
              <w:jc w:val="left"/>
            </w:pPr>
            <w:r>
              <w:t xml:space="preserve">2023-2024</w:t>
            </w:r>
          </w:p>
        </w:tc>
        <w:tc>
          <w:tcPr>
            <w:tcW w:w="1070" w:type="dxa"/>
          </w:tcPr>
          <w:tcPr/>
          <w:p>
            <w:pPr>
              <w:pStyle w:val="Compact"/>
              <w:jc w:val="left"/>
            </w:pPr>
            <w:r>
              <w:t xml:space="preserve">[V]</w:t>
            </w:r>
          </w:p>
        </w:tc>
        <w:tc>
          <w:tcPr>
            <w:tcW w:w="1069" w:type="dxa"/>
          </w:tcPr>
          <w:tcPr/>
          <w:p>
            <w:pPr>
              <w:pStyle w:val="Compact"/>
              <w:jc w:val="left"/>
            </w:pPr>
            <w:r>
              <w:t xml:space="preserve">[2]</w:t>
            </w:r>
          </w:p>
        </w:tc>
      </w:tr>
      <w:tr>
        <w:tc>
          <w:tcPr>
            <w:tcW w:w="3227" w:type="dxa"/>
          </w:tcPr>
          <w:tcPr/>
          <w:p>
            <w:pPr>
              <w:pStyle w:val="Compact"/>
              <w:jc w:val="left"/>
            </w:pPr>
            <w:r>
              <w:t xml:space="preserve">Taux de recouvrement</w:t>
            </w:r>
          </w:p>
        </w:tc>
        <w:tc>
          <w:tcPr>
            <w:tcW w:w="7842" w:type="dxa"/>
          </w:tcPr>
          <w:tcPr/>
          <w:p>
            <w:pPr>
              <w:pStyle w:val="Compact"/>
              <w:jc w:val="left"/>
            </w:pPr>
            <w:r>
              <w:t xml:space="preserve">« faibles taux de recouvrement » (FMI) ; seuls ~30 % de clients en règle (pacte) ; chiffre primaire [?]</w:t>
            </w:r>
          </w:p>
        </w:tc>
        <w:tc>
          <w:tcPr>
            <w:tcW w:w="1360" w:type="dxa"/>
          </w:tcPr>
          <w:tcPr/>
          <w:p>
            <w:pPr>
              <w:pStyle w:val="Compact"/>
              <w:jc w:val="left"/>
            </w:pPr>
            <w:r>
              <w:t xml:space="preserve">2025</w:t>
            </w:r>
          </w:p>
        </w:tc>
        <w:tc>
          <w:tcPr>
            <w:tcW w:w="1070" w:type="dxa"/>
          </w:tcPr>
          <w:tcPr/>
          <w:p>
            <w:pPr>
              <w:pStyle w:val="Compact"/>
              <w:jc w:val="left"/>
            </w:pPr>
            <w:r>
              <w:t xml:space="preserve">[V]/[P]</w:t>
            </w:r>
          </w:p>
        </w:tc>
        <w:tc>
          <w:tcPr>
            <w:tcW w:w="1069" w:type="dxa"/>
          </w:tcPr>
          <w:tcPr/>
          <w:p>
            <w:pPr>
              <w:pStyle w:val="Compact"/>
              <w:jc w:val="left"/>
            </w:pPr>
            <w:r>
              <w:t xml:space="preserve">[2][P]</w:t>
            </w:r>
          </w:p>
        </w:tc>
      </w:tr>
      <w:tr>
        <w:tc>
          <w:tcPr>
            <w:tcW w:w="3227" w:type="dxa"/>
          </w:tcPr>
          <w:tcPr/>
          <w:p>
            <w:pPr>
              <w:pStyle w:val="Compact"/>
              <w:jc w:val="left"/>
            </w:pPr>
            <w:r>
              <w:t xml:space="preserve">Recette vs coût par kWh</w:t>
            </w:r>
          </w:p>
        </w:tc>
        <w:tc>
          <w:tcPr>
            <w:tcW w:w="7842" w:type="dxa"/>
          </w:tcPr>
          <w:tcPr/>
          <w:p>
            <w:pPr>
              <w:pStyle w:val="Compact"/>
              <w:jc w:val="left"/>
            </w:pPr>
            <w:r>
              <w:t xml:space="preserve">Tarif moyen ≈ 0,21 USD/kWh</w:t>
            </w:r>
            <w:r>
              <w:t xml:space="preserve"> </w:t>
            </w:r>
            <w:r>
              <w:rPr>
                <w:bCs/>
                <w:b/>
              </w:rPr>
              <w:t xml:space="preserve">inchangé depuis 2007</w:t>
            </w:r>
            <w:r>
              <w:t xml:space="preserve"> </w:t>
            </w:r>
            <w:r>
              <w:t xml:space="preserve">(BM) vs coût ≈ 0,31 USD/kWh à l’évaluation (2016) ; hausse tarifaire en janvier 2025 (« première depuis plus d’une décennie ») ; nouvelle hausse promise fin 2025 au FMI ; hausses ultérieures « mises en suspens »</w:t>
            </w:r>
          </w:p>
        </w:tc>
        <w:tc>
          <w:tcPr>
            <w:tcW w:w="1360" w:type="dxa"/>
          </w:tcPr>
          <w:tcPr/>
          <w:p>
            <w:pPr>
              <w:pStyle w:val="Compact"/>
              <w:jc w:val="left"/>
            </w:pPr>
            <w:r>
              <w:t xml:space="preserve">2016-2026</w:t>
            </w:r>
          </w:p>
        </w:tc>
        <w:tc>
          <w:tcPr>
            <w:tcW w:w="1070" w:type="dxa"/>
          </w:tcPr>
          <w:tcPr/>
          <w:p>
            <w:pPr>
              <w:pStyle w:val="Compact"/>
              <w:jc w:val="left"/>
            </w:pPr>
            <w:r>
              <w:t xml:space="preserve">[V]</w:t>
            </w:r>
          </w:p>
        </w:tc>
        <w:tc>
          <w:tcPr>
            <w:tcW w:w="1069" w:type="dxa"/>
          </w:tcPr>
          <w:tcPr/>
          <w:p>
            <w:pPr>
              <w:pStyle w:val="Compact"/>
              <w:jc w:val="left"/>
            </w:pPr>
            <w:r>
              <w:t xml:space="preserve">[1][2]</w:t>
            </w:r>
          </w:p>
        </w:tc>
      </w:tr>
      <w:tr>
        <w:tc>
          <w:tcPr>
            <w:tcW w:w="3227" w:type="dxa"/>
          </w:tcPr>
          <w:tcPr/>
          <w:p>
            <w:pPr>
              <w:pStyle w:val="Compact"/>
              <w:jc w:val="left"/>
            </w:pPr>
            <w:r>
              <w:t xml:space="preserve">Déficit quasi-budgétaire</w:t>
            </w:r>
          </w:p>
        </w:tc>
        <w:tc>
          <w:tcPr>
            <w:tcW w:w="7842" w:type="dxa"/>
          </w:tcPr>
          <w:tcPr/>
          <w:p>
            <w:pPr>
              <w:pStyle w:val="Compact"/>
              <w:jc w:val="left"/>
            </w:pPr>
            <w:r>
              <w:t xml:space="preserve">Implicitement ≥ 1,8-3,2 % du PIB/an via le carburant [E, d’après 2]</w:t>
            </w:r>
          </w:p>
        </w:tc>
        <w:tc>
          <w:tcPr>
            <w:tcW w:w="1360" w:type="dxa"/>
          </w:tcPr>
          <w:tcPr/>
          <w:p>
            <w:pPr>
              <w:pStyle w:val="Compact"/>
              <w:jc w:val="left"/>
            </w:pPr>
            <w:r>
              <w:t xml:space="preserve">2023-2024</w:t>
            </w:r>
          </w:p>
        </w:tc>
        <w:tc>
          <w:tcPr>
            <w:tcW w:w="1070" w:type="dxa"/>
          </w:tcPr>
          <w:tcPr/>
          <w:p>
            <w:pPr>
              <w:pStyle w:val="Compact"/>
              <w:jc w:val="left"/>
            </w:pPr>
            <w:r>
              <w:t xml:space="preserve">[E]</w:t>
            </w:r>
          </w:p>
        </w:tc>
        <w:tc>
          <w:tcPr>
            <w:tcW w:w="1069" w:type="dxa"/>
          </w:tcPr>
          <w:tcPr/>
          <w:p>
            <w:pPr>
              <w:pStyle w:val="Compact"/>
              <w:jc w:val="left"/>
            </w:pPr>
            <w:r>
              <w:t xml:space="preserve">[2]</w:t>
            </w:r>
          </w:p>
        </w:tc>
      </w:tr>
      <w:tr>
        <w:tc>
          <w:tcPr>
            <w:tcW w:w="3227" w:type="dxa"/>
          </w:tcPr>
          <w:tcPr/>
          <w:p>
            <w:pPr>
              <w:pStyle w:val="Compact"/>
              <w:jc w:val="left"/>
            </w:pPr>
            <w:r>
              <w:t xml:space="preserve">Notation</w:t>
            </w:r>
          </w:p>
        </w:tc>
        <w:tc>
          <w:tcPr>
            <w:tcW w:w="7842" w:type="dxa"/>
          </w:tcPr>
          <w:tcPr/>
          <w:p>
            <w:pPr>
              <w:pStyle w:val="Compact"/>
              <w:jc w:val="left"/>
            </w:pPr>
            <w:r>
              <w:t xml:space="preserve">Aucune</w:t>
            </w:r>
          </w:p>
        </w:tc>
        <w:tc>
          <w:tcPr>
            <w:tcW w:w="1360" w:type="dxa"/>
          </w:tcPr>
          <w:tcPr/>
          <w:p>
            <w:pPr>
              <w:pStyle w:val="Compact"/>
              <w:jc w:val="left"/>
            </w:pPr>
            <w:r>
              <w:t xml:space="preserve">—</w:t>
            </w:r>
          </w:p>
        </w:tc>
        <w:tc>
          <w:tcPr>
            <w:tcW w:w="1070" w:type="dxa"/>
          </w:tcPr>
          <w:tcPr/>
          <w:p>
            <w:pPr>
              <w:pStyle w:val="Compact"/>
              <w:jc w:val="left"/>
            </w:pPr>
            <w:r>
              <w:t xml:space="preserve">—</w:t>
            </w:r>
          </w:p>
        </w:tc>
        <w:tc>
          <w:tcPr>
            <w:tcW w:w="1069" w:type="dxa"/>
          </w:tcPr>
          <w:tcPr/>
          <w:p>
            <w:pPr>
              <w:pStyle w:val="Compact"/>
              <w:jc w:val="left"/>
            </w:pPr>
            <w:r>
              <w:t xml:space="preserve">—</w:t>
            </w:r>
          </w:p>
        </w:tc>
      </w:tr>
    </w:tbl>
    <w:bookmarkEnd w:id="334"/>
    <w:bookmarkStart w:id="335" w:name="situation-technique-29"/>
    <w:p>
      <w:pPr>
        <w:pStyle w:val="Heading3"/>
      </w:pPr>
      <w:r>
        <w:t xml:space="preserve">2. Situation technique</w:t>
      </w:r>
    </w:p>
    <w:tbl>
      <w:tblPr>
        <w:tblStyle w:val="Table"/>
        <w:tblW w:type="dxa" w:w="14570"/>
        <w:tblLook w:firstRow="1" w:lastRow="0" w:firstColumn="0" w:lastColumn="0" w:noHBand="0" w:noVBand="0" w:val="0020"/>
        <w:jc w:val="start"/>
      </w:tblPr>
      <w:tblGrid>
        <w:gridCol w:w="1976"/>
        <w:gridCol w:w="8219"/>
        <w:gridCol w:w="1570"/>
        <w:gridCol w:w="1621"/>
        <w:gridCol w:w="1182"/>
      </w:tblGrid>
      <w:tr>
        <w:trPr>
          <w:tblHeader w:val="true"/>
        </w:trPr>
        <w:tc>
          <w:tcPr>
            <w:tcW w:w="1976" w:type="dxa"/>
          </w:tcPr>
          <w:tcPr/>
          <w:p>
            <w:pPr>
              <w:pStyle w:val="Compact"/>
              <w:jc w:val="left"/>
            </w:pPr>
            <w:r>
              <w:t xml:space="preserve">Indicateur</w:t>
            </w:r>
          </w:p>
        </w:tc>
        <w:tc>
          <w:tcPr>
            <w:tcW w:w="8219" w:type="dxa"/>
          </w:tcPr>
          <w:tcPr/>
          <w:p>
            <w:pPr>
              <w:pStyle w:val="Compact"/>
              <w:jc w:val="left"/>
            </w:pPr>
            <w:r>
              <w:t xml:space="preserve">Valeur</w:t>
            </w:r>
          </w:p>
        </w:tc>
        <w:tc>
          <w:tcPr>
            <w:tcW w:w="1570" w:type="dxa"/>
          </w:tcPr>
          <w:tcPr/>
          <w:p>
            <w:pPr>
              <w:pStyle w:val="Compact"/>
              <w:jc w:val="left"/>
            </w:pPr>
            <w:r>
              <w:t xml:space="preserve">Année</w:t>
            </w:r>
          </w:p>
        </w:tc>
        <w:tc>
          <w:tcPr>
            <w:tcW w:w="1621" w:type="dxa"/>
          </w:tcPr>
          <w:tcPr/>
          <w:p>
            <w:pPr>
              <w:pStyle w:val="Compact"/>
              <w:jc w:val="left"/>
            </w:pPr>
            <w:r>
              <w:t xml:space="preserve">Statut</w:t>
            </w:r>
          </w:p>
        </w:tc>
        <w:tc>
          <w:tcPr>
            <w:tcW w:w="1182" w:type="dxa"/>
          </w:tcPr>
          <w:tcPr/>
          <w:p>
            <w:pPr>
              <w:pStyle w:val="Compact"/>
              <w:jc w:val="left"/>
            </w:pPr>
            <w:r>
              <w:t xml:space="preserve">Source</w:t>
            </w:r>
          </w:p>
        </w:tc>
      </w:tr>
      <w:tr>
        <w:tc>
          <w:tcPr>
            <w:tcW w:w="1976" w:type="dxa"/>
          </w:tcPr>
          <w:tcPr/>
          <w:p>
            <w:pPr>
              <w:pStyle w:val="Compact"/>
              <w:jc w:val="left"/>
            </w:pPr>
            <w:r>
              <w:t xml:space="preserve">Capacité</w:t>
            </w:r>
          </w:p>
        </w:tc>
        <w:tc>
          <w:tcPr>
            <w:tcW w:w="8219" w:type="dxa"/>
          </w:tcPr>
          <w:tcPr/>
          <w:p>
            <w:pPr>
              <w:pStyle w:val="Compact"/>
              <w:jc w:val="left"/>
            </w:pPr>
            <w:r>
              <w:t xml:space="preserve">38 MW installés / 19 MW disponibles (pacte) ; centrale solaire de 1,2 MW (BAD) mise en service ; 11 MW solaire attendus mi-2026</w:t>
            </w:r>
          </w:p>
        </w:tc>
        <w:tc>
          <w:tcPr>
            <w:tcW w:w="1570" w:type="dxa"/>
          </w:tcPr>
          <w:tcPr/>
          <w:p>
            <w:pPr>
              <w:pStyle w:val="Compact"/>
              <w:jc w:val="left"/>
            </w:pPr>
            <w:r>
              <w:t xml:space="preserve">2025</w:t>
            </w:r>
          </w:p>
        </w:tc>
        <w:tc>
          <w:tcPr>
            <w:tcW w:w="1621" w:type="dxa"/>
          </w:tcPr>
          <w:tcPr/>
          <w:p>
            <w:pPr>
              <w:pStyle w:val="Compact"/>
              <w:jc w:val="left"/>
            </w:pPr>
            <w:r>
              <w:t xml:space="preserve">[P]/[V]</w:t>
            </w:r>
          </w:p>
        </w:tc>
        <w:tc>
          <w:tcPr>
            <w:tcW w:w="1182" w:type="dxa"/>
          </w:tcPr>
          <w:tcPr/>
          <w:p>
            <w:pPr>
              <w:pStyle w:val="Compact"/>
              <w:jc w:val="left"/>
            </w:pPr>
            <w:r>
              <w:t xml:space="preserve">[P][2]</w:t>
            </w:r>
          </w:p>
        </w:tc>
      </w:tr>
      <w:tr>
        <w:tc>
          <w:tcPr>
            <w:tcW w:w="1976" w:type="dxa"/>
          </w:tcPr>
          <w:tcPr/>
          <w:p>
            <w:pPr>
              <w:pStyle w:val="Compact"/>
              <w:jc w:val="left"/>
            </w:pPr>
            <w:r>
              <w:t xml:space="preserve">Pertes totales</w:t>
            </w:r>
          </w:p>
        </w:tc>
        <w:tc>
          <w:tcPr>
            <w:tcW w:w="8219" w:type="dxa"/>
          </w:tcPr>
          <w:tcPr/>
          <w:p>
            <w:pPr>
              <w:pStyle w:val="Compact"/>
              <w:jc w:val="left"/>
            </w:pPr>
            <w:r>
              <w:rPr>
                <w:bCs/>
                <w:b/>
              </w:rPr>
              <w:t xml:space="preserve">40 % (2016) → 24 % (2025) selon EMAE</w:t>
            </w:r>
            <w:r>
              <w:t xml:space="preserve"> </w:t>
            </w:r>
            <w:r>
              <w:t xml:space="preserve">— baisse « non attribuable au projet », possiblement liée à des changements de logiciel de mesure (BM) ; pacte : 34 % ATCC</w:t>
            </w:r>
          </w:p>
        </w:tc>
        <w:tc>
          <w:tcPr>
            <w:tcW w:w="1570" w:type="dxa"/>
          </w:tcPr>
          <w:tcPr/>
          <w:p>
            <w:pPr>
              <w:pStyle w:val="Compact"/>
              <w:jc w:val="left"/>
            </w:pPr>
            <w:r>
              <w:t xml:space="preserve">2016-2025</w:t>
            </w:r>
          </w:p>
        </w:tc>
        <w:tc>
          <w:tcPr>
            <w:tcW w:w="1621" w:type="dxa"/>
          </w:tcPr>
          <w:tcPr/>
          <w:p>
            <w:pPr>
              <w:pStyle w:val="Compact"/>
              <w:jc w:val="left"/>
            </w:pPr>
            <w:r>
              <w:t xml:space="preserve">[V] (fiabilité contestée)</w:t>
            </w:r>
          </w:p>
        </w:tc>
        <w:tc>
          <w:tcPr>
            <w:tcW w:w="1182" w:type="dxa"/>
          </w:tcPr>
          <w:tcPr/>
          <w:p>
            <w:pPr>
              <w:pStyle w:val="Compact"/>
              <w:jc w:val="left"/>
            </w:pPr>
            <w:r>
              <w:t xml:space="preserve">[1][P]</w:t>
            </w:r>
          </w:p>
        </w:tc>
      </w:tr>
      <w:tr>
        <w:tc>
          <w:tcPr>
            <w:tcW w:w="1976" w:type="dxa"/>
          </w:tcPr>
          <w:tcPr/>
          <w:p>
            <w:pPr>
              <w:pStyle w:val="Compact"/>
              <w:jc w:val="left"/>
            </w:pPr>
            <w:r>
              <w:t xml:space="preserve">SAIDI/SAIFI</w:t>
            </w:r>
          </w:p>
        </w:tc>
        <w:tc>
          <w:tcPr>
            <w:tcW w:w="8219" w:type="dxa"/>
          </w:tcPr>
          <w:tcPr/>
          <w:p>
            <w:pPr>
              <w:pStyle w:val="Compact"/>
              <w:jc w:val="left"/>
            </w:pPr>
            <w:r>
              <w:t xml:space="preserve">[?] ; pénuries quotidiennes de mars 2021 à fin 2023 ; délestages de 3 à 7 h/j (pacte)</w:t>
            </w:r>
          </w:p>
        </w:tc>
        <w:tc>
          <w:tcPr>
            <w:tcW w:w="1570" w:type="dxa"/>
          </w:tcPr>
          <w:tcPr/>
          <w:p>
            <w:pPr>
              <w:pStyle w:val="Compact"/>
              <w:jc w:val="left"/>
            </w:pPr>
            <w:r>
              <w:t xml:space="preserve">2021-2023</w:t>
            </w:r>
          </w:p>
        </w:tc>
        <w:tc>
          <w:tcPr>
            <w:tcW w:w="1621" w:type="dxa"/>
          </w:tcPr>
          <w:tcPr/>
          <w:p>
            <w:pPr>
              <w:pStyle w:val="Compact"/>
              <w:jc w:val="left"/>
            </w:pPr>
            <w:r>
              <w:t xml:space="preserve">[V]/[P]</w:t>
            </w:r>
          </w:p>
        </w:tc>
        <w:tc>
          <w:tcPr>
            <w:tcW w:w="1182" w:type="dxa"/>
          </w:tcPr>
          <w:tcPr/>
          <w:p>
            <w:pPr>
              <w:pStyle w:val="Compact"/>
              <w:jc w:val="left"/>
            </w:pPr>
            <w:r>
              <w:t xml:space="preserve">[2][P]</w:t>
            </w:r>
          </w:p>
        </w:tc>
      </w:tr>
      <w:tr>
        <w:tc>
          <w:tcPr>
            <w:tcW w:w="1976" w:type="dxa"/>
          </w:tcPr>
          <w:tcPr/>
          <w:p>
            <w:pPr>
              <w:pStyle w:val="Compact"/>
              <w:jc w:val="left"/>
            </w:pPr>
            <w:r>
              <w:t xml:space="preserve">Comptage</w:t>
            </w:r>
          </w:p>
        </w:tc>
        <w:tc>
          <w:tcPr>
            <w:tcW w:w="8219" w:type="dxa"/>
          </w:tcPr>
          <w:tcPr/>
          <w:p>
            <w:pPr>
              <w:pStyle w:val="Compact"/>
              <w:jc w:val="left"/>
            </w:pPr>
            <w:r>
              <w:t xml:space="preserve">34 % de branchements non comptés (2016) ; 2 000 compteurs prépayés posés par le PSRP (sur 21 000 visés) ; 3 073 compteurs prépayés actifs en 2023</w:t>
            </w:r>
          </w:p>
        </w:tc>
        <w:tc>
          <w:tcPr>
            <w:tcW w:w="1570" w:type="dxa"/>
          </w:tcPr>
          <w:tcPr/>
          <w:p>
            <w:pPr>
              <w:pStyle w:val="Compact"/>
              <w:jc w:val="left"/>
            </w:pPr>
            <w:r>
              <w:t xml:space="preserve">2016-2025</w:t>
            </w:r>
          </w:p>
        </w:tc>
        <w:tc>
          <w:tcPr>
            <w:tcW w:w="1621" w:type="dxa"/>
          </w:tcPr>
          <w:tcPr/>
          <w:p>
            <w:pPr>
              <w:pStyle w:val="Compact"/>
              <w:jc w:val="left"/>
            </w:pPr>
            <w:r>
              <w:t xml:space="preserve">[V]</w:t>
            </w:r>
          </w:p>
        </w:tc>
        <w:tc>
          <w:tcPr>
            <w:tcW w:w="1182" w:type="dxa"/>
          </w:tcPr>
          <w:tcPr/>
          <w:p>
            <w:pPr>
              <w:pStyle w:val="Compact"/>
              <w:jc w:val="left"/>
            </w:pPr>
            <w:r>
              <w:t xml:space="preserve">[1]</w:t>
            </w:r>
          </w:p>
        </w:tc>
      </w:tr>
      <w:tr>
        <w:tc>
          <w:tcPr>
            <w:tcW w:w="1976" w:type="dxa"/>
          </w:tcPr>
          <w:tcPr/>
          <w:p>
            <w:pPr>
              <w:pStyle w:val="Compact"/>
              <w:jc w:val="left"/>
            </w:pPr>
            <w:r>
              <w:t xml:space="preserve">Mix et coût</w:t>
            </w:r>
          </w:p>
        </w:tc>
        <w:tc>
          <w:tcPr>
            <w:tcW w:w="8219" w:type="dxa"/>
          </w:tcPr>
          <w:tcPr/>
          <w:p>
            <w:pPr>
              <w:pStyle w:val="Compact"/>
              <w:jc w:val="left"/>
            </w:pPr>
            <w:r>
              <w:t xml:space="preserve">&gt; 93 % diesel importé ; ENR hors hydro marginales</w:t>
            </w:r>
          </w:p>
        </w:tc>
        <w:tc>
          <w:tcPr>
            <w:tcW w:w="1570" w:type="dxa"/>
          </w:tcPr>
          <w:tcPr/>
          <w:p>
            <w:pPr>
              <w:pStyle w:val="Compact"/>
              <w:jc w:val="left"/>
            </w:pPr>
            <w:r>
              <w:t xml:space="preserve">2016-2025</w:t>
            </w:r>
          </w:p>
        </w:tc>
        <w:tc>
          <w:tcPr>
            <w:tcW w:w="1621" w:type="dxa"/>
          </w:tcPr>
          <w:tcPr/>
          <w:p>
            <w:pPr>
              <w:pStyle w:val="Compact"/>
              <w:jc w:val="left"/>
            </w:pPr>
            <w:r>
              <w:t xml:space="preserve">[V]</w:t>
            </w:r>
          </w:p>
        </w:tc>
        <w:tc>
          <w:tcPr>
            <w:tcW w:w="1182" w:type="dxa"/>
          </w:tcPr>
          <w:tcPr/>
          <w:p>
            <w:pPr>
              <w:pStyle w:val="Compact"/>
              <w:jc w:val="left"/>
            </w:pPr>
            <w:r>
              <w:t xml:space="preserve">[1]</w:t>
            </w:r>
          </w:p>
        </w:tc>
      </w:tr>
    </w:tbl>
    <w:bookmarkEnd w:id="335"/>
    <w:bookmarkStart w:id="336" w:name="situation-économique-et-gouvernance-29"/>
    <w:p>
      <w:pPr>
        <w:pStyle w:val="Heading3"/>
      </w:pPr>
      <w:r>
        <w:t xml:space="preserve">3. Situation économique et gouvernance</w:t>
      </w:r>
    </w:p>
    <w:p>
      <w:pPr>
        <w:numPr>
          <w:ilvl w:val="0"/>
          <w:numId w:val="1180"/>
        </w:numPr>
        <w:pStyle w:val="Compact"/>
      </w:pPr>
      <w:r>
        <w:t xml:space="preserve">PPA : groupes diesel de location privés (Tesla STP) ; carburant ENCO (filiale liée à Sonangol) — dette ENCO→Sonangol traitée comme dette commerciale extérieure [2] [V].</w:t>
      </w:r>
    </w:p>
    <w:p>
      <w:pPr>
        <w:numPr>
          <w:ilvl w:val="0"/>
          <w:numId w:val="1180"/>
        </w:numPr>
        <w:pStyle w:val="Compact"/>
      </w:pPr>
      <w:r>
        <w:t xml:space="preserve">Exposition : totale au prix du gazole importé et au dollar [1] [V]. Contrôles anti-détournement : carburant EMAE coloré au chargement, caméras [2] [V].</w:t>
      </w:r>
    </w:p>
    <w:p>
      <w:pPr>
        <w:numPr>
          <w:ilvl w:val="0"/>
          <w:numId w:val="1180"/>
        </w:numPr>
        <w:pStyle w:val="Compact"/>
      </w:pPr>
      <w:r>
        <w:t xml:space="preserve">Redressement :</w:t>
      </w:r>
      <w:r>
        <w:t xml:space="preserve"> </w:t>
      </w:r>
      <w:r>
        <w:rPr>
          <w:bCs/>
          <w:b/>
        </w:rPr>
        <w:t xml:space="preserve">plan de restructuration d’EMAE assorti d’échéances à préparer d’ici fin mars 2026 (SB8 FMI)</w:t>
      </w:r>
      <w:r>
        <w:t xml:space="preserve">, couvrant restructuration financière, opérationnelle et des effectifs, et refonte de la direction [2] [V] ; état d’avancement [?].</w:t>
      </w:r>
    </w:p>
    <w:p>
      <w:pPr>
        <w:numPr>
          <w:ilvl w:val="0"/>
          <w:numId w:val="1180"/>
        </w:numPr>
        <w:pStyle w:val="Compact"/>
      </w:pPr>
      <w:r>
        <w:t xml:space="preserve">Gouvernance : quatre changements ministériels entre 2021 et 2026 ; sureffectif ; continuité des réformes jugée « risque de gouvernance le plus critique » [1] [V]. Pacte : concession des activités commerciales au privé (attribution 2026) — aucune confirmation trouvée [?].</w:t>
      </w:r>
    </w:p>
    <w:bookmarkEnd w:id="336"/>
    <w:bookmarkStart w:id="337" w:name="X4972df787a1cd630c0f52d49285319f8e41d094"/>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2759"/>
        <w:gridCol w:w="1010"/>
        <w:gridCol w:w="1671"/>
        <w:gridCol w:w="937"/>
        <w:gridCol w:w="3429"/>
        <w:gridCol w:w="1397"/>
        <w:gridCol w:w="2672"/>
        <w:gridCol w:w="692"/>
      </w:tblGrid>
      <w:tr>
        <w:trPr>
          <w:tblHeader w:val="true"/>
        </w:trPr>
        <w:tc>
          <w:tcPr>
            <w:tcW w:w="2759" w:type="dxa"/>
          </w:tcPr>
          <w:tcPr/>
          <w:p>
            <w:pPr>
              <w:pStyle w:val="Compact"/>
              <w:jc w:val="left"/>
            </w:pPr>
            <w:r>
              <w:t xml:space="preserve">Programme / projet</w:t>
            </w:r>
          </w:p>
        </w:tc>
        <w:tc>
          <w:tcPr>
            <w:tcW w:w="1010" w:type="dxa"/>
          </w:tcPr>
          <w:tcPr/>
          <w:p>
            <w:pPr>
              <w:pStyle w:val="Compact"/>
              <w:jc w:val="left"/>
            </w:pPr>
            <w:r>
              <w:t xml:space="preserve">Bailleur</w:t>
            </w:r>
          </w:p>
        </w:tc>
        <w:tc>
          <w:tcPr>
            <w:tcW w:w="1671" w:type="dxa"/>
          </w:tcPr>
          <w:tcPr/>
          <w:p>
            <w:pPr>
              <w:pStyle w:val="Compact"/>
              <w:jc w:val="left"/>
            </w:pPr>
            <w:r>
              <w:t xml:space="preserve">Montant</w:t>
            </w:r>
          </w:p>
        </w:tc>
        <w:tc>
          <w:tcPr>
            <w:tcW w:w="937" w:type="dxa"/>
          </w:tcPr>
          <w:tcPr/>
          <w:p>
            <w:pPr>
              <w:pStyle w:val="Compact"/>
              <w:jc w:val="left"/>
            </w:pPr>
            <w:r>
              <w:t xml:space="preserve">Années</w:t>
            </w:r>
          </w:p>
        </w:tc>
        <w:tc>
          <w:tcPr>
            <w:tcW w:w="3429" w:type="dxa"/>
          </w:tcPr>
          <w:tcPr/>
          <w:p>
            <w:pPr>
              <w:pStyle w:val="Compact"/>
              <w:jc w:val="left"/>
            </w:pPr>
            <w:r>
              <w:t xml:space="preserve">Objectifs liés à l’opérateur</w:t>
            </w:r>
          </w:p>
        </w:tc>
        <w:tc>
          <w:tcPr>
            <w:tcW w:w="1397" w:type="dxa"/>
          </w:tcPr>
          <w:tcPr/>
          <w:p>
            <w:pPr>
              <w:pStyle w:val="Compact"/>
              <w:jc w:val="left"/>
            </w:pPr>
            <w:r>
              <w:t xml:space="preserve">Conditions/indicateurs</w:t>
            </w:r>
          </w:p>
        </w:tc>
        <w:tc>
          <w:tcPr>
            <w:tcW w:w="2672" w:type="dxa"/>
          </w:tcPr>
          <w:tcPr/>
          <w:p>
            <w:pPr>
              <w:pStyle w:val="Compact"/>
              <w:jc w:val="left"/>
            </w:pPr>
            <w:r>
              <w:t xml:space="preserve">Statut d’exécution</w:t>
            </w:r>
          </w:p>
        </w:tc>
        <w:tc>
          <w:tcPr>
            <w:tcW w:w="692" w:type="dxa"/>
          </w:tcPr>
          <w:tcPr/>
          <w:p>
            <w:pPr>
              <w:pStyle w:val="Compact"/>
              <w:jc w:val="left"/>
            </w:pPr>
            <w:r>
              <w:t xml:space="preserve">Source</w:t>
            </w:r>
          </w:p>
        </w:tc>
      </w:tr>
      <w:tr>
        <w:tc>
          <w:tcPr>
            <w:tcW w:w="2759" w:type="dxa"/>
          </w:tcPr>
          <w:tcPr/>
          <w:p>
            <w:pPr>
              <w:pStyle w:val="Compact"/>
              <w:jc w:val="left"/>
            </w:pPr>
            <w:r>
              <w:t xml:space="preserve">STP Power Sector Recovery Project (PSRP) + AF,</w:t>
            </w:r>
            <w:r>
              <w:t xml:space="preserve"> </w:t>
            </w:r>
            <w:r>
              <w:rPr>
                <w:bCs/>
                <w:b/>
              </w:rPr>
              <w:t xml:space="preserve">P157096 / P169196</w:t>
            </w:r>
          </w:p>
        </w:tc>
        <w:tc>
          <w:tcPr>
            <w:tcW w:w="1010" w:type="dxa"/>
          </w:tcPr>
          <w:tcPr/>
          <w:p>
            <w:pPr>
              <w:pStyle w:val="Compact"/>
              <w:jc w:val="left"/>
            </w:pPr>
            <w:r>
              <w:t xml:space="preserve">BM (IDA D1260, D5870) + BEI</w:t>
            </w:r>
          </w:p>
        </w:tc>
        <w:tc>
          <w:tcPr>
            <w:tcW w:w="1671" w:type="dxa"/>
          </w:tcPr>
          <w:tcPr/>
          <w:p>
            <w:pPr>
              <w:pStyle w:val="Compact"/>
              <w:jc w:val="left"/>
            </w:pPr>
            <w:r>
              <w:t xml:space="preserve">Initial 41 M USD (dont IDA 16 + 12) ; révisé 32,7 M ; décaissé 32,63 M</w:t>
            </w:r>
          </w:p>
        </w:tc>
        <w:tc>
          <w:tcPr>
            <w:tcW w:w="937" w:type="dxa"/>
          </w:tcPr>
          <w:tcPr/>
          <w:p>
            <w:pPr>
              <w:pStyle w:val="Compact"/>
              <w:jc w:val="left"/>
            </w:pPr>
            <w:r>
              <w:t xml:space="preserve">2016-10/2025 (clos)</w:t>
            </w:r>
          </w:p>
        </w:tc>
        <w:tc>
          <w:tcPr>
            <w:tcW w:w="3429" w:type="dxa"/>
          </w:tcPr>
          <w:tcPr/>
          <w:p>
            <w:pPr>
              <w:pStyle w:val="Compact"/>
              <w:jc w:val="left"/>
            </w:pPr>
            <w:r>
              <w:t xml:space="preserve">Hydro Contador, protection des revenus, MIP EMAE, étude tarifaire, plan de moindre coût</w:t>
            </w:r>
          </w:p>
        </w:tc>
        <w:tc>
          <w:tcPr>
            <w:tcW w:w="1397" w:type="dxa"/>
          </w:tcPr>
          <w:tcPr/>
          <w:p>
            <w:pPr>
              <w:pStyle w:val="Compact"/>
              <w:jc w:val="left"/>
            </w:pPr>
            <w:r>
              <w:t xml:space="preserve">Pertes 40 % → cible 35 % (révisée) ; compteurs 21 000 (2 000 atteints)</w:t>
            </w:r>
          </w:p>
        </w:tc>
        <w:tc>
          <w:tcPr>
            <w:tcW w:w="2672" w:type="dxa"/>
          </w:tcPr>
          <w:tcPr/>
          <w:p>
            <w:pPr>
              <w:pStyle w:val="Compact"/>
              <w:jc w:val="left"/>
            </w:pPr>
            <w:r>
              <w:rPr>
                <w:bCs/>
                <w:b/>
              </w:rPr>
              <w:t xml:space="preserve">ICR : résultat « modérément insatisfaisant »</w:t>
            </w:r>
            <w:r>
              <w:t xml:space="preserve">, performance BM « MI », S&amp;E « modeste »</w:t>
            </w:r>
          </w:p>
        </w:tc>
        <w:tc>
          <w:tcPr>
            <w:tcW w:w="692" w:type="dxa"/>
          </w:tcPr>
          <w:tcPr/>
          <w:p>
            <w:pPr>
              <w:pStyle w:val="Compact"/>
              <w:jc w:val="left"/>
            </w:pPr>
            <w:r>
              <w:t xml:space="preserve">[1]</w:t>
            </w:r>
          </w:p>
        </w:tc>
      </w:tr>
      <w:tr>
        <w:tc>
          <w:tcPr>
            <w:tcW w:w="2759" w:type="dxa"/>
          </w:tcPr>
          <w:tcPr/>
          <w:p>
            <w:pPr>
              <w:pStyle w:val="Compact"/>
              <w:jc w:val="left"/>
            </w:pPr>
            <w:r>
              <w:t xml:space="preserve">Access to Clean and Resilient Electricity (ACRE) under ASCENT MPA,</w:t>
            </w:r>
            <w:r>
              <w:t xml:space="preserve"> </w:t>
            </w:r>
            <w:r>
              <w:rPr>
                <w:bCs/>
                <w:b/>
              </w:rPr>
              <w:t xml:space="preserve">P177099</w:t>
            </w:r>
          </w:p>
        </w:tc>
        <w:tc>
          <w:tcPr>
            <w:tcW w:w="1010" w:type="dxa"/>
          </w:tcPr>
          <w:tcPr/>
          <w:p>
            <w:pPr>
              <w:pStyle w:val="Compact"/>
              <w:jc w:val="left"/>
            </w:pPr>
            <w:r>
              <w:t xml:space="preserve">BM (IDA E2590, E4890 + TF)</w:t>
            </w:r>
          </w:p>
        </w:tc>
        <w:tc>
          <w:tcPr>
            <w:tcW w:w="1671" w:type="dxa"/>
          </w:tcPr>
          <w:tcPr/>
          <w:p>
            <w:pPr>
              <w:pStyle w:val="Compact"/>
              <w:jc w:val="left"/>
            </w:pPr>
            <w:r>
              <w:t xml:space="preserve">38 M (révisé 39,29) + 8 M IDA + 6,9 M TF</w:t>
            </w:r>
          </w:p>
        </w:tc>
        <w:tc>
          <w:tcPr>
            <w:tcW w:w="937" w:type="dxa"/>
          </w:tcPr>
          <w:tcPr/>
          <w:p>
            <w:pPr>
              <w:pStyle w:val="Compact"/>
              <w:jc w:val="left"/>
            </w:pPr>
            <w:r>
              <w:t xml:space="preserve">2023-12/2028</w:t>
            </w:r>
          </w:p>
        </w:tc>
        <w:tc>
          <w:tcPr>
            <w:tcW w:w="3429" w:type="dxa"/>
          </w:tcPr>
          <w:tcPr/>
          <w:p>
            <w:pPr>
              <w:pStyle w:val="Compact"/>
              <w:jc w:val="left"/>
            </w:pPr>
            <w:r>
              <w:t xml:space="preserve">Solaire (Água Casada), système de gestion (CMS, DMS/OMS, SIG) d’EMAE, recrutement de la direction et d’un DAF</w:t>
            </w:r>
          </w:p>
        </w:tc>
        <w:tc>
          <w:tcPr>
            <w:tcW w:w="1397" w:type="dxa"/>
          </w:tcPr>
          <w:tcPr/>
          <w:p>
            <w:pPr>
              <w:pStyle w:val="Compact"/>
              <w:jc w:val="left"/>
            </w:pPr>
            <w:r>
              <w:t xml:space="preserve">—</w:t>
            </w:r>
          </w:p>
        </w:tc>
        <w:tc>
          <w:tcPr>
            <w:tcW w:w="2672" w:type="dxa"/>
          </w:tcPr>
          <w:tcPr/>
          <w:p>
            <w:pPr>
              <w:pStyle w:val="Compact"/>
              <w:jc w:val="left"/>
            </w:pPr>
            <w:r>
              <w:t xml:space="preserve">Revue à mi-parcours avril 2026 : « modérément satisfaisant » ; IDA-E2590 décaissé à 64 %</w:t>
            </w:r>
          </w:p>
        </w:tc>
        <w:tc>
          <w:tcPr>
            <w:tcW w:w="692" w:type="dxa"/>
          </w:tcPr>
          <w:tcPr/>
          <w:p>
            <w:pPr>
              <w:pStyle w:val="Compact"/>
              <w:jc w:val="left"/>
            </w:pPr>
            <w:r>
              <w:t xml:space="preserve">[3][5]</w:t>
            </w:r>
          </w:p>
        </w:tc>
      </w:tr>
      <w:tr>
        <w:tc>
          <w:tcPr>
            <w:tcW w:w="2759" w:type="dxa"/>
          </w:tcPr>
          <w:tcPr/>
          <w:p>
            <w:pPr>
              <w:pStyle w:val="Compact"/>
              <w:jc w:val="left"/>
            </w:pPr>
            <w:r>
              <w:t xml:space="preserve">Facilité élargie de crédit (FEC), 1re revue</w:t>
            </w:r>
          </w:p>
        </w:tc>
        <w:tc>
          <w:tcPr>
            <w:tcW w:w="1010" w:type="dxa"/>
          </w:tcPr>
          <w:tcPr/>
          <w:p>
            <w:pPr>
              <w:pStyle w:val="Compact"/>
              <w:jc w:val="left"/>
            </w:pPr>
            <w:r>
              <w:t xml:space="preserve">FMI</w:t>
            </w:r>
          </w:p>
        </w:tc>
        <w:tc>
          <w:tcPr>
            <w:tcW w:w="1671" w:type="dxa"/>
          </w:tcPr>
          <w:tcPr/>
          <w:p>
            <w:pPr>
              <w:pStyle w:val="Compact"/>
              <w:jc w:val="left"/>
            </w:pPr>
            <w:r>
              <w:t xml:space="preserve">[?]</w:t>
            </w:r>
          </w:p>
        </w:tc>
        <w:tc>
          <w:tcPr>
            <w:tcW w:w="937" w:type="dxa"/>
          </w:tcPr>
          <w:tcPr/>
          <w:p>
            <w:pPr>
              <w:pStyle w:val="Compact"/>
              <w:jc w:val="left"/>
            </w:pPr>
            <w:r>
              <w:t xml:space="preserve">2024-2028</w:t>
            </w:r>
          </w:p>
        </w:tc>
        <w:tc>
          <w:tcPr>
            <w:tcW w:w="3429" w:type="dxa"/>
          </w:tcPr>
          <w:tcPr/>
          <w:p>
            <w:pPr>
              <w:pStyle w:val="Compact"/>
              <w:jc w:val="left"/>
            </w:pPr>
            <w:r>
              <w:t xml:space="preserve">KPI trimestriels EMAE (SB7) ; plan de restructuration EMAE (SB8, fin mars 2026) ; hausse tarifaire fin 2025</w:t>
            </w:r>
          </w:p>
        </w:tc>
        <w:tc>
          <w:tcPr>
            <w:tcW w:w="1397" w:type="dxa"/>
          </w:tcPr>
          <w:tcPr/>
          <w:p>
            <w:pPr>
              <w:pStyle w:val="Compact"/>
              <w:jc w:val="left"/>
            </w:pPr>
            <w:r>
              <w:t xml:space="preserve">Repères structurels</w:t>
            </w:r>
          </w:p>
        </w:tc>
        <w:tc>
          <w:tcPr>
            <w:tcW w:w="2672" w:type="dxa"/>
          </w:tcPr>
          <w:tcPr/>
          <w:p>
            <w:pPr>
              <w:pStyle w:val="Compact"/>
              <w:jc w:val="left"/>
            </w:pPr>
            <w:r>
              <w:t xml:space="preserve">KPI publiés en retard (2025)</w:t>
            </w:r>
          </w:p>
        </w:tc>
        <w:tc>
          <w:tcPr>
            <w:tcW w:w="692" w:type="dxa"/>
          </w:tcPr>
          <w:tcPr/>
          <w:p>
            <w:pPr>
              <w:pStyle w:val="Compact"/>
              <w:jc w:val="left"/>
            </w:pPr>
            <w:r>
              <w:t xml:space="preserve">[2]</w:t>
            </w:r>
          </w:p>
        </w:tc>
      </w:tr>
      <w:tr>
        <w:tc>
          <w:tcPr>
            <w:tcW w:w="2759" w:type="dxa"/>
          </w:tcPr>
          <w:tcPr/>
          <w:p>
            <w:pPr>
              <w:pStyle w:val="Compact"/>
              <w:jc w:val="left"/>
            </w:pPr>
            <w:r>
              <w:t xml:space="preserve">ETISP (Energy Transition and Institutional Support Program)</w:t>
            </w:r>
          </w:p>
        </w:tc>
        <w:tc>
          <w:tcPr>
            <w:tcW w:w="1010" w:type="dxa"/>
          </w:tcPr>
          <w:tcPr/>
          <w:p>
            <w:pPr>
              <w:pStyle w:val="Compact"/>
              <w:jc w:val="left"/>
            </w:pPr>
            <w:r>
              <w:t xml:space="preserve">BAD</w:t>
            </w:r>
          </w:p>
        </w:tc>
        <w:tc>
          <w:tcPr>
            <w:tcW w:w="1671" w:type="dxa"/>
          </w:tcPr>
          <w:tcPr/>
          <w:p>
            <w:pPr>
              <w:pStyle w:val="Compact"/>
              <w:jc w:val="left"/>
            </w:pPr>
            <w:r>
              <w:t xml:space="preserve">13,275 M USD (pacte)</w:t>
            </w:r>
          </w:p>
        </w:tc>
        <w:tc>
          <w:tcPr>
            <w:tcW w:w="937" w:type="dxa"/>
          </w:tcPr>
          <w:tcPr/>
          <w:p>
            <w:pPr>
              <w:pStyle w:val="Compact"/>
              <w:jc w:val="left"/>
            </w:pPr>
            <w:r>
              <w:t xml:space="preserve">2021-2027</w:t>
            </w:r>
          </w:p>
        </w:tc>
        <w:tc>
          <w:tcPr>
            <w:tcW w:w="3429" w:type="dxa"/>
          </w:tcPr>
          <w:tcPr/>
          <w:p>
            <w:pPr>
              <w:pStyle w:val="Compact"/>
              <w:jc w:val="left"/>
            </w:pPr>
            <w:r>
              <w:t xml:space="preserve">1,2-1,3 MW PV mis en service</w:t>
            </w:r>
          </w:p>
        </w:tc>
        <w:tc>
          <w:tcPr>
            <w:tcW w:w="1397" w:type="dxa"/>
          </w:tcPr>
          <w:tcPr/>
          <w:p>
            <w:pPr>
              <w:pStyle w:val="Compact"/>
              <w:jc w:val="left"/>
            </w:pPr>
            <w:r>
              <w:t xml:space="preserve">[?]</w:t>
            </w:r>
          </w:p>
        </w:tc>
        <w:tc>
          <w:tcPr>
            <w:tcW w:w="2672" w:type="dxa"/>
          </w:tcPr>
          <w:tcPr/>
          <w:p>
            <w:pPr>
              <w:pStyle w:val="Compact"/>
              <w:jc w:val="left"/>
            </w:pPr>
            <w:r>
              <w:t xml:space="preserve">PV de 1,2 MW connecté (FMI 2025)</w:t>
            </w:r>
          </w:p>
        </w:tc>
        <w:tc>
          <w:tcPr>
            <w:tcW w:w="692" w:type="dxa"/>
          </w:tcPr>
          <w:tcPr/>
          <w:p>
            <w:pPr>
              <w:pStyle w:val="Compact"/>
              <w:jc w:val="left"/>
            </w:pPr>
            <w:r>
              <w:t xml:space="preserve">[P][2]</w:t>
            </w:r>
          </w:p>
        </w:tc>
      </w:tr>
    </w:tbl>
    <w:bookmarkEnd w:id="337"/>
    <w:bookmarkStart w:id="338" w:name="écart-pacte-réalité-29"/>
    <w:p>
      <w:pPr>
        <w:pStyle w:val="Heading3"/>
      </w:pPr>
      <w:r>
        <w:t xml:space="preserve">5. Écart pacte ↔ réalité</w:t>
      </w:r>
    </w:p>
    <w:p>
      <w:pPr>
        <w:numPr>
          <w:ilvl w:val="0"/>
          <w:numId w:val="1181"/>
        </w:numPr>
        <w:pStyle w:val="Compact"/>
      </w:pPr>
      <w:r>
        <w:t xml:space="preserve">Pacte : « tarifs non révisés entre 2018 et 2024 » ; BM : tarif moyen inchangé</w:t>
      </w:r>
      <w:r>
        <w:t xml:space="preserve"> </w:t>
      </w:r>
      <w:r>
        <w:rPr>
          <w:bCs/>
          <w:b/>
        </w:rPr>
        <w:t xml:space="preserve">depuis 2007</w:t>
      </w:r>
      <w:r>
        <w:t xml:space="preserve"> </w:t>
      </w:r>
      <w:r>
        <w:t xml:space="preserve">; FMI : hausse de janvier 2025 « première depuis plus d’une décennie » [1][2] [V].</w:t>
      </w:r>
    </w:p>
    <w:p>
      <w:pPr>
        <w:numPr>
          <w:ilvl w:val="0"/>
          <w:numId w:val="1181"/>
        </w:numPr>
        <w:pStyle w:val="Compact"/>
      </w:pPr>
      <w:r>
        <w:t xml:space="preserve">Pacte : trajectoire de 5 ans vers le recouvrement des coûts avec ajustements annuels → les hausses ultérieures à janvier 2025 ont été</w:t>
      </w:r>
      <w:r>
        <w:t xml:space="preserve"> </w:t>
      </w:r>
      <w:r>
        <w:rPr>
          <w:bCs/>
          <w:b/>
        </w:rPr>
        <w:t xml:space="preserve">mises en suspens</w:t>
      </w:r>
      <w:r>
        <w:t xml:space="preserve"> </w:t>
      </w:r>
      <w:r>
        <w:t xml:space="preserve">(ICR, 2026) [1] [V].</w:t>
      </w:r>
    </w:p>
    <w:p>
      <w:pPr>
        <w:numPr>
          <w:ilvl w:val="0"/>
          <w:numId w:val="1181"/>
        </w:numPr>
        <w:pStyle w:val="Compact"/>
      </w:pPr>
      <w:r>
        <w:t xml:space="preserve">Pacte : pertes ATCC 34 % ; EMAE annonce 24 % en 2025, chiffre jugé peu crédible par la BM [1] [V].</w:t>
      </w:r>
    </w:p>
    <w:p>
      <w:pPr>
        <w:numPr>
          <w:ilvl w:val="0"/>
          <w:numId w:val="1181"/>
        </w:numPr>
        <w:pStyle w:val="Compact"/>
      </w:pPr>
      <w:r>
        <w:t xml:space="preserve">Pacte : restructuration de la dette d’EMAE « sans montant » → la dette envers ENCO représente</w:t>
      </w:r>
      <w:r>
        <w:t xml:space="preserve"> </w:t>
      </w:r>
      <w:r>
        <w:rPr>
          <w:bCs/>
          <w:b/>
        </w:rPr>
        <w:t xml:space="preserve">~28 % du PIB (2023)</w:t>
      </w:r>
      <w:r>
        <w:t xml:space="preserve">, information absente du pacte [2] [V].</w:t>
      </w:r>
    </w:p>
    <w:p>
      <w:pPr>
        <w:numPr>
          <w:ilvl w:val="0"/>
          <w:numId w:val="1181"/>
        </w:numPr>
        <w:pStyle w:val="Compact"/>
      </w:pPr>
      <w:r>
        <w:t xml:space="preserve">Pacte : concession commerciale attribuée en 2026 → aucune trace ; la priorité affichée en 2026 est le recrutement compétitif de la direction [5] [V].</w:t>
      </w:r>
    </w:p>
    <w:bookmarkEnd w:id="338"/>
    <w:bookmarkStart w:id="339" w:name="diagnostic-synthétique-29"/>
    <w:p>
      <w:pPr>
        <w:pStyle w:val="Heading3"/>
      </w:pPr>
      <w:r>
        <w:t xml:space="preserve">6. Diagnostic synthétique</w:t>
      </w:r>
    </w:p>
    <w:p>
      <w:pPr>
        <w:numPr>
          <w:ilvl w:val="0"/>
          <w:numId w:val="1182"/>
        </w:numPr>
        <w:pStyle w:val="Compact"/>
      </w:pPr>
      <w:r>
        <w:t xml:space="preserve">Financière :</w:t>
      </w:r>
      <w:r>
        <w:t xml:space="preserve"> </w:t>
      </w:r>
      <w:r>
        <w:rPr>
          <w:bCs/>
          <w:b/>
        </w:rPr>
        <w:t xml:space="preserve">très faible</w:t>
      </w:r>
      <w:r>
        <w:t xml:space="preserve"> </w:t>
      </w:r>
      <w:r>
        <w:t xml:space="preserve">(insolvabilité, dette ENCO ≈ un quart à un tiers du PIB, carburant payé par l’État). Technique :</w:t>
      </w:r>
      <w:r>
        <w:t xml:space="preserve"> </w:t>
      </w:r>
      <w:r>
        <w:rPr>
          <w:bCs/>
          <w:b/>
        </w:rPr>
        <w:t xml:space="preserve">faible</w:t>
      </w:r>
      <w:r>
        <w:t xml:space="preserve"> </w:t>
      </w:r>
      <w:r>
        <w:t xml:space="preserve">(≥ 93 % diesel, pertes élevées). Gouvernance :</w:t>
      </w:r>
      <w:r>
        <w:t xml:space="preserve"> </w:t>
      </w:r>
      <w:r>
        <w:rPr>
          <w:bCs/>
          <w:b/>
        </w:rPr>
        <w:t xml:space="preserve">faible</w:t>
      </w:r>
      <w:r>
        <w:t xml:space="preserve"> </w:t>
      </w:r>
      <w:r>
        <w:t xml:space="preserve">(instabilité ministérielle, administration provisoire, MIP lent), amorce de professionnalisation (concours 2026).</w:t>
      </w:r>
    </w:p>
    <w:p>
      <w:pPr>
        <w:numPr>
          <w:ilvl w:val="0"/>
          <w:numId w:val="1182"/>
        </w:numPr>
        <w:pStyle w:val="Compact"/>
      </w:pPr>
      <w:r>
        <w:t xml:space="preserve">Causes racines : (1) dépendance au diesel importé dans un petit système insulaire ; (2) tarif sous les coûts pendant 18 ans ; (3) faiblesse commerciale (comptage, recouvrement) et instabilité politique.</w:t>
      </w:r>
    </w:p>
    <w:p>
      <w:pPr>
        <w:numPr>
          <w:ilvl w:val="0"/>
          <w:numId w:val="1182"/>
        </w:numPr>
        <w:pStyle w:val="Compact"/>
      </w:pPr>
      <w:r>
        <w:t xml:space="preserve">Phase 3 : grille tarifaire AGER 2025 ; coût complet du kWh diesel ; coût d’achat aux groupes de location ; trajectoire du plan de restructuration (SB8).</w:t>
      </w:r>
    </w:p>
    <w:bookmarkEnd w:id="339"/>
    <w:bookmarkStart w:id="340" w:name="inconnus-29"/>
    <w:p>
      <w:pPr>
        <w:pStyle w:val="Heading3"/>
      </w:pPr>
      <w:r>
        <w:t xml:space="preserve">7. Inconnus</w:t>
      </w:r>
    </w:p>
    <w:p>
      <w:pPr>
        <w:numPr>
          <w:ilvl w:val="0"/>
          <w:numId w:val="1183"/>
        </w:numPr>
        <w:pStyle w:val="Compact"/>
      </w:pPr>
      <w:r>
        <w:t xml:space="preserve">États financiers EMAE [?] ; KPI trimestriels publiés (non consultés) [?] ; statut de la concession commerciale [?] ; ampleur exacte de la hausse de janvier 2025 (+15 % selon le pacte, non recoupé) [?].</w:t>
      </w:r>
    </w:p>
    <w:bookmarkEnd w:id="340"/>
    <w:bookmarkStart w:id="341" w:name="sources-30"/>
    <w:p>
      <w:pPr>
        <w:pStyle w:val="Heading3"/>
      </w:pPr>
      <w:r>
        <w:t xml:space="preserve">Sources</w:t>
      </w:r>
    </w:p>
    <w:p>
      <w:pPr>
        <w:pStyle w:val="FirstParagraph"/>
      </w:pPr>
      <w:r>
        <w:t xml:space="preserve">[1] Banque mondiale, « São Tomé and Príncipe — Power Sector Recovery Project: Additional Financing », Implementation Completion and Results Report, avril 2026. https://documents.worldbank.org/curated/en/099051826182540861/pdf/BOSIB-3e2f0168-c029-477b-b951-3bbf8db04638.pdf</w:t>
      </w:r>
      <w:r>
        <w:t xml:space="preserve"> </w:t>
      </w:r>
      <w:r>
        <w:t xml:space="preserve">[2] FMI, « São Tomé and Príncipe: 2025 Article IV Consultation, First Review under the ECF… », IMF Country Report No. 25/228, août 2025. https://www.imf.org/-/media/files/publications/cr/2025/english/1stpea2025002-source-pdf.pdf</w:t>
      </w:r>
      <w:r>
        <w:t xml:space="preserve"> </w:t>
      </w:r>
      <w:r>
        <w:t xml:space="preserve">[3] Banque mondiale, ISR, ACRE under ASCENT MPA (P177099), 22-06-2026. https://documents.worldbank.org/curated/en/099062226083510127/pdf/P177099-1f66f8a5-40aa-4265-a6fe-f309d821a3c5.pdf</w:t>
      </w:r>
      <w:r>
        <w:t xml:space="preserve"> </w:t>
      </w:r>
      <w:r>
        <w:t xml:space="preserve">[4] Banque mondiale, API Projects (search.worldbank.org/api/v2/projects), fiches STP, consulté le 2026-10-18.</w:t>
      </w:r>
      <w:r>
        <w:t xml:space="preserve"> </w:t>
      </w:r>
      <w:r>
        <w:t xml:space="preserve">[5] Gouvernement de São Tomé-et-Príncipe, « Comunicado de imprensa — Governo esclarece decisões relativas à EMAE e à ENASA », 05-08-2026. https://rstp.st/wp-content/uploads/2026/08/COMUNICADO-DE-IMPRENSA-Medias-Final.pdf</w:t>
      </w:r>
      <w:r>
        <w:t xml:space="preserve"> </w:t>
      </w:r>
      <w:r>
        <w:t xml:space="preserve">[6] Forbes África Lusófona, « Emae de São Tomé e Príncipe admite dívida de dois milhões de euros à empresa turca Tesla STP » (date non lue). https://forbesafricalusofona.com/?p=158311 ; Conseil des ministres, communiqué du 07-06-2024. https://rstp.st/wp-content/uploads/2024/06/Conselho-de-Ministros-Ord-54.-07_06_24-Comunicado.pdf</w:t>
      </w:r>
      <w:r>
        <w:t xml:space="preserve"> </w:t>
      </w:r>
      <w:r>
        <w:t xml:space="preserve">[P] Fiche phase 1 (National Energy Compact, sept. 2025) : ../../phase1/fiches/STP_sao-tome-et-principe.md</w:t>
      </w:r>
    </w:p>
    <w:p>
      <w:r>
        <w:br w:type="page"/>
      </w:r>
    </w:p>
    <w:bookmarkEnd w:id="341"/>
    <w:bookmarkEnd w:id="342"/>
    <w:bookmarkStart w:id="352" w:name="diagnostic-opérateur-sne-tchadelec-tchad"/>
    <w:p>
      <w:pPr>
        <w:pStyle w:val="Heading2"/>
      </w:pPr>
      <w:r>
        <w:t xml:space="preserve">Diagnostic opérateur — SNE / TchadElec (Tchad)</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FMI)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../../phase1/fiches/TCD_tchad.md (cité « (pacte) », source [P]).</w:t>
      </w:r>
      <w:r>
        <w:t xml:space="preserve"> </w:t>
      </w:r>
      <w:r>
        <w:t xml:space="preserve">Recherche effectuée le 2026-10-18.</w:t>
      </w:r>
    </w:p>
    <w:bookmarkStart w:id="343" w:name="identité-30"/>
    <w:p>
      <w:pPr>
        <w:pStyle w:val="Heading3"/>
      </w:pPr>
      <w:r>
        <w:t xml:space="preserve">0. Identité</w:t>
      </w:r>
    </w:p>
    <w:p>
      <w:pPr>
        <w:numPr>
          <w:ilvl w:val="0"/>
          <w:numId w:val="1184"/>
        </w:numPr>
        <w:pStyle w:val="Compact"/>
      </w:pPr>
      <w:r>
        <w:rPr>
          <w:bCs/>
          <w:b/>
        </w:rPr>
        <w:t xml:space="preserve">Changement majeur depuis le pacte</w:t>
      </w:r>
      <w:r>
        <w:t xml:space="preserve"> </w:t>
      </w:r>
      <w:r>
        <w:t xml:space="preserve">: par le décret n° 1293/PR/PM/MEE/2025 (signé le 7 juillet 2025, publié le 9 juillet), l’État a retiré à la Société Nationale d’Électricité (SNE) la qualité d’« exploitant principal délégataire du service public de l’énergie électrique » et créé la</w:t>
      </w:r>
      <w:r>
        <w:t xml:space="preserve"> </w:t>
      </w:r>
      <w:r>
        <w:rPr>
          <w:bCs/>
          <w:b/>
        </w:rPr>
        <w:t xml:space="preserve">Société Tchadienne d’Électricité (TchadElec)</w:t>
      </w:r>
      <w:r>
        <w:t xml:space="preserve">, détenue à 100 % par l’État, chargée de la production, du transport, de la distribution, de la commercialisation, de l’importation et de l’exportation ; les biens affectés au service public lui sont rétrocédés [6][7][8] [S] (texte du décret référencé sur la base LEAP du PNUE [8] ; texte intégral non lu [?]). L’ISR BM de juin 2026 mentionne désormais « TchadElec » parmi les agences du secteur [2] [V], tout en listant toujours la SNE comme agence d’exécution du PAAET [2] [V].</w:t>
      </w:r>
    </w:p>
    <w:p>
      <w:pPr>
        <w:numPr>
          <w:ilvl w:val="0"/>
          <w:numId w:val="1184"/>
        </w:numPr>
        <w:pStyle w:val="Compact"/>
      </w:pPr>
      <w:r>
        <w:t xml:space="preserve">Opérateur intégré, monopole public. IPP existants (pacte) : CET-Power, Green Energy, NRC (raffinerie), Innovent ; total 85 MW (pacte) [P]. Raffinerie SRN (40 % État) fournit le combustible [1] [V].</w:t>
      </w:r>
    </w:p>
    <w:p>
      <w:pPr>
        <w:numPr>
          <w:ilvl w:val="0"/>
          <w:numId w:val="1184"/>
        </w:numPr>
        <w:pStyle w:val="Compact"/>
      </w:pPr>
      <w:r>
        <w:t xml:space="preserve">Juillet 2026 : la lettre circulaire présidentielle du 31-07-2026 sur la loi de finances 2027 annonce l’ouverture progressive de la production et de la distribution au privé dans les chefs-lieux de province, « réduisant le monopole de TchadElec » [9] [S].</w:t>
      </w:r>
    </w:p>
    <w:p>
      <w:pPr>
        <w:numPr>
          <w:ilvl w:val="0"/>
          <w:numId w:val="1184"/>
        </w:numPr>
        <w:pStyle w:val="Compact"/>
      </w:pPr>
      <w:r>
        <w:t xml:space="preserve">Tutelle : Ministère de l’Eau et de l’Énergie (MEE) [3] [V]. Régulateur : ARSE (Agence pour la Régulation du Secteur de l’Énergie) — capacité limitée, appui BM en cours [3] [V] ; indépendance [?].</w:t>
      </w:r>
    </w:p>
    <w:p>
      <w:pPr>
        <w:numPr>
          <w:ilvl w:val="0"/>
          <w:numId w:val="1184"/>
        </w:numPr>
        <w:pStyle w:val="Compact"/>
      </w:pPr>
      <w:r>
        <w:t xml:space="preserve">Dernier exercice publié : selon le pacte, états financiers audités 2022 [P] ;</w:t>
      </w:r>
      <w:r>
        <w:t xml:space="preserve"> </w:t>
      </w:r>
      <w:r>
        <w:rPr>
          <w:bCs/>
          <w:b/>
        </w:rPr>
        <w:t xml:space="preserve">aucun état financier SNE ou TchadElec trouvé en ligne</w:t>
      </w:r>
      <w:r>
        <w:t xml:space="preserve"> </w:t>
      </w:r>
      <w:r>
        <w:t xml:space="preserve">[?] non trouvé. Le dernier DG de la SNE jugeait la société « insolvable » en avril 2024 [6] [S].</w:t>
      </w:r>
    </w:p>
    <w:bookmarkEnd w:id="343"/>
    <w:bookmarkStart w:id="344" w:name="situation-financière-29"/>
    <w:p>
      <w:pPr>
        <w:pStyle w:val="Heading3"/>
      </w:pPr>
      <w:r>
        <w:t xml:space="preserve">1. Situation financière</w:t>
      </w:r>
    </w:p>
    <w:tbl>
      <w:tblPr>
        <w:tblStyle w:val="Table"/>
        <w:tblW w:type="dxa" w:w="14570"/>
        <w:tblLook w:firstRow="1" w:lastRow="0" w:firstColumn="0" w:lastColumn="0" w:noHBand="0" w:noVBand="0" w:val="0020"/>
        <w:jc w:val="start"/>
      </w:tblPr>
      <w:tblGrid>
        <w:gridCol w:w="3665"/>
        <w:gridCol w:w="7197"/>
        <w:gridCol w:w="1260"/>
        <w:gridCol w:w="1277"/>
        <w:gridCol w:w="1169"/>
      </w:tblGrid>
      <w:tr>
        <w:trPr>
          <w:tblHeader w:val="true"/>
        </w:trPr>
        <w:tc>
          <w:tcPr>
            <w:tcW w:w="3665" w:type="dxa"/>
          </w:tcPr>
          <w:tcPr/>
          <w:p>
            <w:pPr>
              <w:pStyle w:val="Compact"/>
              <w:jc w:val="left"/>
            </w:pPr>
            <w:r>
              <w:t xml:space="preserve">Indicateur</w:t>
            </w:r>
          </w:p>
        </w:tc>
        <w:tc>
          <w:tcPr>
            <w:tcW w:w="7197" w:type="dxa"/>
          </w:tcPr>
          <w:tcPr/>
          <w:p>
            <w:pPr>
              <w:pStyle w:val="Compact"/>
              <w:jc w:val="left"/>
            </w:pPr>
            <w:r>
              <w:t xml:space="preserve">Valeur</w:t>
            </w:r>
          </w:p>
        </w:tc>
        <w:tc>
          <w:tcPr>
            <w:tcW w:w="1260" w:type="dxa"/>
          </w:tcPr>
          <w:tcPr/>
          <w:p>
            <w:pPr>
              <w:pStyle w:val="Compact"/>
              <w:jc w:val="left"/>
            </w:pPr>
            <w:r>
              <w:t xml:space="preserve">Année</w:t>
            </w:r>
          </w:p>
        </w:tc>
        <w:tc>
          <w:tcPr>
            <w:tcW w:w="1277" w:type="dxa"/>
          </w:tcPr>
          <w:tcPr/>
          <w:p>
            <w:pPr>
              <w:pStyle w:val="Compact"/>
              <w:jc w:val="left"/>
            </w:pPr>
            <w:r>
              <w:t xml:space="preserve">Statut</w:t>
            </w:r>
          </w:p>
        </w:tc>
        <w:tc>
          <w:tcPr>
            <w:tcW w:w="1169" w:type="dxa"/>
          </w:tcPr>
          <w:tcPr/>
          <w:p>
            <w:pPr>
              <w:pStyle w:val="Compact"/>
              <w:jc w:val="left"/>
            </w:pPr>
            <w:r>
              <w:t xml:space="preserve">Source</w:t>
            </w:r>
          </w:p>
        </w:tc>
      </w:tr>
      <w:tr>
        <w:tc>
          <w:tcPr>
            <w:tcW w:w="3665" w:type="dxa"/>
          </w:tcPr>
          <w:tcPr/>
          <w:p>
            <w:pPr>
              <w:pStyle w:val="Compact"/>
              <w:jc w:val="left"/>
            </w:pPr>
            <w:r>
              <w:t xml:space="preserve">Chiffre d’affaires</w:t>
            </w:r>
          </w:p>
        </w:tc>
        <w:tc>
          <w:tcPr>
            <w:tcW w:w="7197" w:type="dxa"/>
          </w:tcPr>
          <w:tcPr/>
          <w:p>
            <w:pPr>
              <w:pStyle w:val="Compact"/>
              <w:jc w:val="left"/>
            </w:pPr>
            <w:r>
              <w:t xml:space="preserve">[?] non trouvé</w:t>
            </w:r>
          </w:p>
        </w:tc>
        <w:tc>
          <w:tcPr>
            <w:tcW w:w="1260" w:type="dxa"/>
          </w:tcPr>
          <w:tcPr/>
          <w:p>
            <w:pPr>
              <w:pStyle w:val="Compact"/>
              <w:jc w:val="left"/>
            </w:pPr>
            <w:r>
              <w:t xml:space="preserve">—</w:t>
            </w:r>
          </w:p>
        </w:tc>
        <w:tc>
          <w:tcPr>
            <w:tcW w:w="1277" w:type="dxa"/>
          </w:tcPr>
          <w:tcPr/>
          <w:p>
            <w:pPr>
              <w:pStyle w:val="Compact"/>
              <w:jc w:val="left"/>
            </w:pPr>
            <w:r>
              <w:t xml:space="preserve">[?]</w:t>
            </w:r>
          </w:p>
        </w:tc>
        <w:tc>
          <w:tcPr>
            <w:tcW w:w="1169" w:type="dxa"/>
          </w:tcPr>
          <w:tcPr/>
          <w:p>
            <w:pPr>
              <w:pStyle w:val="Compact"/>
              <w:jc w:val="left"/>
            </w:pPr>
            <w:r>
              <w:t xml:space="preserve">—</w:t>
            </w:r>
          </w:p>
        </w:tc>
      </w:tr>
      <w:tr>
        <w:tc>
          <w:tcPr>
            <w:tcW w:w="3665" w:type="dxa"/>
          </w:tcPr>
          <w:tcPr/>
          <w:p>
            <w:pPr>
              <w:pStyle w:val="Compact"/>
              <w:jc w:val="left"/>
            </w:pPr>
            <w:r>
              <w:t xml:space="preserve">Résultat net / marge nette</w:t>
            </w:r>
          </w:p>
        </w:tc>
        <w:tc>
          <w:tcPr>
            <w:tcW w:w="7197" w:type="dxa"/>
          </w:tcPr>
          <w:tcPr/>
          <w:p>
            <w:pPr>
              <w:pStyle w:val="Compact"/>
              <w:jc w:val="left"/>
            </w:pPr>
            <w:r>
              <w:t xml:space="preserve">[?] non trouvé ; « grave crise financière depuis 2012 malgré les subventions de l’État »</w:t>
            </w:r>
          </w:p>
        </w:tc>
        <w:tc>
          <w:tcPr>
            <w:tcW w:w="1260" w:type="dxa"/>
          </w:tcPr>
          <w:tcPr/>
          <w:p>
            <w:pPr>
              <w:pStyle w:val="Compact"/>
              <w:jc w:val="left"/>
            </w:pPr>
            <w:r>
              <w:t xml:space="preserve">2025</w:t>
            </w:r>
          </w:p>
        </w:tc>
        <w:tc>
          <w:tcPr>
            <w:tcW w:w="1277" w:type="dxa"/>
          </w:tcPr>
          <w:tcPr/>
          <w:p>
            <w:pPr>
              <w:pStyle w:val="Compact"/>
              <w:jc w:val="left"/>
            </w:pPr>
            <w:r>
              <w:t xml:space="preserve">[S]</w:t>
            </w:r>
          </w:p>
        </w:tc>
        <w:tc>
          <w:tcPr>
            <w:tcW w:w="1169" w:type="dxa"/>
          </w:tcPr>
          <w:tcPr/>
          <w:p>
            <w:pPr>
              <w:pStyle w:val="Compact"/>
              <w:jc w:val="left"/>
            </w:pPr>
            <w:r>
              <w:t xml:space="preserve">[7]</w:t>
            </w:r>
          </w:p>
        </w:tc>
      </w:tr>
      <w:tr>
        <w:tc>
          <w:tcPr>
            <w:tcW w:w="3665" w:type="dxa"/>
          </w:tcPr>
          <w:tcPr/>
          <w:p>
            <w:pPr>
              <w:pStyle w:val="Compact"/>
              <w:jc w:val="left"/>
            </w:pPr>
            <w:r>
              <w:t xml:space="preserve">EBITDA</w:t>
            </w:r>
          </w:p>
        </w:tc>
        <w:tc>
          <w:tcPr>
            <w:tcW w:w="7197" w:type="dxa"/>
          </w:tcPr>
          <w:tcPr/>
          <w:p>
            <w:pPr>
              <w:pStyle w:val="Compact"/>
              <w:jc w:val="left"/>
            </w:pPr>
            <w:r>
              <w:t xml:space="preserve">[?] non trouvé</w:t>
            </w:r>
          </w:p>
        </w:tc>
        <w:tc>
          <w:tcPr>
            <w:tcW w:w="1260" w:type="dxa"/>
          </w:tcPr>
          <w:tcPr/>
          <w:p>
            <w:pPr>
              <w:pStyle w:val="Compact"/>
              <w:jc w:val="left"/>
            </w:pPr>
            <w:r>
              <w:t xml:space="preserve">—</w:t>
            </w:r>
          </w:p>
        </w:tc>
        <w:tc>
          <w:tcPr>
            <w:tcW w:w="1277" w:type="dxa"/>
          </w:tcPr>
          <w:tcPr/>
          <w:p>
            <w:pPr>
              <w:pStyle w:val="Compact"/>
              <w:jc w:val="left"/>
            </w:pPr>
            <w:r>
              <w:t xml:space="preserve">[?]</w:t>
            </w:r>
          </w:p>
        </w:tc>
        <w:tc>
          <w:tcPr>
            <w:tcW w:w="1169" w:type="dxa"/>
          </w:tcPr>
          <w:tcPr/>
          <w:p>
            <w:pPr>
              <w:pStyle w:val="Compact"/>
              <w:jc w:val="left"/>
            </w:pPr>
            <w:r>
              <w:t xml:space="preserve">—</w:t>
            </w:r>
          </w:p>
        </w:tc>
      </w:tr>
      <w:tr>
        <w:tc>
          <w:tcPr>
            <w:tcW w:w="3665" w:type="dxa"/>
          </w:tcPr>
          <w:tcPr/>
          <w:p>
            <w:pPr>
              <w:pStyle w:val="Compact"/>
              <w:jc w:val="left"/>
            </w:pPr>
            <w:r>
              <w:t xml:space="preserve">Dette totale ; dette envers IPP/fournisseurs</w:t>
            </w:r>
          </w:p>
        </w:tc>
        <w:tc>
          <w:tcPr>
            <w:tcW w:w="7197" w:type="dxa"/>
          </w:tcPr>
          <w:tcPr/>
          <w:p>
            <w:pPr>
              <w:pStyle w:val="Compact"/>
              <w:jc w:val="left"/>
            </w:pPr>
            <w:r>
              <w:t xml:space="preserve">Dette des entreprises publiques (SRN, SNE, SONACIM) retenue à 5,5 % du PIB dans l’AVD FMI/BM (recensement des EP de 2017) — part SNE non isolée</w:t>
            </w:r>
          </w:p>
        </w:tc>
        <w:tc>
          <w:tcPr>
            <w:tcW w:w="1260" w:type="dxa"/>
          </w:tcPr>
          <w:tcPr/>
          <w:p>
            <w:pPr>
              <w:pStyle w:val="Compact"/>
              <w:jc w:val="left"/>
            </w:pPr>
            <w:r>
              <w:t xml:space="preserve">2025 (donnée 2017)</w:t>
            </w:r>
          </w:p>
        </w:tc>
        <w:tc>
          <w:tcPr>
            <w:tcW w:w="1277" w:type="dxa"/>
          </w:tcPr>
          <w:tcPr/>
          <w:p>
            <w:pPr>
              <w:pStyle w:val="Compact"/>
              <w:jc w:val="left"/>
            </w:pPr>
            <w:r>
              <w:t xml:space="preserve">[V]</w:t>
            </w:r>
          </w:p>
        </w:tc>
        <w:tc>
          <w:tcPr>
            <w:tcW w:w="1169" w:type="dxa"/>
          </w:tcPr>
          <w:tcPr/>
          <w:p>
            <w:pPr>
              <w:pStyle w:val="Compact"/>
              <w:jc w:val="left"/>
            </w:pPr>
            <w:r>
              <w:t xml:space="preserve">[1]</w:t>
            </w:r>
          </w:p>
        </w:tc>
      </w:tr>
      <w:tr>
        <w:tc>
          <w:tcPr>
            <w:tcW w:w="3665" w:type="dxa"/>
          </w:tcPr>
          <w:tcPr/>
          <w:p>
            <w:pPr>
              <w:pStyle w:val="Compact"/>
              <w:jc w:val="left"/>
            </w:pPr>
            <w:r>
              <w:t xml:space="preserve">Arriérés de l’État envers l’opérateur</w:t>
            </w:r>
          </w:p>
        </w:tc>
        <w:tc>
          <w:tcPr>
            <w:tcW w:w="7197" w:type="dxa"/>
          </w:tcPr>
          <w:tcPr/>
          <w:p>
            <w:pPr>
              <w:pStyle w:val="Compact"/>
              <w:jc w:val="left"/>
            </w:pPr>
            <w:r>
              <w:t xml:space="preserve">32 M USD (administrations et entreprises publiques) (pacte) ; non recoupé</w:t>
            </w:r>
          </w:p>
        </w:tc>
        <w:tc>
          <w:tcPr>
            <w:tcW w:w="1260" w:type="dxa"/>
          </w:tcPr>
          <w:tcPr/>
          <w:p>
            <w:pPr>
              <w:pStyle w:val="Compact"/>
              <w:jc w:val="left"/>
            </w:pPr>
            <w:r>
              <w:t xml:space="preserve">~2024</w:t>
            </w:r>
          </w:p>
        </w:tc>
        <w:tc>
          <w:tcPr>
            <w:tcW w:w="1277" w:type="dxa"/>
          </w:tcPr>
          <w:tcPr/>
          <w:p>
            <w:pPr>
              <w:pStyle w:val="Compact"/>
              <w:jc w:val="left"/>
            </w:pPr>
            <w:r>
              <w:t xml:space="preserve">[V pacte]</w:t>
            </w:r>
          </w:p>
        </w:tc>
        <w:tc>
          <w:tcPr>
            <w:tcW w:w="1169" w:type="dxa"/>
          </w:tcPr>
          <w:tcPr/>
          <w:p>
            <w:pPr>
              <w:pStyle w:val="Compact"/>
              <w:jc w:val="left"/>
            </w:pPr>
            <w:r>
              <w:t xml:space="preserve">[P]</w:t>
            </w:r>
          </w:p>
        </w:tc>
      </w:tr>
      <w:tr>
        <w:tc>
          <w:tcPr>
            <w:tcW w:w="3665" w:type="dxa"/>
          </w:tcPr>
          <w:tcPr/>
          <w:p>
            <w:pPr>
              <w:pStyle w:val="Compact"/>
              <w:jc w:val="left"/>
            </w:pPr>
            <w:r>
              <w:t xml:space="preserve">Transferts / subventions de l’État</w:t>
            </w:r>
          </w:p>
        </w:tc>
        <w:tc>
          <w:tcPr>
            <w:tcW w:w="7197" w:type="dxa"/>
          </w:tcPr>
          <w:tcPr/>
          <w:p>
            <w:pPr>
              <w:pStyle w:val="Compact"/>
              <w:jc w:val="left"/>
            </w:pPr>
            <w:r>
              <w:rPr>
                <w:bCs/>
                <w:b/>
              </w:rPr>
              <w:t xml:space="preserve">Transferts en nature de produits pétroliers à la SNE : 89 Md FCFA (2023, réalisé), 88 Md FCFA (2024, prél.), 87 Md FCFA (2025, proj.)</w:t>
            </w:r>
            <w:r>
              <w:t xml:space="preserve">, soit ~1,0 % puis 0,9 % du PIB non pétrolier ; valorisés au prix fixe de 46,90 USD/baril</w:t>
            </w:r>
          </w:p>
        </w:tc>
        <w:tc>
          <w:tcPr>
            <w:tcW w:w="1260" w:type="dxa"/>
          </w:tcPr>
          <w:tcPr/>
          <w:p>
            <w:pPr>
              <w:pStyle w:val="Compact"/>
              <w:jc w:val="left"/>
            </w:pPr>
            <w:r>
              <w:t xml:space="preserve">2023-2025</w:t>
            </w:r>
          </w:p>
        </w:tc>
        <w:tc>
          <w:tcPr>
            <w:tcW w:w="1277" w:type="dxa"/>
          </w:tcPr>
          <w:tcPr/>
          <w:p>
            <w:pPr>
              <w:pStyle w:val="Compact"/>
              <w:jc w:val="left"/>
            </w:pPr>
            <w:r>
              <w:t xml:space="preserve">[V]</w:t>
            </w:r>
          </w:p>
        </w:tc>
        <w:tc>
          <w:tcPr>
            <w:tcW w:w="1169" w:type="dxa"/>
          </w:tcPr>
          <w:tcPr/>
          <w:p>
            <w:pPr>
              <w:pStyle w:val="Compact"/>
              <w:jc w:val="left"/>
            </w:pPr>
            <w:r>
              <w:t xml:space="preserve">[1, tableaux 2-3]</w:t>
            </w:r>
          </w:p>
        </w:tc>
      </w:tr>
      <w:tr>
        <w:tc>
          <w:tcPr>
            <w:tcW w:w="3665" w:type="dxa"/>
          </w:tcPr>
          <w:tcPr/>
          <w:p>
            <w:pPr>
              <w:pStyle w:val="Compact"/>
              <w:jc w:val="left"/>
            </w:pPr>
            <w:r>
              <w:t xml:space="preserve">Taux de recouvrement</w:t>
            </w:r>
          </w:p>
        </w:tc>
        <w:tc>
          <w:tcPr>
            <w:tcW w:w="7197" w:type="dxa"/>
          </w:tcPr>
          <w:tcPr/>
          <w:p>
            <w:pPr>
              <w:pStyle w:val="Compact"/>
              <w:jc w:val="left"/>
            </w:pPr>
            <w:r>
              <w:t xml:space="preserve">45 % (2019) / 51 % « actuel » (pacte) ; aucune donnée primaire récente</w:t>
            </w:r>
          </w:p>
        </w:tc>
        <w:tc>
          <w:tcPr>
            <w:tcW w:w="1260" w:type="dxa"/>
          </w:tcPr>
          <w:tcPr/>
          <w:p>
            <w:pPr>
              <w:pStyle w:val="Compact"/>
              <w:jc w:val="left"/>
            </w:pPr>
            <w:r>
              <w:t xml:space="preserve">~2024</w:t>
            </w:r>
          </w:p>
        </w:tc>
        <w:tc>
          <w:tcPr>
            <w:tcW w:w="1277" w:type="dxa"/>
          </w:tcPr>
          <w:tcPr/>
          <w:p>
            <w:pPr>
              <w:pStyle w:val="Compact"/>
              <w:jc w:val="left"/>
            </w:pPr>
            <w:r>
              <w:t xml:space="preserve">[V pacte]</w:t>
            </w:r>
          </w:p>
        </w:tc>
        <w:tc>
          <w:tcPr>
            <w:tcW w:w="1169" w:type="dxa"/>
          </w:tcPr>
          <w:tcPr/>
          <w:p>
            <w:pPr>
              <w:pStyle w:val="Compact"/>
              <w:jc w:val="left"/>
            </w:pPr>
            <w:r>
              <w:t xml:space="preserve">[P]</w:t>
            </w:r>
          </w:p>
        </w:tc>
      </w:tr>
      <w:tr>
        <w:tc>
          <w:tcPr>
            <w:tcW w:w="3665" w:type="dxa"/>
          </w:tcPr>
          <w:tcPr/>
          <w:p>
            <w:pPr>
              <w:pStyle w:val="Compact"/>
              <w:jc w:val="left"/>
            </w:pPr>
            <w:r>
              <w:t xml:space="preserve">Recette moyenne / coût par kWh</w:t>
            </w:r>
          </w:p>
        </w:tc>
        <w:tc>
          <w:tcPr>
            <w:tcW w:w="7197" w:type="dxa"/>
          </w:tcPr>
          <w:tcPr/>
          <w:p>
            <w:pPr>
              <w:pStyle w:val="Compact"/>
              <w:jc w:val="left"/>
            </w:pPr>
            <w:r>
              <w:t xml:space="preserve">Coût moyen 0,175 USD/kWh ; coût thermique 200 FCFA/kWh ; tarif de 2012 (pacte). Prix du solaire RESPITE (35 MWc + stockage) adjugé à</w:t>
            </w:r>
            <w:r>
              <w:t xml:space="preserve"> </w:t>
            </w:r>
            <w:r>
              <w:rPr>
                <w:bCs/>
                <w:b/>
              </w:rPr>
              <w:t xml:space="preserve">4,9 cents USD/kWh</w:t>
            </w:r>
            <w:r>
              <w:t xml:space="preserve">, « production la moins coûteuse pour la SNE »</w:t>
            </w:r>
          </w:p>
        </w:tc>
        <w:tc>
          <w:tcPr>
            <w:tcW w:w="1260" w:type="dxa"/>
          </w:tcPr>
          <w:tcPr/>
          <w:p>
            <w:pPr>
              <w:pStyle w:val="Compact"/>
              <w:jc w:val="left"/>
            </w:pPr>
            <w:r>
              <w:t xml:space="preserve">2024-2025</w:t>
            </w:r>
          </w:p>
        </w:tc>
        <w:tc>
          <w:tcPr>
            <w:tcW w:w="1277" w:type="dxa"/>
          </w:tcPr>
          <w:tcPr/>
          <w:p>
            <w:pPr>
              <w:pStyle w:val="Compact"/>
              <w:jc w:val="left"/>
            </w:pPr>
            <w:r>
              <w:t xml:space="preserve">[V] (BM) / pacte</w:t>
            </w:r>
          </w:p>
        </w:tc>
        <w:tc>
          <w:tcPr>
            <w:tcW w:w="1169" w:type="dxa"/>
          </w:tcPr>
          <w:tcPr/>
          <w:p>
            <w:pPr>
              <w:pStyle w:val="Compact"/>
              <w:jc w:val="left"/>
            </w:pPr>
            <w:r>
              <w:t xml:space="preserve">[3][P]</w:t>
            </w:r>
          </w:p>
        </w:tc>
      </w:tr>
      <w:tr>
        <w:tc>
          <w:tcPr>
            <w:tcW w:w="3665" w:type="dxa"/>
          </w:tcPr>
          <w:tcPr/>
          <w:p>
            <w:pPr>
              <w:pStyle w:val="Compact"/>
              <w:jc w:val="left"/>
            </w:pPr>
            <w:r>
              <w:t xml:space="preserve">Déficit quasi-budgétaire</w:t>
            </w:r>
          </w:p>
        </w:tc>
        <w:tc>
          <w:tcPr>
            <w:tcW w:w="7197" w:type="dxa"/>
          </w:tcPr>
          <w:tcPr/>
          <w:p>
            <w:pPr>
              <w:pStyle w:val="Compact"/>
              <w:jc w:val="left"/>
            </w:pPr>
            <w:r>
              <w:t xml:space="preserve">[?] non estimé ; le FMI prévoit un</w:t>
            </w:r>
            <w:r>
              <w:t xml:space="preserve"> </w:t>
            </w:r>
            <w:r>
              <w:rPr>
                <w:bCs/>
                <w:b/>
              </w:rPr>
              <w:t xml:space="preserve">audit de la taille des subventions énergétiques</w:t>
            </w:r>
            <w:r>
              <w:t xml:space="preserve"> </w:t>
            </w:r>
            <w:r>
              <w:t xml:space="preserve">(action préalable et repère structurel) avant un plan de suppression des subventions inefficaces</w:t>
            </w:r>
          </w:p>
        </w:tc>
        <w:tc>
          <w:tcPr>
            <w:tcW w:w="1260" w:type="dxa"/>
          </w:tcPr>
          <w:tcPr/>
          <w:p>
            <w:pPr>
              <w:pStyle w:val="Compact"/>
              <w:jc w:val="left"/>
            </w:pPr>
            <w:r>
              <w:t xml:space="preserve">2025</w:t>
            </w:r>
          </w:p>
        </w:tc>
        <w:tc>
          <w:tcPr>
            <w:tcW w:w="1277" w:type="dxa"/>
          </w:tcPr>
          <w:tcPr/>
          <w:p>
            <w:pPr>
              <w:pStyle w:val="Compact"/>
              <w:jc w:val="left"/>
            </w:pPr>
            <w:r>
              <w:t xml:space="preserve">[V]</w:t>
            </w:r>
          </w:p>
        </w:tc>
        <w:tc>
          <w:tcPr>
            <w:tcW w:w="1169" w:type="dxa"/>
          </w:tcPr>
          <w:tcPr/>
          <w:p>
            <w:pPr>
              <w:pStyle w:val="Compact"/>
              <w:jc w:val="left"/>
            </w:pPr>
            <w:r>
              <w:t xml:space="preserve">[1, annexe V]</w:t>
            </w:r>
          </w:p>
        </w:tc>
      </w:tr>
      <w:tr>
        <w:tc>
          <w:tcPr>
            <w:tcW w:w="3665" w:type="dxa"/>
          </w:tcPr>
          <w:tcPr/>
          <w:p>
            <w:pPr>
              <w:pStyle w:val="Compact"/>
              <w:jc w:val="left"/>
            </w:pPr>
            <w:r>
              <w:t xml:space="preserve">Notation de crédit</w:t>
            </w:r>
          </w:p>
        </w:tc>
        <w:tc>
          <w:tcPr>
            <w:tcW w:w="7197" w:type="dxa"/>
          </w:tcPr>
          <w:tcPr/>
          <w:p>
            <w:pPr>
              <w:pStyle w:val="Compact"/>
              <w:jc w:val="left"/>
            </w:pPr>
            <w:r>
              <w:t xml:space="preserve">Aucune</w:t>
            </w:r>
          </w:p>
        </w:tc>
        <w:tc>
          <w:tcPr>
            <w:tcW w:w="1260" w:type="dxa"/>
          </w:tcPr>
          <w:tcPr/>
          <w:p>
            <w:pPr>
              <w:pStyle w:val="Compact"/>
              <w:jc w:val="left"/>
            </w:pPr>
            <w:r>
              <w:t xml:space="preserve">—</w:t>
            </w:r>
          </w:p>
        </w:tc>
        <w:tc>
          <w:tcPr>
            <w:tcW w:w="1277" w:type="dxa"/>
          </w:tcPr>
          <w:tcPr/>
          <w:p>
            <w:pPr>
              <w:pStyle w:val="Compact"/>
              <w:jc w:val="left"/>
            </w:pPr>
            <w:r>
              <w:t xml:space="preserve">[V]</w:t>
            </w:r>
          </w:p>
        </w:tc>
        <w:tc>
          <w:tcPr>
            <w:tcW w:w="1169" w:type="dxa"/>
          </w:tcPr>
          <w:tcPr/>
          <w:p>
            <w:pPr>
              <w:pStyle w:val="Compact"/>
              <w:jc w:val="left"/>
            </w:pPr>
            <w:r>
              <w:t xml:space="preserve">—</w:t>
            </w:r>
          </w:p>
        </w:tc>
      </w:tr>
    </w:tbl>
    <w:bookmarkEnd w:id="344"/>
    <w:bookmarkStart w:id="345" w:name="situation-technique-30"/>
    <w:p>
      <w:pPr>
        <w:pStyle w:val="Heading3"/>
      </w:pPr>
      <w:r>
        <w:t xml:space="preserve">2. Situation technique</w:t>
      </w:r>
    </w:p>
    <w:tbl>
      <w:tblPr>
        <w:tblStyle w:val="Table"/>
        <w:tblW w:type="dxa" w:w="14570"/>
        <w:tblLook w:firstRow="1" w:lastRow="0" w:firstColumn="0" w:lastColumn="0" w:noHBand="0" w:noVBand="0" w:val="0020"/>
        <w:jc w:val="start"/>
      </w:tblPr>
      <w:tblGrid>
        <w:gridCol w:w="3021"/>
        <w:gridCol w:w="7862"/>
        <w:gridCol w:w="1177"/>
        <w:gridCol w:w="1160"/>
        <w:gridCol w:w="1348"/>
      </w:tblGrid>
      <w:tr>
        <w:trPr>
          <w:tblHeader w:val="true"/>
        </w:trPr>
        <w:tc>
          <w:tcPr>
            <w:tcW w:w="3021" w:type="dxa"/>
          </w:tcPr>
          <w:tcPr/>
          <w:p>
            <w:pPr>
              <w:pStyle w:val="Compact"/>
              <w:jc w:val="left"/>
            </w:pPr>
            <w:r>
              <w:t xml:space="preserve">Indicateur</w:t>
            </w:r>
          </w:p>
        </w:tc>
        <w:tc>
          <w:tcPr>
            <w:tcW w:w="7862" w:type="dxa"/>
          </w:tcPr>
          <w:tcPr/>
          <w:p>
            <w:pPr>
              <w:pStyle w:val="Compact"/>
              <w:jc w:val="left"/>
            </w:pPr>
            <w:r>
              <w:t xml:space="preserve">Valeur</w:t>
            </w:r>
          </w:p>
        </w:tc>
        <w:tc>
          <w:tcPr>
            <w:tcW w:w="1177" w:type="dxa"/>
          </w:tcPr>
          <w:tcPr/>
          <w:p>
            <w:pPr>
              <w:pStyle w:val="Compact"/>
              <w:jc w:val="left"/>
            </w:pPr>
            <w:r>
              <w:t xml:space="preserve">Année</w:t>
            </w:r>
          </w:p>
        </w:tc>
        <w:tc>
          <w:tcPr>
            <w:tcW w:w="1160" w:type="dxa"/>
          </w:tcPr>
          <w:tcPr/>
          <w:p>
            <w:pPr>
              <w:pStyle w:val="Compact"/>
              <w:jc w:val="left"/>
            </w:pPr>
            <w:r>
              <w:t xml:space="preserve">Statut</w:t>
            </w:r>
          </w:p>
        </w:tc>
        <w:tc>
          <w:tcPr>
            <w:tcW w:w="1348" w:type="dxa"/>
          </w:tcPr>
          <w:tcPr/>
          <w:p>
            <w:pPr>
              <w:pStyle w:val="Compact"/>
              <w:jc w:val="left"/>
            </w:pPr>
            <w:r>
              <w:t xml:space="preserve">Source</w:t>
            </w:r>
          </w:p>
        </w:tc>
      </w:tr>
      <w:tr>
        <w:tc>
          <w:tcPr>
            <w:tcW w:w="3021" w:type="dxa"/>
          </w:tcPr>
          <w:tcPr/>
          <w:p>
            <w:pPr>
              <w:pStyle w:val="Compact"/>
              <w:jc w:val="left"/>
            </w:pPr>
            <w:r>
              <w:t xml:space="preserve">Capacité installée / disponible</w:t>
            </w:r>
          </w:p>
        </w:tc>
        <w:tc>
          <w:tcPr>
            <w:tcW w:w="7862" w:type="dxa"/>
          </w:tcPr>
          <w:tcPr/>
          <w:p>
            <w:pPr>
              <w:pStyle w:val="Compact"/>
              <w:jc w:val="left"/>
            </w:pPr>
            <w:r>
              <w:t xml:space="preserve">487 MW installés / 235 MW disponibles (pacte) ;</w:t>
            </w:r>
            <w:r>
              <w:t xml:space="preserve"> </w:t>
            </w:r>
            <w:r>
              <w:rPr>
                <w:bCs/>
                <w:b/>
              </w:rPr>
              <w:t xml:space="preserve">300,5 MW en mars 2026 contre 167 MW en 2024</w:t>
            </w:r>
            <w:r>
              <w:t xml:space="preserve"> </w:t>
            </w:r>
            <w:r>
              <w:t xml:space="preserve">selon les autorités (définition non précisée, probablement disponible) ; centrale de Farcha : 2 groupes sur 10 en marche, 15 MW (2025)</w:t>
            </w:r>
          </w:p>
        </w:tc>
        <w:tc>
          <w:tcPr>
            <w:tcW w:w="1177" w:type="dxa"/>
          </w:tcPr>
          <w:tcPr/>
          <w:p>
            <w:pPr>
              <w:pStyle w:val="Compact"/>
              <w:jc w:val="left"/>
            </w:pPr>
            <w:r>
              <w:t xml:space="preserve">2024-2026</w:t>
            </w:r>
          </w:p>
        </w:tc>
        <w:tc>
          <w:tcPr>
            <w:tcW w:w="1160" w:type="dxa"/>
          </w:tcPr>
          <w:tcPr/>
          <w:p>
            <w:pPr>
              <w:pStyle w:val="Compact"/>
              <w:jc w:val="left"/>
            </w:pPr>
            <w:r>
              <w:t xml:space="preserve">[P] / [S]</w:t>
            </w:r>
          </w:p>
        </w:tc>
        <w:tc>
          <w:tcPr>
            <w:tcW w:w="1348" w:type="dxa"/>
          </w:tcPr>
          <w:tcPr/>
          <w:p>
            <w:pPr>
              <w:pStyle w:val="Compact"/>
              <w:jc w:val="left"/>
            </w:pPr>
            <w:r>
              <w:t xml:space="preserve">[P][9][6]</w:t>
            </w:r>
          </w:p>
        </w:tc>
      </w:tr>
      <w:tr>
        <w:tc>
          <w:tcPr>
            <w:tcW w:w="3021" w:type="dxa"/>
          </w:tcPr>
          <w:tcPr/>
          <w:p>
            <w:pPr>
              <w:pStyle w:val="Compact"/>
              <w:jc w:val="left"/>
            </w:pPr>
            <w:r>
              <w:t xml:space="preserve">Pertes totales</w:t>
            </w:r>
          </w:p>
        </w:tc>
        <w:tc>
          <w:tcPr>
            <w:tcW w:w="7862" w:type="dxa"/>
          </w:tcPr>
          <w:tcPr/>
          <w:p>
            <w:pPr>
              <w:pStyle w:val="Compact"/>
              <w:jc w:val="left"/>
            </w:pPr>
            <w:r>
              <w:t xml:space="preserve">39 % ATCC (pacte) ; aucune donnée primaire récente</w:t>
            </w:r>
          </w:p>
        </w:tc>
        <w:tc>
          <w:tcPr>
            <w:tcW w:w="1177" w:type="dxa"/>
          </w:tcPr>
          <w:tcPr/>
          <w:p>
            <w:pPr>
              <w:pStyle w:val="Compact"/>
              <w:jc w:val="left"/>
            </w:pPr>
            <w:r>
              <w:t xml:space="preserve">~2024</w:t>
            </w:r>
          </w:p>
        </w:tc>
        <w:tc>
          <w:tcPr>
            <w:tcW w:w="1160" w:type="dxa"/>
          </w:tcPr>
          <w:tcPr/>
          <w:p>
            <w:pPr>
              <w:pStyle w:val="Compact"/>
              <w:jc w:val="left"/>
            </w:pPr>
            <w:r>
              <w:t xml:space="preserve">[V pacte]</w:t>
            </w:r>
          </w:p>
        </w:tc>
        <w:tc>
          <w:tcPr>
            <w:tcW w:w="1348" w:type="dxa"/>
          </w:tcPr>
          <w:tcPr/>
          <w:p>
            <w:pPr>
              <w:pStyle w:val="Compact"/>
              <w:jc w:val="left"/>
            </w:pPr>
            <w:r>
              <w:t xml:space="preserve">[P]</w:t>
            </w:r>
          </w:p>
        </w:tc>
      </w:tr>
      <w:tr>
        <w:tc>
          <w:tcPr>
            <w:tcW w:w="3021" w:type="dxa"/>
          </w:tcPr>
          <w:tcPr/>
          <w:p>
            <w:pPr>
              <w:pStyle w:val="Compact"/>
              <w:jc w:val="left"/>
            </w:pPr>
            <w:r>
              <w:t xml:space="preserve">SAIDI / SAIFI</w:t>
            </w:r>
          </w:p>
        </w:tc>
        <w:tc>
          <w:tcPr>
            <w:tcW w:w="7862" w:type="dxa"/>
          </w:tcPr>
          <w:tcPr/>
          <w:p>
            <w:pPr>
              <w:pStyle w:val="Compact"/>
              <w:jc w:val="left"/>
            </w:pPr>
            <w:r>
              <w:t xml:space="preserve">[?] non trouvé (pacte : « 7 628 h 41 min » de délestage, unité incertaine)</w:t>
            </w:r>
          </w:p>
        </w:tc>
        <w:tc>
          <w:tcPr>
            <w:tcW w:w="1177" w:type="dxa"/>
          </w:tcPr>
          <w:tcPr/>
          <w:p>
            <w:pPr>
              <w:pStyle w:val="Compact"/>
              <w:jc w:val="left"/>
            </w:pPr>
            <w:r>
              <w:t xml:space="preserve">—</w:t>
            </w:r>
          </w:p>
        </w:tc>
        <w:tc>
          <w:tcPr>
            <w:tcW w:w="1160" w:type="dxa"/>
          </w:tcPr>
          <w:tcPr/>
          <w:p>
            <w:pPr>
              <w:pStyle w:val="Compact"/>
              <w:jc w:val="left"/>
            </w:pPr>
            <w:r>
              <w:t xml:space="preserve">[?]</w:t>
            </w:r>
          </w:p>
        </w:tc>
        <w:tc>
          <w:tcPr>
            <w:tcW w:w="1348" w:type="dxa"/>
          </w:tcPr>
          <w:tcPr/>
          <w:p>
            <w:pPr>
              <w:pStyle w:val="Compact"/>
              <w:jc w:val="left"/>
            </w:pPr>
            <w:r>
              <w:t xml:space="preserve">[P]</w:t>
            </w:r>
          </w:p>
        </w:tc>
      </w:tr>
      <w:tr>
        <w:tc>
          <w:tcPr>
            <w:tcW w:w="3021" w:type="dxa"/>
          </w:tcPr>
          <w:tcPr/>
          <w:p>
            <w:pPr>
              <w:pStyle w:val="Compact"/>
              <w:jc w:val="left"/>
            </w:pPr>
            <w:r>
              <w:t xml:space="preserve">Clients ; prépayé ; comptage</w:t>
            </w:r>
          </w:p>
        </w:tc>
        <w:tc>
          <w:tcPr>
            <w:tcW w:w="7862" w:type="dxa"/>
          </w:tcPr>
          <w:tcPr/>
          <w:p>
            <w:pPr>
              <w:pStyle w:val="Compact"/>
              <w:jc w:val="left"/>
            </w:pPr>
            <w:r>
              <w:t xml:space="preserve">70 639 clients dont 33 239 prépayés (pacte). PPR (BM) : 4 400 compteurs intelligents grands comptes et 50 000 compteurs bidirectionnels livrés, en cours de pose (mai 2025) ; inventaire clients/actifs non validé par la SNE (partiel)</w:t>
            </w:r>
          </w:p>
        </w:tc>
        <w:tc>
          <w:tcPr>
            <w:tcW w:w="1177" w:type="dxa"/>
          </w:tcPr>
          <w:tcPr/>
          <w:p>
            <w:pPr>
              <w:pStyle w:val="Compact"/>
              <w:jc w:val="left"/>
            </w:pPr>
            <w:r>
              <w:t xml:space="preserve">2025</w:t>
            </w:r>
          </w:p>
        </w:tc>
        <w:tc>
          <w:tcPr>
            <w:tcW w:w="1160" w:type="dxa"/>
          </w:tcPr>
          <w:tcPr/>
          <w:p>
            <w:pPr>
              <w:pStyle w:val="Compact"/>
              <w:jc w:val="left"/>
            </w:pPr>
            <w:r>
              <w:t xml:space="preserve">[V]</w:t>
            </w:r>
          </w:p>
        </w:tc>
        <w:tc>
          <w:tcPr>
            <w:tcW w:w="1348" w:type="dxa"/>
          </w:tcPr>
          <w:tcPr/>
          <w:p>
            <w:pPr>
              <w:pStyle w:val="Compact"/>
              <w:jc w:val="left"/>
            </w:pPr>
            <w:r>
              <w:t xml:space="preserve">[3][P]</w:t>
            </w:r>
          </w:p>
        </w:tc>
      </w:tr>
      <w:tr>
        <w:tc>
          <w:tcPr>
            <w:tcW w:w="3021" w:type="dxa"/>
          </w:tcPr>
          <w:tcPr/>
          <w:p>
            <w:pPr>
              <w:pStyle w:val="Compact"/>
              <w:jc w:val="left"/>
            </w:pPr>
            <w:r>
              <w:t xml:space="preserve">Mix et coût de production</w:t>
            </w:r>
          </w:p>
        </w:tc>
        <w:tc>
          <w:tcPr>
            <w:tcW w:w="7862" w:type="dxa"/>
          </w:tcPr>
          <w:tcPr/>
          <w:p>
            <w:pPr>
              <w:pStyle w:val="Compact"/>
              <w:jc w:val="left"/>
            </w:pPr>
            <w:r>
              <w:t xml:space="preserve">~90 % thermique (fioul/gazole, brut local via SRN) (pacte) ; 35 MWc + 60 MWh RESPITE en construction (TBEA) ; ISR : 10 MW de capacité ENR habilitée par le PAAET</w:t>
            </w:r>
          </w:p>
        </w:tc>
        <w:tc>
          <w:tcPr>
            <w:tcW w:w="1177" w:type="dxa"/>
          </w:tcPr>
          <w:tcPr/>
          <w:p>
            <w:pPr>
              <w:pStyle w:val="Compact"/>
              <w:jc w:val="left"/>
            </w:pPr>
            <w:r>
              <w:t xml:space="preserve">2025-2026</w:t>
            </w:r>
          </w:p>
        </w:tc>
        <w:tc>
          <w:tcPr>
            <w:tcW w:w="1160" w:type="dxa"/>
          </w:tcPr>
          <w:tcPr/>
          <w:p>
            <w:pPr>
              <w:pStyle w:val="Compact"/>
              <w:jc w:val="left"/>
            </w:pPr>
            <w:r>
              <w:t xml:space="preserve">[V]</w:t>
            </w:r>
          </w:p>
        </w:tc>
        <w:tc>
          <w:tcPr>
            <w:tcW w:w="1348" w:type="dxa"/>
          </w:tcPr>
          <w:tcPr/>
          <w:p>
            <w:pPr>
              <w:pStyle w:val="Compact"/>
              <w:jc w:val="left"/>
            </w:pPr>
            <w:r>
              <w:t xml:space="preserve">[2][3][P]</w:t>
            </w:r>
          </w:p>
        </w:tc>
      </w:tr>
      <w:tr>
        <w:tc>
          <w:tcPr>
            <w:tcW w:w="3021" w:type="dxa"/>
          </w:tcPr>
          <w:tcPr/>
          <w:p>
            <w:pPr>
              <w:pStyle w:val="Compact"/>
              <w:jc w:val="left"/>
            </w:pPr>
            <w:r>
              <w:t xml:space="preserve">Délestages récents</w:t>
            </w:r>
          </w:p>
        </w:tc>
        <w:tc>
          <w:tcPr>
            <w:tcW w:w="7862" w:type="dxa"/>
          </w:tcPr>
          <w:tcPr/>
          <w:p>
            <w:pPr>
              <w:pStyle w:val="Compact"/>
              <w:jc w:val="left"/>
            </w:pPr>
            <w:r>
              <w:t xml:space="preserve">Baisse de la production d’électricité citée par le FMI (2025) ; détail [?]</w:t>
            </w:r>
          </w:p>
        </w:tc>
        <w:tc>
          <w:tcPr>
            <w:tcW w:w="1177" w:type="dxa"/>
          </w:tcPr>
          <w:tcPr/>
          <w:p>
            <w:pPr>
              <w:pStyle w:val="Compact"/>
              <w:jc w:val="left"/>
            </w:pPr>
            <w:r>
              <w:t xml:space="preserve">2025</w:t>
            </w:r>
          </w:p>
        </w:tc>
        <w:tc>
          <w:tcPr>
            <w:tcW w:w="1160" w:type="dxa"/>
          </w:tcPr>
          <w:tcPr/>
          <w:p>
            <w:pPr>
              <w:pStyle w:val="Compact"/>
              <w:jc w:val="left"/>
            </w:pPr>
            <w:r>
              <w:t xml:space="preserve">[V]</w:t>
            </w:r>
          </w:p>
        </w:tc>
        <w:tc>
          <w:tcPr>
            <w:tcW w:w="1348" w:type="dxa"/>
          </w:tcPr>
          <w:tcPr/>
          <w:p>
            <w:pPr>
              <w:pStyle w:val="Compact"/>
              <w:jc w:val="left"/>
            </w:pPr>
            <w:r>
              <w:t xml:space="preserve">[1, LoI]</w:t>
            </w:r>
          </w:p>
        </w:tc>
      </w:tr>
    </w:tbl>
    <w:bookmarkEnd w:id="345"/>
    <w:bookmarkStart w:id="346" w:name="situation-économique-et-gouvernance-30"/>
    <w:p>
      <w:pPr>
        <w:pStyle w:val="Heading3"/>
      </w:pPr>
      <w:r>
        <w:t xml:space="preserve">3. Situation économique et gouvernance</w:t>
      </w:r>
    </w:p>
    <w:p>
      <w:pPr>
        <w:numPr>
          <w:ilvl w:val="0"/>
          <w:numId w:val="1185"/>
        </w:numPr>
        <w:pStyle w:val="Compact"/>
      </w:pPr>
      <w:r>
        <w:t xml:space="preserve">PPA : IPP installés par MoU avec le ministère et contrats de gré à gré (pacte) [P]. Le programme FMI prévoit d’« établir une passation compétitive des contrats de fourniture de carburant et d’électricité, y compris pour les entités publiques » (MEFP ¶36) [1] [V]. Import du Cameroun (PIRECT) : term sheets PPA/TSA en cours avec SONATREL ; recrutement d’un conseiller en transactions par la SNE (mobilisation prévue 31-08-2025) [3] [V].</w:t>
      </w:r>
    </w:p>
    <w:p>
      <w:pPr>
        <w:numPr>
          <w:ilvl w:val="0"/>
          <w:numId w:val="1185"/>
        </w:numPr>
        <w:pStyle w:val="Compact"/>
      </w:pPr>
      <w:r>
        <w:t xml:space="preserve">Change / combustible : combustible fourni en nature par l’État depuis 2020 (pétrole brut de l’État vendu à la raffinerie : 4 millions de barils dont l’usage et « le montant exact de la subvention à la compagnie d’électricité » doivent être déclarés trimestriellement au FMI) [1, TMU] [V].</w:t>
      </w:r>
    </w:p>
    <w:p>
      <w:pPr>
        <w:numPr>
          <w:ilvl w:val="0"/>
          <w:numId w:val="1185"/>
        </w:numPr>
        <w:pStyle w:val="Compact"/>
      </w:pPr>
      <w:r>
        <w:t xml:space="preserve">Contrat de performance / redressement : contrat de performance État-SNE « en cours » et Plan Djédid (pacte) [P] ; aucune version publiée trouvée [?]. Audit technique de la SNE confié à STUDI et études réseau à WAPCOS (contrats signés en avril 2025, durée 6 mois, dans le cadre du Compact) [3] [V]. Le PAAET finance une méthodologie de calcul du tarif, un code de réseau et un cadre réglementaire mini-réseaux [3] [V]. Septembre 2026 : appels à consultants pour appuyer les directions finances, production et T&amp;D de TchadElec (PAAET) [10] [S].</w:t>
      </w:r>
    </w:p>
    <w:p>
      <w:pPr>
        <w:numPr>
          <w:ilvl w:val="0"/>
          <w:numId w:val="1185"/>
        </w:numPr>
        <w:pStyle w:val="Compact"/>
      </w:pPr>
      <w:r>
        <w:t xml:space="preserve">Gouvernance : remplacement de la SNE par une nouvelle société d’État sans plan financier public ; le président a imputé la crise à la « mauvaise gestion » [7] [S]. Sort du passif de la SNE (dette, arriérés croisés) : [?] non trouvé.</w:t>
      </w:r>
    </w:p>
    <w:bookmarkEnd w:id="346"/>
    <w:bookmarkStart w:id="347" w:name="X8fd71e26db476dfea03814d33485ac47c4174c5"/>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2458"/>
        <w:gridCol w:w="888"/>
        <w:gridCol w:w="1702"/>
        <w:gridCol w:w="929"/>
        <w:gridCol w:w="3287"/>
        <w:gridCol w:w="2365"/>
        <w:gridCol w:w="2240"/>
        <w:gridCol w:w="697"/>
      </w:tblGrid>
      <w:tr>
        <w:trPr>
          <w:tblHeader w:val="true"/>
        </w:trPr>
        <w:tc>
          <w:tcPr>
            <w:tcW w:w="2458" w:type="dxa"/>
          </w:tcPr>
          <w:tcPr/>
          <w:p>
            <w:pPr>
              <w:pStyle w:val="Compact"/>
              <w:jc w:val="left"/>
            </w:pPr>
            <w:r>
              <w:t xml:space="preserve">Programme / projet</w:t>
            </w:r>
          </w:p>
        </w:tc>
        <w:tc>
          <w:tcPr>
            <w:tcW w:w="888" w:type="dxa"/>
          </w:tcPr>
          <w:tcPr/>
          <w:p>
            <w:pPr>
              <w:pStyle w:val="Compact"/>
              <w:jc w:val="left"/>
            </w:pPr>
            <w:r>
              <w:t xml:space="preserve">Bailleur</w:t>
            </w:r>
          </w:p>
        </w:tc>
        <w:tc>
          <w:tcPr>
            <w:tcW w:w="1702" w:type="dxa"/>
          </w:tcPr>
          <w:tcPr/>
          <w:p>
            <w:pPr>
              <w:pStyle w:val="Compact"/>
              <w:jc w:val="left"/>
            </w:pPr>
            <w:r>
              <w:t xml:space="preserve">Montant</w:t>
            </w:r>
          </w:p>
        </w:tc>
        <w:tc>
          <w:tcPr>
            <w:tcW w:w="929" w:type="dxa"/>
          </w:tcPr>
          <w:tcPr/>
          <w:p>
            <w:pPr>
              <w:pStyle w:val="Compact"/>
              <w:jc w:val="left"/>
            </w:pPr>
            <w:r>
              <w:t xml:space="preserve">Années</w:t>
            </w:r>
          </w:p>
        </w:tc>
        <w:tc>
          <w:tcPr>
            <w:tcW w:w="3287" w:type="dxa"/>
          </w:tcPr>
          <w:tcPr/>
          <w:p>
            <w:pPr>
              <w:pStyle w:val="Compact"/>
              <w:jc w:val="left"/>
            </w:pPr>
            <w:r>
              <w:t xml:space="preserve">Objectifs liés à l’opérateur</w:t>
            </w:r>
          </w:p>
        </w:tc>
        <w:tc>
          <w:tcPr>
            <w:tcW w:w="2365" w:type="dxa"/>
          </w:tcPr>
          <w:tcPr/>
          <w:p>
            <w:pPr>
              <w:pStyle w:val="Compact"/>
              <w:jc w:val="left"/>
            </w:pPr>
            <w:r>
              <w:t xml:space="preserve">Conditions/indicateurs</w:t>
            </w:r>
          </w:p>
        </w:tc>
        <w:tc>
          <w:tcPr>
            <w:tcW w:w="2240" w:type="dxa"/>
          </w:tcPr>
          <w:tcPr/>
          <w:p>
            <w:pPr>
              <w:pStyle w:val="Compact"/>
              <w:jc w:val="left"/>
            </w:pPr>
            <w:r>
              <w:t xml:space="preserve">Statut d’exécution</w:t>
            </w:r>
          </w:p>
        </w:tc>
        <w:tc>
          <w:tcPr>
            <w:tcW w:w="697" w:type="dxa"/>
          </w:tcPr>
          <w:tcPr/>
          <w:p>
            <w:pPr>
              <w:pStyle w:val="Compact"/>
              <w:jc w:val="left"/>
            </w:pPr>
            <w:r>
              <w:t xml:space="preserve">Source</w:t>
            </w:r>
          </w:p>
        </w:tc>
      </w:tr>
      <w:tr>
        <w:tc>
          <w:tcPr>
            <w:tcW w:w="2458" w:type="dxa"/>
          </w:tcPr>
          <w:tcPr/>
          <w:p>
            <w:pPr>
              <w:pStyle w:val="Compact"/>
              <w:jc w:val="left"/>
            </w:pPr>
            <w:r>
              <w:t xml:space="preserve">Chad Energy Access Scale Up Project (PAAET),</w:t>
            </w:r>
            <w:r>
              <w:t xml:space="preserve"> </w:t>
            </w:r>
            <w:r>
              <w:rPr>
                <w:bCs/>
                <w:b/>
              </w:rPr>
              <w:t xml:space="preserve">P174495</w:t>
            </w:r>
          </w:p>
        </w:tc>
        <w:tc>
          <w:tcPr>
            <w:tcW w:w="888" w:type="dxa"/>
          </w:tcPr>
          <w:tcPr/>
          <w:p>
            <w:pPr>
              <w:pStyle w:val="Compact"/>
              <w:jc w:val="left"/>
            </w:pPr>
            <w:r>
              <w:t xml:space="preserve">BM (IDA don D9850)</w:t>
            </w:r>
          </w:p>
        </w:tc>
        <w:tc>
          <w:tcPr>
            <w:tcW w:w="1702" w:type="dxa"/>
          </w:tcPr>
          <w:tcPr/>
          <w:p>
            <w:pPr>
              <w:pStyle w:val="Compact"/>
              <w:jc w:val="left"/>
            </w:pPr>
            <w:r>
              <w:t xml:space="preserve">295 M USD (révisé 287,49 M ; coût total 395 M)</w:t>
            </w:r>
          </w:p>
        </w:tc>
        <w:tc>
          <w:tcPr>
            <w:tcW w:w="929" w:type="dxa"/>
          </w:tcPr>
          <w:tcPr/>
          <w:p>
            <w:pPr>
              <w:pStyle w:val="Compact"/>
              <w:jc w:val="left"/>
            </w:pPr>
            <w:r>
              <w:t xml:space="preserve">2022-06/2027</w:t>
            </w:r>
          </w:p>
        </w:tc>
        <w:tc>
          <w:tcPr>
            <w:tcW w:w="3287" w:type="dxa"/>
          </w:tcPr>
          <w:tcPr/>
          <w:p>
            <w:pPr>
              <w:pStyle w:val="Compact"/>
              <w:jc w:val="left"/>
            </w:pPr>
            <w:r>
              <w:t xml:space="preserve">PPR SNE (comptage AMI, inventaire), réhabilitation/densification réseau N’Djamena (50 000 branchements), 12 villes secondaires, postes HT pour RESPITE ; AT tarif/code réseau ; renforcement ARSE, TchadElec, ADERM</w:t>
            </w:r>
          </w:p>
        </w:tc>
        <w:tc>
          <w:tcPr>
            <w:tcW w:w="2365" w:type="dxa"/>
          </w:tcPr>
          <w:tcPr/>
          <w:p>
            <w:pPr>
              <w:pStyle w:val="Compact"/>
              <w:jc w:val="left"/>
            </w:pPr>
            <w:r>
              <w:t xml:space="preserve">Indicateurs : 6,12 M personnes accédant à l’électricité ; 50 000 branchements N’Djamena (5 000 atteints) ; pas de DLI financier sur l’opérateur</w:t>
            </w:r>
          </w:p>
        </w:tc>
        <w:tc>
          <w:tcPr>
            <w:tcW w:w="2240" w:type="dxa"/>
          </w:tcPr>
          <w:tcPr/>
          <w:p>
            <w:pPr>
              <w:pStyle w:val="Compact"/>
              <w:jc w:val="left"/>
            </w:pPr>
            <w:r>
              <w:t xml:space="preserve">Décaissé 134,2 M USD (46,7 %) ; MS / risque élevé ; 1,59 M personnes (surtout SHS) au 24-06-2026 ; revue à mi-parcours 29-05-2026</w:t>
            </w:r>
          </w:p>
        </w:tc>
        <w:tc>
          <w:tcPr>
            <w:tcW w:w="697" w:type="dxa"/>
          </w:tcPr>
          <w:tcPr/>
          <w:p>
            <w:pPr>
              <w:pStyle w:val="Compact"/>
              <w:jc w:val="left"/>
            </w:pPr>
            <w:r>
              <w:t xml:space="preserve">[2][3]</w:t>
            </w:r>
          </w:p>
        </w:tc>
      </w:tr>
      <w:tr>
        <w:tc>
          <w:tcPr>
            <w:tcW w:w="2458" w:type="dxa"/>
          </w:tcPr>
          <w:tcPr/>
          <w:p>
            <w:pPr>
              <w:pStyle w:val="Compact"/>
              <w:jc w:val="left"/>
            </w:pPr>
            <w:r>
              <w:t xml:space="preserve">Regional Emergency Solar Power Intervention Project (RESPITE),</w:t>
            </w:r>
            <w:r>
              <w:t xml:space="preserve"> </w:t>
            </w:r>
            <w:r>
              <w:rPr>
                <w:bCs/>
                <w:b/>
              </w:rPr>
              <w:t xml:space="preserve">P179267</w:t>
            </w:r>
          </w:p>
        </w:tc>
        <w:tc>
          <w:tcPr>
            <w:tcW w:w="888" w:type="dxa"/>
          </w:tcPr>
          <w:tcPr/>
          <w:p>
            <w:pPr>
              <w:pStyle w:val="Compact"/>
              <w:jc w:val="left"/>
            </w:pPr>
            <w:r>
              <w:t xml:space="preserve">BM (régional)</w:t>
            </w:r>
          </w:p>
        </w:tc>
        <w:tc>
          <w:tcPr>
            <w:tcW w:w="1702" w:type="dxa"/>
          </w:tcPr>
          <w:tcPr/>
          <w:p>
            <w:pPr>
              <w:pStyle w:val="Compact"/>
              <w:jc w:val="left"/>
            </w:pPr>
            <w:r>
              <w:t xml:space="preserve">311 M USD au total (part Tchad 60 M USD (pacte))</w:t>
            </w:r>
          </w:p>
        </w:tc>
        <w:tc>
          <w:tcPr>
            <w:tcW w:w="929" w:type="dxa"/>
          </w:tcPr>
          <w:tcPr/>
          <w:p>
            <w:pPr>
              <w:pStyle w:val="Compact"/>
              <w:jc w:val="left"/>
            </w:pPr>
            <w:r>
              <w:t xml:space="preserve">2022-12/2027</w:t>
            </w:r>
          </w:p>
        </w:tc>
        <w:tc>
          <w:tcPr>
            <w:tcW w:w="3287" w:type="dxa"/>
          </w:tcPr>
          <w:tcPr/>
          <w:p>
            <w:pPr>
              <w:pStyle w:val="Compact"/>
              <w:jc w:val="left"/>
            </w:pPr>
            <w:r>
              <w:t xml:space="preserve">35 MWc + 60 MWh de stockage à N’Djamena, agence SNE</w:t>
            </w:r>
          </w:p>
        </w:tc>
        <w:tc>
          <w:tcPr>
            <w:tcW w:w="2365" w:type="dxa"/>
          </w:tcPr>
          <w:tcPr/>
          <w:p>
            <w:pPr>
              <w:pStyle w:val="Compact"/>
              <w:jc w:val="left"/>
            </w:pPr>
            <w:r>
              <w:t xml:space="preserve">Prix adjugé 4,9 c USD/kWh ; site remis avec &gt;4 mois de retard (mai 2025)</w:t>
            </w:r>
          </w:p>
        </w:tc>
        <w:tc>
          <w:tcPr>
            <w:tcW w:w="2240" w:type="dxa"/>
          </w:tcPr>
          <w:tcPr/>
          <w:p>
            <w:pPr>
              <w:pStyle w:val="Compact"/>
              <w:jc w:val="left"/>
            </w:pPr>
            <w:r>
              <w:t xml:space="preserve">Actif</w:t>
            </w:r>
          </w:p>
        </w:tc>
        <w:tc>
          <w:tcPr>
            <w:tcW w:w="697" w:type="dxa"/>
          </w:tcPr>
          <w:tcPr/>
          <w:p>
            <w:pPr>
              <w:pStyle w:val="Compact"/>
              <w:jc w:val="left"/>
            </w:pPr>
            <w:r>
              <w:t xml:space="preserve">[3][4][P]</w:t>
            </w:r>
          </w:p>
        </w:tc>
      </w:tr>
      <w:tr>
        <w:tc>
          <w:tcPr>
            <w:tcW w:w="2458" w:type="dxa"/>
          </w:tcPr>
          <w:tcPr/>
          <w:p>
            <w:pPr>
              <w:pStyle w:val="Compact"/>
              <w:jc w:val="left"/>
            </w:pPr>
            <w:r>
              <w:t xml:space="preserve">Cameroon-Chad Power Interconnection Project (PIRECT),</w:t>
            </w:r>
            <w:r>
              <w:t xml:space="preserve"> </w:t>
            </w:r>
            <w:r>
              <w:rPr>
                <w:bCs/>
                <w:b/>
              </w:rPr>
              <w:t xml:space="preserve">P168185</w:t>
            </w:r>
          </w:p>
        </w:tc>
        <w:tc>
          <w:tcPr>
            <w:tcW w:w="888" w:type="dxa"/>
          </w:tcPr>
          <w:tcPr/>
          <w:p>
            <w:pPr>
              <w:pStyle w:val="Compact"/>
              <w:jc w:val="left"/>
            </w:pPr>
            <w:r>
              <w:t xml:space="preserve">BM + BAD + BID + UE</w:t>
            </w:r>
          </w:p>
        </w:tc>
        <w:tc>
          <w:tcPr>
            <w:tcW w:w="1702" w:type="dxa"/>
          </w:tcPr>
          <w:tcPr/>
          <w:p>
            <w:pPr>
              <w:pStyle w:val="Compact"/>
              <w:jc w:val="left"/>
            </w:pPr>
            <w:r>
              <w:t xml:space="preserve">650,5 M USD (BM, total régional)</w:t>
            </w:r>
          </w:p>
        </w:tc>
        <w:tc>
          <w:tcPr>
            <w:tcW w:w="929" w:type="dxa"/>
          </w:tcPr>
          <w:tcPr/>
          <w:p>
            <w:pPr>
              <w:pStyle w:val="Compact"/>
              <w:jc w:val="left"/>
            </w:pPr>
            <w:r>
              <w:t xml:space="preserve">2020-06/2027</w:t>
            </w:r>
          </w:p>
        </w:tc>
        <w:tc>
          <w:tcPr>
            <w:tcW w:w="3287" w:type="dxa"/>
          </w:tcPr>
          <w:tcPr/>
          <w:p>
            <w:pPr>
              <w:pStyle w:val="Compact"/>
              <w:jc w:val="left"/>
            </w:pPr>
            <w:r>
              <w:t xml:space="preserve">Ligne 225 kV Bongor-Gassi, électrification de 69 villages ; PPA/TSA SNE-SONATREL</w:t>
            </w:r>
          </w:p>
        </w:tc>
        <w:tc>
          <w:tcPr>
            <w:tcW w:w="2365" w:type="dxa"/>
          </w:tcPr>
          <w:tcPr/>
          <w:p>
            <w:pPr>
              <w:pStyle w:val="Compact"/>
              <w:jc w:val="left"/>
            </w:pPr>
            <w:r>
              <w:rPr>
                <w:bCs/>
                <w:b/>
              </w:rPr>
              <w:t xml:space="preserve">Gap de financement BAD : 240 M EUR (Cameroun) et 79 M EUR (Tchad)</w:t>
            </w:r>
            <w:r>
              <w:t xml:space="preserve"> </w:t>
            </w:r>
            <w:r>
              <w:t xml:space="preserve">révélé par l’APS ; phasage en discussion</w:t>
            </w:r>
          </w:p>
        </w:tc>
        <w:tc>
          <w:tcPr>
            <w:tcW w:w="2240" w:type="dxa"/>
          </w:tcPr>
          <w:tcPr/>
          <w:p>
            <w:pPr>
              <w:pStyle w:val="Compact"/>
              <w:jc w:val="left"/>
            </w:pPr>
            <w:r>
              <w:t xml:space="preserve">Revue à mi-parcours mai 2025</w:t>
            </w:r>
          </w:p>
        </w:tc>
        <w:tc>
          <w:tcPr>
            <w:tcW w:w="697" w:type="dxa"/>
          </w:tcPr>
          <w:tcPr/>
          <w:p>
            <w:pPr>
              <w:pStyle w:val="Compact"/>
              <w:jc w:val="left"/>
            </w:pPr>
            <w:r>
              <w:t xml:space="preserve">[3][4]</w:t>
            </w:r>
          </w:p>
        </w:tc>
      </w:tr>
      <w:tr>
        <w:tc>
          <w:tcPr>
            <w:tcW w:w="2458" w:type="dxa"/>
          </w:tcPr>
          <w:tcPr/>
          <w:p>
            <w:pPr>
              <w:pStyle w:val="Compact"/>
              <w:jc w:val="left"/>
            </w:pPr>
            <w:r>
              <w:t xml:space="preserve">Chad First Energy Access and Fiscal Management DPF, P173755</w:t>
            </w:r>
          </w:p>
        </w:tc>
        <w:tc>
          <w:tcPr>
            <w:tcW w:w="888" w:type="dxa"/>
          </w:tcPr>
          <w:tcPr/>
          <w:p>
            <w:pPr>
              <w:pStyle w:val="Compact"/>
              <w:jc w:val="left"/>
            </w:pPr>
            <w:r>
              <w:t xml:space="preserve">BM</w:t>
            </w:r>
          </w:p>
        </w:tc>
        <w:tc>
          <w:tcPr>
            <w:tcW w:w="1702" w:type="dxa"/>
          </w:tcPr>
          <w:tcPr/>
          <w:p>
            <w:pPr>
              <w:pStyle w:val="Compact"/>
              <w:jc w:val="left"/>
            </w:pPr>
            <w:r>
              <w:t xml:space="preserve">60 M USD (proposé)</w:t>
            </w:r>
          </w:p>
        </w:tc>
        <w:tc>
          <w:tcPr>
            <w:tcW w:w="929" w:type="dxa"/>
          </w:tcPr>
          <w:tcPr/>
          <w:p>
            <w:pPr>
              <w:pStyle w:val="Compact"/>
              <w:jc w:val="left"/>
            </w:pPr>
            <w:r>
              <w:t xml:space="preserve">~2020-2022</w:t>
            </w:r>
          </w:p>
        </w:tc>
        <w:tc>
          <w:tcPr>
            <w:tcW w:w="3287" w:type="dxa"/>
          </w:tcPr>
          <w:tcPr/>
          <w:p>
            <w:pPr>
              <w:pStyle w:val="Compact"/>
              <w:jc w:val="left"/>
            </w:pPr>
            <w:r>
              <w:t xml:space="preserve">Performance du secteur énergie et gestion budgétaire</w:t>
            </w:r>
          </w:p>
        </w:tc>
        <w:tc>
          <w:tcPr>
            <w:tcW w:w="2365" w:type="dxa"/>
          </w:tcPr>
          <w:tcPr/>
          <w:p>
            <w:pPr>
              <w:pStyle w:val="Compact"/>
              <w:jc w:val="left"/>
            </w:pPr>
            <w:r>
              <w:t xml:space="preserve">[?]</w:t>
            </w:r>
          </w:p>
        </w:tc>
        <w:tc>
          <w:tcPr>
            <w:tcW w:w="2240" w:type="dxa"/>
          </w:tcPr>
          <w:tcPr/>
          <w:p>
            <w:pPr>
              <w:pStyle w:val="Compact"/>
              <w:jc w:val="left"/>
            </w:pPr>
            <w:r>
              <w:t xml:space="preserve">« Proposed » (fiche non mise à jour depuis 2022) — non approuvé à notre connaissance</w:t>
            </w:r>
          </w:p>
        </w:tc>
        <w:tc>
          <w:tcPr>
            <w:tcW w:w="697" w:type="dxa"/>
          </w:tcPr>
          <w:tcPr/>
          <w:p>
            <w:pPr>
              <w:pStyle w:val="Compact"/>
              <w:jc w:val="left"/>
            </w:pPr>
            <w:r>
              <w:t xml:space="preserve">[11] [S]</w:t>
            </w:r>
          </w:p>
        </w:tc>
      </w:tr>
      <w:tr>
        <w:tc>
          <w:tcPr>
            <w:tcW w:w="2458" w:type="dxa"/>
          </w:tcPr>
          <w:tcPr/>
          <w:p>
            <w:pPr>
              <w:pStyle w:val="Compact"/>
              <w:jc w:val="left"/>
            </w:pPr>
            <w:r>
              <w:t xml:space="preserve">PASET 2 (Projet d’appui au secteur de l’énergie, phase 2)</w:t>
            </w:r>
          </w:p>
        </w:tc>
        <w:tc>
          <w:tcPr>
            <w:tcW w:w="888" w:type="dxa"/>
          </w:tcPr>
          <w:tcPr/>
          <w:p>
            <w:pPr>
              <w:pStyle w:val="Compact"/>
              <w:jc w:val="left"/>
            </w:pPr>
            <w:r>
              <w:t xml:space="preserve">BAD (+ Fonds OPEP, FVC)</w:t>
            </w:r>
          </w:p>
        </w:tc>
        <w:tc>
          <w:tcPr>
            <w:tcW w:w="1702" w:type="dxa"/>
          </w:tcPr>
          <w:tcPr/>
          <w:p>
            <w:pPr>
              <w:pStyle w:val="Compact"/>
              <w:jc w:val="left"/>
            </w:pPr>
            <w:r>
              <w:t xml:space="preserve">28,5 M USD (15,8 Md FCFA) part BAD</w:t>
            </w:r>
          </w:p>
        </w:tc>
        <w:tc>
          <w:tcPr>
            <w:tcW w:w="929" w:type="dxa"/>
          </w:tcPr>
          <w:tcPr/>
          <w:p>
            <w:pPr>
              <w:pStyle w:val="Compact"/>
              <w:jc w:val="left"/>
            </w:pPr>
            <w:r>
              <w:t xml:space="preserve">accord signé 11-12-2025</w:t>
            </w:r>
          </w:p>
        </w:tc>
        <w:tc>
          <w:tcPr>
            <w:tcW w:w="3287" w:type="dxa"/>
          </w:tcPr>
          <w:tcPr/>
          <w:p>
            <w:pPr>
              <w:pStyle w:val="Compact"/>
              <w:jc w:val="left"/>
            </w:pPr>
            <w:r>
              <w:t xml:space="preserve">Hybridation solaire de la centrale gaz de Moundou ;</w:t>
            </w:r>
            <w:r>
              <w:t xml:space="preserve"> </w:t>
            </w:r>
            <w:r>
              <w:rPr>
                <w:bCs/>
                <w:b/>
              </w:rPr>
              <w:t xml:space="preserve">100 000 compteurs intelligents</w:t>
            </w:r>
          </w:p>
        </w:tc>
        <w:tc>
          <w:tcPr>
            <w:tcW w:w="2365" w:type="dxa"/>
          </w:tcPr>
          <w:tcPr/>
          <w:p>
            <w:pPr>
              <w:pStyle w:val="Compact"/>
              <w:jc w:val="left"/>
            </w:pPr>
            <w:r>
              <w:t xml:space="preserve">[?]</w:t>
            </w:r>
          </w:p>
        </w:tc>
        <w:tc>
          <w:tcPr>
            <w:tcW w:w="2240" w:type="dxa"/>
          </w:tcPr>
          <w:tcPr/>
          <w:p>
            <w:pPr>
              <w:pStyle w:val="Compact"/>
              <w:jc w:val="left"/>
            </w:pPr>
            <w:r>
              <w:t xml:space="preserve">Ratification parlementaire avril 2026</w:t>
            </w:r>
          </w:p>
        </w:tc>
        <w:tc>
          <w:tcPr>
            <w:tcW w:w="697" w:type="dxa"/>
          </w:tcPr>
          <w:tcPr/>
          <w:p>
            <w:pPr>
              <w:pStyle w:val="Compact"/>
              <w:jc w:val="left"/>
            </w:pPr>
            <w:r>
              <w:t xml:space="preserve">[12] [S]</w:t>
            </w:r>
          </w:p>
        </w:tc>
      </w:tr>
      <w:tr>
        <w:tc>
          <w:tcPr>
            <w:tcW w:w="2458" w:type="dxa"/>
          </w:tcPr>
          <w:tcPr/>
          <w:p>
            <w:pPr>
              <w:pStyle w:val="Compact"/>
              <w:jc w:val="left"/>
            </w:pPr>
            <w:r>
              <w:t xml:space="preserve">Facilité élargie de crédit (FEC)</w:t>
            </w:r>
          </w:p>
        </w:tc>
        <w:tc>
          <w:tcPr>
            <w:tcW w:w="888" w:type="dxa"/>
          </w:tcPr>
          <w:tcPr/>
          <w:p>
            <w:pPr>
              <w:pStyle w:val="Compact"/>
              <w:jc w:val="left"/>
            </w:pPr>
            <w:r>
              <w:t xml:space="preserve">FMI</w:t>
            </w:r>
          </w:p>
        </w:tc>
        <w:tc>
          <w:tcPr>
            <w:tcW w:w="1702" w:type="dxa"/>
          </w:tcPr>
          <w:tcPr/>
          <w:p>
            <w:pPr>
              <w:pStyle w:val="Compact"/>
              <w:jc w:val="left"/>
            </w:pPr>
            <w:r>
              <w:t xml:space="preserve">DTS 455,65 M (~655 M USD)</w:t>
            </w:r>
          </w:p>
        </w:tc>
        <w:tc>
          <w:tcPr>
            <w:tcW w:w="929" w:type="dxa"/>
          </w:tcPr>
          <w:tcPr/>
          <w:p>
            <w:pPr>
              <w:pStyle w:val="Compact"/>
              <w:jc w:val="left"/>
            </w:pPr>
            <w:r>
              <w:t xml:space="preserve">07/2025-2029</w:t>
            </w:r>
          </w:p>
        </w:tc>
        <w:tc>
          <w:tcPr>
            <w:tcW w:w="3287" w:type="dxa"/>
          </w:tcPr>
          <w:tcPr/>
          <w:p>
            <w:pPr>
              <w:pStyle w:val="Compact"/>
              <w:jc w:val="left"/>
            </w:pPr>
            <w:r>
              <w:t xml:space="preserve">Audit des subventions énergétiques ; passation compétitive des contrats carburant/électricité ; déclaration trimestrielle de la subvention en nature à la SNE</w:t>
            </w:r>
          </w:p>
        </w:tc>
        <w:tc>
          <w:tcPr>
            <w:tcW w:w="2365" w:type="dxa"/>
          </w:tcPr>
          <w:tcPr/>
          <w:p>
            <w:pPr>
              <w:pStyle w:val="Compact"/>
              <w:jc w:val="left"/>
            </w:pPr>
            <w:r>
              <w:t xml:space="preserve">Action préalable + repère structurel (audit)</w:t>
            </w:r>
          </w:p>
        </w:tc>
        <w:tc>
          <w:tcPr>
            <w:tcW w:w="2240" w:type="dxa"/>
          </w:tcPr>
          <w:tcPr/>
          <w:p>
            <w:pPr>
              <w:pStyle w:val="Compact"/>
              <w:jc w:val="left"/>
            </w:pPr>
            <w:r>
              <w:t xml:space="preserve">1re/2e revues en discussion (mai 2026)</w:t>
            </w:r>
          </w:p>
        </w:tc>
        <w:tc>
          <w:tcPr>
            <w:tcW w:w="697" w:type="dxa"/>
          </w:tcPr>
          <w:tcPr/>
          <w:p>
            <w:pPr>
              <w:pStyle w:val="Compact"/>
              <w:jc w:val="left"/>
            </w:pPr>
            <w:r>
              <w:t xml:space="preserve">[1][13]</w:t>
            </w:r>
          </w:p>
        </w:tc>
      </w:tr>
    </w:tbl>
    <w:bookmarkEnd w:id="347"/>
    <w:bookmarkStart w:id="348" w:name="écart-pacte-réalité-30"/>
    <w:p>
      <w:pPr>
        <w:pStyle w:val="Heading3"/>
      </w:pPr>
      <w:r>
        <w:t xml:space="preserve">5. Écart pacte ↔ réalité</w:t>
      </w:r>
    </w:p>
    <w:p>
      <w:pPr>
        <w:numPr>
          <w:ilvl w:val="0"/>
          <w:numId w:val="1186"/>
        </w:numPr>
        <w:pStyle w:val="Compact"/>
      </w:pPr>
      <w:r>
        <w:rPr>
          <w:bCs/>
          <w:b/>
        </w:rPr>
        <w:t xml:space="preserve">L’opérateur visé par le pacte n’existe plus en tant qu’exploitant</w:t>
      </w:r>
      <w:r>
        <w:t xml:space="preserve"> </w:t>
      </w:r>
      <w:r>
        <w:t xml:space="preserve">: le pacte (déc. 2024) fixe des cibles à la SNE (pertes &lt; 15 % en 2027, recouvrement 100 % et équilibre financier en 2028, contrat de performance) ; depuis juillet 2025 c’est TchadElec qui exploite. Aucune transposition publique de ces cibles à TchadElec n’a été trouvée [E].</w:t>
      </w:r>
    </w:p>
    <w:p>
      <w:pPr>
        <w:numPr>
          <w:ilvl w:val="0"/>
          <w:numId w:val="1186"/>
        </w:numPr>
        <w:pStyle w:val="Compact"/>
      </w:pPr>
      <w:r>
        <w:t xml:space="preserve">Le pacte ne chiffre pas les subventions (« Cf subvention SNE ») ; le FMI les chiffre à</w:t>
      </w:r>
      <w:r>
        <w:t xml:space="preserve"> </w:t>
      </w:r>
      <w:r>
        <w:rPr>
          <w:bCs/>
          <w:b/>
        </w:rPr>
        <w:t xml:space="preserve">~88-89 Md FCFA/an (≈ 150 M USD [E, à ~590 FCFA/USD])</w:t>
      </w:r>
      <w:r>
        <w:t xml:space="preserve"> </w:t>
      </w:r>
      <w:r>
        <w:t xml:space="preserve">de transferts en nature, ce qui est du même ordre que l’ensemble des recettes probables de l’opérateur [E] — subvention massive non mentionnée dans le pacte.</w:t>
      </w:r>
    </w:p>
    <w:p>
      <w:pPr>
        <w:numPr>
          <w:ilvl w:val="0"/>
          <w:numId w:val="1186"/>
        </w:numPr>
        <w:pStyle w:val="Compact"/>
      </w:pPr>
      <w:r>
        <w:t xml:space="preserve">Capacité : 487/235 MW (pacte) vs 167 MW (2024) → 300,5 MW (mars 2026) (autorités, presse) : les définitions divergent [S].</w:t>
      </w:r>
    </w:p>
    <w:p>
      <w:pPr>
        <w:numPr>
          <w:ilvl w:val="0"/>
          <w:numId w:val="1186"/>
        </w:numPr>
        <w:pStyle w:val="Compact"/>
      </w:pPr>
      <w:r>
        <w:t xml:space="preserve">Publication des comptes « déjà pratiquée » (pacte) : aucun état financier accessible en ligne [?].</w:t>
      </w:r>
    </w:p>
    <w:bookmarkEnd w:id="348"/>
    <w:bookmarkStart w:id="349" w:name="diagnostic-synthétique-30"/>
    <w:p>
      <w:pPr>
        <w:pStyle w:val="Heading3"/>
      </w:pPr>
      <w:r>
        <w:t xml:space="preserve">6. Diagnostic synthétique</w:t>
      </w:r>
    </w:p>
    <w:p>
      <w:pPr>
        <w:numPr>
          <w:ilvl w:val="0"/>
          <w:numId w:val="1187"/>
        </w:numPr>
        <w:pStyle w:val="Compact"/>
      </w:pPr>
      <w:r>
        <w:t xml:space="preserve">Financière :</w:t>
      </w:r>
      <w:r>
        <w:t xml:space="preserve"> </w:t>
      </w:r>
      <w:r>
        <w:rPr>
          <w:bCs/>
          <w:b/>
        </w:rPr>
        <w:t xml:space="preserve">faible</w:t>
      </w:r>
      <w:r>
        <w:t xml:space="preserve"> </w:t>
      </w:r>
      <w:r>
        <w:t xml:space="preserve">— opérateur déclaré insolvable, dépendance à un combustible fourni gratuitement par l’État, recouvrement ~50 % (pacte), aucun compte publié. Technique :</w:t>
      </w:r>
      <w:r>
        <w:t xml:space="preserve"> </w:t>
      </w:r>
      <w:r>
        <w:rPr>
          <w:bCs/>
          <w:b/>
        </w:rPr>
        <w:t xml:space="preserve">faible</w:t>
      </w:r>
      <w:r>
        <w:t xml:space="preserve"> </w:t>
      </w:r>
      <w:r>
        <w:t xml:space="preserve">— parc thermique vétuste (Farcha 2/10 groupes), pertes ~39 %, 11 % d’accès. Gouvernance :</w:t>
      </w:r>
      <w:r>
        <w:t xml:space="preserve"> </w:t>
      </w:r>
      <w:r>
        <w:rPr>
          <w:bCs/>
          <w:b/>
        </w:rPr>
        <w:t xml:space="preserve">faible</w:t>
      </w:r>
      <w:r>
        <w:t xml:space="preserve"> </w:t>
      </w:r>
      <w:r>
        <w:t xml:space="preserve">— restructuration par décret sans plan financier public ; amorce d’ouverture au privé (2026).</w:t>
      </w:r>
    </w:p>
    <w:p>
      <w:pPr>
        <w:numPr>
          <w:ilvl w:val="0"/>
          <w:numId w:val="1187"/>
        </w:numPr>
        <w:pStyle w:val="Compact"/>
      </w:pPr>
      <w:r>
        <w:t xml:space="preserve">Causes racines : (1) tarif figé depuis 2012 et subvention en nature non transparente ; (2) dépendance thermique et faible disponibilité du parc ; (3) gouvernance et gestion commerciale déficientes (inventaire clients incomplet, faible comptage).</w:t>
      </w:r>
    </w:p>
    <w:p>
      <w:pPr>
        <w:numPr>
          <w:ilvl w:val="0"/>
          <w:numId w:val="1187"/>
        </w:numPr>
        <w:pStyle w:val="Compact"/>
      </w:pPr>
      <w:r>
        <w:t xml:space="preserve">Phase 3 : statut juridique et bilan d’ouverture de TchadElec ; reprise ou cantonnement du passif SNE ; résultats de l’audit des subventions énergétiques (FMI) ; méthodologie tarifaire (PAAET) ; prix d’import PIRECT ; coûts IPP.</w:t>
      </w:r>
    </w:p>
    <w:bookmarkEnd w:id="349"/>
    <w:bookmarkStart w:id="350" w:name="inconnus-30"/>
    <w:p>
      <w:pPr>
        <w:pStyle w:val="Heading3"/>
      </w:pPr>
      <w:r>
        <w:t xml:space="preserve">7. Inconnus</w:t>
      </w:r>
    </w:p>
    <w:p>
      <w:pPr>
        <w:numPr>
          <w:ilvl w:val="0"/>
          <w:numId w:val="1188"/>
        </w:numPr>
        <w:pStyle w:val="Compact"/>
      </w:pPr>
      <w:r>
        <w:t xml:space="preserve">États financiers SNE 2022-2024 et bilan d’ouverture TchadElec [?] ; taux de recouvrement et pertes 2024-2025 de source primaire [?] ; montant de la dette SNE [?] ; texte du décret 1293 [?] ; documents BAD (PASET 2, Desert to Power) non consultés en primaire (afdb.org non atteint) [?].</w:t>
      </w:r>
    </w:p>
    <w:bookmarkEnd w:id="350"/>
    <w:bookmarkStart w:id="351" w:name="sources-31"/>
    <w:p>
      <w:pPr>
        <w:pStyle w:val="Heading3"/>
      </w:pPr>
      <w:r>
        <w:t xml:space="preserve">Sources</w:t>
      </w:r>
    </w:p>
    <w:p>
      <w:pPr>
        <w:pStyle w:val="FirstParagraph"/>
      </w:pPr>
      <w:r>
        <w:t xml:space="preserve">[1] FMI, « Chad: Request for a Four-Year Arrangement under the ECF — Staff Report », IMF Country Report No. 25/236, août 2025 (Board 25-07-2025). https://www.imf.org/-/media/files/publications/cr/2025/english/1tcdea2025001-source-pdf.pdf, consulté le 2026-10-18.</w:t>
      </w:r>
      <w:r>
        <w:t xml:space="preserve"> </w:t>
      </w:r>
      <w:r>
        <w:t xml:space="preserve">[2] Banque mondiale, ISR Seq. 9, Chad Energy Access Scale Up Project (P174495), 30-06-2026. https://documents.worldbank.org/curated/en/099063026121025907/pdf/P174495-0f1faaac-6572-4f3c-99bd-cb9ad327e2c6.pdf</w:t>
      </w:r>
      <w:r>
        <w:t xml:space="preserve"> </w:t>
      </w:r>
      <w:r>
        <w:t xml:space="preserve">[3] Banque mondiale, « Tchad — Projets d’Énergie du Tchad : Mission d’appui à la mise en œuvre, 5-21 mai 2025 », aide-mémoire (PAAET, PIRECT, RESPITE). https://documents.worldbank.org/curated/en/099062525113021319/pdf/P174495-7bf869c0-069a-4311-9d41-5979b4d9efe7.pdf</w:t>
      </w:r>
      <w:r>
        <w:t xml:space="preserve"> </w:t>
      </w:r>
      <w:r>
        <w:t xml:space="preserve">[4] Banque mondiale, API Projects (search.worldbank.org/api/v2/projects), fiches P179267 et P168185, consulté le 2026-10-18.</w:t>
      </w:r>
      <w:r>
        <w:t xml:space="preserve"> </w:t>
      </w:r>
      <w:r>
        <w:t xml:space="preserve">[6] EcoMatin, « Tchad : la SNE en faillite, l’État crée une nouvelle entreprise pour gérer l’électricité », 11-07-2025. https://ecomatin.net/tchad-la-sne-en-faillite-letat-cree-une-nouvelle-entreprise-pour-gerer-lelectricite</w:t>
      </w:r>
      <w:r>
        <w:t xml:space="preserve"> </w:t>
      </w:r>
      <w:r>
        <w:t xml:space="preserve">[7] RFI via AllAfrica, « Tchad : La société nationale d’électricité laisse place à TchadElec », 14-07-2025. https://fr.allafrica.com/stories/202507140311.html ; Tchadinfos, 09-07-2025. https://tchadinfos.com/2025/07/09/le-gouvernement-cree-la-tchadienne-delectricite-apres-la-decheance-de-la-sne/</w:t>
      </w:r>
      <w:r>
        <w:t xml:space="preserve"> </w:t>
      </w:r>
      <w:r>
        <w:t xml:space="preserve">[8] PNUE LEAP, « Décret n°1293/PR/PM/MEE/2025 portant création de la Société tchadienne d’électricité ». https://leap.unep.org/en/countries/td/national-legislation/decret-ndeg1293prpmmee2025-portant-creation-societe-tchadienne</w:t>
      </w:r>
      <w:r>
        <w:t xml:space="preserve"> </w:t>
      </w:r>
      <w:r>
        <w:t xml:space="preserve">[9] EcoMatin, « Électricité : N’Djamena veut briser le monopole de TchadElec pour ouvrir le marché au privé », 05-08-2026. https://ecomatin.net/electricite-ndjamena-veut-briser-le-monopole-de-tchadelec-pour-ouvrir-le-marche-au-prive</w:t>
      </w:r>
      <w:r>
        <w:t xml:space="preserve"> </w:t>
      </w:r>
      <w:r>
        <w:t xml:space="preserve">[10] GTAI, avis d’appel « Consulting Finanzmanagement Energiesektor » (Tchad, PAAET), 2026. https://www.gtai.de/de/trade/tschad/ausschreibungen-projekte/consulting-finanzmanagement-energiesektor–2027218</w:t>
      </w:r>
      <w:r>
        <w:t xml:space="preserve"> </w:t>
      </w:r>
      <w:r>
        <w:t xml:space="preserve">[11] Early Warning System, « Chad First Energy Access and Fiscal Management DPF (WB-P173755) ». https://ewsdata.rightsindevelopment.org/projects/p173755-chad-first-energy-access-and-fiscal-management-dev/</w:t>
      </w:r>
      <w:r>
        <w:t xml:space="preserve"> </w:t>
      </w:r>
      <w:r>
        <w:t xml:space="preserve">[12] EcoMatin, « Tchad : la BAD débloque 16 milliards FCFA pour renforcer le réseau électrique », déc. 2025. https://ecomatin.net/tchad-la-bad-debloque-16-milliards-fcfa-pour-renforcer-le-reseau-electrique ; Ecofin, avril 2026. https://www.ecofinagency.com/news/1404-54666-chad-expands-power-investment-but-still-faces-a-deep-energy-deficit</w:t>
      </w:r>
      <w:r>
        <w:t xml:space="preserve"> </w:t>
      </w:r>
      <w:r>
        <w:t xml:space="preserve">[13] FMI, communiqué PR26/162, « Chad: IMF Staff Conclude a Mission », 21-05-2026. https://www.imf.org/en/news/articles/2026/05/21/pr26162-chad-imf-staff-conclude-a-mission</w:t>
      </w:r>
      <w:r>
        <w:t xml:space="preserve"> </w:t>
      </w:r>
      <w:r>
        <w:t xml:space="preserve">[P] Fiche phase 1 (pacte national de l’énergie du Tchad, déc. 2024) : ../../phase1/fiches/TCD_tchad.md</w:t>
      </w:r>
    </w:p>
    <w:p>
      <w:r>
        <w:br w:type="page"/>
      </w:r>
    </w:p>
    <w:bookmarkEnd w:id="351"/>
    <w:bookmarkEnd w:id="352"/>
    <w:bookmarkStart w:id="362" w:name="diagnostic-opérateur-ceet-togo"/>
    <w:p>
      <w:pPr>
        <w:pStyle w:val="Heading2"/>
      </w:pPr>
      <w:r>
        <w:t xml:space="preserve">Diagnostic opérateur — CEET (Togo)</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Comparaison avec la fiche phase 1 : ../../phase1/fiches/TGO_togo.md (« pacte »).</w:t>
      </w:r>
    </w:p>
    <w:bookmarkStart w:id="353" w:name="identité-31"/>
    <w:p>
      <w:pPr>
        <w:pStyle w:val="Heading3"/>
      </w:pPr>
      <w:r>
        <w:t xml:space="preserve">0. Identité</w:t>
      </w:r>
    </w:p>
    <w:p>
      <w:pPr>
        <w:numPr>
          <w:ilvl w:val="0"/>
          <w:numId w:val="1189"/>
        </w:numPr>
        <w:pStyle w:val="Compact"/>
      </w:pPr>
      <w:r>
        <w:rPr>
          <w:bCs/>
          <w:b/>
        </w:rPr>
        <w:t xml:space="preserve">Opérateur</w:t>
      </w:r>
      <w:r>
        <w:t xml:space="preserve"> </w:t>
      </w:r>
      <w:r>
        <w:t xml:space="preserve">: CEET (Compagnie Énergie Électrique du Togo), entreprise publique. Elle assure la distribution, la commercialisation et une partie de la production, et achète l’énergie aux IPP (ContourGlobal, Kékéli, AMEA Blitta) et à la CEB, qui assure le transport et les importations (pacte).</w:t>
      </w:r>
    </w:p>
    <w:p>
      <w:pPr>
        <w:numPr>
          <w:ilvl w:val="0"/>
          <w:numId w:val="1189"/>
        </w:numPr>
        <w:pStyle w:val="Compact"/>
      </w:pPr>
      <w:r>
        <w:rPr>
          <w:bCs/>
          <w:b/>
        </w:rPr>
        <w:t xml:space="preserve">Statuts</w:t>
      </w:r>
      <w:r>
        <w:t xml:space="preserve"> </w:t>
      </w:r>
      <w:r>
        <w:t xml:space="preserve">: un décret révisant les statuts de la CEET consacre le</w:t>
      </w:r>
      <w:r>
        <w:t xml:space="preserve"> </w:t>
      </w:r>
      <w:r>
        <w:rPr>
          <w:bCs/>
          <w:b/>
        </w:rPr>
        <w:t xml:space="preserve">recrutement compétitif du comité de direction</w:t>
      </w:r>
      <w:r>
        <w:t xml:space="preserve"> </w:t>
      </w:r>
      <w:r>
        <w:t xml:space="preserve">et des critères de nomination du conseil d’administration. C’est l’action préalable n° 2 de la DPF Invest-4-Jobs 1 (2025) [1] [V].</w:t>
      </w:r>
    </w:p>
    <w:p>
      <w:pPr>
        <w:numPr>
          <w:ilvl w:val="0"/>
          <w:numId w:val="1189"/>
        </w:numPr>
        <w:pStyle w:val="Compact"/>
      </w:pPr>
      <w:r>
        <w:rPr>
          <w:bCs/>
          <w:b/>
        </w:rPr>
        <w:t xml:space="preserve">Tutelle</w:t>
      </w:r>
      <w:r>
        <w:t xml:space="preserve"> </w:t>
      </w:r>
      <w:r>
        <w:t xml:space="preserve">: ministère des Mines et des Ressources énergétiques [5] [S].</w:t>
      </w:r>
    </w:p>
    <w:p>
      <w:pPr>
        <w:numPr>
          <w:ilvl w:val="0"/>
          <w:numId w:val="1189"/>
        </w:numPr>
        <w:pStyle w:val="Compact"/>
      </w:pPr>
      <w:r>
        <w:rPr>
          <w:bCs/>
          <w:b/>
        </w:rPr>
        <w:t xml:space="preserve">Régulateur</w:t>
      </w:r>
      <w:r>
        <w:t xml:space="preserve"> </w:t>
      </w:r>
      <w:r>
        <w:t xml:space="preserve">: ARSE (pacte). Sur les tarifs, ce sont les arrêtés interministériels qui décident [2] [V].</w:t>
      </w:r>
    </w:p>
    <w:p>
      <w:pPr>
        <w:numPr>
          <w:ilvl w:val="0"/>
          <w:numId w:val="1189"/>
        </w:numPr>
        <w:pStyle w:val="Compact"/>
      </w:pPr>
      <w:r>
        <w:rPr>
          <w:bCs/>
          <w:b/>
        </w:rPr>
        <w:t xml:space="preserve">Derniers comptes</w:t>
      </w:r>
      <w:r>
        <w:t xml:space="preserve"> </w:t>
      </w:r>
      <w:r>
        <w:t xml:space="preserve">: la CEET a</w:t>
      </w:r>
      <w:r>
        <w:t xml:space="preserve"> </w:t>
      </w:r>
      <w:r>
        <w:rPr>
          <w:bCs/>
          <w:b/>
        </w:rPr>
        <w:t xml:space="preserve">transmis à la BM ses états financiers audités 2022 et 2023</w:t>
      </w:r>
      <w:r>
        <w:t xml:space="preserve">. C’est la PBC n° 2 du projet IDEA, atteinte avant décembre 2025 [3] [V]. Ils ne sont</w:t>
      </w:r>
      <w:r>
        <w:t xml:space="preserve"> </w:t>
      </w:r>
      <w:r>
        <w:rPr>
          <w:bCs/>
          <w:b/>
        </w:rPr>
        <w:t xml:space="preserve">pas publiés</w:t>
      </w:r>
      <w:r>
        <w:t xml:space="preserve"> </w:t>
      </w:r>
      <w:r>
        <w:t xml:space="preserve">en ligne à notre connaissance [?].</w:t>
      </w:r>
    </w:p>
    <w:bookmarkEnd w:id="353"/>
    <w:bookmarkStart w:id="354" w:name="situation-financière-30"/>
    <w:p>
      <w:pPr>
        <w:pStyle w:val="Heading3"/>
      </w:pPr>
      <w:r>
        <w:t xml:space="preserve">1. Situation financière</w:t>
      </w:r>
    </w:p>
    <w:tbl>
      <w:tblPr>
        <w:tblStyle w:val="Table"/>
        <w:tblW w:type="dxa" w:w="14570"/>
        <w:tblLook w:firstRow="1" w:lastRow="0" w:firstColumn="0" w:lastColumn="0" w:noHBand="0" w:noVBand="0" w:val="0020"/>
        <w:jc w:val="start"/>
      </w:tblPr>
      <w:tblGrid>
        <w:gridCol w:w="3506"/>
        <w:gridCol w:w="7295"/>
        <w:gridCol w:w="1096"/>
        <w:gridCol w:w="1663"/>
        <w:gridCol w:w="1009"/>
      </w:tblGrid>
      <w:tr>
        <w:trPr>
          <w:tblHeader w:val="true"/>
        </w:trPr>
        <w:tc>
          <w:tcPr>
            <w:tcW w:w="3506" w:type="dxa"/>
          </w:tcPr>
          <w:tcPr/>
          <w:p>
            <w:pPr>
              <w:pStyle w:val="Compact"/>
              <w:jc w:val="left"/>
            </w:pPr>
            <w:r>
              <w:t xml:space="preserve">Indicateur</w:t>
            </w:r>
          </w:p>
        </w:tc>
        <w:tc>
          <w:tcPr>
            <w:tcW w:w="7295" w:type="dxa"/>
          </w:tcPr>
          <w:tcPr/>
          <w:p>
            <w:pPr>
              <w:pStyle w:val="Compact"/>
              <w:jc w:val="left"/>
            </w:pPr>
            <w:r>
              <w:t xml:space="preserve">Valeur</w:t>
            </w:r>
          </w:p>
        </w:tc>
        <w:tc>
          <w:tcPr>
            <w:tcW w:w="1096" w:type="dxa"/>
          </w:tcPr>
          <w:tcPr/>
          <w:p>
            <w:pPr>
              <w:pStyle w:val="Compact"/>
              <w:jc w:val="left"/>
            </w:pPr>
            <w:r>
              <w:t xml:space="preserve">Année</w:t>
            </w:r>
          </w:p>
        </w:tc>
        <w:tc>
          <w:tcPr>
            <w:tcW w:w="1663" w:type="dxa"/>
          </w:tcPr>
          <w:tcPr/>
          <w:p>
            <w:pPr>
              <w:pStyle w:val="Compact"/>
              <w:jc w:val="left"/>
            </w:pPr>
            <w:r>
              <w:t xml:space="preserve">Statut</w:t>
            </w:r>
          </w:p>
        </w:tc>
        <w:tc>
          <w:tcPr>
            <w:tcW w:w="1009" w:type="dxa"/>
          </w:tcPr>
          <w:tcPr/>
          <w:p>
            <w:pPr>
              <w:pStyle w:val="Compact"/>
              <w:jc w:val="left"/>
            </w:pPr>
            <w:r>
              <w:t xml:space="preserve">Source</w:t>
            </w:r>
          </w:p>
        </w:tc>
      </w:tr>
      <w:tr>
        <w:tc>
          <w:tcPr>
            <w:tcW w:w="3506" w:type="dxa"/>
          </w:tcPr>
          <w:tcPr/>
          <w:p>
            <w:pPr>
              <w:pStyle w:val="Compact"/>
              <w:jc w:val="left"/>
            </w:pPr>
            <w:r>
              <w:t xml:space="preserve">Chiffre d’affaires ; résultat net ; EBITDA</w:t>
            </w:r>
          </w:p>
        </w:tc>
        <w:tc>
          <w:tcPr>
            <w:tcW w:w="7295" w:type="dxa"/>
          </w:tcPr>
          <w:tcPr/>
          <w:p>
            <w:pPr>
              <w:pStyle w:val="Compact"/>
              <w:jc w:val="left"/>
            </w:pPr>
            <w:r>
              <w:t xml:space="preserve">[?] non publiés</w:t>
            </w:r>
          </w:p>
        </w:tc>
        <w:tc>
          <w:tcPr>
            <w:tcW w:w="1096" w:type="dxa"/>
          </w:tcPr>
          <w:tcPr/>
          <w:p>
            <w:pPr>
              <w:pStyle w:val="Compact"/>
              <w:jc w:val="left"/>
            </w:pPr>
            <w:r>
              <w:t xml:space="preserve">—</w:t>
            </w:r>
          </w:p>
        </w:tc>
        <w:tc>
          <w:tcPr>
            <w:tcW w:w="1663" w:type="dxa"/>
          </w:tcPr>
          <w:tcPr/>
          <w:p>
            <w:pPr>
              <w:pStyle w:val="Compact"/>
              <w:jc w:val="left"/>
            </w:pPr>
            <w:r>
              <w:t xml:space="preserve">[?]</w:t>
            </w:r>
          </w:p>
        </w:tc>
        <w:tc>
          <w:tcPr>
            <w:tcW w:w="1009" w:type="dxa"/>
          </w:tcPr>
          <w:tcPr/>
          <w:p>
            <w:pPr>
              <w:pStyle w:val="Compact"/>
              <w:jc w:val="left"/>
            </w:pPr>
            <w:r>
              <w:t xml:space="preserve">—</w:t>
            </w:r>
          </w:p>
        </w:tc>
      </w:tr>
      <w:tr>
        <w:tc>
          <w:tcPr>
            <w:tcW w:w="3506" w:type="dxa"/>
          </w:tcPr>
          <w:tcPr/>
          <w:p>
            <w:pPr>
              <w:pStyle w:val="Compact"/>
              <w:jc w:val="left"/>
            </w:pPr>
            <w:r>
              <w:t xml:space="preserve">Dette / arriérés fournisseurs</w:t>
            </w:r>
          </w:p>
        </w:tc>
        <w:tc>
          <w:tcPr>
            <w:tcW w:w="7295" w:type="dxa"/>
          </w:tcPr>
          <w:tcPr/>
          <w:p>
            <w:pPr>
              <w:pStyle w:val="Compact"/>
              <w:jc w:val="left"/>
            </w:pPr>
            <w:r>
              <w:t xml:space="preserve">dette « élevée » et « dépendance chronique aux garanties de l’État » [1]. Ligne de crédit BOAD de 40 Md FCFA, garantie par l’État, pour apurer les dettes envers les fournisseurs d’énergie [5]. Plan antérieur d’apurement (2020) : environ 33,3 Md FCFA (BOAD 25, BID 7, CEET 1,3) pour les dettes envers les fournisseurs du Nigéria et du Ghana [6]</w:t>
            </w:r>
          </w:p>
        </w:tc>
        <w:tc>
          <w:tcPr>
            <w:tcW w:w="1096" w:type="dxa"/>
          </w:tcPr>
          <w:tcPr/>
          <w:p>
            <w:pPr>
              <w:pStyle w:val="Compact"/>
              <w:jc w:val="left"/>
            </w:pPr>
            <w:r>
              <w:t xml:space="preserve">2020-2025</w:t>
            </w:r>
          </w:p>
        </w:tc>
        <w:tc>
          <w:tcPr>
            <w:tcW w:w="1663" w:type="dxa"/>
          </w:tcPr>
          <w:tcPr/>
          <w:p>
            <w:pPr>
              <w:pStyle w:val="Compact"/>
              <w:jc w:val="left"/>
            </w:pPr>
            <w:r>
              <w:t xml:space="preserve">[V] / [S]</w:t>
            </w:r>
          </w:p>
        </w:tc>
        <w:tc>
          <w:tcPr>
            <w:tcW w:w="1009" w:type="dxa"/>
          </w:tcPr>
          <w:tcPr/>
          <w:p>
            <w:pPr>
              <w:pStyle w:val="Compact"/>
              <w:jc w:val="left"/>
            </w:pPr>
            <w:r>
              <w:t xml:space="preserve">[1 ; 5 ; 6]</w:t>
            </w:r>
          </w:p>
        </w:tc>
      </w:tr>
      <w:tr>
        <w:tc>
          <w:tcPr>
            <w:tcW w:w="3506" w:type="dxa"/>
          </w:tcPr>
          <w:tcPr/>
          <w:p>
            <w:pPr>
              <w:pStyle w:val="Compact"/>
              <w:jc w:val="left"/>
            </w:pPr>
            <w:r>
              <w:t xml:space="preserve">Plan de restructuration de la dette</w:t>
            </w:r>
          </w:p>
        </w:tc>
        <w:tc>
          <w:tcPr>
            <w:tcW w:w="7295" w:type="dxa"/>
          </w:tcPr>
          <w:tcPr/>
          <w:p>
            <w:pPr>
              <w:pStyle w:val="Compact"/>
              <w:jc w:val="left"/>
            </w:pPr>
            <w:r>
              <w:rPr>
                <w:bCs/>
                <w:b/>
              </w:rPr>
              <w:t xml:space="preserve">adopté</w:t>
            </w:r>
            <w:r>
              <w:t xml:space="preserve"> </w:t>
            </w:r>
            <w:r>
              <w:t xml:space="preserve">par le conseil de la CEET et par arrêté ministériel (PBC n° 3 du projet IDEA, atteinte) ; montant [?]</w:t>
            </w:r>
          </w:p>
        </w:tc>
        <w:tc>
          <w:tcPr>
            <w:tcW w:w="1096" w:type="dxa"/>
          </w:tcPr>
          <w:tcPr/>
          <w:p>
            <w:pPr>
              <w:pStyle w:val="Compact"/>
              <w:jc w:val="left"/>
            </w:pPr>
            <w:r>
              <w:t xml:space="preserve">2025-26</w:t>
            </w:r>
          </w:p>
        </w:tc>
        <w:tc>
          <w:tcPr>
            <w:tcW w:w="1663" w:type="dxa"/>
          </w:tcPr>
          <w:tcPr/>
          <w:p>
            <w:pPr>
              <w:pStyle w:val="Compact"/>
              <w:jc w:val="left"/>
            </w:pPr>
            <w:r>
              <w:t xml:space="preserve">[V]</w:t>
            </w:r>
          </w:p>
        </w:tc>
        <w:tc>
          <w:tcPr>
            <w:tcW w:w="1009" w:type="dxa"/>
          </w:tcPr>
          <w:tcPr/>
          <w:p>
            <w:pPr>
              <w:pStyle w:val="Compact"/>
              <w:jc w:val="left"/>
            </w:pPr>
            <w:r>
              <w:t xml:space="preserve">[3]</w:t>
            </w:r>
          </w:p>
        </w:tc>
      </w:tr>
      <w:tr>
        <w:tc>
          <w:tcPr>
            <w:tcW w:w="3506" w:type="dxa"/>
          </w:tcPr>
          <w:tcPr/>
          <w:p>
            <w:pPr>
              <w:pStyle w:val="Compact"/>
              <w:jc w:val="left"/>
            </w:pPr>
            <w:r>
              <w:t xml:space="preserve">Transferts de l’État</w:t>
            </w:r>
          </w:p>
        </w:tc>
        <w:tc>
          <w:tcPr>
            <w:tcW w:w="7295" w:type="dxa"/>
          </w:tcPr>
          <w:tcPr/>
          <w:p>
            <w:pPr>
              <w:pStyle w:val="Compact"/>
              <w:jc w:val="left"/>
            </w:pPr>
            <w:r>
              <w:t xml:space="preserve">plus de 56 Md FCFA mobilisés de 2020 à 2025 (combustible et paiement partiel des dettes d’importation), selon le ministère [5]. Dette des entreprises publiques garantie ou portée par l’État : 3,2 % du PIB en 2022 (toutes entreprises publiques) [2]</w:t>
            </w:r>
          </w:p>
        </w:tc>
        <w:tc>
          <w:tcPr>
            <w:tcW w:w="1096" w:type="dxa"/>
          </w:tcPr>
          <w:tcPr/>
          <w:p>
            <w:pPr>
              <w:pStyle w:val="Compact"/>
              <w:jc w:val="left"/>
            </w:pPr>
            <w:r>
              <w:t xml:space="preserve">2020-25</w:t>
            </w:r>
          </w:p>
        </w:tc>
        <w:tc>
          <w:tcPr>
            <w:tcW w:w="1663" w:type="dxa"/>
          </w:tcPr>
          <w:tcPr/>
          <w:p>
            <w:pPr>
              <w:pStyle w:val="Compact"/>
              <w:jc w:val="left"/>
            </w:pPr>
            <w:r>
              <w:t xml:space="preserve">[S] / [V]</w:t>
            </w:r>
          </w:p>
        </w:tc>
        <w:tc>
          <w:tcPr>
            <w:tcW w:w="1009" w:type="dxa"/>
          </w:tcPr>
          <w:tcPr/>
          <w:p>
            <w:pPr>
              <w:pStyle w:val="Compact"/>
              <w:jc w:val="left"/>
            </w:pPr>
            <w:r>
              <w:t xml:space="preserve">[5 ; 2]</w:t>
            </w:r>
          </w:p>
        </w:tc>
      </w:tr>
      <w:tr>
        <w:tc>
          <w:tcPr>
            <w:tcW w:w="3506" w:type="dxa"/>
          </w:tcPr>
          <w:tcPr/>
          <w:p>
            <w:pPr>
              <w:pStyle w:val="Compact"/>
              <w:jc w:val="left"/>
            </w:pPr>
            <w:r>
              <w:t xml:space="preserve">Taux de recouvrement</w:t>
            </w:r>
          </w:p>
        </w:tc>
        <w:tc>
          <w:tcPr>
            <w:tcW w:w="7295" w:type="dxa"/>
          </w:tcPr>
          <w:tcPr/>
          <w:p>
            <w:pPr>
              <w:pStyle w:val="Compact"/>
              <w:jc w:val="left"/>
            </w:pPr>
            <w:r>
              <w:t xml:space="preserve">« low revenue collection » [1] ; valeur [?]</w:t>
            </w:r>
          </w:p>
        </w:tc>
        <w:tc>
          <w:tcPr>
            <w:tcW w:w="1096" w:type="dxa"/>
          </w:tcPr>
          <w:tcPr/>
          <w:p>
            <w:pPr>
              <w:pStyle w:val="Compact"/>
              <w:jc w:val="left"/>
            </w:pPr>
            <w:r>
              <w:t xml:space="preserve">2025</w:t>
            </w:r>
          </w:p>
        </w:tc>
        <w:tc>
          <w:tcPr>
            <w:tcW w:w="1663" w:type="dxa"/>
          </w:tcPr>
          <w:tcPr/>
          <w:p>
            <w:pPr>
              <w:pStyle w:val="Compact"/>
              <w:jc w:val="left"/>
            </w:pPr>
            <w:r>
              <w:t xml:space="preserve">[V qualitatif]</w:t>
            </w:r>
          </w:p>
        </w:tc>
        <w:tc>
          <w:tcPr>
            <w:tcW w:w="1009" w:type="dxa"/>
          </w:tcPr>
          <w:tcPr/>
          <w:p>
            <w:pPr>
              <w:pStyle w:val="Compact"/>
              <w:jc w:val="left"/>
            </w:pPr>
            <w:r>
              <w:t xml:space="preserve">[1]</w:t>
            </w:r>
          </w:p>
        </w:tc>
      </w:tr>
      <w:tr>
        <w:tc>
          <w:tcPr>
            <w:tcW w:w="3506" w:type="dxa"/>
          </w:tcPr>
          <w:tcPr/>
          <w:p>
            <w:pPr>
              <w:pStyle w:val="Compact"/>
              <w:jc w:val="left"/>
            </w:pPr>
            <w:r>
              <w:rPr>
                <w:bCs/>
                <w:b/>
              </w:rPr>
              <w:t xml:space="preserve">Recette moyenne vs coût par kWh</w:t>
            </w:r>
          </w:p>
        </w:tc>
        <w:tc>
          <w:tcPr>
            <w:tcW w:w="7295" w:type="dxa"/>
          </w:tcPr>
          <w:tcPr/>
          <w:p>
            <w:pPr>
              <w:pStyle w:val="Compact"/>
              <w:jc w:val="left"/>
            </w:pPr>
            <w:r>
              <w:rPr>
                <w:bCs/>
                <w:b/>
              </w:rPr>
              <w:t xml:space="preserve">tarif moyen de 102 FCFA/kWh, inchangé depuis 2011, contre un coût moyen de production de 145 FCFA/kWh (2024)</w:t>
            </w:r>
            <w:r>
              <w:t xml:space="preserve">, soit environ 70 % de couverture [E]</w:t>
            </w:r>
          </w:p>
        </w:tc>
        <w:tc>
          <w:tcPr>
            <w:tcW w:w="1096" w:type="dxa"/>
          </w:tcPr>
          <w:tcPr/>
          <w:p>
            <w:pPr>
              <w:pStyle w:val="Compact"/>
              <w:jc w:val="left"/>
            </w:pPr>
            <w:r>
              <w:t xml:space="preserve">2024</w:t>
            </w:r>
          </w:p>
        </w:tc>
        <w:tc>
          <w:tcPr>
            <w:tcW w:w="1663" w:type="dxa"/>
          </w:tcPr>
          <w:tcPr/>
          <w:p>
            <w:pPr>
              <w:pStyle w:val="Compact"/>
              <w:jc w:val="left"/>
            </w:pPr>
            <w:r>
              <w:t xml:space="preserve">[S] (ministère via presse)</w:t>
            </w:r>
          </w:p>
        </w:tc>
        <w:tc>
          <w:tcPr>
            <w:tcW w:w="1009" w:type="dxa"/>
          </w:tcPr>
          <w:tcPr/>
          <w:p>
            <w:pPr>
              <w:pStyle w:val="Compact"/>
              <w:jc w:val="left"/>
            </w:pPr>
            <w:r>
              <w:t xml:space="preserve">[5]</w:t>
            </w:r>
          </w:p>
        </w:tc>
      </w:tr>
      <w:tr>
        <w:tc>
          <w:tcPr>
            <w:tcW w:w="3506" w:type="dxa"/>
          </w:tcPr>
          <w:tcPr/>
          <w:p>
            <w:pPr>
              <w:pStyle w:val="Compact"/>
              <w:jc w:val="left"/>
            </w:pPr>
            <w:r>
              <w:t xml:space="preserve">Ajustement tarifaire</w:t>
            </w:r>
          </w:p>
        </w:tc>
        <w:tc>
          <w:tcPr>
            <w:tcW w:w="7295" w:type="dxa"/>
          </w:tcPr>
          <w:tcPr/>
          <w:p>
            <w:pPr>
              <w:pStyle w:val="Compact"/>
              <w:jc w:val="left"/>
            </w:pPr>
            <w:r>
              <w:rPr>
                <w:bCs/>
                <w:b/>
              </w:rPr>
              <w:t xml:space="preserve">+12,5 % en moyenne au 15/05/2025</w:t>
            </w:r>
            <w:r>
              <w:t xml:space="preserve"> </w:t>
            </w:r>
            <w:r>
              <w:t xml:space="preserve">(arrêté interministériel ; action préalable de la DPF2 prévue pour le 01/04/2025), avec réévaluation annuelle des besoins ; baisse de 30 % maintenue pour plus de 1,5 M de petits consommateurs (depuis décembre 2024)</w:t>
            </w:r>
          </w:p>
        </w:tc>
        <w:tc>
          <w:tcPr>
            <w:tcW w:w="1096" w:type="dxa"/>
          </w:tcPr>
          <w:tcPr/>
          <w:p>
            <w:pPr>
              <w:pStyle w:val="Compact"/>
              <w:jc w:val="left"/>
            </w:pPr>
            <w:r>
              <w:t xml:space="preserve">2025</w:t>
            </w:r>
          </w:p>
        </w:tc>
        <w:tc>
          <w:tcPr>
            <w:tcW w:w="1663" w:type="dxa"/>
          </w:tcPr>
          <w:tcPr/>
          <w:p>
            <w:pPr>
              <w:pStyle w:val="Compact"/>
              <w:jc w:val="left"/>
            </w:pPr>
            <w:r>
              <w:t xml:space="preserve">[V] / [S]</w:t>
            </w:r>
          </w:p>
        </w:tc>
        <w:tc>
          <w:tcPr>
            <w:tcW w:w="1009" w:type="dxa"/>
          </w:tcPr>
          <w:tcPr/>
          <w:p>
            <w:pPr>
              <w:pStyle w:val="Compact"/>
              <w:jc w:val="left"/>
            </w:pPr>
            <w:r>
              <w:t xml:space="preserve">[2 ; 5]</w:t>
            </w:r>
          </w:p>
        </w:tc>
      </w:tr>
      <w:tr>
        <w:tc>
          <w:tcPr>
            <w:tcW w:w="3506" w:type="dxa"/>
          </w:tcPr>
          <w:tcPr/>
          <w:p>
            <w:pPr>
              <w:pStyle w:val="Compact"/>
              <w:jc w:val="left"/>
            </w:pPr>
            <w:r>
              <w:t xml:space="preserve">Formule du revenu requis de la CEET</w:t>
            </w:r>
          </w:p>
        </w:tc>
        <w:tc>
          <w:tcPr>
            <w:tcW w:w="7295" w:type="dxa"/>
          </w:tcPr>
          <w:tcPr/>
          <w:p>
            <w:pPr>
              <w:pStyle w:val="Compact"/>
              <w:jc w:val="left"/>
            </w:pPr>
            <w:r>
              <w:t xml:space="preserve">adoptée par arrêté (PBC n° 4 du projet IDEA, 10 M USD, atteinte)</w:t>
            </w:r>
          </w:p>
        </w:tc>
        <w:tc>
          <w:tcPr>
            <w:tcW w:w="1096" w:type="dxa"/>
          </w:tcPr>
          <w:tcPr/>
          <w:p>
            <w:pPr>
              <w:pStyle w:val="Compact"/>
              <w:jc w:val="left"/>
            </w:pPr>
            <w:r>
              <w:t xml:space="preserve">2025-26</w:t>
            </w:r>
          </w:p>
        </w:tc>
        <w:tc>
          <w:tcPr>
            <w:tcW w:w="1663" w:type="dxa"/>
          </w:tcPr>
          <w:tcPr/>
          <w:p>
            <w:pPr>
              <w:pStyle w:val="Compact"/>
              <w:jc w:val="left"/>
            </w:pPr>
            <w:r>
              <w:t xml:space="preserve">[V]</w:t>
            </w:r>
          </w:p>
        </w:tc>
        <w:tc>
          <w:tcPr>
            <w:tcW w:w="1009" w:type="dxa"/>
          </w:tcPr>
          <w:tcPr/>
          <w:p>
            <w:pPr>
              <w:pStyle w:val="Compact"/>
              <w:jc w:val="left"/>
            </w:pPr>
            <w:r>
              <w:t xml:space="preserve">[3]</w:t>
            </w:r>
          </w:p>
        </w:tc>
      </w:tr>
      <w:tr>
        <w:tc>
          <w:tcPr>
            <w:tcW w:w="3506" w:type="dxa"/>
          </w:tcPr>
          <w:tcPr/>
          <w:p>
            <w:pPr>
              <w:pStyle w:val="Compact"/>
              <w:jc w:val="left"/>
            </w:pPr>
            <w:r>
              <w:t xml:space="preserve">Déficit quasi-budgétaire</w:t>
            </w:r>
          </w:p>
        </w:tc>
        <w:tc>
          <w:tcPr>
            <w:tcW w:w="7295" w:type="dxa"/>
          </w:tcPr>
          <w:tcPr/>
          <w:p>
            <w:pPr>
              <w:pStyle w:val="Compact"/>
              <w:jc w:val="left"/>
            </w:pPr>
            <w:r>
              <w:t xml:space="preserve">[?]. Le FMI classe les entreprises publiques aux tarifs inférieurs aux coûts comme risque budgétaire contingent [7]</w:t>
            </w:r>
          </w:p>
        </w:tc>
        <w:tc>
          <w:tcPr>
            <w:tcW w:w="1096" w:type="dxa"/>
          </w:tcPr>
          <w:tcPr/>
          <w:p>
            <w:pPr>
              <w:pStyle w:val="Compact"/>
              <w:jc w:val="left"/>
            </w:pPr>
            <w:r>
              <w:t xml:space="preserve">2024</w:t>
            </w:r>
          </w:p>
        </w:tc>
        <w:tc>
          <w:tcPr>
            <w:tcW w:w="1663" w:type="dxa"/>
          </w:tcPr>
          <w:tcPr/>
          <w:p>
            <w:pPr>
              <w:pStyle w:val="Compact"/>
              <w:jc w:val="left"/>
            </w:pPr>
            <w:r>
              <w:t xml:space="preserve">[V qualitatif]</w:t>
            </w:r>
          </w:p>
        </w:tc>
        <w:tc>
          <w:tcPr>
            <w:tcW w:w="1009" w:type="dxa"/>
          </w:tcPr>
          <w:tcPr/>
          <w:p>
            <w:pPr>
              <w:pStyle w:val="Compact"/>
              <w:jc w:val="left"/>
            </w:pPr>
            <w:r>
              <w:t xml:space="preserve">[7]</w:t>
            </w:r>
          </w:p>
        </w:tc>
      </w:tr>
      <w:tr>
        <w:tc>
          <w:tcPr>
            <w:tcW w:w="3506" w:type="dxa"/>
          </w:tcPr>
          <w:tcPr/>
          <w:p>
            <w:pPr>
              <w:pStyle w:val="Compact"/>
              <w:jc w:val="left"/>
            </w:pPr>
            <w:r>
              <w:t xml:space="preserve">Notation</w:t>
            </w:r>
          </w:p>
        </w:tc>
        <w:tc>
          <w:tcPr>
            <w:tcW w:w="7295" w:type="dxa"/>
          </w:tcPr>
          <w:tcPr/>
          <w:p>
            <w:pPr>
              <w:pStyle w:val="Compact"/>
              <w:jc w:val="left"/>
            </w:pPr>
            <w:r>
              <w:t xml:space="preserve">[?]</w:t>
            </w:r>
          </w:p>
        </w:tc>
        <w:tc>
          <w:tcPr>
            <w:tcW w:w="1096" w:type="dxa"/>
          </w:tcPr>
          <w:tcPr/>
          <w:p>
            <w:pPr>
              <w:pStyle w:val="Compact"/>
              <w:jc w:val="left"/>
            </w:pPr>
            <w:r>
              <w:t xml:space="preserve">—</w:t>
            </w:r>
          </w:p>
        </w:tc>
        <w:tc>
          <w:tcPr>
            <w:tcW w:w="1663" w:type="dxa"/>
          </w:tcPr>
          <w:tcPr/>
          <w:p>
            <w:pPr>
              <w:pStyle w:val="Compact"/>
              <w:jc w:val="left"/>
            </w:pPr>
            <w:r>
              <w:t xml:space="preserve">[?]</w:t>
            </w:r>
          </w:p>
        </w:tc>
        <w:tc>
          <w:tcPr>
            <w:tcW w:w="1009" w:type="dxa"/>
          </w:tcPr>
          <w:tcPr/>
          <w:p>
            <w:pPr>
              <w:pStyle w:val="Compact"/>
              <w:jc w:val="left"/>
            </w:pPr>
            <w:r>
              <w:t xml:space="preserve">—</w:t>
            </w:r>
          </w:p>
        </w:tc>
      </w:tr>
    </w:tbl>
    <w:bookmarkEnd w:id="354"/>
    <w:bookmarkStart w:id="355" w:name="situation-technique-31"/>
    <w:p>
      <w:pPr>
        <w:pStyle w:val="Heading3"/>
      </w:pPr>
      <w:r>
        <w:t xml:space="preserve">2. Situation technique</w:t>
      </w:r>
    </w:p>
    <w:tbl>
      <w:tblPr>
        <w:tblStyle w:val="Table"/>
        <w:tblW w:type="dxa" w:w="14570"/>
        <w:tblLook w:firstRow="1" w:lastRow="0" w:firstColumn="0" w:lastColumn="0" w:noHBand="0" w:noVBand="0" w:val="0020"/>
        <w:jc w:val="start"/>
      </w:tblPr>
      <w:tblGrid>
        <w:gridCol w:w="2891"/>
        <w:gridCol w:w="8423"/>
        <w:gridCol w:w="940"/>
        <w:gridCol w:w="1271"/>
        <w:gridCol w:w="1043"/>
      </w:tblGrid>
      <w:tr>
        <w:trPr>
          <w:tblHeader w:val="true"/>
        </w:trPr>
        <w:tc>
          <w:tcPr>
            <w:tcW w:w="2891" w:type="dxa"/>
          </w:tcPr>
          <w:tcPr/>
          <w:p>
            <w:pPr>
              <w:pStyle w:val="Compact"/>
              <w:jc w:val="left"/>
            </w:pPr>
            <w:r>
              <w:t xml:space="preserve">Indicateur</w:t>
            </w:r>
          </w:p>
        </w:tc>
        <w:tc>
          <w:tcPr>
            <w:tcW w:w="8423" w:type="dxa"/>
          </w:tcPr>
          <w:tcPr/>
          <w:p>
            <w:pPr>
              <w:pStyle w:val="Compact"/>
              <w:jc w:val="left"/>
            </w:pPr>
            <w:r>
              <w:t xml:space="preserve">Valeur</w:t>
            </w:r>
          </w:p>
        </w:tc>
        <w:tc>
          <w:tcPr>
            <w:tcW w:w="940" w:type="dxa"/>
          </w:tcPr>
          <w:tcPr/>
          <w:p>
            <w:pPr>
              <w:pStyle w:val="Compact"/>
              <w:jc w:val="left"/>
            </w:pPr>
            <w:r>
              <w:t xml:space="preserve">Année</w:t>
            </w:r>
          </w:p>
        </w:tc>
        <w:tc>
          <w:tcPr>
            <w:tcW w:w="1271" w:type="dxa"/>
          </w:tcPr>
          <w:tcPr/>
          <w:p>
            <w:pPr>
              <w:pStyle w:val="Compact"/>
              <w:jc w:val="left"/>
            </w:pPr>
            <w:r>
              <w:t xml:space="preserve">Statut</w:t>
            </w:r>
          </w:p>
        </w:tc>
        <w:tc>
          <w:tcPr>
            <w:tcW w:w="1043" w:type="dxa"/>
          </w:tcPr>
          <w:tcPr/>
          <w:p>
            <w:pPr>
              <w:pStyle w:val="Compact"/>
              <w:jc w:val="left"/>
            </w:pPr>
            <w:r>
              <w:t xml:space="preserve">Source</w:t>
            </w:r>
          </w:p>
        </w:tc>
      </w:tr>
      <w:tr>
        <w:tc>
          <w:tcPr>
            <w:tcW w:w="2891" w:type="dxa"/>
          </w:tcPr>
          <w:tcPr/>
          <w:p>
            <w:pPr>
              <w:pStyle w:val="Compact"/>
              <w:jc w:val="left"/>
            </w:pPr>
            <w:r>
              <w:t xml:space="preserve">Pertes de distribution</w:t>
            </w:r>
          </w:p>
        </w:tc>
        <w:tc>
          <w:tcPr>
            <w:tcW w:w="8423" w:type="dxa"/>
          </w:tcPr>
          <w:tcPr/>
          <w:p>
            <w:pPr>
              <w:pStyle w:val="Compact"/>
              <w:jc w:val="left"/>
            </w:pPr>
            <w:r>
              <w:t xml:space="preserve">16,04 % (2022-2023, pacte) ; aucune donnée primaire indépendante [?]</w:t>
            </w:r>
          </w:p>
        </w:tc>
        <w:tc>
          <w:tcPr>
            <w:tcW w:w="940" w:type="dxa"/>
          </w:tcPr>
          <w:tcPr/>
          <w:p>
            <w:pPr>
              <w:pStyle w:val="Compact"/>
              <w:jc w:val="left"/>
            </w:pPr>
            <w:r>
              <w:t xml:space="preserve">2023</w:t>
            </w:r>
          </w:p>
        </w:tc>
        <w:tc>
          <w:tcPr>
            <w:tcW w:w="1271" w:type="dxa"/>
          </w:tcPr>
          <w:tcPr/>
          <w:p>
            <w:pPr>
              <w:pStyle w:val="Compact"/>
              <w:jc w:val="left"/>
            </w:pPr>
            <w:r>
              <w:t xml:space="preserve">pacte</w:t>
            </w:r>
          </w:p>
        </w:tc>
        <w:tc>
          <w:tcPr>
            <w:tcW w:w="1043" w:type="dxa"/>
          </w:tcPr>
          <w:tcPr/>
          <w:p>
            <w:pPr>
              <w:pStyle w:val="Compact"/>
              <w:jc w:val="left"/>
            </w:pPr>
            <w:r>
              <w:t xml:space="preserve">phase 1</w:t>
            </w:r>
          </w:p>
        </w:tc>
      </w:tr>
      <w:tr>
        <w:tc>
          <w:tcPr>
            <w:tcW w:w="2891" w:type="dxa"/>
          </w:tcPr>
          <w:tcPr/>
          <w:p>
            <w:pPr>
              <w:pStyle w:val="Compact"/>
              <w:jc w:val="left"/>
            </w:pPr>
            <w:r>
              <w:t xml:space="preserve">Rendement / END</w:t>
            </w:r>
          </w:p>
        </w:tc>
        <w:tc>
          <w:tcPr>
            <w:tcW w:w="8423" w:type="dxa"/>
          </w:tcPr>
          <w:tcPr/>
          <w:p>
            <w:pPr>
              <w:pStyle w:val="Compact"/>
              <w:jc w:val="left"/>
            </w:pPr>
            <w:r>
              <w:t xml:space="preserve">le pacte donne 84,99 % et 38,8 GWh, valeurs</w:t>
            </w:r>
            <w:r>
              <w:t xml:space="preserve"> </w:t>
            </w:r>
            <w:r>
              <w:rPr>
                <w:bCs/>
                <w:b/>
              </w:rPr>
              <w:t xml:space="preserve">identiques au pacte ivoirien</w:t>
            </w:r>
            <w:r>
              <w:t xml:space="preserve"> </w:t>
            </w:r>
            <w:r>
              <w:t xml:space="preserve">: probable copie, non retenue</w:t>
            </w:r>
          </w:p>
        </w:tc>
        <w:tc>
          <w:tcPr>
            <w:tcW w:w="940" w:type="dxa"/>
          </w:tcPr>
          <w:tcPr/>
          <w:p>
            <w:pPr>
              <w:pStyle w:val="Compact"/>
              <w:jc w:val="left"/>
            </w:pPr>
            <w:r>
              <w:t xml:space="preserve">—</w:t>
            </w:r>
          </w:p>
        </w:tc>
        <w:tc>
          <w:tcPr>
            <w:tcW w:w="1271" w:type="dxa"/>
          </w:tcPr>
          <w:tcPr/>
          <w:p>
            <w:pPr>
              <w:pStyle w:val="Compact"/>
              <w:jc w:val="left"/>
            </w:pPr>
            <w:r>
              <w:t xml:space="preserve">[?]</w:t>
            </w:r>
          </w:p>
        </w:tc>
        <w:tc>
          <w:tcPr>
            <w:tcW w:w="1043" w:type="dxa"/>
          </w:tcPr>
          <w:tcPr/>
          <w:p>
            <w:pPr>
              <w:pStyle w:val="Compact"/>
              <w:jc w:val="left"/>
            </w:pPr>
            <w:r>
              <w:t xml:space="preserve">phase 1</w:t>
            </w:r>
          </w:p>
        </w:tc>
      </w:tr>
      <w:tr>
        <w:tc>
          <w:tcPr>
            <w:tcW w:w="2891" w:type="dxa"/>
          </w:tcPr>
          <w:tcPr/>
          <w:p>
            <w:pPr>
              <w:pStyle w:val="Compact"/>
              <w:jc w:val="left"/>
            </w:pPr>
            <w:r>
              <w:t xml:space="preserve">Clients équipés de compteurs intelligents</w:t>
            </w:r>
          </w:p>
        </w:tc>
        <w:tc>
          <w:tcPr>
            <w:tcW w:w="8423" w:type="dxa"/>
          </w:tcPr>
          <w:tcPr/>
          <w:p>
            <w:pPr>
              <w:pStyle w:val="Compact"/>
              <w:jc w:val="left"/>
            </w:pPr>
            <w:r>
              <w:rPr>
                <w:bCs/>
                <w:b/>
              </w:rPr>
              <w:t xml:space="preserve">0,13 % (2021) puis 26 %</w:t>
            </w:r>
            <w:r>
              <w:t xml:space="preserve"> </w:t>
            </w:r>
            <w:r>
              <w:t xml:space="preserve">(déc. 2025 et juin 2026), vérifié sur la base commerciale de la CEET (PBC n° 1, atteinte)</w:t>
            </w:r>
          </w:p>
        </w:tc>
        <w:tc>
          <w:tcPr>
            <w:tcW w:w="940" w:type="dxa"/>
          </w:tcPr>
          <w:tcPr/>
          <w:p>
            <w:pPr>
              <w:pStyle w:val="Compact"/>
              <w:jc w:val="left"/>
            </w:pPr>
            <w:r>
              <w:t xml:space="preserve">2026</w:t>
            </w:r>
          </w:p>
        </w:tc>
        <w:tc>
          <w:tcPr>
            <w:tcW w:w="1271" w:type="dxa"/>
          </w:tcPr>
          <w:tcPr/>
          <w:p>
            <w:pPr>
              <w:pStyle w:val="Compact"/>
              <w:jc w:val="left"/>
            </w:pPr>
            <w:r>
              <w:t xml:space="preserve">[V]</w:t>
            </w:r>
          </w:p>
        </w:tc>
        <w:tc>
          <w:tcPr>
            <w:tcW w:w="1043" w:type="dxa"/>
          </w:tcPr>
          <w:tcPr/>
          <w:p>
            <w:pPr>
              <w:pStyle w:val="Compact"/>
              <w:jc w:val="left"/>
            </w:pPr>
            <w:r>
              <w:t xml:space="preserve">[3]</w:t>
            </w:r>
          </w:p>
        </w:tc>
      </w:tr>
      <w:tr>
        <w:tc>
          <w:tcPr>
            <w:tcW w:w="2891" w:type="dxa"/>
          </w:tcPr>
          <w:tcPr/>
          <w:p>
            <w:pPr>
              <w:pStyle w:val="Compact"/>
              <w:jc w:val="left"/>
            </w:pPr>
            <w:r>
              <w:t xml:space="preserve">Prépaiement</w:t>
            </w:r>
          </w:p>
        </w:tc>
        <w:tc>
          <w:tcPr>
            <w:tcW w:w="8423" w:type="dxa"/>
          </w:tcPr>
          <w:tcPr/>
          <w:p>
            <w:pPr>
              <w:pStyle w:val="Compact"/>
              <w:jc w:val="left"/>
            </w:pPr>
            <w:r>
              <w:t xml:space="preserve">prépaiement obligatoire pour les administrations non stratégiques et les clients BT (arrêté, DPF 2025)</w:t>
            </w:r>
          </w:p>
        </w:tc>
        <w:tc>
          <w:tcPr>
            <w:tcW w:w="940" w:type="dxa"/>
          </w:tcPr>
          <w:tcPr/>
          <w:p>
            <w:pPr>
              <w:pStyle w:val="Compact"/>
              <w:jc w:val="left"/>
            </w:pPr>
            <w:r>
              <w:t xml:space="preserve">2025</w:t>
            </w:r>
          </w:p>
        </w:tc>
        <w:tc>
          <w:tcPr>
            <w:tcW w:w="1271" w:type="dxa"/>
          </w:tcPr>
          <w:tcPr/>
          <w:p>
            <w:pPr>
              <w:pStyle w:val="Compact"/>
              <w:jc w:val="left"/>
            </w:pPr>
            <w:r>
              <w:t xml:space="preserve">[V]</w:t>
            </w:r>
          </w:p>
        </w:tc>
        <w:tc>
          <w:tcPr>
            <w:tcW w:w="1043" w:type="dxa"/>
          </w:tcPr>
          <w:tcPr/>
          <w:p>
            <w:pPr>
              <w:pStyle w:val="Compact"/>
              <w:jc w:val="left"/>
            </w:pPr>
            <w:r>
              <w:t xml:space="preserve">[1]</w:t>
            </w:r>
          </w:p>
        </w:tc>
      </w:tr>
      <w:tr>
        <w:tc>
          <w:tcPr>
            <w:tcW w:w="2891" w:type="dxa"/>
          </w:tcPr>
          <w:tcPr/>
          <w:p>
            <w:pPr>
              <w:pStyle w:val="Compact"/>
              <w:jc w:val="left"/>
            </w:pPr>
            <w:r>
              <w:t xml:space="preserve">Qualité de service</w:t>
            </w:r>
          </w:p>
        </w:tc>
        <w:tc>
          <w:tcPr>
            <w:tcW w:w="8423" w:type="dxa"/>
          </w:tcPr>
          <w:tcPr/>
          <w:p>
            <w:pPr>
              <w:pStyle w:val="Compact"/>
              <w:jc w:val="left"/>
            </w:pPr>
            <w:r>
              <w:t xml:space="preserve">« persistent service quality issues » ; « supply disruptions in urban areas » [1]. SAIDI/SAIFI [?]</w:t>
            </w:r>
          </w:p>
        </w:tc>
        <w:tc>
          <w:tcPr>
            <w:tcW w:w="940" w:type="dxa"/>
          </w:tcPr>
          <w:tcPr/>
          <w:p>
            <w:pPr>
              <w:pStyle w:val="Compact"/>
              <w:jc w:val="left"/>
            </w:pPr>
            <w:r>
              <w:t xml:space="preserve">2025</w:t>
            </w:r>
          </w:p>
        </w:tc>
        <w:tc>
          <w:tcPr>
            <w:tcW w:w="1271" w:type="dxa"/>
          </w:tcPr>
          <w:tcPr/>
          <w:p>
            <w:pPr>
              <w:pStyle w:val="Compact"/>
              <w:jc w:val="left"/>
            </w:pPr>
            <w:r>
              <w:t xml:space="preserve">[V qualitatif]</w:t>
            </w:r>
          </w:p>
        </w:tc>
        <w:tc>
          <w:tcPr>
            <w:tcW w:w="1043" w:type="dxa"/>
          </w:tcPr>
          <w:tcPr/>
          <w:p>
            <w:pPr>
              <w:pStyle w:val="Compact"/>
              <w:jc w:val="left"/>
            </w:pPr>
            <w:r>
              <w:t xml:space="preserve">[1]</w:t>
            </w:r>
          </w:p>
        </w:tc>
      </w:tr>
      <w:tr>
        <w:tc>
          <w:tcPr>
            <w:tcW w:w="2891" w:type="dxa"/>
          </w:tcPr>
          <w:tcPr/>
          <w:p>
            <w:pPr>
              <w:pStyle w:val="Compact"/>
              <w:jc w:val="left"/>
            </w:pPr>
            <w:r>
              <w:t xml:space="preserve">Capacité ; mix</w:t>
            </w:r>
          </w:p>
        </w:tc>
        <w:tc>
          <w:tcPr>
            <w:tcW w:w="8423" w:type="dxa"/>
          </w:tcPr>
          <w:tcPr/>
          <w:p>
            <w:pPr>
              <w:pStyle w:val="Compact"/>
              <w:jc w:val="left"/>
            </w:pPr>
            <w:r>
              <w:t xml:space="preserve">IPP : ContourGlobal 100 MW, Kékéli 65 MW, solaire de Blitta 70 MWc (pacte) ; centrale solaire de Sokodé (BAD, 2025) [8]</w:t>
            </w:r>
          </w:p>
        </w:tc>
        <w:tc>
          <w:tcPr>
            <w:tcW w:w="940" w:type="dxa"/>
          </w:tcPr>
          <w:tcPr/>
          <w:p>
            <w:pPr>
              <w:pStyle w:val="Compact"/>
              <w:jc w:val="left"/>
            </w:pPr>
            <w:r>
              <w:t xml:space="preserve">2025</w:t>
            </w:r>
          </w:p>
        </w:tc>
        <w:tc>
          <w:tcPr>
            <w:tcW w:w="1271" w:type="dxa"/>
          </w:tcPr>
          <w:tcPr/>
          <w:p>
            <w:pPr>
              <w:pStyle w:val="Compact"/>
              <w:jc w:val="left"/>
            </w:pPr>
            <w:r>
              <w:t xml:space="preserve">pacte / [V]</w:t>
            </w:r>
          </w:p>
        </w:tc>
        <w:tc>
          <w:tcPr>
            <w:tcW w:w="1043" w:type="dxa"/>
          </w:tcPr>
          <w:tcPr/>
          <w:p>
            <w:pPr>
              <w:pStyle w:val="Compact"/>
              <w:jc w:val="left"/>
            </w:pPr>
            <w:r>
              <w:t xml:space="preserve">[8]</w:t>
            </w:r>
          </w:p>
        </w:tc>
      </w:tr>
      <w:tr>
        <w:tc>
          <w:tcPr>
            <w:tcW w:w="2891" w:type="dxa"/>
          </w:tcPr>
          <w:tcPr/>
          <w:p>
            <w:pPr>
              <w:pStyle w:val="Compact"/>
              <w:jc w:val="left"/>
            </w:pPr>
            <w:r>
              <w:t xml:space="preserve">Raccordements ruraux</w:t>
            </w:r>
          </w:p>
        </w:tc>
        <w:tc>
          <w:tcPr>
            <w:tcW w:w="8423" w:type="dxa"/>
          </w:tcPr>
          <w:tcPr/>
          <w:p>
            <w:pPr>
              <w:pStyle w:val="Compact"/>
              <w:jc w:val="left"/>
            </w:pPr>
            <w:r>
              <w:t xml:space="preserve">+68 809 ménages ruraux (déc. 2021 – mars 2026), dont 27 400 dans les Savanes (indicateurs DPF2)</w:t>
            </w:r>
          </w:p>
        </w:tc>
        <w:tc>
          <w:tcPr>
            <w:tcW w:w="940" w:type="dxa"/>
          </w:tcPr>
          <w:tcPr/>
          <w:p>
            <w:pPr>
              <w:pStyle w:val="Compact"/>
              <w:jc w:val="left"/>
            </w:pPr>
            <w:r>
              <w:t xml:space="preserve">2026</w:t>
            </w:r>
          </w:p>
        </w:tc>
        <w:tc>
          <w:tcPr>
            <w:tcW w:w="1271" w:type="dxa"/>
          </w:tcPr>
          <w:tcPr/>
          <w:p>
            <w:pPr>
              <w:pStyle w:val="Compact"/>
              <w:jc w:val="left"/>
            </w:pPr>
            <w:r>
              <w:t xml:space="preserve">[V]</w:t>
            </w:r>
          </w:p>
        </w:tc>
        <w:tc>
          <w:tcPr>
            <w:tcW w:w="1043" w:type="dxa"/>
          </w:tcPr>
          <w:tcPr/>
          <w:p>
            <w:pPr>
              <w:pStyle w:val="Compact"/>
              <w:jc w:val="left"/>
            </w:pPr>
            <w:r>
              <w:t xml:space="preserve">[4]</w:t>
            </w:r>
          </w:p>
        </w:tc>
      </w:tr>
    </w:tbl>
    <w:bookmarkEnd w:id="355"/>
    <w:bookmarkStart w:id="356" w:name="situation-économique-et-gouvernance-31"/>
    <w:p>
      <w:pPr>
        <w:pStyle w:val="Heading3"/>
      </w:pPr>
      <w:r>
        <w:t xml:space="preserve">3. Situation économique et gouvernance</w:t>
      </w:r>
    </w:p>
    <w:p>
      <w:pPr>
        <w:numPr>
          <w:ilvl w:val="0"/>
          <w:numId w:val="1190"/>
        </w:numPr>
        <w:pStyle w:val="Compact"/>
      </w:pPr>
      <w:r>
        <w:rPr>
          <w:bCs/>
          <w:b/>
        </w:rPr>
        <w:t xml:space="preserve">PPA</w:t>
      </w:r>
      <w:r>
        <w:t xml:space="preserve"> </w:t>
      </w:r>
      <w:r>
        <w:t xml:space="preserve">: la CEET est l’acheteur des IPP. Le pacte reconnaît que le take-or-pay pèse directement sur l’État. Selon la BM, « the viability of CEET as an offtaker is the main barrier to private sector participation » [1] [V]. Termes et devises [?].</w:t>
      </w:r>
    </w:p>
    <w:p>
      <w:pPr>
        <w:numPr>
          <w:ilvl w:val="0"/>
          <w:numId w:val="1190"/>
        </w:numPr>
        <w:pStyle w:val="Compact"/>
      </w:pPr>
      <w:r>
        <w:rPr>
          <w:bCs/>
          <w:b/>
        </w:rPr>
        <w:t xml:space="preserve">Change et combustible</w:t>
      </w:r>
      <w:r>
        <w:t xml:space="preserve"> </w:t>
      </w:r>
      <w:r>
        <w:t xml:space="preserve">: importations (Nigéria, Ghana via la CEB) et thermique gaz/fioul. L’État prend en charge le combustible en cas de crise [5] [S].</w:t>
      </w:r>
    </w:p>
    <w:p>
      <w:pPr>
        <w:numPr>
          <w:ilvl w:val="0"/>
          <w:numId w:val="1190"/>
        </w:numPr>
        <w:pStyle w:val="Compact"/>
      </w:pPr>
      <w:r>
        <w:rPr>
          <w:bCs/>
          <w:b/>
        </w:rPr>
        <w:t xml:space="preserve">Redressement</w:t>
      </w:r>
      <w:r>
        <w:t xml:space="preserve"> </w:t>
      </w:r>
      <w:r>
        <w:t xml:space="preserve">: la DPF2 (2024) a adopté une feuille de route des réformes prioritaires du secteur [2] [V]. Les déclencheurs DPF2 et DPF3 (Invest-4-Jobs) portent sur un</w:t>
      </w:r>
      <w:r>
        <w:t xml:space="preserve"> </w:t>
      </w:r>
      <w:r>
        <w:rPr>
          <w:bCs/>
          <w:b/>
        </w:rPr>
        <w:t xml:space="preserve">nouveau contrat de performance</w:t>
      </w:r>
      <w:r>
        <w:t xml:space="preserve">, un mécanisme d’optimisation des revenus, une loi sur l’électricité (concurrence), la séparation comptable, puis des « tariff reforms » et la</w:t>
      </w:r>
      <w:r>
        <w:t xml:space="preserve"> </w:t>
      </w:r>
      <w:r>
        <w:rPr>
          <w:bCs/>
          <w:b/>
        </w:rPr>
        <w:t xml:space="preserve">« capital-market readiness »</w:t>
      </w:r>
      <w:r>
        <w:t xml:space="preserve"> </w:t>
      </w:r>
      <w:r>
        <w:t xml:space="preserve">de la CEET [1] [V]. L’ouverture du capital figure aussi au diagnostic Tetra Tech cité par le pacte.</w:t>
      </w:r>
    </w:p>
    <w:p>
      <w:pPr>
        <w:numPr>
          <w:ilvl w:val="0"/>
          <w:numId w:val="1190"/>
        </w:numPr>
        <w:pStyle w:val="Compact"/>
      </w:pPr>
      <w:r>
        <w:rPr>
          <w:bCs/>
          <w:b/>
        </w:rPr>
        <w:t xml:space="preserve">Gouvernance</w:t>
      </w:r>
      <w:r>
        <w:t xml:space="preserve"> </w:t>
      </w:r>
      <w:r>
        <w:t xml:space="preserve">: les statuts sont révisés (recrutement compétitif) [1] et le FMI place parmi ses priorités « strengthening governance and financial viability in the electricity sector, particularly for the state-owned utility company » [9] [V].</w:t>
      </w:r>
    </w:p>
    <w:bookmarkEnd w:id="356"/>
    <w:bookmarkStart w:id="357" w:name="X96e1e9f99b8e91199c45ed2488db205a241fac3"/>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556"/>
        <w:gridCol w:w="699"/>
        <w:gridCol w:w="2104"/>
        <w:gridCol w:w="1174"/>
        <w:gridCol w:w="3358"/>
        <w:gridCol w:w="1830"/>
        <w:gridCol w:w="1133"/>
        <w:gridCol w:w="712"/>
      </w:tblGrid>
      <w:tr>
        <w:trPr>
          <w:tblHeader w:val="true"/>
        </w:trPr>
        <w:tc>
          <w:tcPr>
            <w:tcW w:w="3556" w:type="dxa"/>
          </w:tcPr>
          <w:tcPr/>
          <w:p>
            <w:pPr>
              <w:pStyle w:val="Compact"/>
              <w:jc w:val="left"/>
            </w:pPr>
            <w:r>
              <w:t xml:space="preserve">Programme / projet</w:t>
            </w:r>
          </w:p>
        </w:tc>
        <w:tc>
          <w:tcPr>
            <w:tcW w:w="699" w:type="dxa"/>
          </w:tcPr>
          <w:tcPr/>
          <w:p>
            <w:pPr>
              <w:pStyle w:val="Compact"/>
              <w:jc w:val="left"/>
            </w:pPr>
            <w:r>
              <w:t xml:space="preserve">Bailleur</w:t>
            </w:r>
          </w:p>
        </w:tc>
        <w:tc>
          <w:tcPr>
            <w:tcW w:w="2104" w:type="dxa"/>
          </w:tcPr>
          <w:tcPr/>
          <w:p>
            <w:pPr>
              <w:pStyle w:val="Compact"/>
              <w:jc w:val="left"/>
            </w:pPr>
            <w:r>
              <w:t xml:space="preserve">Montant</w:t>
            </w:r>
          </w:p>
        </w:tc>
        <w:tc>
          <w:tcPr>
            <w:tcW w:w="1174" w:type="dxa"/>
          </w:tcPr>
          <w:tcPr/>
          <w:p>
            <w:pPr>
              <w:pStyle w:val="Compact"/>
              <w:jc w:val="left"/>
            </w:pPr>
            <w:r>
              <w:t xml:space="preserve">Années</w:t>
            </w:r>
          </w:p>
        </w:tc>
        <w:tc>
          <w:tcPr>
            <w:tcW w:w="3358" w:type="dxa"/>
          </w:tcPr>
          <w:tcPr/>
          <w:p>
            <w:pPr>
              <w:pStyle w:val="Compact"/>
              <w:jc w:val="left"/>
            </w:pPr>
            <w:r>
              <w:t xml:space="preserve">Objectifs liés à l’opérateur</w:t>
            </w:r>
          </w:p>
        </w:tc>
        <w:tc>
          <w:tcPr>
            <w:tcW w:w="1830" w:type="dxa"/>
          </w:tcPr>
          <w:tcPr/>
          <w:p>
            <w:pPr>
              <w:pStyle w:val="Compact"/>
              <w:jc w:val="left"/>
            </w:pPr>
            <w:r>
              <w:t xml:space="preserve">Conditions / indicateurs</w:t>
            </w:r>
          </w:p>
        </w:tc>
        <w:tc>
          <w:tcPr>
            <w:tcW w:w="1133" w:type="dxa"/>
          </w:tcPr>
          <w:tcPr/>
          <w:p>
            <w:pPr>
              <w:pStyle w:val="Compact"/>
              <w:jc w:val="left"/>
            </w:pPr>
            <w:r>
              <w:t xml:space="preserve">Statut</w:t>
            </w:r>
          </w:p>
        </w:tc>
        <w:tc>
          <w:tcPr>
            <w:tcW w:w="712" w:type="dxa"/>
          </w:tcPr>
          <w:tcPr/>
          <w:p>
            <w:pPr>
              <w:pStyle w:val="Compact"/>
              <w:jc w:val="left"/>
            </w:pPr>
            <w:r>
              <w:t xml:space="preserve">Source</w:t>
            </w:r>
          </w:p>
        </w:tc>
      </w:tr>
      <w:tr>
        <w:tc>
          <w:tcPr>
            <w:tcW w:w="3556" w:type="dxa"/>
          </w:tcPr>
          <w:tcPr/>
          <w:p>
            <w:pPr>
              <w:pStyle w:val="Compact"/>
              <w:jc w:val="left"/>
            </w:pPr>
            <w:r>
              <w:t xml:space="preserve">Inclusive Development through Electricity Access (IDEA),</w:t>
            </w:r>
            <w:r>
              <w:t xml:space="preserve"> </w:t>
            </w:r>
            <w:r>
              <w:rPr>
                <w:bCs/>
                <w:b/>
              </w:rPr>
              <w:t xml:space="preserve">P176769</w:t>
            </w:r>
          </w:p>
        </w:tc>
        <w:tc>
          <w:tcPr>
            <w:tcW w:w="699" w:type="dxa"/>
          </w:tcPr>
          <w:tcPr/>
          <w:p>
            <w:pPr>
              <w:pStyle w:val="Compact"/>
              <w:jc w:val="left"/>
            </w:pPr>
            <w:r>
              <w:t xml:space="preserve">BM (IDA)</w:t>
            </w:r>
          </w:p>
        </w:tc>
        <w:tc>
          <w:tcPr>
            <w:tcW w:w="2104" w:type="dxa"/>
          </w:tcPr>
          <w:tcPr/>
          <w:p>
            <w:pPr>
              <w:pStyle w:val="Compact"/>
              <w:jc w:val="left"/>
            </w:pPr>
            <w:r>
              <w:t xml:space="preserve">200 M USD (révisé à 210,57 M ; 85,66 M décaissés, soit 40,7 %)</w:t>
            </w:r>
          </w:p>
        </w:tc>
        <w:tc>
          <w:tcPr>
            <w:tcW w:w="1174" w:type="dxa"/>
          </w:tcPr>
          <w:tcPr/>
          <w:p>
            <w:pPr>
              <w:pStyle w:val="Compact"/>
              <w:jc w:val="left"/>
            </w:pPr>
            <w:r>
              <w:t xml:space="preserve">23/05/2024 – 31/12/2029</w:t>
            </w:r>
          </w:p>
        </w:tc>
        <w:tc>
          <w:tcPr>
            <w:tcW w:w="3358" w:type="dxa"/>
          </w:tcPr>
          <w:tcPr/>
          <w:p>
            <w:pPr>
              <w:pStyle w:val="Compact"/>
              <w:jc w:val="left"/>
            </w:pPr>
            <w:r>
              <w:t xml:space="preserve">ligne LENOKA, densification, électrification rurale, compteurs ;</w:t>
            </w:r>
            <w:r>
              <w:t xml:space="preserve"> </w:t>
            </w:r>
            <w:r>
              <w:rPr>
                <w:bCs/>
                <w:b/>
              </w:rPr>
              <w:t xml:space="preserve">améliorer la performance commerciale de la CEET</w:t>
            </w:r>
          </w:p>
        </w:tc>
        <w:tc>
          <w:tcPr>
            <w:tcW w:w="1830" w:type="dxa"/>
          </w:tcPr>
          <w:tcPr/>
          <w:p>
            <w:pPr>
              <w:pStyle w:val="Compact"/>
              <w:jc w:val="left"/>
            </w:pPr>
            <w:r>
              <w:rPr>
                <w:bCs/>
                <w:b/>
              </w:rPr>
              <w:t xml:space="preserve">PBC : (1) compteurs intelligents de 0,13 % à 26 % (atteint, 3 M USD) ; (2) états financiers audités 2022-2023 transmis (atteint, 5 M) ; (3) plan de restructuration de la dette adopté (atteint, 5 M) ; (4) formule de revenu requis (atteint, 10 M)</w:t>
            </w:r>
            <w:r>
              <w:t xml:space="preserve"> </w:t>
            </w:r>
            <w:r>
              <w:t xml:space="preserve">; recettes des gros consommateurs</w:t>
            </w:r>
          </w:p>
        </w:tc>
        <w:tc>
          <w:tcPr>
            <w:tcW w:w="1133" w:type="dxa"/>
          </w:tcPr>
          <w:tcPr/>
          <w:p>
            <w:pPr>
              <w:pStyle w:val="Compact"/>
              <w:jc w:val="left"/>
            </w:pPr>
            <w:r>
              <w:t xml:space="preserve">actif. Décaissements tirés par les PBC, travaux en retard</w:t>
            </w:r>
          </w:p>
        </w:tc>
        <w:tc>
          <w:tcPr>
            <w:tcW w:w="712" w:type="dxa"/>
          </w:tcPr>
          <w:tcPr/>
          <w:p>
            <w:pPr>
              <w:pStyle w:val="Compact"/>
              <w:jc w:val="left"/>
            </w:pPr>
            <w:r>
              <w:t xml:space="preserve">[3 ; 10]</w:t>
            </w:r>
          </w:p>
        </w:tc>
      </w:tr>
      <w:tr>
        <w:tc>
          <w:tcPr>
            <w:tcW w:w="3556" w:type="dxa"/>
          </w:tcPr>
          <w:tcPr/>
          <w:p>
            <w:pPr>
              <w:pStyle w:val="Compact"/>
              <w:jc w:val="left"/>
            </w:pPr>
            <w:r>
              <w:t xml:space="preserve">Togo’s First Invest-4-Jobs</w:t>
            </w:r>
            <w:r>
              <w:t xml:space="preserve"> </w:t>
            </w:r>
            <w:r>
              <w:rPr>
                <w:bCs/>
                <w:b/>
              </w:rPr>
              <w:t xml:space="preserve">DPF, P510580</w:t>
            </w:r>
          </w:p>
        </w:tc>
        <w:tc>
          <w:tcPr>
            <w:tcW w:w="699" w:type="dxa"/>
          </w:tcPr>
          <w:tcPr/>
          <w:p>
            <w:pPr>
              <w:pStyle w:val="Compact"/>
              <w:jc w:val="left"/>
            </w:pPr>
            <w:r>
              <w:t xml:space="preserve">BM</w:t>
            </w:r>
          </w:p>
        </w:tc>
        <w:tc>
          <w:tcPr>
            <w:tcW w:w="2104" w:type="dxa"/>
          </w:tcPr>
          <w:tcPr/>
          <w:p>
            <w:pPr>
              <w:pStyle w:val="Compact"/>
              <w:jc w:val="left"/>
            </w:pPr>
            <w:r>
              <w:t xml:space="preserve">150 M USD</w:t>
            </w:r>
          </w:p>
        </w:tc>
        <w:tc>
          <w:tcPr>
            <w:tcW w:w="1174" w:type="dxa"/>
          </w:tcPr>
          <w:tcPr/>
          <w:p>
            <w:pPr>
              <w:pStyle w:val="Compact"/>
              <w:jc w:val="left"/>
            </w:pPr>
            <w:r>
              <w:t xml:space="preserve">12/12/2025</w:t>
            </w:r>
          </w:p>
        </w:tc>
        <w:tc>
          <w:tcPr>
            <w:tcW w:w="3358" w:type="dxa"/>
          </w:tcPr>
          <w:tcPr/>
          <w:p>
            <w:pPr>
              <w:pStyle w:val="Compact"/>
              <w:jc w:val="left"/>
            </w:pPr>
            <w:r>
              <w:t xml:space="preserve">gouvernance de la CEET, prépaiement, EnR</w:t>
            </w:r>
          </w:p>
        </w:tc>
        <w:tc>
          <w:tcPr>
            <w:tcW w:w="1830" w:type="dxa"/>
          </w:tcPr>
          <w:tcPr/>
          <w:p>
            <w:pPr>
              <w:pStyle w:val="Compact"/>
              <w:jc w:val="left"/>
            </w:pPr>
            <w:r>
              <w:rPr>
                <w:bCs/>
                <w:b/>
              </w:rPr>
              <w:t xml:space="preserve">AP n° 2</w:t>
            </w:r>
            <w:r>
              <w:t xml:space="preserve"> </w:t>
            </w:r>
            <w:r>
              <w:t xml:space="preserve">: statuts de la CEET (recrutement compétitif), prépaiement obligatoire, arrêté autoproduction EnR. Déclencheurs : contrat de performance, optimisation des revenus, loi électricité ; ensuite tarifs, séparation comptable, capital-market readiness</w:t>
            </w:r>
          </w:p>
        </w:tc>
        <w:tc>
          <w:tcPr>
            <w:tcW w:w="1133" w:type="dxa"/>
          </w:tcPr>
          <w:tcPr/>
          <w:p>
            <w:pPr>
              <w:pStyle w:val="Compact"/>
              <w:jc w:val="left"/>
            </w:pPr>
            <w:r>
              <w:t xml:space="preserve">active</w:t>
            </w:r>
          </w:p>
        </w:tc>
        <w:tc>
          <w:tcPr>
            <w:tcW w:w="712" w:type="dxa"/>
          </w:tcPr>
          <w:tcPr/>
          <w:p>
            <w:pPr>
              <w:pStyle w:val="Compact"/>
              <w:jc w:val="left"/>
            </w:pPr>
            <w:r>
              <w:t xml:space="preserve">[1 ; 10]</w:t>
            </w:r>
          </w:p>
        </w:tc>
      </w:tr>
      <w:tr>
        <w:tc>
          <w:tcPr>
            <w:tcW w:w="3556" w:type="dxa"/>
          </w:tcPr>
          <w:tcPr/>
          <w:p>
            <w:pPr>
              <w:pStyle w:val="Compact"/>
              <w:jc w:val="left"/>
            </w:pPr>
            <w:r>
              <w:t xml:space="preserve">Togo’s Second Invest-4-Jobs DPF,</w:t>
            </w:r>
            <w:r>
              <w:t xml:space="preserve"> </w:t>
            </w:r>
            <w:r>
              <w:rPr>
                <w:bCs/>
                <w:b/>
              </w:rPr>
              <w:t xml:space="preserve">P514125</w:t>
            </w:r>
          </w:p>
        </w:tc>
        <w:tc>
          <w:tcPr>
            <w:tcW w:w="699" w:type="dxa"/>
          </w:tcPr>
          <w:tcPr/>
          <w:p>
            <w:pPr>
              <w:pStyle w:val="Compact"/>
              <w:jc w:val="left"/>
            </w:pPr>
            <w:r>
              <w:t xml:space="preserve">BM</w:t>
            </w:r>
          </w:p>
        </w:tc>
        <w:tc>
          <w:tcPr>
            <w:tcW w:w="2104" w:type="dxa"/>
          </w:tcPr>
          <w:tcPr/>
          <w:p>
            <w:pPr>
              <w:pStyle w:val="Compact"/>
              <w:jc w:val="left"/>
            </w:pPr>
            <w:r>
              <w:t xml:space="preserve">125 M USD</w:t>
            </w:r>
          </w:p>
        </w:tc>
        <w:tc>
          <w:tcPr>
            <w:tcW w:w="1174" w:type="dxa"/>
          </w:tcPr>
          <w:tcPr/>
          <w:p>
            <w:pPr>
              <w:pStyle w:val="Compact"/>
              <w:jc w:val="left"/>
            </w:pPr>
            <w:r>
              <w:t xml:space="preserve">prévu le 02/12/2026</w:t>
            </w:r>
          </w:p>
        </w:tc>
        <w:tc>
          <w:tcPr>
            <w:tcW w:w="3358" w:type="dxa"/>
          </w:tcPr>
          <w:tcPr/>
          <w:p>
            <w:pPr>
              <w:pStyle w:val="Compact"/>
              <w:jc w:val="left"/>
            </w:pPr>
            <w:r>
              <w:t xml:space="preserve">suite de la série (déclencheurs ci-dessus)</w:t>
            </w:r>
          </w:p>
        </w:tc>
        <w:tc>
          <w:tcPr>
            <w:tcW w:w="1830" w:type="dxa"/>
          </w:tcPr>
          <w:tcPr/>
          <w:p>
            <w:pPr>
              <w:pStyle w:val="Compact"/>
              <w:jc w:val="left"/>
            </w:pPr>
            <w:r>
              <w:t xml:space="preserve">[?]</w:t>
            </w:r>
          </w:p>
        </w:tc>
        <w:tc>
          <w:tcPr>
            <w:tcW w:w="1133" w:type="dxa"/>
          </w:tcPr>
          <w:tcPr/>
          <w:p>
            <w:pPr>
              <w:pStyle w:val="Compact"/>
              <w:jc w:val="left"/>
            </w:pPr>
            <w:r>
              <w:t xml:space="preserve">en préparation</w:t>
            </w:r>
          </w:p>
        </w:tc>
        <w:tc>
          <w:tcPr>
            <w:tcW w:w="712" w:type="dxa"/>
          </w:tcPr>
          <w:tcPr/>
          <w:p>
            <w:pPr>
              <w:pStyle w:val="Compact"/>
              <w:jc w:val="left"/>
            </w:pPr>
            <w:r>
              <w:t xml:space="preserve">[10]</w:t>
            </w:r>
          </w:p>
        </w:tc>
      </w:tr>
      <w:tr>
        <w:tc>
          <w:tcPr>
            <w:tcW w:w="3556" w:type="dxa"/>
          </w:tcPr>
          <w:tcPr/>
          <w:p>
            <w:pPr>
              <w:pStyle w:val="Compact"/>
              <w:jc w:val="left"/>
            </w:pPr>
            <w:r>
              <w:t xml:space="preserve">Togo’s Second Sustainable and Inclusive DPF,</w:t>
            </w:r>
            <w:r>
              <w:t xml:space="preserve"> </w:t>
            </w:r>
            <w:r>
              <w:rPr>
                <w:bCs/>
                <w:b/>
              </w:rPr>
              <w:t xml:space="preserve">P181238</w:t>
            </w:r>
          </w:p>
        </w:tc>
        <w:tc>
          <w:tcPr>
            <w:tcW w:w="699" w:type="dxa"/>
          </w:tcPr>
          <w:tcPr/>
          <w:p>
            <w:pPr>
              <w:pStyle w:val="Compact"/>
              <w:jc w:val="left"/>
            </w:pPr>
            <w:r>
              <w:t xml:space="preserve">BM</w:t>
            </w:r>
          </w:p>
        </w:tc>
        <w:tc>
          <w:tcPr>
            <w:tcW w:w="2104" w:type="dxa"/>
          </w:tcPr>
          <w:tcPr/>
          <w:p>
            <w:pPr>
              <w:pStyle w:val="Compact"/>
              <w:jc w:val="left"/>
            </w:pPr>
            <w:r>
              <w:t xml:space="preserve">200 M USD</w:t>
            </w:r>
          </w:p>
        </w:tc>
        <w:tc>
          <w:tcPr>
            <w:tcW w:w="1174" w:type="dxa"/>
          </w:tcPr>
          <w:tcPr/>
          <w:p>
            <w:pPr>
              <w:pStyle w:val="Compact"/>
              <w:jc w:val="left"/>
            </w:pPr>
            <w:r>
              <w:t xml:space="preserve">10/12/2024 – 31/05/2026</w:t>
            </w:r>
          </w:p>
        </w:tc>
        <w:tc>
          <w:tcPr>
            <w:tcW w:w="3358" w:type="dxa"/>
          </w:tcPr>
          <w:tcPr/>
          <w:p>
            <w:pPr>
              <w:pStyle w:val="Compact"/>
              <w:jc w:val="left"/>
            </w:pPr>
            <w:r>
              <w:rPr>
                <w:bCs/>
                <w:b/>
              </w:rPr>
              <w:t xml:space="preserve">nouvelle structure tarifaire (+12,5 %)</w:t>
            </w:r>
            <w:r>
              <w:t xml:space="preserve">, feuille de route sectorielle, décret autoproduction</w:t>
            </w:r>
          </w:p>
        </w:tc>
        <w:tc>
          <w:tcPr>
            <w:tcW w:w="1830" w:type="dxa"/>
          </w:tcPr>
          <w:tcPr/>
          <w:p>
            <w:pPr>
              <w:pStyle w:val="Compact"/>
              <w:jc w:val="left"/>
            </w:pPr>
            <w:r>
              <w:t xml:space="preserve">AP n° 2</w:t>
            </w:r>
          </w:p>
        </w:tc>
        <w:tc>
          <w:tcPr>
            <w:tcW w:w="1133" w:type="dxa"/>
          </w:tcPr>
          <w:tcPr/>
          <w:p>
            <w:pPr>
              <w:pStyle w:val="Compact"/>
              <w:jc w:val="left"/>
            </w:pPr>
            <w:r>
              <w:t xml:space="preserve">clôturée</w:t>
            </w:r>
          </w:p>
        </w:tc>
        <w:tc>
          <w:tcPr>
            <w:tcW w:w="712" w:type="dxa"/>
          </w:tcPr>
          <w:tcPr/>
          <w:p>
            <w:pPr>
              <w:pStyle w:val="Compact"/>
              <w:jc w:val="left"/>
            </w:pPr>
            <w:r>
              <w:t xml:space="preserve">[2 ; 4 ; 10]</w:t>
            </w:r>
          </w:p>
        </w:tc>
      </w:tr>
      <w:tr>
        <w:tc>
          <w:tcPr>
            <w:tcW w:w="3556" w:type="dxa"/>
          </w:tcPr>
          <w:tcPr/>
          <w:p>
            <w:pPr>
              <w:pStyle w:val="Compact"/>
              <w:jc w:val="left"/>
            </w:pPr>
            <w:r>
              <w:t xml:space="preserve">Regional Emergency Solar Power Intervention (RESPITE),</w:t>
            </w:r>
            <w:r>
              <w:t xml:space="preserve"> </w:t>
            </w:r>
            <w:r>
              <w:rPr>
                <w:bCs/>
                <w:b/>
              </w:rPr>
              <w:t xml:space="preserve">P179267</w:t>
            </w:r>
            <w:r>
              <w:t xml:space="preserve"> </w:t>
            </w:r>
            <w:r>
              <w:t xml:space="preserve">(+ AF</w:t>
            </w:r>
            <w:r>
              <w:t xml:space="preserve"> </w:t>
            </w:r>
            <w:r>
              <w:rPr>
                <w:bCs/>
                <w:b/>
              </w:rPr>
              <w:t xml:space="preserve">P512092</w:t>
            </w:r>
            <w:r>
              <w:t xml:space="preserve">, 70 M, 03/2026)</w:t>
            </w:r>
          </w:p>
        </w:tc>
        <w:tc>
          <w:tcPr>
            <w:tcW w:w="699" w:type="dxa"/>
          </w:tcPr>
          <w:tcPr/>
          <w:p>
            <w:pPr>
              <w:pStyle w:val="Compact"/>
              <w:jc w:val="left"/>
            </w:pPr>
            <w:r>
              <w:t xml:space="preserve">BM</w:t>
            </w:r>
          </w:p>
        </w:tc>
        <w:tc>
          <w:tcPr>
            <w:tcW w:w="2104" w:type="dxa"/>
          </w:tcPr>
          <w:tcPr/>
          <w:p>
            <w:pPr>
              <w:pStyle w:val="Compact"/>
              <w:jc w:val="left"/>
            </w:pPr>
            <w:r>
              <w:t xml:space="preserve">381 M USD (régional) ; Togo : 25 MWc + 36 MWh à Dapaong (pacte)</w:t>
            </w:r>
          </w:p>
        </w:tc>
        <w:tc>
          <w:tcPr>
            <w:tcW w:w="1174" w:type="dxa"/>
          </w:tcPr>
          <w:tcPr/>
          <w:p>
            <w:pPr>
              <w:pStyle w:val="Compact"/>
              <w:jc w:val="left"/>
            </w:pPr>
            <w:r>
              <w:t xml:space="preserve">2022-2028</w:t>
            </w:r>
          </w:p>
        </w:tc>
        <w:tc>
          <w:tcPr>
            <w:tcW w:w="3358" w:type="dxa"/>
          </w:tcPr>
          <w:tcPr/>
          <w:p>
            <w:pPr>
              <w:pStyle w:val="Compact"/>
              <w:jc w:val="left"/>
            </w:pPr>
            <w:r>
              <w:t xml:space="preserve">solaire avec stockage raccordé au réseau</w:t>
            </w:r>
          </w:p>
        </w:tc>
        <w:tc>
          <w:tcPr>
            <w:tcW w:w="1830" w:type="dxa"/>
          </w:tcPr>
          <w:tcPr/>
          <w:p>
            <w:pPr>
              <w:pStyle w:val="Compact"/>
              <w:jc w:val="left"/>
            </w:pPr>
            <w:r>
              <w:t xml:space="preserve">—</w:t>
            </w:r>
          </w:p>
        </w:tc>
        <w:tc>
          <w:tcPr>
            <w:tcW w:w="1133" w:type="dxa"/>
          </w:tcPr>
          <w:tcPr/>
          <w:p>
            <w:pPr>
              <w:pStyle w:val="Compact"/>
              <w:jc w:val="left"/>
            </w:pPr>
            <w:r>
              <w:t xml:space="preserve">actif</w:t>
            </w:r>
          </w:p>
        </w:tc>
        <w:tc>
          <w:tcPr>
            <w:tcW w:w="712" w:type="dxa"/>
          </w:tcPr>
          <w:tcPr/>
          <w:p>
            <w:pPr>
              <w:pStyle w:val="Compact"/>
              <w:jc w:val="left"/>
            </w:pPr>
            <w:r>
              <w:t xml:space="preserve">[10]</w:t>
            </w:r>
          </w:p>
        </w:tc>
      </w:tr>
      <w:tr>
        <w:tc>
          <w:tcPr>
            <w:tcW w:w="3556" w:type="dxa"/>
          </w:tcPr>
          <w:tcPr/>
          <w:p>
            <w:pPr>
              <w:pStyle w:val="Compact"/>
              <w:jc w:val="left"/>
            </w:pPr>
            <w:r>
              <w:t xml:space="preserve">PRIME-GAS (Power Regional Integration through Market-Enabled Gas),</w:t>
            </w:r>
            <w:r>
              <w:t xml:space="preserve"> </w:t>
            </w:r>
            <w:r>
              <w:rPr>
                <w:bCs/>
                <w:b/>
              </w:rPr>
              <w:t xml:space="preserve">P515614</w:t>
            </w:r>
            <w:r>
              <w:t xml:space="preserve"> </w:t>
            </w:r>
            <w:r>
              <w:t xml:space="preserve">(CI, Bénin, Togo)</w:t>
            </w:r>
          </w:p>
        </w:tc>
        <w:tc>
          <w:tcPr>
            <w:tcW w:w="699" w:type="dxa"/>
          </w:tcPr>
          <w:tcPr/>
          <w:p>
            <w:pPr>
              <w:pStyle w:val="Compact"/>
              <w:jc w:val="left"/>
            </w:pPr>
            <w:r>
              <w:t xml:space="preserve">BM</w:t>
            </w:r>
          </w:p>
        </w:tc>
        <w:tc>
          <w:tcPr>
            <w:tcW w:w="2104" w:type="dxa"/>
          </w:tcPr>
          <w:tcPr/>
          <w:p>
            <w:pPr>
              <w:pStyle w:val="Compact"/>
              <w:jc w:val="left"/>
            </w:pPr>
            <w:r>
              <w:t xml:space="preserve">140 M USD</w:t>
            </w:r>
          </w:p>
        </w:tc>
        <w:tc>
          <w:tcPr>
            <w:tcW w:w="1174" w:type="dxa"/>
          </w:tcPr>
          <w:tcPr/>
          <w:p>
            <w:pPr>
              <w:pStyle w:val="Compact"/>
              <w:jc w:val="left"/>
            </w:pPr>
            <w:r>
              <w:t xml:space="preserve">29/06/2026</w:t>
            </w:r>
          </w:p>
        </w:tc>
        <w:tc>
          <w:tcPr>
            <w:tcW w:w="3358" w:type="dxa"/>
          </w:tcPr>
          <w:tcPr/>
          <w:p>
            <w:pPr>
              <w:pStyle w:val="Compact"/>
              <w:jc w:val="left"/>
            </w:pPr>
            <w:r>
              <w:t xml:space="preserve">importation de gaz pour la production</w:t>
            </w:r>
          </w:p>
        </w:tc>
        <w:tc>
          <w:tcPr>
            <w:tcW w:w="1830" w:type="dxa"/>
          </w:tcPr>
          <w:tcPr/>
          <w:p>
            <w:pPr>
              <w:pStyle w:val="Compact"/>
              <w:jc w:val="left"/>
            </w:pPr>
            <w:r>
              <w:t xml:space="preserve">—</w:t>
            </w:r>
          </w:p>
        </w:tc>
        <w:tc>
          <w:tcPr>
            <w:tcW w:w="1133" w:type="dxa"/>
          </w:tcPr>
          <w:tcPr/>
          <w:p>
            <w:pPr>
              <w:pStyle w:val="Compact"/>
              <w:jc w:val="left"/>
            </w:pPr>
            <w:r>
              <w:t xml:space="preserve">actif</w:t>
            </w:r>
          </w:p>
        </w:tc>
        <w:tc>
          <w:tcPr>
            <w:tcW w:w="712" w:type="dxa"/>
          </w:tcPr>
          <w:tcPr/>
          <w:p>
            <w:pPr>
              <w:pStyle w:val="Compact"/>
              <w:jc w:val="left"/>
            </w:pPr>
            <w:r>
              <w:t xml:space="preserve">[10]</w:t>
            </w:r>
          </w:p>
        </w:tc>
      </w:tr>
      <w:tr>
        <w:tc>
          <w:tcPr>
            <w:tcW w:w="3556" w:type="dxa"/>
          </w:tcPr>
          <w:tcPr/>
          <w:p>
            <w:pPr>
              <w:pStyle w:val="Compact"/>
              <w:jc w:val="left"/>
            </w:pPr>
            <w:r>
              <w:t xml:space="preserve">Centrale solaire de Sokodé, 46002-P-TG-F00-003</w:t>
            </w:r>
          </w:p>
        </w:tc>
        <w:tc>
          <w:tcPr>
            <w:tcW w:w="699" w:type="dxa"/>
          </w:tcPr>
          <w:tcPr/>
          <w:p>
            <w:pPr>
              <w:pStyle w:val="Compact"/>
              <w:jc w:val="left"/>
            </w:pPr>
            <w:r>
              <w:t xml:space="preserve">BAD</w:t>
            </w:r>
          </w:p>
        </w:tc>
        <w:tc>
          <w:tcPr>
            <w:tcW w:w="2104" w:type="dxa"/>
          </w:tcPr>
          <w:tcPr/>
          <w:p>
            <w:pPr>
              <w:pStyle w:val="Compact"/>
              <w:jc w:val="left"/>
            </w:pPr>
            <w:r>
              <w:t xml:space="preserve">15,46 + 2,96 M DTS (environ 25 M USD)</w:t>
            </w:r>
          </w:p>
        </w:tc>
        <w:tc>
          <w:tcPr>
            <w:tcW w:w="1174" w:type="dxa"/>
          </w:tcPr>
          <w:tcPr/>
          <w:p>
            <w:pPr>
              <w:pStyle w:val="Compact"/>
              <w:jc w:val="left"/>
            </w:pPr>
            <w:r>
              <w:t xml:space="preserve">2025</w:t>
            </w:r>
          </w:p>
        </w:tc>
        <w:tc>
          <w:tcPr>
            <w:tcW w:w="3358" w:type="dxa"/>
          </w:tcPr>
          <w:tcPr/>
          <w:p>
            <w:pPr>
              <w:pStyle w:val="Compact"/>
              <w:jc w:val="left"/>
            </w:pPr>
            <w:r>
              <w:t xml:space="preserve">production EnR</w:t>
            </w:r>
          </w:p>
        </w:tc>
        <w:tc>
          <w:tcPr>
            <w:tcW w:w="1830" w:type="dxa"/>
          </w:tcPr>
          <w:tcPr/>
          <w:p>
            <w:pPr>
              <w:pStyle w:val="Compact"/>
              <w:jc w:val="left"/>
            </w:pPr>
            <w:r>
              <w:t xml:space="preserve">[?]</w:t>
            </w:r>
          </w:p>
        </w:tc>
        <w:tc>
          <w:tcPr>
            <w:tcW w:w="1133" w:type="dxa"/>
          </w:tcPr>
          <w:tcPr/>
          <w:p>
            <w:pPr>
              <w:pStyle w:val="Compact"/>
              <w:jc w:val="left"/>
            </w:pPr>
            <w:r>
              <w:t xml:space="preserve">approuvé</w:t>
            </w:r>
          </w:p>
        </w:tc>
        <w:tc>
          <w:tcPr>
            <w:tcW w:w="712" w:type="dxa"/>
          </w:tcPr>
          <w:tcPr/>
          <w:p>
            <w:pPr>
              <w:pStyle w:val="Compact"/>
              <w:jc w:val="left"/>
            </w:pPr>
            <w:r>
              <w:t xml:space="preserve">[8]</w:t>
            </w:r>
          </w:p>
        </w:tc>
      </w:tr>
      <w:tr>
        <w:tc>
          <w:tcPr>
            <w:tcW w:w="3556" w:type="dxa"/>
          </w:tcPr>
          <w:tcPr/>
          <w:p>
            <w:pPr>
              <w:pStyle w:val="Compact"/>
              <w:jc w:val="left"/>
            </w:pPr>
            <w:r>
              <w:t xml:space="preserve">PRAVOST (volet social du programme CIZO), 46002-P-TG-FA0-012</w:t>
            </w:r>
          </w:p>
        </w:tc>
        <w:tc>
          <w:tcPr>
            <w:tcW w:w="699" w:type="dxa"/>
          </w:tcPr>
          <w:tcPr/>
          <w:p>
            <w:pPr>
              <w:pStyle w:val="Compact"/>
              <w:jc w:val="left"/>
            </w:pPr>
            <w:r>
              <w:t xml:space="preserve">BAD</w:t>
            </w:r>
          </w:p>
        </w:tc>
        <w:tc>
          <w:tcPr>
            <w:tcW w:w="2104" w:type="dxa"/>
          </w:tcPr>
          <w:tcPr/>
          <w:p>
            <w:pPr>
              <w:pStyle w:val="Compact"/>
              <w:jc w:val="left"/>
            </w:pPr>
            <w:r>
              <w:t xml:space="preserve">environ 13,7 M USD</w:t>
            </w:r>
          </w:p>
        </w:tc>
        <w:tc>
          <w:tcPr>
            <w:tcW w:w="1174" w:type="dxa"/>
          </w:tcPr>
          <w:tcPr/>
          <w:p>
            <w:pPr>
              <w:pStyle w:val="Compact"/>
              <w:jc w:val="left"/>
            </w:pPr>
            <w:r>
              <w:t xml:space="preserve">2019</w:t>
            </w:r>
          </w:p>
        </w:tc>
        <w:tc>
          <w:tcPr>
            <w:tcW w:w="3358" w:type="dxa"/>
          </w:tcPr>
          <w:tcPr/>
          <w:p>
            <w:pPr>
              <w:pStyle w:val="Compact"/>
              <w:jc w:val="left"/>
            </w:pPr>
            <w:r>
              <w:t xml:space="preserve">kits solaires</w:t>
            </w:r>
          </w:p>
        </w:tc>
        <w:tc>
          <w:tcPr>
            <w:tcW w:w="1830" w:type="dxa"/>
          </w:tcPr>
          <w:tcPr/>
          <w:p>
            <w:pPr>
              <w:pStyle w:val="Compact"/>
              <w:jc w:val="left"/>
            </w:pPr>
            <w:r>
              <w:t xml:space="preserve">—</w:t>
            </w:r>
          </w:p>
        </w:tc>
        <w:tc>
          <w:tcPr>
            <w:tcW w:w="1133" w:type="dxa"/>
          </w:tcPr>
          <w:tcPr/>
          <w:p>
            <w:pPr>
              <w:pStyle w:val="Compact"/>
              <w:jc w:val="left"/>
            </w:pPr>
            <w:r>
              <w:t xml:space="preserve">en cours</w:t>
            </w:r>
          </w:p>
        </w:tc>
        <w:tc>
          <w:tcPr>
            <w:tcW w:w="712" w:type="dxa"/>
          </w:tcPr>
          <w:tcPr/>
          <w:p>
            <w:pPr>
              <w:pStyle w:val="Compact"/>
              <w:jc w:val="left"/>
            </w:pPr>
            <w:r>
              <w:t xml:space="preserve">[8]</w:t>
            </w:r>
          </w:p>
        </w:tc>
      </w:tr>
      <w:tr>
        <w:tc>
          <w:tcPr>
            <w:tcW w:w="3556" w:type="dxa"/>
          </w:tcPr>
          <w:tcPr/>
          <w:p>
            <w:pPr>
              <w:pStyle w:val="Compact"/>
              <w:jc w:val="left"/>
            </w:pPr>
            <w:r>
              <w:t xml:space="preserve">Ligne de crédit pour l’apurement des dettes de la CEET</w:t>
            </w:r>
          </w:p>
        </w:tc>
        <w:tc>
          <w:tcPr>
            <w:tcW w:w="699" w:type="dxa"/>
          </w:tcPr>
          <w:tcPr/>
          <w:p>
            <w:pPr>
              <w:pStyle w:val="Compact"/>
              <w:jc w:val="left"/>
            </w:pPr>
            <w:r>
              <w:t xml:space="preserve">BOAD (garantie de l’État)</w:t>
            </w:r>
          </w:p>
        </w:tc>
        <w:tc>
          <w:tcPr>
            <w:tcW w:w="2104" w:type="dxa"/>
          </w:tcPr>
          <w:tcPr/>
          <w:p>
            <w:pPr>
              <w:pStyle w:val="Compact"/>
              <w:jc w:val="left"/>
            </w:pPr>
            <w:r>
              <w:t xml:space="preserve">40 Md FCFA</w:t>
            </w:r>
          </w:p>
        </w:tc>
        <w:tc>
          <w:tcPr>
            <w:tcW w:w="1174" w:type="dxa"/>
          </w:tcPr>
          <w:tcPr/>
          <w:p>
            <w:pPr>
              <w:pStyle w:val="Compact"/>
              <w:jc w:val="left"/>
            </w:pPr>
            <w:r>
              <w:t xml:space="preserve">2025</w:t>
            </w:r>
          </w:p>
        </w:tc>
        <w:tc>
          <w:tcPr>
            <w:tcW w:w="3358" w:type="dxa"/>
          </w:tcPr>
          <w:tcPr/>
          <w:p>
            <w:pPr>
              <w:pStyle w:val="Compact"/>
              <w:jc w:val="left"/>
            </w:pPr>
            <w:r>
              <w:t xml:space="preserve">dettes envers les fournisseurs d’énergie</w:t>
            </w:r>
          </w:p>
        </w:tc>
        <w:tc>
          <w:tcPr>
            <w:tcW w:w="1830" w:type="dxa"/>
          </w:tcPr>
          <w:tcPr/>
          <w:p>
            <w:pPr>
              <w:pStyle w:val="Compact"/>
              <w:jc w:val="left"/>
            </w:pPr>
            <w:r>
              <w:t xml:space="preserve">[?]</w:t>
            </w:r>
          </w:p>
        </w:tc>
        <w:tc>
          <w:tcPr>
            <w:tcW w:w="1133" w:type="dxa"/>
          </w:tcPr>
          <w:tcPr/>
          <w:p>
            <w:pPr>
              <w:pStyle w:val="Compact"/>
              <w:jc w:val="left"/>
            </w:pPr>
            <w:r>
              <w:t xml:space="preserve">[?]</w:t>
            </w:r>
          </w:p>
        </w:tc>
        <w:tc>
          <w:tcPr>
            <w:tcW w:w="712" w:type="dxa"/>
          </w:tcPr>
          <w:tcPr/>
          <w:p>
            <w:pPr>
              <w:pStyle w:val="Compact"/>
              <w:jc w:val="left"/>
            </w:pPr>
            <w:r>
              <w:t xml:space="preserve">[5]</w:t>
            </w:r>
          </w:p>
        </w:tc>
      </w:tr>
      <w:tr>
        <w:tc>
          <w:tcPr>
            <w:tcW w:w="3556" w:type="dxa"/>
          </w:tcPr>
          <w:tcPr/>
          <w:p>
            <w:pPr>
              <w:pStyle w:val="Compact"/>
              <w:jc w:val="left"/>
            </w:pPr>
            <w:r>
              <w:t xml:space="preserve">FEC FMI (42 mois)</w:t>
            </w:r>
          </w:p>
        </w:tc>
        <w:tc>
          <w:tcPr>
            <w:tcW w:w="699" w:type="dxa"/>
          </w:tcPr>
          <w:tcPr/>
          <w:p>
            <w:pPr>
              <w:pStyle w:val="Compact"/>
              <w:jc w:val="left"/>
            </w:pPr>
            <w:r>
              <w:t xml:space="preserve">FMI</w:t>
            </w:r>
          </w:p>
        </w:tc>
        <w:tc>
          <w:tcPr>
            <w:tcW w:w="2104" w:type="dxa"/>
          </w:tcPr>
          <w:tcPr/>
          <w:p>
            <w:pPr>
              <w:pStyle w:val="Compact"/>
              <w:jc w:val="left"/>
            </w:pPr>
            <w:r>
              <w:t xml:space="preserve">3e et 4e revues combinées : environ 109,5 M USD (29/06/2026)</w:t>
            </w:r>
          </w:p>
        </w:tc>
        <w:tc>
          <w:tcPr>
            <w:tcW w:w="1174" w:type="dxa"/>
          </w:tcPr>
          <w:tcPr/>
          <w:p>
            <w:pPr>
              <w:pStyle w:val="Compact"/>
              <w:jc w:val="left"/>
            </w:pPr>
            <w:r>
              <w:t xml:space="preserve">2024-2027</w:t>
            </w:r>
          </w:p>
        </w:tc>
        <w:tc>
          <w:tcPr>
            <w:tcW w:w="3358" w:type="dxa"/>
          </w:tcPr>
          <w:tcPr/>
          <w:p>
            <w:pPr>
              <w:pStyle w:val="Compact"/>
              <w:jc w:val="left"/>
            </w:pPr>
            <w:r>
              <w:t xml:space="preserve">gouvernance et viabilité du secteur électrique, supervision des entreprises publiques</w:t>
            </w:r>
          </w:p>
        </w:tc>
        <w:tc>
          <w:tcPr>
            <w:tcW w:w="1830" w:type="dxa"/>
          </w:tcPr>
          <w:tcPr/>
          <w:p>
            <w:pPr>
              <w:pStyle w:val="Compact"/>
              <w:jc w:val="left"/>
            </w:pPr>
            <w:r>
              <w:t xml:space="preserve">repères détaillés [?]</w:t>
            </w:r>
          </w:p>
        </w:tc>
        <w:tc>
          <w:tcPr>
            <w:tcW w:w="1133" w:type="dxa"/>
          </w:tcPr>
          <w:tcPr/>
          <w:p>
            <w:pPr>
              <w:pStyle w:val="Compact"/>
              <w:jc w:val="left"/>
            </w:pPr>
            <w:r>
              <w:t xml:space="preserve">actif</w:t>
            </w:r>
          </w:p>
        </w:tc>
        <w:tc>
          <w:tcPr>
            <w:tcW w:w="712" w:type="dxa"/>
          </w:tcPr>
          <w:tcPr/>
          <w:p>
            <w:pPr>
              <w:pStyle w:val="Compact"/>
              <w:jc w:val="left"/>
            </w:pPr>
            <w:r>
              <w:t xml:space="preserve">[9]</w:t>
            </w:r>
          </w:p>
        </w:tc>
      </w:tr>
    </w:tbl>
    <w:bookmarkEnd w:id="357"/>
    <w:bookmarkStart w:id="358" w:name="écart-pacte-réalité-31"/>
    <w:p>
      <w:pPr>
        <w:pStyle w:val="Heading3"/>
      </w:pPr>
      <w:r>
        <w:t xml:space="preserve">5. Écart pacte ↔ réalité</w:t>
      </w:r>
    </w:p>
    <w:p>
      <w:pPr>
        <w:numPr>
          <w:ilvl w:val="0"/>
          <w:numId w:val="1191"/>
        </w:numPr>
        <w:pStyle w:val="Compact"/>
      </w:pPr>
      <w:r>
        <w:rPr>
          <w:bCs/>
          <w:b/>
        </w:rPr>
        <w:t xml:space="preserve">Tarifs</w:t>
      </w:r>
      <w:r>
        <w:t xml:space="preserve"> </w:t>
      </w:r>
      <w:r>
        <w:t xml:space="preserve">: le pacte cite un tarif moyen de 103,9 à 104,6 FCFA/kWh (2022-2023) pour un coût de 125 à 130 FCFA/kWh. Le ministère retient en 2024 un</w:t>
      </w:r>
      <w:r>
        <w:t xml:space="preserve"> </w:t>
      </w:r>
      <w:r>
        <w:rPr>
          <w:bCs/>
          <w:b/>
        </w:rPr>
        <w:t xml:space="preserve">coût de 145 FCFA pour un tarif de 102 FCFA</w:t>
      </w:r>
      <w:r>
        <w:t xml:space="preserve"> </w:t>
      </w:r>
      <w:r>
        <w:t xml:space="preserve">[5]. L’écart de coût est donc plus large que dans le pacte (couverture d’environ 70 % au lieu de 80-84 %) [E].</w:t>
      </w:r>
    </w:p>
    <w:p>
      <w:pPr>
        <w:numPr>
          <w:ilvl w:val="0"/>
          <w:numId w:val="1191"/>
        </w:numPr>
        <w:pStyle w:val="Compact"/>
      </w:pPr>
      <w:r>
        <w:rPr>
          <w:bCs/>
          <w:b/>
        </w:rPr>
        <w:t xml:space="preserve">Réforme tarifaire de mai 2025</w:t>
      </w:r>
      <w:r>
        <w:t xml:space="preserve"> </w:t>
      </w:r>
      <w:r>
        <w:t xml:space="preserve">: le pacte la décrit comme « déjà définie » sans en chiffrer le contenu. Les sources BM et presse donnent</w:t>
      </w:r>
      <w:r>
        <w:t xml:space="preserve"> </w:t>
      </w:r>
      <w:r>
        <w:rPr>
          <w:bCs/>
          <w:b/>
        </w:rPr>
        <w:t xml:space="preserve">+12,5 % en moyenne au 15/05/2025</w:t>
      </w:r>
      <w:r>
        <w:t xml:space="preserve"> </w:t>
      </w:r>
      <w:r>
        <w:t xml:space="preserve">[2 ; 5]. Cet ajustement ne couvre qu’environ un tiers de l’écart de 2024 [E].</w:t>
      </w:r>
    </w:p>
    <w:p>
      <w:pPr>
        <w:numPr>
          <w:ilvl w:val="0"/>
          <w:numId w:val="1191"/>
        </w:numPr>
        <w:pStyle w:val="Compact"/>
      </w:pPr>
      <w:r>
        <w:rPr>
          <w:bCs/>
          <w:b/>
        </w:rPr>
        <w:t xml:space="preserve">Données techniques</w:t>
      </w:r>
      <w:r>
        <w:t xml:space="preserve"> </w:t>
      </w:r>
      <w:r>
        <w:t xml:space="preserve">: le rendement de 84,99 % et l’END de 38,8 GWh du pacte sont un</w:t>
      </w:r>
      <w:r>
        <w:t xml:space="preserve"> </w:t>
      </w:r>
      <w:r>
        <w:rPr>
          <w:bCs/>
          <w:b/>
        </w:rPr>
        <w:t xml:space="preserve">probable copier-coller du pacte ivoirien</w:t>
      </w:r>
      <w:r>
        <w:t xml:space="preserve"> </w:t>
      </w:r>
      <w:r>
        <w:t xml:space="preserve">; aucune source primaire ne confirme ces valeurs.</w:t>
      </w:r>
    </w:p>
    <w:p>
      <w:pPr>
        <w:numPr>
          <w:ilvl w:val="0"/>
          <w:numId w:val="1191"/>
        </w:numPr>
        <w:pStyle w:val="Compact"/>
      </w:pPr>
      <w:r>
        <w:rPr>
          <w:bCs/>
          <w:b/>
        </w:rPr>
        <w:t xml:space="preserve">Finances</w:t>
      </w:r>
      <w:r>
        <w:t xml:space="preserve"> </w:t>
      </w:r>
      <w:r>
        <w:t xml:space="preserve">: le pacte ne donne aucun chiffre financier. La BM confirme l’existence d’états financiers audités 2022-2023 et d’un plan de restructuration de la dette [3], mais aucun montant n’est public.</w:t>
      </w:r>
    </w:p>
    <w:bookmarkEnd w:id="358"/>
    <w:bookmarkStart w:id="359" w:name="diagnostic-synthétique-31"/>
    <w:p>
      <w:pPr>
        <w:pStyle w:val="Heading3"/>
      </w:pPr>
      <w:r>
        <w:t xml:space="preserve">6. Diagnostic synthétique</w:t>
      </w:r>
    </w:p>
    <w:p>
      <w:pPr>
        <w:numPr>
          <w:ilvl w:val="0"/>
          <w:numId w:val="1192"/>
        </w:numPr>
        <w:pStyle w:val="Compact"/>
      </w:pPr>
      <w:r>
        <w:rPr>
          <w:bCs/>
          <w:b/>
        </w:rPr>
        <w:t xml:space="preserve">Financière : faible.</w:t>
      </w:r>
      <w:r>
        <w:t xml:space="preserve"> </w:t>
      </w:r>
      <w:r>
        <w:t xml:space="preserve">Le tarif ne couvre qu’environ 70 % du coût de production (2024), la dette envers les fournisseurs est récurrente (plans BOAD de 2020 et 2025) et l’entreprise dépend des garanties de l’État.</w:t>
      </w:r>
    </w:p>
    <w:p>
      <w:pPr>
        <w:numPr>
          <w:ilvl w:val="0"/>
          <w:numId w:val="1192"/>
        </w:numPr>
        <w:pStyle w:val="Compact"/>
      </w:pPr>
      <w:r>
        <w:rPr>
          <w:bCs/>
          <w:b/>
        </w:rPr>
        <w:t xml:space="preserve">Technique : moyenne-faible.</w:t>
      </w:r>
      <w:r>
        <w:t xml:space="preserve"> </w:t>
      </w:r>
      <w:r>
        <w:t xml:space="preserve">Pertes d’environ 16 % (pacte, non vérifié) et coupures urbaines ; le comptage intelligent progresse vite (26 %).</w:t>
      </w:r>
    </w:p>
    <w:p>
      <w:pPr>
        <w:numPr>
          <w:ilvl w:val="0"/>
          <w:numId w:val="1192"/>
        </w:numPr>
        <w:pStyle w:val="Compact"/>
      </w:pPr>
      <w:r>
        <w:rPr>
          <w:bCs/>
          <w:b/>
        </w:rPr>
        <w:t xml:space="preserve">Gouvernance : en amélioration</w:t>
      </w:r>
      <w:r>
        <w:t xml:space="preserve">, à partir d’un niveau faible : statuts révisés, comptes audités transmis, formule de revenu requis, plan de dette. La conditionnalité BM est dense (PBC et DPF).</w:t>
      </w:r>
    </w:p>
    <w:p>
      <w:pPr>
        <w:numPr>
          <w:ilvl w:val="0"/>
          <w:numId w:val="1192"/>
        </w:numPr>
        <w:pStyle w:val="Compact"/>
      </w:pPr>
      <w:r>
        <w:rPr>
          <w:bCs/>
          <w:b/>
        </w:rPr>
        <w:t xml:space="preserve">Causes racines</w:t>
      </w:r>
      <w:r>
        <w:t xml:space="preserve"> </w:t>
      </w:r>
      <w:r>
        <w:t xml:space="preserve">: (1) des tarifs gelés de 2011 à 2025 ; (2) un coût d’achat élevé (IPP thermiques, importations, take-or-pay) ; (3) une gouvernance et un recouvrement faibles.</w:t>
      </w:r>
    </w:p>
    <w:p>
      <w:pPr>
        <w:numPr>
          <w:ilvl w:val="0"/>
          <w:numId w:val="1192"/>
        </w:numPr>
        <w:pStyle w:val="Compact"/>
      </w:pPr>
      <w:r>
        <w:rPr>
          <w:bCs/>
          <w:b/>
        </w:rPr>
        <w:t xml:space="preserve">Phase 3</w:t>
      </w:r>
      <w:r>
        <w:t xml:space="preserve"> </w:t>
      </w:r>
      <w:r>
        <w:t xml:space="preserve">: nouvelle grille de mai 2025 par tranche ; formule de revenu requis ; coûts IPP par kWh ; impact du gaz (PRIME-GAS).</w:t>
      </w:r>
    </w:p>
    <w:bookmarkEnd w:id="359"/>
    <w:bookmarkStart w:id="360" w:name="inconnus-31"/>
    <w:p>
      <w:pPr>
        <w:pStyle w:val="Heading3"/>
      </w:pPr>
      <w:r>
        <w:t xml:space="preserve">7. Inconnus</w:t>
      </w:r>
    </w:p>
    <w:p>
      <w:pPr>
        <w:numPr>
          <w:ilvl w:val="0"/>
          <w:numId w:val="1193"/>
        </w:numPr>
        <w:pStyle w:val="Compact"/>
      </w:pPr>
      <w:r>
        <w:t xml:space="preserve">Chiffres des états financiers 2022-2024 [?] ; montant de la dette et du plan de restructuration [?] ; recouvrement [?] ; pertes vérifiées [?] ; SAIDI [?].</w:t>
      </w:r>
    </w:p>
    <w:p>
      <w:pPr>
        <w:numPr>
          <w:ilvl w:val="0"/>
          <w:numId w:val="1193"/>
        </w:numPr>
        <w:pStyle w:val="Compact"/>
      </w:pPr>
      <w:r>
        <w:t xml:space="preserve">Staff report FMI de juillet 2026 non consulté (repères CEET éventuels) [?].</w:t>
      </w:r>
    </w:p>
    <w:bookmarkEnd w:id="360"/>
    <w:bookmarkStart w:id="361" w:name="sources-32"/>
    <w:p>
      <w:pPr>
        <w:pStyle w:val="Heading3"/>
      </w:pPr>
      <w:r>
        <w:t xml:space="preserve">Sources</w:t>
      </w:r>
    </w:p>
    <w:p>
      <w:pPr>
        <w:pStyle w:val="FirstParagraph"/>
      </w:pPr>
      <w:r>
        <w:t xml:space="preserve">[1] Banque mondiale,</w:t>
      </w:r>
      <w:r>
        <w:t xml:space="preserve"> </w:t>
      </w:r>
      <w:r>
        <w:rPr>
          <w:iCs/>
          <w:i/>
        </w:rPr>
        <w:t xml:space="preserve">Program Document — Togo’s First Invest-4-Jobs DPF (P510580)</w:t>
      </w:r>
      <w:r>
        <w:t xml:space="preserve">, 11/2025. https://documents.worldbank.org/curated/en/099111925182028558/text/BOSIB-cccaed2e-db0d-441c-a324-5174654061ad.txt</w:t>
      </w:r>
      <w:r>
        <w:t xml:space="preserve"> </w:t>
      </w:r>
      <w:r>
        <w:t xml:space="preserve">[2] Banque mondiale,</w:t>
      </w:r>
      <w:r>
        <w:t xml:space="preserve"> </w:t>
      </w:r>
      <w:r>
        <w:rPr>
          <w:iCs/>
          <w:i/>
        </w:rPr>
        <w:t xml:space="preserve">Program Document — Togo’s Second Sustainable and Inclusive DPF (P181238)</w:t>
      </w:r>
      <w:r>
        <w:t xml:space="preserve">, 11/2024. https://documents.worldbank.org/curated/en/099111524140041073/text/BOSIB-2fe892b3-0584-48d8-b538-be1828a87196.txt</w:t>
      </w:r>
      <w:r>
        <w:t xml:space="preserve"> </w:t>
      </w:r>
      <w:r>
        <w:t xml:space="preserve">[3] Banque mondiale,</w:t>
      </w:r>
      <w:r>
        <w:t xml:space="preserve"> </w:t>
      </w:r>
      <w:r>
        <w:rPr>
          <w:iCs/>
          <w:i/>
        </w:rPr>
        <w:t xml:space="preserve">ISR — Inclusive Development through Electricity Access (P176769)</w:t>
      </w:r>
      <w:r>
        <w:t xml:space="preserve">, 23/06/2026. https://documents.worldbank.org/curated/en/099062326134027377/text/P176769-81f5ff10-c302-46df-b8af-43afb815e223.txt</w:t>
      </w:r>
      <w:r>
        <w:t xml:space="preserve"> </w:t>
      </w:r>
      <w:r>
        <w:t xml:space="preserve">[4] Banque mondiale,</w:t>
      </w:r>
      <w:r>
        <w:t xml:space="preserve"> </w:t>
      </w:r>
      <w:r>
        <w:rPr>
          <w:iCs/>
          <w:i/>
        </w:rPr>
        <w:t xml:space="preserve">ISR — Togo’s Second Sustainable and Inclusive DPF (P181238)</w:t>
      </w:r>
      <w:r>
        <w:t xml:space="preserve">, 29/05/2026. https://documents.worldbank.org/curated/en/099052926132622134/text/P181238-f34e9a39-d6b3-426c-b387-7a5b0b61fe5b.txt</w:t>
      </w:r>
      <w:r>
        <w:t xml:space="preserve"> </w:t>
      </w:r>
      <w:r>
        <w:t xml:space="preserve">[5] L-FRII, « Togo / Nouveaux tarifs d’électricité de la CEET : voici l’explication du Ministère des Ressources Énergétiques », 16/05/2025. https://yop.l-frii.com/togo-nouveaux-tarifs-delectricite-de-la-ceet-voici-lexplication-du-ministere-des-ressources-energetiques/</w:t>
      </w:r>
      <w:r>
        <w:t xml:space="preserve"> </w:t>
      </w:r>
      <w:r>
        <w:t xml:space="preserve">[6] BOAD, fiche projet (plan d’apurement de la dette de la CEET), https://projets.boad.org/projects/b71d83a9-5a1e-4a29-be8e-670359edd350/get-file (via extrait de recherche, non téléchargé).</w:t>
      </w:r>
      <w:r>
        <w:t xml:space="preserve"> </w:t>
      </w:r>
      <w:r>
        <w:t xml:space="preserve">[7] FMI,</w:t>
      </w:r>
      <w:r>
        <w:t xml:space="preserve"> </w:t>
      </w:r>
      <w:r>
        <w:rPr>
          <w:iCs/>
          <w:i/>
        </w:rPr>
        <w:t xml:space="preserve">Togo: Request for a 42-Month Arrangement Under the ECF</w:t>
      </w:r>
      <w:r>
        <w:t xml:space="preserve">, IMF Country Report No. 24/79, 2024. https://www.imf.org/-/media/files/publications/cr/2024/english/1tgoea2024001.pdf (passages cités via extrait de recherche).</w:t>
      </w:r>
      <w:r>
        <w:t xml:space="preserve"> </w:t>
      </w:r>
      <w:r>
        <w:t xml:space="preserve">[8] BAD, données IATI (XM-DAC-46002) via d-portal.org, consultées le 18/10/2026.</w:t>
      </w:r>
      <w:r>
        <w:t xml:space="preserve"> </w:t>
      </w:r>
      <w:r>
        <w:t xml:space="preserve">[9] FMI, communiqué n° 26/230, 29/06/2026. https://www.imf.org/en/news/articles/2026/06/29/pr26230-togo-imf-completes-the-combined-3rd-and-4th-reviews-under-ecf-arrangement</w:t>
      </w:r>
      <w:r>
        <w:t xml:space="preserve"> </w:t>
      </w:r>
      <w:r>
        <w:t xml:space="preserve">[10] Banque mondiale, API Projects v3, consultée le 18/10/2026.</w:t>
      </w:r>
    </w:p>
    <w:p>
      <w:r>
        <w:br w:type="page"/>
      </w:r>
    </w:p>
    <w:bookmarkEnd w:id="361"/>
    <w:bookmarkEnd w:id="362"/>
    <w:bookmarkStart w:id="372" w:name="diagnostic-opérateur-tanesco-tanzanie"/>
    <w:p>
      <w:pPr>
        <w:pStyle w:val="Heading2"/>
      </w:pPr>
      <w:r>
        <w:t xml:space="preserve">Diagnostic opérateur — TANESCO (Tanzanie)</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rapport FMI)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Point de départ : fiche phase 1</w:t>
      </w:r>
      <w:r>
        <w:t xml:space="preserve"> </w:t>
      </w:r>
      <w:r>
        <w:rPr>
          <w:rStyle w:val="VerbatimChar"/>
        </w:rPr>
        <w:t xml:space="preserve">../../phase1/fiches/TZA_tanzanie.md</w:t>
      </w:r>
      <w:r>
        <w:t xml:space="preserve">. Recherche documentaire au 18/10/2026.</w:t>
      </w:r>
    </w:p>
    <w:bookmarkStart w:id="363" w:name="identité-32"/>
    <w:p>
      <w:pPr>
        <w:pStyle w:val="Heading3"/>
      </w:pPr>
      <w:r>
        <w:t xml:space="preserve">0. Identité</w:t>
      </w:r>
    </w:p>
    <w:p>
      <w:pPr>
        <w:numPr>
          <w:ilvl w:val="0"/>
          <w:numId w:val="1194"/>
        </w:numPr>
        <w:pStyle w:val="Compact"/>
      </w:pPr>
      <w:r>
        <w:rPr>
          <w:bCs/>
          <w:b/>
        </w:rPr>
        <w:t xml:space="preserve">Opérateur</w:t>
      </w:r>
      <w:r>
        <w:t xml:space="preserve"> </w:t>
      </w:r>
      <w:r>
        <w:t xml:space="preserve">: Tanzania Electric Supply Company Ltd (TANESCO), société publique verticalement intégrée (production, transport, distribution, vente, conduite du système, échanges transfrontaliers) ; modèle d’acheteur unique ; 91 % de la capacité installée, 83 % de la production, 100 % du transport, 99,5 % des clients (FY2023/24) [1] [V]. Zanzibar : ZECO (hors périmètre détaillé ici).</w:t>
      </w:r>
    </w:p>
    <w:p>
      <w:pPr>
        <w:numPr>
          <w:ilvl w:val="0"/>
          <w:numId w:val="1194"/>
        </w:numPr>
        <w:pStyle w:val="Compact"/>
      </w:pPr>
      <w:r>
        <w:rPr>
          <w:bCs/>
          <w:b/>
        </w:rPr>
        <w:t xml:space="preserve">Statut / tutelle</w:t>
      </w:r>
      <w:r>
        <w:t xml:space="preserve"> </w:t>
      </w:r>
      <w:r>
        <w:t xml:space="preserve">: 100 % État ; Ministry of Energy ; Treasury Registrar [1][2] [V].</w:t>
      </w:r>
    </w:p>
    <w:p>
      <w:pPr>
        <w:numPr>
          <w:ilvl w:val="0"/>
          <w:numId w:val="1194"/>
        </w:numPr>
        <w:pStyle w:val="Compact"/>
      </w:pPr>
      <w:r>
        <w:rPr>
          <w:bCs/>
          <w:b/>
        </w:rPr>
        <w:t xml:space="preserve">Régulateur</w:t>
      </w:r>
      <w:r>
        <w:t xml:space="preserve"> </w:t>
      </w:r>
      <w:r>
        <w:t xml:space="preserve">: EWURA (tarifs, licences, approbation des PPA — 59 PPA approuvés à juin 2024 dont 27 en FY2023/24) [1] [V]. Indépendance : organe statutaire, mais le tarif de détail de TANESCO en vigueur reste celui du</w:t>
      </w:r>
      <w:r>
        <w:t xml:space="preserve"> </w:t>
      </w:r>
      <w:r>
        <w:rPr>
          <w:bCs/>
          <w:b/>
        </w:rPr>
        <w:t xml:space="preserve">TANESCO Tariff Adjustment Order 2016 (GN 2016-010), applicable depuis le 1er avril 2016</w:t>
      </w:r>
      <w:r>
        <w:t xml:space="preserve"> </w:t>
      </w:r>
      <w:r>
        <w:t xml:space="preserve">(ex. T1 : 292 TZS/kWh ; D1 : 100 TZS/kWh jusqu’à 75 kWh, 350 au-delà) [1] annexe 8 [V] — aucun ajustement depuis dix ans, pression régulatoire effective faible [E].</w:t>
      </w:r>
    </w:p>
    <w:p>
      <w:pPr>
        <w:numPr>
          <w:ilvl w:val="0"/>
          <w:numId w:val="1194"/>
        </w:numPr>
        <w:pStyle w:val="Compact"/>
      </w:pPr>
      <w:r>
        <w:rPr>
          <w:bCs/>
          <w:b/>
        </w:rPr>
        <w:t xml:space="preserve">Derniers comptes publiés</w:t>
      </w:r>
      <w:r>
        <w:t xml:space="preserve"> </w:t>
      </w:r>
      <w:r>
        <w:t xml:space="preserve">: FY juin 2023 audités, opinion non qualifiée (selon le pacte) [3] (pacte). Les comptes FY2023/24 ne sont pas trouvés en ligne (site tanesco.co.tz inaccessible – erreur de certificat), mais EWURA en reprend les agrégats (« Source: Licensee’s Financial Statement ») [1] [V]. FY2024/25 : [?] non trouvé.</w:t>
      </w:r>
    </w:p>
    <w:bookmarkEnd w:id="363"/>
    <w:bookmarkStart w:id="364" w:name="situation-financière-31"/>
    <w:p>
      <w:pPr>
        <w:pStyle w:val="Heading3"/>
      </w:pPr>
      <w:r>
        <w:t xml:space="preserve">1. Situation financière</w:t>
      </w:r>
    </w:p>
    <w:tbl>
      <w:tblPr>
        <w:tblStyle w:val="Table"/>
        <w:tblW w:type="dxa" w:w="14570"/>
        <w:tblLook w:firstRow="1" w:lastRow="0" w:firstColumn="0" w:lastColumn="0" w:noHBand="0" w:noVBand="0" w:val="0020"/>
        <w:jc w:val="start"/>
      </w:tblPr>
      <w:tblGrid>
        <w:gridCol w:w="3703"/>
        <w:gridCol w:w="6767"/>
        <w:gridCol w:w="1473"/>
        <w:gridCol w:w="1235"/>
        <w:gridCol w:w="1390"/>
      </w:tblGrid>
      <w:tr>
        <w:trPr>
          <w:tblHeader w:val="true"/>
        </w:trPr>
        <w:tc>
          <w:tcPr>
            <w:tcW w:w="3703" w:type="dxa"/>
          </w:tcPr>
          <w:tcPr/>
          <w:p>
            <w:pPr>
              <w:pStyle w:val="Compact"/>
              <w:jc w:val="left"/>
            </w:pPr>
            <w:r>
              <w:t xml:space="preserve">Indicateur</w:t>
            </w:r>
          </w:p>
        </w:tc>
        <w:tc>
          <w:tcPr>
            <w:tcW w:w="6767" w:type="dxa"/>
          </w:tcPr>
          <w:tcPr/>
          <w:p>
            <w:pPr>
              <w:pStyle w:val="Compact"/>
              <w:jc w:val="left"/>
            </w:pPr>
            <w:r>
              <w:t xml:space="preserve">Valeur</w:t>
            </w:r>
          </w:p>
        </w:tc>
        <w:tc>
          <w:tcPr>
            <w:tcW w:w="1473" w:type="dxa"/>
          </w:tcPr>
          <w:tcPr/>
          <w:p>
            <w:pPr>
              <w:pStyle w:val="Compact"/>
              <w:jc w:val="left"/>
            </w:pPr>
            <w:r>
              <w:t xml:space="preserve">Année</w:t>
            </w:r>
          </w:p>
        </w:tc>
        <w:tc>
          <w:tcPr>
            <w:tcW w:w="1235" w:type="dxa"/>
          </w:tcPr>
          <w:tcPr/>
          <w:p>
            <w:pPr>
              <w:pStyle w:val="Compact"/>
              <w:jc w:val="left"/>
            </w:pPr>
            <w:r>
              <w:t xml:space="preserve">Statut</w:t>
            </w:r>
          </w:p>
        </w:tc>
        <w:tc>
          <w:tcPr>
            <w:tcW w:w="1390" w:type="dxa"/>
          </w:tcPr>
          <w:tcPr/>
          <w:p>
            <w:pPr>
              <w:pStyle w:val="Compact"/>
              <w:jc w:val="left"/>
            </w:pPr>
            <w:r>
              <w:t xml:space="preserve">Source</w:t>
            </w:r>
          </w:p>
        </w:tc>
      </w:tr>
      <w:tr>
        <w:tc>
          <w:tcPr>
            <w:tcW w:w="3703" w:type="dxa"/>
          </w:tcPr>
          <w:tcPr/>
          <w:p>
            <w:pPr>
              <w:pStyle w:val="Compact"/>
              <w:jc w:val="left"/>
            </w:pPr>
            <w:r>
              <w:t xml:space="preserve">Chiffre d’affaires (ventes d’électricité)</w:t>
            </w:r>
          </w:p>
        </w:tc>
        <w:tc>
          <w:tcPr>
            <w:tcW w:w="6767" w:type="dxa"/>
          </w:tcPr>
          <w:tcPr/>
          <w:p>
            <w:pPr>
              <w:pStyle w:val="Compact"/>
              <w:jc w:val="left"/>
            </w:pPr>
            <w:r>
              <w:t xml:space="preserve">1 932,8 Md TZS (+ 265,2 Md autres produits ; total 2 198,0 Md)</w:t>
            </w:r>
          </w:p>
        </w:tc>
        <w:tc>
          <w:tcPr>
            <w:tcW w:w="1473" w:type="dxa"/>
          </w:tcPr>
          <w:tcPr/>
          <w:p>
            <w:pPr>
              <w:pStyle w:val="Compact"/>
              <w:jc w:val="left"/>
            </w:pPr>
            <w:r>
              <w:t xml:space="preserve">FY2022/23</w:t>
            </w:r>
          </w:p>
        </w:tc>
        <w:tc>
          <w:tcPr>
            <w:tcW w:w="1235" w:type="dxa"/>
          </w:tcPr>
          <w:tcPr/>
          <w:p>
            <w:pPr>
              <w:pStyle w:val="Compact"/>
              <w:jc w:val="left"/>
            </w:pPr>
            <w:r>
              <w:t xml:space="preserve">[V]</w:t>
            </w:r>
          </w:p>
        </w:tc>
        <w:tc>
          <w:tcPr>
            <w:tcW w:w="1390" w:type="dxa"/>
          </w:tcPr>
          <w:tcPr/>
          <w:p>
            <w:pPr>
              <w:pStyle w:val="Compact"/>
              <w:jc w:val="left"/>
            </w:pPr>
            <w:r>
              <w:t xml:space="preserve">[1] annexe 15</w:t>
            </w:r>
          </w:p>
        </w:tc>
      </w:tr>
      <w:tr>
        <w:tc>
          <w:tcPr>
            <w:tcW w:w="3703" w:type="dxa"/>
          </w:tcPr>
          <w:tcPr/>
          <w:p>
            <w:pPr>
              <w:pStyle w:val="Compact"/>
              <w:jc w:val="left"/>
            </w:pPr>
            <w:r>
              <w:t xml:space="preserve">Chiffre d’affaires FY2023/24</w:t>
            </w:r>
          </w:p>
        </w:tc>
        <w:tc>
          <w:tcPr>
            <w:tcW w:w="6767" w:type="dxa"/>
          </w:tcPr>
          <w:tcPr/>
          <w:p>
            <w:pPr>
              <w:pStyle w:val="Compact"/>
              <w:jc w:val="left"/>
            </w:pPr>
            <w:r>
              <w:t xml:space="preserve">ventes +12 % (+222 Md TZS) ; montant exact non publié dans [1]</w:t>
            </w:r>
          </w:p>
        </w:tc>
        <w:tc>
          <w:tcPr>
            <w:tcW w:w="1473" w:type="dxa"/>
          </w:tcPr>
          <w:tcPr/>
          <w:p>
            <w:pPr>
              <w:pStyle w:val="Compact"/>
              <w:jc w:val="left"/>
            </w:pPr>
            <w:r>
              <w:t xml:space="preserve">FY2023/24</w:t>
            </w:r>
          </w:p>
        </w:tc>
        <w:tc>
          <w:tcPr>
            <w:tcW w:w="1235" w:type="dxa"/>
          </w:tcPr>
          <w:tcPr/>
          <w:p>
            <w:pPr>
              <w:pStyle w:val="Compact"/>
              <w:jc w:val="left"/>
            </w:pPr>
            <w:r>
              <w:t xml:space="preserve">[V]/[E]</w:t>
            </w:r>
          </w:p>
        </w:tc>
        <w:tc>
          <w:tcPr>
            <w:tcW w:w="1390" w:type="dxa"/>
          </w:tcPr>
          <w:tcPr/>
          <w:p>
            <w:pPr>
              <w:pStyle w:val="Compact"/>
              <w:jc w:val="left"/>
            </w:pPr>
            <w:r>
              <w:t xml:space="preserve">[1] §14.1</w:t>
            </w:r>
          </w:p>
        </w:tc>
      </w:tr>
      <w:tr>
        <w:tc>
          <w:tcPr>
            <w:tcW w:w="3703" w:type="dxa"/>
          </w:tcPr>
          <w:tcPr/>
          <w:p>
            <w:pPr>
              <w:pStyle w:val="Compact"/>
              <w:jc w:val="left"/>
            </w:pPr>
            <w:r>
              <w:t xml:space="preserve">Résultat net / marge nette</w:t>
            </w:r>
          </w:p>
        </w:tc>
        <w:tc>
          <w:tcPr>
            <w:tcW w:w="6767" w:type="dxa"/>
          </w:tcPr>
          <w:tcPr/>
          <w:p>
            <w:pPr>
              <w:pStyle w:val="Compact"/>
              <w:jc w:val="left"/>
            </w:pPr>
            <w:r>
              <w:rPr>
                <w:bCs/>
                <w:b/>
              </w:rPr>
              <w:t xml:space="preserve">6,09 Md TZS, marge 0,3 %</w:t>
            </w:r>
            <w:r>
              <w:t xml:space="preserve"> </w:t>
            </w:r>
            <w:r>
              <w:t xml:space="preserve">(vs 72,4 Md TZS, 3,7 % en FY22/23 ; 5 % FY20/21 ; 6 % FY21/22)</w:t>
            </w:r>
          </w:p>
        </w:tc>
        <w:tc>
          <w:tcPr>
            <w:tcW w:w="1473" w:type="dxa"/>
          </w:tcPr>
          <w:tcPr/>
          <w:p>
            <w:pPr>
              <w:pStyle w:val="Compact"/>
              <w:jc w:val="left"/>
            </w:pPr>
            <w:r>
              <w:t xml:space="preserve">FY2023/24</w:t>
            </w:r>
          </w:p>
        </w:tc>
        <w:tc>
          <w:tcPr>
            <w:tcW w:w="1235" w:type="dxa"/>
          </w:tcPr>
          <w:tcPr/>
          <w:p>
            <w:pPr>
              <w:pStyle w:val="Compact"/>
              <w:jc w:val="left"/>
            </w:pPr>
            <w:r>
              <w:t xml:space="preserve">[V]</w:t>
            </w:r>
          </w:p>
        </w:tc>
        <w:tc>
          <w:tcPr>
            <w:tcW w:w="1390" w:type="dxa"/>
          </w:tcPr>
          <w:tcPr/>
          <w:p>
            <w:pPr>
              <w:pStyle w:val="Compact"/>
              <w:jc w:val="left"/>
            </w:pPr>
            <w:r>
              <w:t xml:space="preserve">[1] §14.5</w:t>
            </w:r>
          </w:p>
        </w:tc>
      </w:tr>
      <w:tr>
        <w:tc>
          <w:tcPr>
            <w:tcW w:w="3703" w:type="dxa"/>
          </w:tcPr>
          <w:tcPr/>
          <w:p>
            <w:pPr>
              <w:pStyle w:val="Compact"/>
              <w:jc w:val="left"/>
            </w:pPr>
            <w:r>
              <w:t xml:space="preserve">Résultat net selon le pacte</w:t>
            </w:r>
          </w:p>
        </w:tc>
        <w:tc>
          <w:tcPr>
            <w:tcW w:w="6767" w:type="dxa"/>
          </w:tcPr>
          <w:tcPr/>
          <w:p>
            <w:pPr>
              <w:pStyle w:val="Compact"/>
              <w:jc w:val="left"/>
            </w:pPr>
            <w:r>
              <w:t xml:space="preserve">20,3 M USD</w:t>
            </w:r>
          </w:p>
        </w:tc>
        <w:tc>
          <w:tcPr>
            <w:tcW w:w="1473" w:type="dxa"/>
          </w:tcPr>
          <w:tcPr/>
          <w:p>
            <w:pPr>
              <w:pStyle w:val="Compact"/>
              <w:jc w:val="left"/>
            </w:pPr>
            <w:r>
              <w:t xml:space="preserve">non daté</w:t>
            </w:r>
          </w:p>
        </w:tc>
        <w:tc>
          <w:tcPr>
            <w:tcW w:w="1235" w:type="dxa"/>
          </w:tcPr>
          <w:tcPr/>
          <w:p>
            <w:pPr>
              <w:pStyle w:val="Compact"/>
              <w:jc w:val="left"/>
            </w:pPr>
            <w:r>
              <w:t xml:space="preserve">(pacte)</w:t>
            </w:r>
          </w:p>
        </w:tc>
        <w:tc>
          <w:tcPr>
            <w:tcW w:w="1390" w:type="dxa"/>
          </w:tcPr>
          <w:tcPr/>
          <w:p>
            <w:pPr>
              <w:pStyle w:val="Compact"/>
              <w:jc w:val="left"/>
            </w:pPr>
            <w:r>
              <w:t xml:space="preserve">[3]</w:t>
            </w:r>
          </w:p>
        </w:tc>
      </w:tr>
      <w:tr>
        <w:tc>
          <w:tcPr>
            <w:tcW w:w="3703" w:type="dxa"/>
          </w:tcPr>
          <w:tcPr/>
          <w:p>
            <w:pPr>
              <w:pStyle w:val="Compact"/>
              <w:jc w:val="left"/>
            </w:pPr>
            <w:r>
              <w:t xml:space="preserve">EBITDA</w:t>
            </w:r>
          </w:p>
        </w:tc>
        <w:tc>
          <w:tcPr>
            <w:tcW w:w="6767" w:type="dxa"/>
          </w:tcPr>
          <w:tcPr/>
          <w:p>
            <w:pPr>
              <w:pStyle w:val="Compact"/>
              <w:jc w:val="left"/>
            </w:pPr>
            <w:r>
              <w:t xml:space="preserve">[?] non trouvé</w:t>
            </w:r>
          </w:p>
        </w:tc>
        <w:tc>
          <w:tcPr>
            <w:tcW w:w="1473" w:type="dxa"/>
          </w:tcPr>
          <w:tcPr/>
          <w:p>
            <w:pPr>
              <w:pStyle w:val="Compact"/>
            </w:pPr>
          </w:p>
        </w:tc>
        <w:tc>
          <w:tcPr>
            <w:tcW w:w="1235" w:type="dxa"/>
          </w:tcPr>
          <w:tcPr/>
          <w:p>
            <w:pPr>
              <w:pStyle w:val="Compact"/>
            </w:pPr>
          </w:p>
        </w:tc>
        <w:tc>
          <w:tcPr>
            <w:tcW w:w="1390" w:type="dxa"/>
          </w:tcPr>
          <w:tcPr/>
          <w:p>
            <w:pPr>
              <w:pStyle w:val="Compact"/>
            </w:pPr>
          </w:p>
        </w:tc>
      </w:tr>
      <w:tr>
        <w:tc>
          <w:tcPr>
            <w:tcW w:w="3703" w:type="dxa"/>
          </w:tcPr>
          <w:tcPr/>
          <w:p>
            <w:pPr>
              <w:pStyle w:val="Compact"/>
              <w:jc w:val="left"/>
            </w:pPr>
            <w:r>
              <w:t xml:space="preserve">Coûts</w:t>
            </w:r>
          </w:p>
        </w:tc>
        <w:tc>
          <w:tcPr>
            <w:tcW w:w="6767" w:type="dxa"/>
          </w:tcPr>
          <w:tcPr/>
          <w:p>
            <w:pPr>
              <w:pStyle w:val="Compact"/>
              <w:jc w:val="left"/>
            </w:pPr>
            <w:r>
              <w:t xml:space="preserve">génération+transport 1 088,1 Md ; distribution 405,0 ; amortissements 418,6 ; achats d’électricité 319,1 ; administration 261,9 ; personnel 365,7 (14 %) ; charges financières 37,4 ; dépréciation d’actifs financiers 39,2 Md TZS</w:t>
            </w:r>
          </w:p>
        </w:tc>
        <w:tc>
          <w:tcPr>
            <w:tcW w:w="1473" w:type="dxa"/>
          </w:tcPr>
          <w:tcPr/>
          <w:p>
            <w:pPr>
              <w:pStyle w:val="Compact"/>
              <w:jc w:val="left"/>
            </w:pPr>
            <w:r>
              <w:t xml:space="preserve">FY2023/24</w:t>
            </w:r>
          </w:p>
        </w:tc>
        <w:tc>
          <w:tcPr>
            <w:tcW w:w="1235" w:type="dxa"/>
          </w:tcPr>
          <w:tcPr/>
          <w:p>
            <w:pPr>
              <w:pStyle w:val="Compact"/>
              <w:jc w:val="left"/>
            </w:pPr>
            <w:r>
              <w:t xml:space="preserve">[V]</w:t>
            </w:r>
          </w:p>
        </w:tc>
        <w:tc>
          <w:tcPr>
            <w:tcW w:w="1390" w:type="dxa"/>
          </w:tcPr>
          <w:tcPr/>
          <w:p>
            <w:pPr>
              <w:pStyle w:val="Compact"/>
              <w:jc w:val="left"/>
            </w:pPr>
            <w:r>
              <w:t xml:space="preserve">[1] §14.3</w:t>
            </w:r>
          </w:p>
        </w:tc>
      </w:tr>
      <w:tr>
        <w:tc>
          <w:tcPr>
            <w:tcW w:w="3703" w:type="dxa"/>
          </w:tcPr>
          <w:tcPr/>
          <w:p>
            <w:pPr>
              <w:pStyle w:val="Compact"/>
              <w:jc w:val="left"/>
            </w:pPr>
            <w:r>
              <w:t xml:space="preserve">Liquidité</w:t>
            </w:r>
          </w:p>
        </w:tc>
        <w:tc>
          <w:tcPr>
            <w:tcW w:w="6767" w:type="dxa"/>
          </w:tcPr>
          <w:tcPr/>
          <w:p>
            <w:pPr>
              <w:pStyle w:val="Compact"/>
              <w:jc w:val="left"/>
            </w:pPr>
            <w:r>
              <w:t xml:space="preserve">ratio de liquidité courante</w:t>
            </w:r>
            <w:r>
              <w:t xml:space="preserve"> </w:t>
            </w:r>
            <w:r>
              <w:rPr>
                <w:bCs/>
                <w:b/>
              </w:rPr>
              <w:t xml:space="preserve">&lt; 1</w:t>
            </w:r>
            <w:r>
              <w:t xml:space="preserve"> </w:t>
            </w:r>
            <w:r>
              <w:t xml:space="preserve">(« unable to pay short-term obligations on time »)</w:t>
            </w:r>
          </w:p>
        </w:tc>
        <w:tc>
          <w:tcPr>
            <w:tcW w:w="1473" w:type="dxa"/>
          </w:tcPr>
          <w:tcPr/>
          <w:p>
            <w:pPr>
              <w:pStyle w:val="Compact"/>
              <w:jc w:val="left"/>
            </w:pPr>
            <w:r>
              <w:t xml:space="preserve">FY2023/24</w:t>
            </w:r>
          </w:p>
        </w:tc>
        <w:tc>
          <w:tcPr>
            <w:tcW w:w="1235" w:type="dxa"/>
          </w:tcPr>
          <w:tcPr/>
          <w:p>
            <w:pPr>
              <w:pStyle w:val="Compact"/>
              <w:jc w:val="left"/>
            </w:pPr>
            <w:r>
              <w:t xml:space="preserve">[V]</w:t>
            </w:r>
          </w:p>
        </w:tc>
        <w:tc>
          <w:tcPr>
            <w:tcW w:w="1390" w:type="dxa"/>
          </w:tcPr>
          <w:tcPr/>
          <w:p>
            <w:pPr>
              <w:pStyle w:val="Compact"/>
              <w:jc w:val="left"/>
            </w:pPr>
            <w:r>
              <w:t xml:space="preserve">[1] §14.5.1</w:t>
            </w:r>
          </w:p>
        </w:tc>
      </w:tr>
      <w:tr>
        <w:tc>
          <w:tcPr>
            <w:tcW w:w="3703" w:type="dxa"/>
          </w:tcPr>
          <w:tcPr/>
          <w:p>
            <w:pPr>
              <w:pStyle w:val="Compact"/>
              <w:jc w:val="left"/>
            </w:pPr>
            <w:r>
              <w:t xml:space="preserve">Restructuration de dette</w:t>
            </w:r>
          </w:p>
        </w:tc>
        <w:tc>
          <w:tcPr>
            <w:tcW w:w="6767" w:type="dxa"/>
          </w:tcPr>
          <w:tcPr/>
          <w:p>
            <w:pPr>
              <w:pStyle w:val="Compact"/>
              <w:jc w:val="left"/>
            </w:pPr>
            <w:r>
              <w:t xml:space="preserve">conversion en capital de 2 400 Md TZS de prêts rétrocédés (FY2022/23)</w:t>
            </w:r>
          </w:p>
        </w:tc>
        <w:tc>
          <w:tcPr>
            <w:tcW w:w="1473" w:type="dxa"/>
          </w:tcPr>
          <w:tcPr/>
          <w:p>
            <w:pPr>
              <w:pStyle w:val="Compact"/>
              <w:jc w:val="left"/>
            </w:pPr>
            <w:r>
              <w:t xml:space="preserve">2023</w:t>
            </w:r>
          </w:p>
        </w:tc>
        <w:tc>
          <w:tcPr>
            <w:tcW w:w="1235" w:type="dxa"/>
          </w:tcPr>
          <w:tcPr/>
          <w:p>
            <w:pPr>
              <w:pStyle w:val="Compact"/>
              <w:jc w:val="left"/>
            </w:pPr>
            <w:r>
              <w:t xml:space="preserve">[V]</w:t>
            </w:r>
          </w:p>
        </w:tc>
        <w:tc>
          <w:tcPr>
            <w:tcW w:w="1390" w:type="dxa"/>
          </w:tcPr>
          <w:tcPr/>
          <w:p>
            <w:pPr>
              <w:pStyle w:val="Compact"/>
              <w:jc w:val="left"/>
            </w:pPr>
            <w:r>
              <w:t xml:space="preserve">[2]</w:t>
            </w:r>
          </w:p>
        </w:tc>
      </w:tr>
      <w:tr>
        <w:tc>
          <w:tcPr>
            <w:tcW w:w="3703" w:type="dxa"/>
          </w:tcPr>
          <w:tcPr/>
          <w:p>
            <w:pPr>
              <w:pStyle w:val="Compact"/>
              <w:jc w:val="left"/>
            </w:pPr>
            <w:r>
              <w:t xml:space="preserve">Dette envers IPP/fournisseurs</w:t>
            </w:r>
          </w:p>
        </w:tc>
        <w:tc>
          <w:tcPr>
            <w:tcW w:w="6767" w:type="dxa"/>
          </w:tcPr>
          <w:tcPr/>
          <w:p>
            <w:pPr>
              <w:pStyle w:val="Compact"/>
              <w:jc w:val="left"/>
            </w:pPr>
            <w:r>
              <w:t xml:space="preserve">« arrears to suppliers » reconnus, non chiffrés ; plan d’apurement demandé</w:t>
            </w:r>
          </w:p>
        </w:tc>
        <w:tc>
          <w:tcPr>
            <w:tcW w:w="1473" w:type="dxa"/>
          </w:tcPr>
          <w:tcPr/>
          <w:p>
            <w:pPr>
              <w:pStyle w:val="Compact"/>
              <w:jc w:val="left"/>
            </w:pPr>
            <w:r>
              <w:t xml:space="preserve">2025</w:t>
            </w:r>
          </w:p>
        </w:tc>
        <w:tc>
          <w:tcPr>
            <w:tcW w:w="1235" w:type="dxa"/>
          </w:tcPr>
          <w:tcPr/>
          <w:p>
            <w:pPr>
              <w:pStyle w:val="Compact"/>
              <w:jc w:val="left"/>
            </w:pPr>
            <w:r>
              <w:t xml:space="preserve">[V]</w:t>
            </w:r>
          </w:p>
        </w:tc>
        <w:tc>
          <w:tcPr>
            <w:tcW w:w="1390" w:type="dxa"/>
          </w:tcPr>
          <w:tcPr/>
          <w:p>
            <w:pPr>
              <w:pStyle w:val="Compact"/>
              <w:jc w:val="left"/>
            </w:pPr>
            <w:r>
              <w:t xml:space="preserve">[2]</w:t>
            </w:r>
          </w:p>
        </w:tc>
      </w:tr>
      <w:tr>
        <w:tc>
          <w:tcPr>
            <w:tcW w:w="3703" w:type="dxa"/>
          </w:tcPr>
          <w:tcPr/>
          <w:p>
            <w:pPr>
              <w:pStyle w:val="Compact"/>
              <w:jc w:val="left"/>
            </w:pPr>
            <w:r>
              <w:t xml:space="preserve">Litiges Songas</w:t>
            </w:r>
          </w:p>
        </w:tc>
        <w:tc>
          <w:tcPr>
            <w:tcW w:w="6767" w:type="dxa"/>
          </w:tcPr>
          <w:tcPr/>
          <w:p>
            <w:pPr>
              <w:pStyle w:val="Compact"/>
              <w:jc w:val="left"/>
            </w:pPr>
            <w:r>
              <w:t xml:space="preserve">109,07 Md TZS (3 litiges, audit CAG 2022/23)</w:t>
            </w:r>
          </w:p>
        </w:tc>
        <w:tc>
          <w:tcPr>
            <w:tcW w:w="1473" w:type="dxa"/>
          </w:tcPr>
          <w:tcPr/>
          <w:p>
            <w:pPr>
              <w:pStyle w:val="Compact"/>
              <w:jc w:val="left"/>
            </w:pPr>
            <w:r>
              <w:t xml:space="preserve">2023</w:t>
            </w:r>
          </w:p>
        </w:tc>
        <w:tc>
          <w:tcPr>
            <w:tcW w:w="1235" w:type="dxa"/>
          </w:tcPr>
          <w:tcPr/>
          <w:p>
            <w:pPr>
              <w:pStyle w:val="Compact"/>
              <w:jc w:val="left"/>
            </w:pPr>
            <w:r>
              <w:t xml:space="preserve">[S]</w:t>
            </w:r>
          </w:p>
        </w:tc>
        <w:tc>
          <w:tcPr>
            <w:tcW w:w="1390" w:type="dxa"/>
          </w:tcPr>
          <w:tcPr/>
          <w:p>
            <w:pPr>
              <w:pStyle w:val="Compact"/>
              <w:jc w:val="left"/>
            </w:pPr>
            <w:r>
              <w:t xml:space="preserve">[6]</w:t>
            </w:r>
          </w:p>
        </w:tc>
      </w:tr>
      <w:tr>
        <w:tc>
          <w:tcPr>
            <w:tcW w:w="3703" w:type="dxa"/>
          </w:tcPr>
          <w:tcPr/>
          <w:p>
            <w:pPr>
              <w:pStyle w:val="Compact"/>
              <w:jc w:val="left"/>
            </w:pPr>
            <w:r>
              <w:t xml:space="preserve">Arriérés de l’État envers TANESCO</w:t>
            </w:r>
          </w:p>
        </w:tc>
        <w:tc>
          <w:tcPr>
            <w:tcW w:w="6767" w:type="dxa"/>
          </w:tcPr>
          <w:tcPr/>
          <w:p>
            <w:pPr>
              <w:pStyle w:val="Compact"/>
              <w:jc w:val="left"/>
            </w:pPr>
            <w:r>
              <w:t xml:space="preserve">existence reconnue (« government arrears to TANESCO »), montant [?]</w:t>
            </w:r>
          </w:p>
        </w:tc>
        <w:tc>
          <w:tcPr>
            <w:tcW w:w="1473" w:type="dxa"/>
          </w:tcPr>
          <w:tcPr/>
          <w:p>
            <w:pPr>
              <w:pStyle w:val="Compact"/>
              <w:jc w:val="left"/>
            </w:pPr>
            <w:r>
              <w:t xml:space="preserve">2025</w:t>
            </w:r>
          </w:p>
        </w:tc>
        <w:tc>
          <w:tcPr>
            <w:tcW w:w="1235" w:type="dxa"/>
          </w:tcPr>
          <w:tcPr/>
          <w:p>
            <w:pPr>
              <w:pStyle w:val="Compact"/>
              <w:jc w:val="left"/>
            </w:pPr>
            <w:r>
              <w:t xml:space="preserve">[V]</w:t>
            </w:r>
          </w:p>
        </w:tc>
        <w:tc>
          <w:tcPr>
            <w:tcW w:w="1390" w:type="dxa"/>
          </w:tcPr>
          <w:tcPr/>
          <w:p>
            <w:pPr>
              <w:pStyle w:val="Compact"/>
              <w:jc w:val="left"/>
            </w:pPr>
            <w:r>
              <w:t xml:space="preserve">[2]</w:t>
            </w:r>
          </w:p>
        </w:tc>
      </w:tr>
      <w:tr>
        <w:tc>
          <w:tcPr>
            <w:tcW w:w="3703" w:type="dxa"/>
          </w:tcPr>
          <w:tcPr/>
          <w:p>
            <w:pPr>
              <w:pStyle w:val="Compact"/>
              <w:jc w:val="left"/>
            </w:pPr>
            <w:r>
              <w:t xml:space="preserve">Transferts / subventions</w:t>
            </w:r>
          </w:p>
        </w:tc>
        <w:tc>
          <w:tcPr>
            <w:tcW w:w="6767" w:type="dxa"/>
          </w:tcPr>
          <w:tcPr/>
          <w:p>
            <w:pPr>
              <w:pStyle w:val="Compact"/>
              <w:jc w:val="left"/>
            </w:pPr>
            <w:r>
              <w:t xml:space="preserve">56,8 M USD/an (subventions totales selon le pacte)</w:t>
            </w:r>
          </w:p>
        </w:tc>
        <w:tc>
          <w:tcPr>
            <w:tcW w:w="1473" w:type="dxa"/>
          </w:tcPr>
          <w:tcPr/>
          <w:p>
            <w:pPr>
              <w:pStyle w:val="Compact"/>
              <w:jc w:val="left"/>
            </w:pPr>
            <w:r>
              <w:t xml:space="preserve">non daté</w:t>
            </w:r>
          </w:p>
        </w:tc>
        <w:tc>
          <w:tcPr>
            <w:tcW w:w="1235" w:type="dxa"/>
          </w:tcPr>
          <w:tcPr/>
          <w:p>
            <w:pPr>
              <w:pStyle w:val="Compact"/>
              <w:jc w:val="left"/>
            </w:pPr>
            <w:r>
              <w:t xml:space="preserve">(pacte)</w:t>
            </w:r>
          </w:p>
        </w:tc>
        <w:tc>
          <w:tcPr>
            <w:tcW w:w="1390" w:type="dxa"/>
          </w:tcPr>
          <w:tcPr/>
          <w:p>
            <w:pPr>
              <w:pStyle w:val="Compact"/>
              <w:jc w:val="left"/>
            </w:pPr>
            <w:r>
              <w:t xml:space="preserve">[3]</w:t>
            </w:r>
          </w:p>
        </w:tc>
      </w:tr>
      <w:tr>
        <w:tc>
          <w:tcPr>
            <w:tcW w:w="3703" w:type="dxa"/>
          </w:tcPr>
          <w:tcPr/>
          <w:p>
            <w:pPr>
              <w:pStyle w:val="Compact"/>
              <w:jc w:val="left"/>
            </w:pPr>
            <w:r>
              <w:t xml:space="preserve">Taux de recouvrement</w:t>
            </w:r>
          </w:p>
        </w:tc>
        <w:tc>
          <w:tcPr>
            <w:tcW w:w="6767" w:type="dxa"/>
          </w:tcPr>
          <w:tcPr/>
          <w:p>
            <w:pPr>
              <w:pStyle w:val="Compact"/>
              <w:jc w:val="left"/>
            </w:pPr>
            <w:r>
              <w:t xml:space="preserve">96 % (2021/22) ; quasi-totalité des clients en prépayé</w:t>
            </w:r>
          </w:p>
        </w:tc>
        <w:tc>
          <w:tcPr>
            <w:tcW w:w="1473" w:type="dxa"/>
          </w:tcPr>
          <w:tcPr/>
          <w:p>
            <w:pPr>
              <w:pStyle w:val="Compact"/>
              <w:jc w:val="left"/>
            </w:pPr>
            <w:r>
              <w:t xml:space="preserve">2021/22</w:t>
            </w:r>
          </w:p>
        </w:tc>
        <w:tc>
          <w:tcPr>
            <w:tcW w:w="1235" w:type="dxa"/>
          </w:tcPr>
          <w:tcPr/>
          <w:p>
            <w:pPr>
              <w:pStyle w:val="Compact"/>
              <w:jc w:val="left"/>
            </w:pPr>
            <w:r>
              <w:t xml:space="preserve">(pacte)</w:t>
            </w:r>
          </w:p>
        </w:tc>
        <w:tc>
          <w:tcPr>
            <w:tcW w:w="1390" w:type="dxa"/>
          </w:tcPr>
          <w:tcPr/>
          <w:p>
            <w:pPr>
              <w:pStyle w:val="Compact"/>
              <w:jc w:val="left"/>
            </w:pPr>
            <w:r>
              <w:t xml:space="preserve">[3]</w:t>
            </w:r>
          </w:p>
        </w:tc>
      </w:tr>
      <w:tr>
        <w:tc>
          <w:tcPr>
            <w:tcW w:w="3703" w:type="dxa"/>
          </w:tcPr>
          <w:tcPr/>
          <w:p>
            <w:pPr>
              <w:pStyle w:val="Compact"/>
              <w:jc w:val="left"/>
            </w:pPr>
            <w:r>
              <w:t xml:space="preserve">Recette moyenne vs coût complet</w:t>
            </w:r>
          </w:p>
        </w:tc>
        <w:tc>
          <w:tcPr>
            <w:tcW w:w="6767" w:type="dxa"/>
          </w:tcPr>
          <w:tcPr/>
          <w:p>
            <w:pPr>
              <w:pStyle w:val="Compact"/>
              <w:jc w:val="left"/>
            </w:pPr>
            <w:r>
              <w:rPr>
                <w:bCs/>
                <w:b/>
              </w:rPr>
              <w:t xml:space="preserve">≈ 233 TZS/kWh vendu vs coût moyen 256 TZS/kWh → couverture ≈ 91 %</w:t>
            </w:r>
            <w:r>
              <w:t xml:space="preserve"> </w:t>
            </w:r>
            <w:r>
              <w:t xml:space="preserve">(FY22/23) ; coût moyen FY23/24 :</w:t>
            </w:r>
            <w:r>
              <w:t xml:space="preserve"> </w:t>
            </w:r>
            <w:r>
              <w:rPr>
                <w:bCs/>
                <w:b/>
              </w:rPr>
              <w:t xml:space="preserve">283 TZS/kWh</w:t>
            </w:r>
            <w:r>
              <w:t xml:space="preserve"> </w:t>
            </w:r>
            <w:r>
              <w:t xml:space="preserve">(+10 %)</w:t>
            </w:r>
          </w:p>
        </w:tc>
        <w:tc>
          <w:tcPr>
            <w:tcW w:w="1473" w:type="dxa"/>
          </w:tcPr>
          <w:tcPr/>
          <w:p>
            <w:pPr>
              <w:pStyle w:val="Compact"/>
              <w:jc w:val="left"/>
            </w:pPr>
            <w:r>
              <w:t xml:space="preserve">FY2022/23–23/24</w:t>
            </w:r>
          </w:p>
        </w:tc>
        <w:tc>
          <w:tcPr>
            <w:tcW w:w="1235" w:type="dxa"/>
          </w:tcPr>
          <w:tcPr/>
          <w:p>
            <w:pPr>
              <w:pStyle w:val="Compact"/>
              <w:jc w:val="left"/>
            </w:pPr>
            <w:r>
              <w:t xml:space="preserve">[E] (calcul sur [V])</w:t>
            </w:r>
          </w:p>
        </w:tc>
        <w:tc>
          <w:tcPr>
            <w:tcW w:w="1390" w:type="dxa"/>
          </w:tcPr>
          <w:tcPr/>
          <w:p>
            <w:pPr>
              <w:pStyle w:val="Compact"/>
              <w:jc w:val="left"/>
            </w:pPr>
            <w:r>
              <w:t xml:space="preserve">[1] §14.4, annexes 15 &amp; 17</w:t>
            </w:r>
          </w:p>
        </w:tc>
      </w:tr>
      <w:tr>
        <w:tc>
          <w:tcPr>
            <w:tcW w:w="3703" w:type="dxa"/>
          </w:tcPr>
          <w:tcPr/>
          <w:p>
            <w:pPr>
              <w:pStyle w:val="Compact"/>
              <w:jc w:val="left"/>
            </w:pPr>
            <w:r>
              <w:t xml:space="preserve">Couverture des coûts selon le pacte</w:t>
            </w:r>
          </w:p>
        </w:tc>
        <w:tc>
          <w:tcPr>
            <w:tcW w:w="6767" w:type="dxa"/>
          </w:tcPr>
          <w:tcPr/>
          <w:p>
            <w:pPr>
              <w:pStyle w:val="Compact"/>
              <w:jc w:val="left"/>
            </w:pPr>
            <w:r>
              <w:t xml:space="preserve">80 % du coût de fourniture</w:t>
            </w:r>
          </w:p>
        </w:tc>
        <w:tc>
          <w:tcPr>
            <w:tcW w:w="1473" w:type="dxa"/>
          </w:tcPr>
          <w:tcPr/>
          <w:p>
            <w:pPr>
              <w:pStyle w:val="Compact"/>
              <w:jc w:val="left"/>
            </w:pPr>
            <w:r>
              <w:t xml:space="preserve">non daté</w:t>
            </w:r>
          </w:p>
        </w:tc>
        <w:tc>
          <w:tcPr>
            <w:tcW w:w="1235" w:type="dxa"/>
          </w:tcPr>
          <w:tcPr/>
          <w:p>
            <w:pPr>
              <w:pStyle w:val="Compact"/>
              <w:jc w:val="left"/>
            </w:pPr>
            <w:r>
              <w:t xml:space="preserve">(pacte)</w:t>
            </w:r>
          </w:p>
        </w:tc>
        <w:tc>
          <w:tcPr>
            <w:tcW w:w="1390" w:type="dxa"/>
          </w:tcPr>
          <w:tcPr/>
          <w:p>
            <w:pPr>
              <w:pStyle w:val="Compact"/>
              <w:jc w:val="left"/>
            </w:pPr>
            <w:r>
              <w:t xml:space="preserve">[3]</w:t>
            </w:r>
          </w:p>
        </w:tc>
      </w:tr>
      <w:tr>
        <w:tc>
          <w:tcPr>
            <w:tcW w:w="3703" w:type="dxa"/>
          </w:tcPr>
          <w:tcPr/>
          <w:p>
            <w:pPr>
              <w:pStyle w:val="Compact"/>
              <w:jc w:val="left"/>
            </w:pPr>
            <w:r>
              <w:t xml:space="preserve">Déficit quasi-budgétaire</w:t>
            </w:r>
          </w:p>
        </w:tc>
        <w:tc>
          <w:tcPr>
            <w:tcW w:w="6767" w:type="dxa"/>
          </w:tcPr>
          <w:tcPr/>
          <w:p>
            <w:pPr>
              <w:pStyle w:val="Compact"/>
              <w:jc w:val="left"/>
            </w:pPr>
            <w:r>
              <w:t xml:space="preserve">[?] non estimé</w:t>
            </w:r>
          </w:p>
        </w:tc>
        <w:tc>
          <w:tcPr>
            <w:tcW w:w="1473" w:type="dxa"/>
          </w:tcPr>
          <w:tcPr/>
          <w:p>
            <w:pPr>
              <w:pStyle w:val="Compact"/>
            </w:pPr>
          </w:p>
        </w:tc>
        <w:tc>
          <w:tcPr>
            <w:tcW w:w="1235" w:type="dxa"/>
          </w:tcPr>
          <w:tcPr/>
          <w:p>
            <w:pPr>
              <w:pStyle w:val="Compact"/>
            </w:pPr>
          </w:p>
        </w:tc>
        <w:tc>
          <w:tcPr>
            <w:tcW w:w="1390" w:type="dxa"/>
          </w:tcPr>
          <w:tcPr/>
          <w:p>
            <w:pPr>
              <w:pStyle w:val="Compact"/>
            </w:pPr>
          </w:p>
        </w:tc>
      </w:tr>
      <w:tr>
        <w:tc>
          <w:tcPr>
            <w:tcW w:w="3703" w:type="dxa"/>
          </w:tcPr>
          <w:tcPr/>
          <w:p>
            <w:pPr>
              <w:pStyle w:val="Compact"/>
              <w:jc w:val="left"/>
            </w:pPr>
            <w:r>
              <w:t xml:space="preserve">Notation</w:t>
            </w:r>
          </w:p>
        </w:tc>
        <w:tc>
          <w:tcPr>
            <w:tcW w:w="6767" w:type="dxa"/>
          </w:tcPr>
          <w:tcPr/>
          <w:p>
            <w:pPr>
              <w:pStyle w:val="Compact"/>
              <w:jc w:val="left"/>
            </w:pPr>
            <w:r>
              <w:t xml:space="preserve">aucune</w:t>
            </w:r>
          </w:p>
        </w:tc>
        <w:tc>
          <w:tcPr>
            <w:tcW w:w="1473" w:type="dxa"/>
          </w:tcPr>
          <w:tcPr/>
          <w:p>
            <w:pPr>
              <w:pStyle w:val="Compact"/>
            </w:pPr>
          </w:p>
        </w:tc>
        <w:tc>
          <w:tcPr>
            <w:tcW w:w="1235" w:type="dxa"/>
          </w:tcPr>
          <w:tcPr/>
          <w:p>
            <w:pPr>
              <w:pStyle w:val="Compact"/>
              <w:jc w:val="left"/>
            </w:pPr>
            <w:r>
              <w:t xml:space="preserve">[?]</w:t>
            </w:r>
          </w:p>
        </w:tc>
        <w:tc>
          <w:tcPr>
            <w:tcW w:w="1390" w:type="dxa"/>
          </w:tcPr>
          <w:tcPr/>
          <w:p>
            <w:pPr>
              <w:pStyle w:val="Compact"/>
            </w:pPr>
          </w:p>
        </w:tc>
      </w:tr>
    </w:tbl>
    <w:bookmarkEnd w:id="364"/>
    <w:bookmarkStart w:id="365" w:name="situation-technique-32"/>
    <w:p>
      <w:pPr>
        <w:pStyle w:val="Heading3"/>
      </w:pPr>
      <w:r>
        <w:t xml:space="preserve">2. Situation technique</w:t>
      </w:r>
    </w:p>
    <w:tbl>
      <w:tblPr>
        <w:tblStyle w:val="Table"/>
        <w:tblW w:type="dxa" w:w="14570"/>
        <w:tblLook w:firstRow="1" w:lastRow="0" w:firstColumn="0" w:lastColumn="0" w:noHBand="0" w:noVBand="0" w:val="0020"/>
        <w:jc w:val="start"/>
      </w:tblPr>
      <w:tblGrid>
        <w:gridCol w:w="2938"/>
        <w:gridCol w:w="7322"/>
        <w:gridCol w:w="1593"/>
        <w:gridCol w:w="1295"/>
        <w:gridCol w:w="1421"/>
      </w:tblGrid>
      <w:tr>
        <w:trPr>
          <w:tblHeader w:val="true"/>
        </w:trPr>
        <w:tc>
          <w:tcPr>
            <w:tcW w:w="2938" w:type="dxa"/>
          </w:tcPr>
          <w:tcPr/>
          <w:p>
            <w:pPr>
              <w:pStyle w:val="Compact"/>
              <w:jc w:val="left"/>
            </w:pPr>
            <w:r>
              <w:t xml:space="preserve">Indicateur</w:t>
            </w:r>
          </w:p>
        </w:tc>
        <w:tc>
          <w:tcPr>
            <w:tcW w:w="7322" w:type="dxa"/>
          </w:tcPr>
          <w:tcPr/>
          <w:p>
            <w:pPr>
              <w:pStyle w:val="Compact"/>
              <w:jc w:val="left"/>
            </w:pPr>
            <w:r>
              <w:t xml:space="preserve">Valeur</w:t>
            </w:r>
          </w:p>
        </w:tc>
        <w:tc>
          <w:tcPr>
            <w:tcW w:w="1593" w:type="dxa"/>
          </w:tcPr>
          <w:tcPr/>
          <w:p>
            <w:pPr>
              <w:pStyle w:val="Compact"/>
              <w:jc w:val="left"/>
            </w:pPr>
            <w:r>
              <w:t xml:space="preserve">Année</w:t>
            </w:r>
          </w:p>
        </w:tc>
        <w:tc>
          <w:tcPr>
            <w:tcW w:w="1295" w:type="dxa"/>
          </w:tcPr>
          <w:tcPr/>
          <w:p>
            <w:pPr>
              <w:pStyle w:val="Compact"/>
              <w:jc w:val="left"/>
            </w:pPr>
            <w:r>
              <w:t xml:space="preserve">Statut</w:t>
            </w:r>
          </w:p>
        </w:tc>
        <w:tc>
          <w:tcPr>
            <w:tcW w:w="1421" w:type="dxa"/>
          </w:tcPr>
          <w:tcPr/>
          <w:p>
            <w:pPr>
              <w:pStyle w:val="Compact"/>
              <w:jc w:val="left"/>
            </w:pPr>
            <w:r>
              <w:t xml:space="preserve">Source</w:t>
            </w:r>
          </w:p>
        </w:tc>
      </w:tr>
      <w:tr>
        <w:tc>
          <w:tcPr>
            <w:tcW w:w="2938" w:type="dxa"/>
          </w:tcPr>
          <w:tcPr/>
          <w:p>
            <w:pPr>
              <w:pStyle w:val="Compact"/>
              <w:jc w:val="left"/>
            </w:pPr>
            <w:r>
              <w:t xml:space="preserve">Capacité installée (réseau)</w:t>
            </w:r>
          </w:p>
        </w:tc>
        <w:tc>
          <w:tcPr>
            <w:tcW w:w="7322" w:type="dxa"/>
          </w:tcPr>
          <w:tcPr/>
          <w:p>
            <w:pPr>
              <w:pStyle w:val="Compact"/>
              <w:jc w:val="left"/>
            </w:pPr>
            <w:r>
              <w:t xml:space="preserve">2 411,33 MW (juin 2024) ; pointe 1 645,23 MW</w:t>
            </w:r>
          </w:p>
        </w:tc>
        <w:tc>
          <w:tcPr>
            <w:tcW w:w="1593" w:type="dxa"/>
          </w:tcPr>
          <w:tcPr/>
          <w:p>
            <w:pPr>
              <w:pStyle w:val="Compact"/>
              <w:jc w:val="left"/>
            </w:pPr>
            <w:r>
              <w:t xml:space="preserve">FY2023/24</w:t>
            </w:r>
          </w:p>
        </w:tc>
        <w:tc>
          <w:tcPr>
            <w:tcW w:w="1295" w:type="dxa"/>
          </w:tcPr>
          <w:tcPr/>
          <w:p>
            <w:pPr>
              <w:pStyle w:val="Compact"/>
              <w:jc w:val="left"/>
            </w:pPr>
            <w:r>
              <w:t xml:space="preserve">[V]</w:t>
            </w:r>
          </w:p>
        </w:tc>
        <w:tc>
          <w:tcPr>
            <w:tcW w:w="1421" w:type="dxa"/>
          </w:tcPr>
          <w:tcPr/>
          <w:p>
            <w:pPr>
              <w:pStyle w:val="Compact"/>
              <w:jc w:val="left"/>
            </w:pPr>
            <w:r>
              <w:t xml:space="preserve">[1]</w:t>
            </w:r>
          </w:p>
        </w:tc>
      </w:tr>
      <w:tr>
        <w:tc>
          <w:tcPr>
            <w:tcW w:w="2938" w:type="dxa"/>
          </w:tcPr>
          <w:tcPr/>
          <w:p>
            <w:pPr>
              <w:pStyle w:val="Compact"/>
              <w:jc w:val="left"/>
            </w:pPr>
            <w:r>
              <w:t xml:space="preserve">Capacité (pacte)</w:t>
            </w:r>
          </w:p>
        </w:tc>
        <w:tc>
          <w:tcPr>
            <w:tcW w:w="7322" w:type="dxa"/>
          </w:tcPr>
          <w:tcPr/>
          <w:p>
            <w:pPr>
              <w:pStyle w:val="Compact"/>
              <w:jc w:val="left"/>
            </w:pPr>
            <w:r>
              <w:t xml:space="preserve">3 404,2 MW (déc. 2024, après mise en service partielle de JNHPP) ; disponibilité 56 %</w:t>
            </w:r>
          </w:p>
        </w:tc>
        <w:tc>
          <w:tcPr>
            <w:tcW w:w="1593" w:type="dxa"/>
          </w:tcPr>
          <w:tcPr/>
          <w:p>
            <w:pPr>
              <w:pStyle w:val="Compact"/>
              <w:jc w:val="left"/>
            </w:pPr>
            <w:r>
              <w:t xml:space="preserve">2024</w:t>
            </w:r>
          </w:p>
        </w:tc>
        <w:tc>
          <w:tcPr>
            <w:tcW w:w="1295" w:type="dxa"/>
          </w:tcPr>
          <w:tcPr/>
          <w:p>
            <w:pPr>
              <w:pStyle w:val="Compact"/>
              <w:jc w:val="left"/>
            </w:pPr>
            <w:r>
              <w:t xml:space="preserve">(pacte)</w:t>
            </w:r>
          </w:p>
        </w:tc>
        <w:tc>
          <w:tcPr>
            <w:tcW w:w="1421" w:type="dxa"/>
          </w:tcPr>
          <w:tcPr/>
          <w:p>
            <w:pPr>
              <w:pStyle w:val="Compact"/>
              <w:jc w:val="left"/>
            </w:pPr>
            <w:r>
              <w:t xml:space="preserve">[3]</w:t>
            </w:r>
          </w:p>
        </w:tc>
      </w:tr>
      <w:tr>
        <w:tc>
          <w:tcPr>
            <w:tcW w:w="2938" w:type="dxa"/>
          </w:tcPr>
          <w:tcPr/>
          <w:p>
            <w:pPr>
              <w:pStyle w:val="Compact"/>
              <w:jc w:val="left"/>
            </w:pPr>
            <w:r>
              <w:t xml:space="preserve">Pertes totales</w:t>
            </w:r>
          </w:p>
        </w:tc>
        <w:tc>
          <w:tcPr>
            <w:tcW w:w="7322" w:type="dxa"/>
          </w:tcPr>
          <w:tcPr/>
          <w:p>
            <w:pPr>
              <w:pStyle w:val="Compact"/>
              <w:jc w:val="left"/>
            </w:pPr>
            <w:r>
              <w:rPr>
                <w:bCs/>
                <w:b/>
              </w:rPr>
              <w:t xml:space="preserve">14,61 %</w:t>
            </w:r>
            <w:r>
              <w:t xml:space="preserve"> </w:t>
            </w:r>
            <w:r>
              <w:t xml:space="preserve">(14,57 % en FY22/23) ; transport 5,86 % ; distribution 8,69 % (FY22/23)</w:t>
            </w:r>
          </w:p>
        </w:tc>
        <w:tc>
          <w:tcPr>
            <w:tcW w:w="1593" w:type="dxa"/>
          </w:tcPr>
          <w:tcPr/>
          <w:p>
            <w:pPr>
              <w:pStyle w:val="Compact"/>
              <w:jc w:val="left"/>
            </w:pPr>
            <w:r>
              <w:t xml:space="preserve">FY2023/24</w:t>
            </w:r>
          </w:p>
        </w:tc>
        <w:tc>
          <w:tcPr>
            <w:tcW w:w="1295" w:type="dxa"/>
          </w:tcPr>
          <w:tcPr/>
          <w:p>
            <w:pPr>
              <w:pStyle w:val="Compact"/>
              <w:jc w:val="left"/>
            </w:pPr>
            <w:r>
              <w:t xml:space="preserve">[V]</w:t>
            </w:r>
          </w:p>
        </w:tc>
        <w:tc>
          <w:tcPr>
            <w:tcW w:w="1421" w:type="dxa"/>
          </w:tcPr>
          <w:tcPr/>
          <w:p>
            <w:pPr>
              <w:pStyle w:val="Compact"/>
              <w:jc w:val="left"/>
            </w:pPr>
            <w:r>
              <w:t xml:space="preserve">[1] §11.1, annexe 10</w:t>
            </w:r>
          </w:p>
        </w:tc>
      </w:tr>
      <w:tr>
        <w:tc>
          <w:tcPr>
            <w:tcW w:w="2938" w:type="dxa"/>
          </w:tcPr>
          <w:tcPr/>
          <w:p>
            <w:pPr>
              <w:pStyle w:val="Compact"/>
              <w:jc w:val="left"/>
            </w:pPr>
            <w:r>
              <w:t xml:space="preserve">Cible régulateur</w:t>
            </w:r>
          </w:p>
        </w:tc>
        <w:tc>
          <w:tcPr>
            <w:tcW w:w="7322" w:type="dxa"/>
          </w:tcPr>
          <w:tcPr/>
          <w:p>
            <w:pPr>
              <w:pStyle w:val="Compact"/>
              <w:jc w:val="left"/>
            </w:pPr>
            <w:r>
              <w:t xml:space="preserve">14 % (2021) → 12 % (juin 2025) —</w:t>
            </w:r>
            <w:r>
              <w:t xml:space="preserve"> </w:t>
            </w:r>
            <w:r>
              <w:rPr>
                <w:bCs/>
                <w:b/>
              </w:rPr>
              <w:t xml:space="preserve">non atteinte</w:t>
            </w:r>
          </w:p>
        </w:tc>
        <w:tc>
          <w:tcPr>
            <w:tcW w:w="1593" w:type="dxa"/>
          </w:tcPr>
          <w:tcPr/>
          <w:p>
            <w:pPr>
              <w:pStyle w:val="Compact"/>
              <w:jc w:val="left"/>
            </w:pPr>
            <w:r>
              <w:t xml:space="preserve">2025</w:t>
            </w:r>
          </w:p>
        </w:tc>
        <w:tc>
          <w:tcPr>
            <w:tcW w:w="1295" w:type="dxa"/>
          </w:tcPr>
          <w:tcPr/>
          <w:p>
            <w:pPr>
              <w:pStyle w:val="Compact"/>
              <w:jc w:val="left"/>
            </w:pPr>
            <w:r>
              <w:t xml:space="preserve">[V]</w:t>
            </w:r>
          </w:p>
        </w:tc>
        <w:tc>
          <w:tcPr>
            <w:tcW w:w="1421" w:type="dxa"/>
          </w:tcPr>
          <w:tcPr/>
          <w:p>
            <w:pPr>
              <w:pStyle w:val="Compact"/>
              <w:jc w:val="left"/>
            </w:pPr>
            <w:r>
              <w:t xml:space="preserve">[1]</w:t>
            </w:r>
          </w:p>
        </w:tc>
      </w:tr>
      <w:tr>
        <w:tc>
          <w:tcPr>
            <w:tcW w:w="2938" w:type="dxa"/>
          </w:tcPr>
          <w:tcPr/>
          <w:p>
            <w:pPr>
              <w:pStyle w:val="Compact"/>
              <w:jc w:val="left"/>
            </w:pPr>
            <w:r>
              <w:t xml:space="preserve">SAIDI / SAIFI</w:t>
            </w:r>
          </w:p>
        </w:tc>
        <w:tc>
          <w:tcPr>
            <w:tcW w:w="7322" w:type="dxa"/>
          </w:tcPr>
          <w:tcPr/>
          <w:p>
            <w:pPr>
              <w:pStyle w:val="Compact"/>
              <w:jc w:val="left"/>
            </w:pPr>
            <w:r>
              <w:t xml:space="preserve">SAIDI 554 min (1 536 en FY22/23) ; SAIFI 14 (26)</w:t>
            </w:r>
          </w:p>
        </w:tc>
        <w:tc>
          <w:tcPr>
            <w:tcW w:w="1593" w:type="dxa"/>
          </w:tcPr>
          <w:tcPr/>
          <w:p>
            <w:pPr>
              <w:pStyle w:val="Compact"/>
              <w:jc w:val="left"/>
            </w:pPr>
            <w:r>
              <w:t xml:space="preserve">FY2023/24</w:t>
            </w:r>
          </w:p>
        </w:tc>
        <w:tc>
          <w:tcPr>
            <w:tcW w:w="1295" w:type="dxa"/>
          </w:tcPr>
          <w:tcPr/>
          <w:p>
            <w:pPr>
              <w:pStyle w:val="Compact"/>
              <w:jc w:val="left"/>
            </w:pPr>
            <w:r>
              <w:t xml:space="preserve">[V]</w:t>
            </w:r>
          </w:p>
        </w:tc>
        <w:tc>
          <w:tcPr>
            <w:tcW w:w="1421" w:type="dxa"/>
          </w:tcPr>
          <w:tcPr/>
          <w:p>
            <w:pPr>
              <w:pStyle w:val="Compact"/>
              <w:jc w:val="left"/>
            </w:pPr>
            <w:r>
              <w:t xml:space="preserve">[1] §10.6</w:t>
            </w:r>
          </w:p>
        </w:tc>
      </w:tr>
      <w:tr>
        <w:tc>
          <w:tcPr>
            <w:tcW w:w="2938" w:type="dxa"/>
          </w:tcPr>
          <w:tcPr/>
          <w:p>
            <w:pPr>
              <w:pStyle w:val="Compact"/>
              <w:jc w:val="left"/>
            </w:pPr>
            <w:r>
              <w:t xml:space="preserve">Clients</w:t>
            </w:r>
          </w:p>
        </w:tc>
        <w:tc>
          <w:tcPr>
            <w:tcW w:w="7322" w:type="dxa"/>
          </w:tcPr>
          <w:tcPr/>
          <w:p>
            <w:pPr>
              <w:pStyle w:val="Compact"/>
              <w:jc w:val="left"/>
            </w:pPr>
            <w:r>
              <w:t xml:space="preserve">4 982 259 (juin 2024) ; 5 276 679 dont 5 271 125 prépayés (déc. 2024, pacte)</w:t>
            </w:r>
          </w:p>
        </w:tc>
        <w:tc>
          <w:tcPr>
            <w:tcW w:w="1593" w:type="dxa"/>
          </w:tcPr>
          <w:tcPr/>
          <w:p>
            <w:pPr>
              <w:pStyle w:val="Compact"/>
              <w:jc w:val="left"/>
            </w:pPr>
            <w:r>
              <w:t xml:space="preserve">2024</w:t>
            </w:r>
          </w:p>
        </w:tc>
        <w:tc>
          <w:tcPr>
            <w:tcW w:w="1295" w:type="dxa"/>
          </w:tcPr>
          <w:tcPr/>
          <w:p>
            <w:pPr>
              <w:pStyle w:val="Compact"/>
              <w:jc w:val="left"/>
            </w:pPr>
            <w:r>
              <w:t xml:space="preserve">[V]/(pacte)</w:t>
            </w:r>
          </w:p>
        </w:tc>
        <w:tc>
          <w:tcPr>
            <w:tcW w:w="1421" w:type="dxa"/>
          </w:tcPr>
          <w:tcPr/>
          <w:p>
            <w:pPr>
              <w:pStyle w:val="Compact"/>
              <w:jc w:val="left"/>
            </w:pPr>
            <w:r>
              <w:t xml:space="preserve">[1][3]</w:t>
            </w:r>
          </w:p>
        </w:tc>
      </w:tr>
      <w:tr>
        <w:tc>
          <w:tcPr>
            <w:tcW w:w="2938" w:type="dxa"/>
          </w:tcPr>
          <w:tcPr/>
          <w:p>
            <w:pPr>
              <w:pStyle w:val="Compact"/>
              <w:jc w:val="left"/>
            </w:pPr>
            <w:r>
              <w:t xml:space="preserve">Mix de production</w:t>
            </w:r>
          </w:p>
        </w:tc>
        <w:tc>
          <w:tcPr>
            <w:tcW w:w="7322" w:type="dxa"/>
          </w:tcPr>
          <w:tcPr/>
          <w:p>
            <w:pPr>
              <w:pStyle w:val="Compact"/>
              <w:jc w:val="left"/>
            </w:pPr>
            <w:r>
              <w:t xml:space="preserve">gaz naturel 67,1 %, hydro 32,4 %, liquides 0,5 %</w:t>
            </w:r>
          </w:p>
        </w:tc>
        <w:tc>
          <w:tcPr>
            <w:tcW w:w="1593" w:type="dxa"/>
          </w:tcPr>
          <w:tcPr/>
          <w:p>
            <w:pPr>
              <w:pStyle w:val="Compact"/>
              <w:jc w:val="left"/>
            </w:pPr>
            <w:r>
              <w:t xml:space="preserve">FY2023/24</w:t>
            </w:r>
          </w:p>
        </w:tc>
        <w:tc>
          <w:tcPr>
            <w:tcW w:w="1295" w:type="dxa"/>
          </w:tcPr>
          <w:tcPr/>
          <w:p>
            <w:pPr>
              <w:pStyle w:val="Compact"/>
              <w:jc w:val="left"/>
            </w:pPr>
            <w:r>
              <w:t xml:space="preserve">[V]</w:t>
            </w:r>
          </w:p>
        </w:tc>
        <w:tc>
          <w:tcPr>
            <w:tcW w:w="1421" w:type="dxa"/>
          </w:tcPr>
          <w:tcPr/>
          <w:p>
            <w:pPr>
              <w:pStyle w:val="Compact"/>
              <w:jc w:val="left"/>
            </w:pPr>
            <w:r>
              <w:t xml:space="preserve">[1]</w:t>
            </w:r>
          </w:p>
        </w:tc>
      </w:tr>
      <w:tr>
        <w:tc>
          <w:tcPr>
            <w:tcW w:w="2938" w:type="dxa"/>
          </w:tcPr>
          <w:tcPr/>
          <w:p>
            <w:pPr>
              <w:pStyle w:val="Compact"/>
              <w:jc w:val="left"/>
            </w:pPr>
            <w:r>
              <w:t xml:space="preserve">Importations</w:t>
            </w:r>
          </w:p>
        </w:tc>
        <w:tc>
          <w:tcPr>
            <w:tcW w:w="7322" w:type="dxa"/>
          </w:tcPr>
          <w:tcPr/>
          <w:p>
            <w:pPr>
              <w:pStyle w:val="Compact"/>
              <w:jc w:val="left"/>
            </w:pPr>
            <w:r>
              <w:t xml:space="preserve">59,6 GWh (Zambie) + 153,8 GWh (Ouganda) pour régions isolées</w:t>
            </w:r>
          </w:p>
        </w:tc>
        <w:tc>
          <w:tcPr>
            <w:tcW w:w="1593" w:type="dxa"/>
          </w:tcPr>
          <w:tcPr/>
          <w:p>
            <w:pPr>
              <w:pStyle w:val="Compact"/>
              <w:jc w:val="left"/>
            </w:pPr>
            <w:r>
              <w:t xml:space="preserve">FY2023/24</w:t>
            </w:r>
          </w:p>
        </w:tc>
        <w:tc>
          <w:tcPr>
            <w:tcW w:w="1295" w:type="dxa"/>
          </w:tcPr>
          <w:tcPr/>
          <w:p>
            <w:pPr>
              <w:pStyle w:val="Compact"/>
              <w:jc w:val="left"/>
            </w:pPr>
            <w:r>
              <w:t xml:space="preserve">[V]</w:t>
            </w:r>
          </w:p>
        </w:tc>
        <w:tc>
          <w:tcPr>
            <w:tcW w:w="1421" w:type="dxa"/>
          </w:tcPr>
          <w:tcPr/>
          <w:p>
            <w:pPr>
              <w:pStyle w:val="Compact"/>
              <w:jc w:val="left"/>
            </w:pPr>
            <w:r>
              <w:t xml:space="preserve">[1]</w:t>
            </w:r>
          </w:p>
        </w:tc>
      </w:tr>
      <w:tr>
        <w:tc>
          <w:tcPr>
            <w:tcW w:w="2938" w:type="dxa"/>
          </w:tcPr>
          <w:tcPr/>
          <w:p>
            <w:pPr>
              <w:pStyle w:val="Compact"/>
              <w:jc w:val="left"/>
            </w:pPr>
            <w:r>
              <w:t xml:space="preserve">Délestages</w:t>
            </w:r>
          </w:p>
        </w:tc>
        <w:tc>
          <w:tcPr>
            <w:tcW w:w="7322" w:type="dxa"/>
          </w:tcPr>
          <w:tcPr/>
          <w:p>
            <w:pPr>
              <w:pStyle w:val="Compact"/>
              <w:jc w:val="left"/>
            </w:pPr>
            <w:r>
              <w:t xml:space="preserve">sécheresse 2023/24 ; données horaires [?]</w:t>
            </w:r>
          </w:p>
        </w:tc>
        <w:tc>
          <w:tcPr>
            <w:tcW w:w="1593" w:type="dxa"/>
          </w:tcPr>
          <w:tcPr/>
          <w:p>
            <w:pPr>
              <w:pStyle w:val="Compact"/>
            </w:pPr>
          </w:p>
        </w:tc>
        <w:tc>
          <w:tcPr>
            <w:tcW w:w="1295" w:type="dxa"/>
          </w:tcPr>
          <w:tcPr/>
          <w:p>
            <w:pPr>
              <w:pStyle w:val="Compact"/>
              <w:jc w:val="left"/>
            </w:pPr>
            <w:r>
              <w:t xml:space="preserve">[?]</w:t>
            </w:r>
          </w:p>
        </w:tc>
        <w:tc>
          <w:tcPr>
            <w:tcW w:w="1421" w:type="dxa"/>
          </w:tcPr>
          <w:tcPr/>
          <w:p>
            <w:pPr>
              <w:pStyle w:val="Compact"/>
            </w:pPr>
          </w:p>
        </w:tc>
      </w:tr>
    </w:tbl>
    <w:bookmarkEnd w:id="365"/>
    <w:bookmarkStart w:id="366" w:name="situation-économique-et-gouvernance-32"/>
    <w:p>
      <w:pPr>
        <w:pStyle w:val="Heading3"/>
      </w:pPr>
      <w:r>
        <w:t xml:space="preserve">3. Situation économique et gouvernance</w:t>
      </w:r>
    </w:p>
    <w:p>
      <w:pPr>
        <w:numPr>
          <w:ilvl w:val="0"/>
          <w:numId w:val="1195"/>
        </w:numPr>
        <w:pStyle w:val="Compact"/>
      </w:pPr>
      <w:r>
        <w:rPr>
          <w:bCs/>
          <w:b/>
        </w:rPr>
        <w:t xml:space="preserve">PPA</w:t>
      </w:r>
      <w:r>
        <w:t xml:space="preserve"> </w:t>
      </w:r>
      <w:r>
        <w:t xml:space="preserve">: achats d’électricité = 319,1 Md TZS (≈ 10 % des coûts) en FY23/24 [1] [V] — dépendance aux IPP modérée ; l’essentiel du coût est la production propre au gaz (contrats TPDC). Fin du PPA Songas et litiges (≈ 90 M USD réclamés) [6] [S].</w:t>
      </w:r>
    </w:p>
    <w:p>
      <w:pPr>
        <w:numPr>
          <w:ilvl w:val="0"/>
          <w:numId w:val="1195"/>
        </w:numPr>
        <w:pStyle w:val="Compact"/>
      </w:pPr>
      <w:r>
        <w:rPr>
          <w:bCs/>
          <w:b/>
        </w:rPr>
        <w:t xml:space="preserve">Change / combustible</w:t>
      </w:r>
      <w:r>
        <w:t xml:space="preserve"> </w:t>
      </w:r>
      <w:r>
        <w:t xml:space="preserve">: gaz domestique (prix TPDC) ; exposition au change par la dette projet (JNHPP, lignes) [E].</w:t>
      </w:r>
    </w:p>
    <w:p>
      <w:pPr>
        <w:numPr>
          <w:ilvl w:val="0"/>
          <w:numId w:val="1195"/>
        </w:numPr>
        <w:pStyle w:val="Compact"/>
      </w:pPr>
      <w:r>
        <w:rPr>
          <w:bCs/>
          <w:b/>
        </w:rPr>
        <w:t xml:space="preserve">Plan de redressement</w:t>
      </w:r>
      <w:r>
        <w:t xml:space="preserve"> </w:t>
      </w:r>
      <w:r>
        <w:t xml:space="preserve">: conversion de dette 2023 ; le FMI demande un plan d’apurement des arriérés (fournisseurs et État), un gain d’efficacité et des investissements fondés sur coûts-bénéfices ; discussions MoF–TANESCO en cours [2] [V]. Mesure structurelle FMI</w:t>
      </w:r>
      <w:r>
        <w:t xml:space="preserve"> </w:t>
      </w:r>
      <w:r>
        <w:rPr>
          <w:bCs/>
          <w:b/>
        </w:rPr>
        <w:t xml:space="preserve">RM9</w:t>
      </w:r>
      <w:r>
        <w:t xml:space="preserve"> </w:t>
      </w:r>
      <w:r>
        <w:t xml:space="preserve">(RSF) : déterminer le taux de recouvrement des coûts et une méthodologie d’ajustement tarifaire d’ici</w:t>
      </w:r>
      <w:r>
        <w:t xml:space="preserve"> </w:t>
      </w:r>
      <w:r>
        <w:rPr>
          <w:bCs/>
          <w:b/>
        </w:rPr>
        <w:t xml:space="preserve">fin mars 2026</w:t>
      </w:r>
      <w:r>
        <w:t xml:space="preserve"> </w:t>
      </w:r>
      <w:r>
        <w:t xml:space="preserve">[2] [V] ; le pacte la reporte à août 2026 [4] (pacte) — glissement.</w:t>
      </w:r>
    </w:p>
    <w:p>
      <w:pPr>
        <w:numPr>
          <w:ilvl w:val="0"/>
          <w:numId w:val="1195"/>
        </w:numPr>
        <w:pStyle w:val="Compact"/>
      </w:pPr>
      <w:r>
        <w:rPr>
          <w:bCs/>
          <w:b/>
        </w:rPr>
        <w:t xml:space="preserve">Gouvernance</w:t>
      </w:r>
      <w:r>
        <w:t xml:space="preserve"> </w:t>
      </w:r>
      <w:r>
        <w:t xml:space="preserve">: nominations par l’exécutif ; plan d’amélioration de la performance à faire approuver par EWURA d’ici juin 2026 (pacte) [3].</w:t>
      </w:r>
    </w:p>
    <w:bookmarkEnd w:id="366"/>
    <w:bookmarkStart w:id="367" w:name="Xc12614d231aac3e4cd5a2e1cc85c618d3e3f5d8"/>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4339"/>
        <w:gridCol w:w="746"/>
        <w:gridCol w:w="2407"/>
        <w:gridCol w:w="1289"/>
        <w:gridCol w:w="3202"/>
        <w:gridCol w:w="798"/>
        <w:gridCol w:w="1022"/>
        <w:gridCol w:w="764"/>
      </w:tblGrid>
      <w:tr>
        <w:trPr>
          <w:tblHeader w:val="true"/>
        </w:trPr>
        <w:tc>
          <w:tcPr>
            <w:tcW w:w="4339" w:type="dxa"/>
          </w:tcPr>
          <w:tcPr/>
          <w:p>
            <w:pPr>
              <w:pStyle w:val="Compact"/>
              <w:jc w:val="left"/>
            </w:pPr>
            <w:r>
              <w:t xml:space="preserve">Programme / projet</w:t>
            </w:r>
          </w:p>
        </w:tc>
        <w:tc>
          <w:tcPr>
            <w:tcW w:w="746" w:type="dxa"/>
          </w:tcPr>
          <w:tcPr/>
          <w:p>
            <w:pPr>
              <w:pStyle w:val="Compact"/>
              <w:jc w:val="left"/>
            </w:pPr>
            <w:r>
              <w:t xml:space="preserve">Bailleur</w:t>
            </w:r>
          </w:p>
        </w:tc>
        <w:tc>
          <w:tcPr>
            <w:tcW w:w="2407" w:type="dxa"/>
          </w:tcPr>
          <w:tcPr/>
          <w:p>
            <w:pPr>
              <w:pStyle w:val="Compact"/>
              <w:jc w:val="left"/>
            </w:pPr>
            <w:r>
              <w:t xml:space="preserve">Montant</w:t>
            </w:r>
          </w:p>
        </w:tc>
        <w:tc>
          <w:tcPr>
            <w:tcW w:w="1289" w:type="dxa"/>
          </w:tcPr>
          <w:tcPr/>
          <w:p>
            <w:pPr>
              <w:pStyle w:val="Compact"/>
              <w:jc w:val="left"/>
            </w:pPr>
            <w:r>
              <w:t xml:space="preserve">Années</w:t>
            </w:r>
          </w:p>
        </w:tc>
        <w:tc>
          <w:tcPr>
            <w:tcW w:w="3202" w:type="dxa"/>
          </w:tcPr>
          <w:tcPr/>
          <w:p>
            <w:pPr>
              <w:pStyle w:val="Compact"/>
              <w:jc w:val="left"/>
            </w:pPr>
            <w:r>
              <w:t xml:space="preserve">Objectifs liés à l’opérateur</w:t>
            </w:r>
          </w:p>
        </w:tc>
        <w:tc>
          <w:tcPr>
            <w:tcW w:w="798" w:type="dxa"/>
          </w:tcPr>
          <w:tcPr/>
          <w:p>
            <w:pPr>
              <w:pStyle w:val="Compact"/>
              <w:jc w:val="left"/>
            </w:pPr>
            <w:r>
              <w:t xml:space="preserve">Conditions / indicateurs</w:t>
            </w:r>
          </w:p>
        </w:tc>
        <w:tc>
          <w:tcPr>
            <w:tcW w:w="1022" w:type="dxa"/>
          </w:tcPr>
          <w:tcPr/>
          <w:p>
            <w:pPr>
              <w:pStyle w:val="Compact"/>
              <w:jc w:val="left"/>
            </w:pPr>
            <w:r>
              <w:t xml:space="preserve">Statut</w:t>
            </w:r>
          </w:p>
        </w:tc>
        <w:tc>
          <w:tcPr>
            <w:tcW w:w="764" w:type="dxa"/>
          </w:tcPr>
          <w:tcPr/>
          <w:p>
            <w:pPr>
              <w:pStyle w:val="Compact"/>
              <w:jc w:val="left"/>
            </w:pPr>
            <w:r>
              <w:t xml:space="preserve">Source</w:t>
            </w:r>
          </w:p>
        </w:tc>
      </w:tr>
      <w:tr>
        <w:tc>
          <w:tcPr>
            <w:tcW w:w="4339" w:type="dxa"/>
          </w:tcPr>
          <w:tcPr/>
          <w:p>
            <w:pPr>
              <w:pStyle w:val="Compact"/>
              <w:jc w:val="left"/>
            </w:pPr>
            <w:r>
              <w:t xml:space="preserve">AFR RI-3A Tanzania-Zambia Transmission Interconnector (P163752)</w:t>
            </w:r>
          </w:p>
        </w:tc>
        <w:tc>
          <w:tcPr>
            <w:tcW w:w="746" w:type="dxa"/>
          </w:tcPr>
          <w:tcPr/>
          <w:p>
            <w:pPr>
              <w:pStyle w:val="Compact"/>
              <w:jc w:val="left"/>
            </w:pPr>
            <w:r>
              <w:t xml:space="preserve">BM (IDA)</w:t>
            </w:r>
          </w:p>
        </w:tc>
        <w:tc>
          <w:tcPr>
            <w:tcW w:w="2407" w:type="dxa"/>
          </w:tcPr>
          <w:tcPr/>
          <w:p>
            <w:pPr>
              <w:pStyle w:val="Compact"/>
              <w:jc w:val="left"/>
            </w:pPr>
            <w:r>
              <w:t xml:space="preserve">615 M USD + 130 M USD don</w:t>
            </w:r>
          </w:p>
        </w:tc>
        <w:tc>
          <w:tcPr>
            <w:tcW w:w="1289" w:type="dxa"/>
          </w:tcPr>
          <w:tcPr/>
          <w:p>
            <w:pPr>
              <w:pStyle w:val="Compact"/>
              <w:jc w:val="left"/>
            </w:pPr>
            <w:r>
              <w:t xml:space="preserve">2018–2027</w:t>
            </w:r>
          </w:p>
        </w:tc>
        <w:tc>
          <w:tcPr>
            <w:tcW w:w="3202" w:type="dxa"/>
          </w:tcPr>
          <w:tcPr/>
          <w:p>
            <w:pPr>
              <w:pStyle w:val="Compact"/>
              <w:jc w:val="left"/>
            </w:pPr>
            <w:r>
              <w:t xml:space="preserve">ligne 400 kV, interconnexion SAPP–EAPP (TANESCO maître d’ouvrage)</w:t>
            </w:r>
          </w:p>
        </w:tc>
        <w:tc>
          <w:tcPr>
            <w:tcW w:w="798" w:type="dxa"/>
          </w:tcPr>
          <w:tcPr/>
          <w:p>
            <w:pPr>
              <w:pStyle w:val="Compact"/>
              <w:jc w:val="left"/>
            </w:pPr>
            <w:r>
              <w:t xml:space="preserve">—</w:t>
            </w:r>
          </w:p>
        </w:tc>
        <w:tc>
          <w:tcPr>
            <w:tcW w:w="1022" w:type="dxa"/>
          </w:tcPr>
          <w:tcPr/>
          <w:p>
            <w:pPr>
              <w:pStyle w:val="Compact"/>
              <w:jc w:val="left"/>
            </w:pPr>
            <w:r>
              <w:t xml:space="preserve">Actif</w:t>
            </w:r>
          </w:p>
        </w:tc>
        <w:tc>
          <w:tcPr>
            <w:tcW w:w="764" w:type="dxa"/>
          </w:tcPr>
          <w:tcPr/>
          <w:p>
            <w:pPr>
              <w:pStyle w:val="Compact"/>
              <w:jc w:val="left"/>
            </w:pPr>
            <w:r>
              <w:t xml:space="preserve">[5]</w:t>
            </w:r>
          </w:p>
        </w:tc>
      </w:tr>
      <w:tr>
        <w:tc>
          <w:tcPr>
            <w:tcW w:w="4339" w:type="dxa"/>
          </w:tcPr>
          <w:tcPr/>
          <w:p>
            <w:pPr>
              <w:pStyle w:val="Compact"/>
              <w:jc w:val="left"/>
            </w:pPr>
            <w:r>
              <w:t xml:space="preserve">Financement additionnel Tanzania–Zambia (P508898)</w:t>
            </w:r>
          </w:p>
        </w:tc>
        <w:tc>
          <w:tcPr>
            <w:tcW w:w="746" w:type="dxa"/>
          </w:tcPr>
          <w:tcPr/>
          <w:p>
            <w:pPr>
              <w:pStyle w:val="Compact"/>
              <w:jc w:val="left"/>
            </w:pPr>
            <w:r>
              <w:t xml:space="preserve">BM</w:t>
            </w:r>
          </w:p>
        </w:tc>
        <w:tc>
          <w:tcPr>
            <w:tcW w:w="2407" w:type="dxa"/>
          </w:tcPr>
          <w:tcPr/>
          <w:p>
            <w:pPr>
              <w:pStyle w:val="Compact"/>
              <w:jc w:val="left"/>
            </w:pPr>
            <w:r>
              <w:t xml:space="preserve">150 M + 130 M USD don</w:t>
            </w:r>
          </w:p>
        </w:tc>
        <w:tc>
          <w:tcPr>
            <w:tcW w:w="1289" w:type="dxa"/>
          </w:tcPr>
          <w:tcPr/>
          <w:p>
            <w:pPr>
              <w:pStyle w:val="Compact"/>
              <w:jc w:val="left"/>
            </w:pPr>
            <w:r>
              <w:t xml:space="preserve">déc. 2024</w:t>
            </w:r>
          </w:p>
        </w:tc>
        <w:tc>
          <w:tcPr>
            <w:tcW w:w="3202" w:type="dxa"/>
          </w:tcPr>
          <w:tcPr/>
          <w:p>
            <w:pPr>
              <w:pStyle w:val="Compact"/>
              <w:jc w:val="left"/>
            </w:pPr>
            <w:r>
              <w:t xml:space="preserve">idem</w:t>
            </w:r>
          </w:p>
        </w:tc>
        <w:tc>
          <w:tcPr>
            <w:tcW w:w="798" w:type="dxa"/>
          </w:tcPr>
          <w:tcPr/>
          <w:p>
            <w:pPr>
              <w:pStyle w:val="Compact"/>
              <w:jc w:val="left"/>
            </w:pPr>
            <w:r>
              <w:t xml:space="preserve">—</w:t>
            </w:r>
          </w:p>
        </w:tc>
        <w:tc>
          <w:tcPr>
            <w:tcW w:w="1022" w:type="dxa"/>
          </w:tcPr>
          <w:tcPr/>
          <w:p>
            <w:pPr>
              <w:pStyle w:val="Compact"/>
              <w:jc w:val="left"/>
            </w:pPr>
            <w:r>
              <w:t xml:space="preserve">Actif</w:t>
            </w:r>
          </w:p>
        </w:tc>
        <w:tc>
          <w:tcPr>
            <w:tcW w:w="764" w:type="dxa"/>
          </w:tcPr>
          <w:tcPr/>
          <w:p>
            <w:pPr>
              <w:pStyle w:val="Compact"/>
              <w:jc w:val="left"/>
            </w:pPr>
            <w:r>
              <w:t xml:space="preserve">[5]</w:t>
            </w:r>
          </w:p>
        </w:tc>
      </w:tr>
      <w:tr>
        <w:tc>
          <w:tcPr>
            <w:tcW w:w="4339" w:type="dxa"/>
          </w:tcPr>
          <w:tcPr/>
          <w:p>
            <w:pPr>
              <w:pStyle w:val="Compact"/>
              <w:jc w:val="left"/>
            </w:pPr>
            <w:r>
              <w:t xml:space="preserve">Tanzania-Zambia Transmission Interconnector (P515152)</w:t>
            </w:r>
          </w:p>
        </w:tc>
        <w:tc>
          <w:tcPr>
            <w:tcW w:w="746" w:type="dxa"/>
          </w:tcPr>
          <w:tcPr/>
          <w:p>
            <w:pPr>
              <w:pStyle w:val="Compact"/>
              <w:jc w:val="left"/>
            </w:pPr>
            <w:r>
              <w:t xml:space="preserve">BM</w:t>
            </w:r>
          </w:p>
        </w:tc>
        <w:tc>
          <w:tcPr>
            <w:tcW w:w="2407" w:type="dxa"/>
          </w:tcPr>
          <w:tcPr/>
          <w:p>
            <w:pPr>
              <w:pStyle w:val="Compact"/>
              <w:jc w:val="left"/>
            </w:pPr>
            <w:r>
              <w:t xml:space="preserve">63,4 M USD</w:t>
            </w:r>
          </w:p>
        </w:tc>
        <w:tc>
          <w:tcPr>
            <w:tcW w:w="1289" w:type="dxa"/>
          </w:tcPr>
          <w:tcPr/>
          <w:p>
            <w:pPr>
              <w:pStyle w:val="Compact"/>
              <w:jc w:val="left"/>
            </w:pPr>
            <w:r>
              <w:t xml:space="preserve">approuvé 01/10/2026</w:t>
            </w:r>
          </w:p>
        </w:tc>
        <w:tc>
          <w:tcPr>
            <w:tcW w:w="3202" w:type="dxa"/>
          </w:tcPr>
          <w:tcPr/>
          <w:p>
            <w:pPr>
              <w:pStyle w:val="Compact"/>
              <w:jc w:val="left"/>
            </w:pPr>
            <w:r>
              <w:t xml:space="preserve">idem</w:t>
            </w:r>
          </w:p>
        </w:tc>
        <w:tc>
          <w:tcPr>
            <w:tcW w:w="798" w:type="dxa"/>
          </w:tcPr>
          <w:tcPr/>
          <w:p>
            <w:pPr>
              <w:pStyle w:val="Compact"/>
              <w:jc w:val="left"/>
            </w:pPr>
            <w:r>
              <w:t xml:space="preserve">—</w:t>
            </w:r>
          </w:p>
        </w:tc>
        <w:tc>
          <w:tcPr>
            <w:tcW w:w="1022" w:type="dxa"/>
          </w:tcPr>
          <w:tcPr/>
          <w:p>
            <w:pPr>
              <w:pStyle w:val="Compact"/>
              <w:jc w:val="left"/>
            </w:pPr>
            <w:r>
              <w:t xml:space="preserve">Actif</w:t>
            </w:r>
          </w:p>
        </w:tc>
        <w:tc>
          <w:tcPr>
            <w:tcW w:w="764" w:type="dxa"/>
          </w:tcPr>
          <w:tcPr/>
          <w:p>
            <w:pPr>
              <w:pStyle w:val="Compact"/>
              <w:jc w:val="left"/>
            </w:pPr>
            <w:r>
              <w:t xml:space="preserve">[5]</w:t>
            </w:r>
          </w:p>
        </w:tc>
      </w:tr>
      <w:tr>
        <w:tc>
          <w:tcPr>
            <w:tcW w:w="4339" w:type="dxa"/>
          </w:tcPr>
          <w:tcPr/>
          <w:p>
            <w:pPr>
              <w:pStyle w:val="Compact"/>
              <w:jc w:val="left"/>
            </w:pPr>
            <w:r>
              <w:t xml:space="preserve">RETRADE-SA MPA Ph.1 Zambia-Tanzania (P507033)</w:t>
            </w:r>
          </w:p>
        </w:tc>
        <w:tc>
          <w:tcPr>
            <w:tcW w:w="746" w:type="dxa"/>
          </w:tcPr>
          <w:tcPr/>
          <w:p>
            <w:pPr>
              <w:pStyle w:val="Compact"/>
              <w:jc w:val="left"/>
            </w:pPr>
            <w:r>
              <w:t xml:space="preserve">BM</w:t>
            </w:r>
          </w:p>
        </w:tc>
        <w:tc>
          <w:tcPr>
            <w:tcW w:w="2407" w:type="dxa"/>
          </w:tcPr>
          <w:tcPr/>
          <w:p>
            <w:pPr>
              <w:pStyle w:val="Compact"/>
              <w:jc w:val="left"/>
            </w:pPr>
            <w:r>
              <w:t xml:space="preserve">245 M + 47 M USD don (côté ZESCO)</w:t>
            </w:r>
          </w:p>
        </w:tc>
        <w:tc>
          <w:tcPr>
            <w:tcW w:w="1289" w:type="dxa"/>
          </w:tcPr>
          <w:tcPr/>
          <w:p>
            <w:pPr>
              <w:pStyle w:val="Compact"/>
              <w:jc w:val="left"/>
            </w:pPr>
            <w:r>
              <w:t xml:space="preserve">2025</w:t>
            </w:r>
          </w:p>
        </w:tc>
        <w:tc>
          <w:tcPr>
            <w:tcW w:w="3202" w:type="dxa"/>
          </w:tcPr>
          <w:tcPr/>
          <w:p>
            <w:pPr>
              <w:pStyle w:val="Compact"/>
              <w:jc w:val="left"/>
            </w:pPr>
            <w:r>
              <w:t xml:space="preserve">côté zambien</w:t>
            </w:r>
          </w:p>
        </w:tc>
        <w:tc>
          <w:tcPr>
            <w:tcW w:w="798" w:type="dxa"/>
          </w:tcPr>
          <w:tcPr/>
          <w:p>
            <w:pPr>
              <w:pStyle w:val="Compact"/>
              <w:jc w:val="left"/>
            </w:pPr>
            <w:r>
              <w:t xml:space="preserve">—</w:t>
            </w:r>
          </w:p>
        </w:tc>
        <w:tc>
          <w:tcPr>
            <w:tcW w:w="1022" w:type="dxa"/>
          </w:tcPr>
          <w:tcPr/>
          <w:p>
            <w:pPr>
              <w:pStyle w:val="Compact"/>
              <w:jc w:val="left"/>
            </w:pPr>
            <w:r>
              <w:t xml:space="preserve">Actif</w:t>
            </w:r>
          </w:p>
        </w:tc>
        <w:tc>
          <w:tcPr>
            <w:tcW w:w="764" w:type="dxa"/>
          </w:tcPr>
          <w:tcPr/>
          <w:p>
            <w:pPr>
              <w:pStyle w:val="Compact"/>
              <w:jc w:val="left"/>
            </w:pPr>
            <w:r>
              <w:t xml:space="preserve">[5]</w:t>
            </w:r>
          </w:p>
        </w:tc>
      </w:tr>
      <w:tr>
        <w:tc>
          <w:tcPr>
            <w:tcW w:w="4339" w:type="dxa"/>
          </w:tcPr>
          <w:tcPr/>
          <w:p>
            <w:pPr>
              <w:pStyle w:val="Compact"/>
              <w:jc w:val="left"/>
            </w:pPr>
            <w:r>
              <w:t xml:space="preserve">Tanzania: Uganda-Tanzania Interconnector (P512145)</w:t>
            </w:r>
          </w:p>
        </w:tc>
        <w:tc>
          <w:tcPr>
            <w:tcW w:w="746" w:type="dxa"/>
          </w:tcPr>
          <w:tcPr/>
          <w:p>
            <w:pPr>
              <w:pStyle w:val="Compact"/>
              <w:jc w:val="left"/>
            </w:pPr>
            <w:r>
              <w:t xml:space="preserve">BM</w:t>
            </w:r>
          </w:p>
        </w:tc>
        <w:tc>
          <w:tcPr>
            <w:tcW w:w="2407" w:type="dxa"/>
          </w:tcPr>
          <w:tcPr/>
          <w:p>
            <w:pPr>
              <w:pStyle w:val="Compact"/>
              <w:jc w:val="left"/>
            </w:pPr>
            <w:r>
              <w:t xml:space="preserve">193,6 M crédit + 206,4 M don (agence : TANESCO)</w:t>
            </w:r>
          </w:p>
        </w:tc>
        <w:tc>
          <w:tcPr>
            <w:tcW w:w="1289" w:type="dxa"/>
          </w:tcPr>
          <w:tcPr/>
          <w:p>
            <w:pPr>
              <w:pStyle w:val="Compact"/>
              <w:jc w:val="left"/>
            </w:pPr>
            <w:r>
              <w:t xml:space="preserve">approbation prévue 11/12/2026</w:t>
            </w:r>
          </w:p>
        </w:tc>
        <w:tc>
          <w:tcPr>
            <w:tcW w:w="3202" w:type="dxa"/>
          </w:tcPr>
          <w:tcPr/>
          <w:p>
            <w:pPr>
              <w:pStyle w:val="Compact"/>
              <w:jc w:val="left"/>
            </w:pPr>
            <w:r>
              <w:t xml:space="preserve">ligne 400 kV ≈ 550 km en Tanzanie</w:t>
            </w:r>
          </w:p>
        </w:tc>
        <w:tc>
          <w:tcPr>
            <w:tcW w:w="798" w:type="dxa"/>
          </w:tcPr>
          <w:tcPr/>
          <w:p>
            <w:pPr>
              <w:pStyle w:val="Compact"/>
              <w:jc w:val="left"/>
            </w:pPr>
            <w:r>
              <w:t xml:space="preserve">—</w:t>
            </w:r>
          </w:p>
        </w:tc>
        <w:tc>
          <w:tcPr>
            <w:tcW w:w="1022" w:type="dxa"/>
          </w:tcPr>
          <w:tcPr/>
          <w:p>
            <w:pPr>
              <w:pStyle w:val="Compact"/>
              <w:jc w:val="left"/>
            </w:pPr>
            <w:r>
              <w:t xml:space="preserve">Pipeline</w:t>
            </w:r>
          </w:p>
        </w:tc>
        <w:tc>
          <w:tcPr>
            <w:tcW w:w="764" w:type="dxa"/>
          </w:tcPr>
          <w:tcPr/>
          <w:p>
            <w:pPr>
              <w:pStyle w:val="Compact"/>
              <w:jc w:val="left"/>
            </w:pPr>
            <w:r>
              <w:t xml:space="preserve">[5]</w:t>
            </w:r>
          </w:p>
        </w:tc>
      </w:tr>
      <w:tr>
        <w:tc>
          <w:tcPr>
            <w:tcW w:w="4339" w:type="dxa"/>
          </w:tcPr>
          <w:tcPr/>
          <w:p>
            <w:pPr>
              <w:pStyle w:val="Compact"/>
              <w:jc w:val="left"/>
            </w:pPr>
            <w:r>
              <w:t xml:space="preserve">TZ Rural Electrification Expansion Program (P153781) + AF (P177140)</w:t>
            </w:r>
          </w:p>
        </w:tc>
        <w:tc>
          <w:tcPr>
            <w:tcW w:w="746" w:type="dxa"/>
          </w:tcPr>
          <w:tcPr/>
          <w:p>
            <w:pPr>
              <w:pStyle w:val="Compact"/>
              <w:jc w:val="left"/>
            </w:pPr>
            <w:r>
              <w:t xml:space="preserve">BM (PforR)</w:t>
            </w:r>
          </w:p>
        </w:tc>
        <w:tc>
          <w:tcPr>
            <w:tcW w:w="2407" w:type="dxa"/>
          </w:tcPr>
          <w:tcPr/>
          <w:p>
            <w:pPr>
              <w:pStyle w:val="Compact"/>
              <w:jc w:val="left"/>
            </w:pPr>
            <w:r>
              <w:t xml:space="preserve">200 M + 335 M USD (+ dons 9 M et 12 M)</w:t>
            </w:r>
          </w:p>
        </w:tc>
        <w:tc>
          <w:tcPr>
            <w:tcW w:w="1289" w:type="dxa"/>
          </w:tcPr>
          <w:tcPr/>
          <w:p>
            <w:pPr>
              <w:pStyle w:val="Compact"/>
              <w:jc w:val="left"/>
            </w:pPr>
            <w:r>
              <w:t xml:space="preserve">2016–2026</w:t>
            </w:r>
          </w:p>
        </w:tc>
        <w:tc>
          <w:tcPr>
            <w:tcW w:w="3202" w:type="dxa"/>
          </w:tcPr>
          <w:tcPr/>
          <w:p>
            <w:pPr>
              <w:pStyle w:val="Compact"/>
              <w:jc w:val="left"/>
            </w:pPr>
            <w:r>
              <w:t xml:space="preserve">électrification rurale (REA ; TANESCO exécutant des raccordements)</w:t>
            </w:r>
          </w:p>
        </w:tc>
        <w:tc>
          <w:tcPr>
            <w:tcW w:w="798" w:type="dxa"/>
          </w:tcPr>
          <w:tcPr/>
          <w:p>
            <w:pPr>
              <w:pStyle w:val="Compact"/>
              <w:jc w:val="left"/>
            </w:pPr>
            <w:r>
              <w:t xml:space="preserve">DLI d’accès</w:t>
            </w:r>
          </w:p>
        </w:tc>
        <w:tc>
          <w:tcPr>
            <w:tcW w:w="1022" w:type="dxa"/>
          </w:tcPr>
          <w:tcPr/>
          <w:p>
            <w:pPr>
              <w:pStyle w:val="Compact"/>
              <w:jc w:val="left"/>
            </w:pPr>
            <w:r>
              <w:t xml:space="preserve">Clos (juin 2026)</w:t>
            </w:r>
          </w:p>
        </w:tc>
        <w:tc>
          <w:tcPr>
            <w:tcW w:w="764" w:type="dxa"/>
          </w:tcPr>
          <w:tcPr/>
          <w:p>
            <w:pPr>
              <w:pStyle w:val="Compact"/>
              <w:jc w:val="left"/>
            </w:pPr>
            <w:r>
              <w:t xml:space="preserve">[5]</w:t>
            </w:r>
          </w:p>
        </w:tc>
      </w:tr>
      <w:tr>
        <w:tc>
          <w:tcPr>
            <w:tcW w:w="4339" w:type="dxa"/>
          </w:tcPr>
          <w:tcPr/>
          <w:p>
            <w:pPr>
              <w:pStyle w:val="Compact"/>
              <w:jc w:val="left"/>
            </w:pPr>
            <w:r>
              <w:t xml:space="preserve">ASCENT Tanzania (P179631)</w:t>
            </w:r>
          </w:p>
        </w:tc>
        <w:tc>
          <w:tcPr>
            <w:tcW w:w="746" w:type="dxa"/>
          </w:tcPr>
          <w:tcPr/>
          <w:p>
            <w:pPr>
              <w:pStyle w:val="Compact"/>
              <w:jc w:val="left"/>
            </w:pPr>
            <w:r>
              <w:t xml:space="preserve">BM (PforR)</w:t>
            </w:r>
          </w:p>
        </w:tc>
        <w:tc>
          <w:tcPr>
            <w:tcW w:w="2407" w:type="dxa"/>
          </w:tcPr>
          <w:tcPr/>
          <w:p>
            <w:pPr>
              <w:pStyle w:val="Compact"/>
              <w:jc w:val="left"/>
            </w:pPr>
            <w:r>
              <w:t xml:space="preserve">300 M USD</w:t>
            </w:r>
          </w:p>
        </w:tc>
        <w:tc>
          <w:tcPr>
            <w:tcW w:w="1289" w:type="dxa"/>
          </w:tcPr>
          <w:tcPr/>
          <w:p>
            <w:pPr>
              <w:pStyle w:val="Compact"/>
              <w:jc w:val="left"/>
            </w:pPr>
            <w:r>
              <w:t xml:space="preserve">2023–2028</w:t>
            </w:r>
          </w:p>
        </w:tc>
        <w:tc>
          <w:tcPr>
            <w:tcW w:w="3202" w:type="dxa"/>
          </w:tcPr>
          <w:tcPr/>
          <w:p>
            <w:pPr>
              <w:pStyle w:val="Compact"/>
              <w:jc w:val="left"/>
            </w:pPr>
            <w:r>
              <w:t xml:space="preserve">accès (agence : REA)</w:t>
            </w:r>
          </w:p>
        </w:tc>
        <w:tc>
          <w:tcPr>
            <w:tcW w:w="798" w:type="dxa"/>
          </w:tcPr>
          <w:tcPr/>
          <w:p>
            <w:pPr>
              <w:pStyle w:val="Compact"/>
              <w:jc w:val="left"/>
            </w:pPr>
            <w:r>
              <w:t xml:space="preserve">DLI d’accès</w:t>
            </w:r>
          </w:p>
        </w:tc>
        <w:tc>
          <w:tcPr>
            <w:tcW w:w="1022" w:type="dxa"/>
          </w:tcPr>
          <w:tcPr/>
          <w:p>
            <w:pPr>
              <w:pStyle w:val="Compact"/>
              <w:jc w:val="left"/>
            </w:pPr>
            <w:r>
              <w:t xml:space="preserve">Actif</w:t>
            </w:r>
          </w:p>
        </w:tc>
        <w:tc>
          <w:tcPr>
            <w:tcW w:w="764" w:type="dxa"/>
          </w:tcPr>
          <w:tcPr/>
          <w:p>
            <w:pPr>
              <w:pStyle w:val="Compact"/>
              <w:jc w:val="left"/>
            </w:pPr>
            <w:r>
              <w:t xml:space="preserve">[5]</w:t>
            </w:r>
          </w:p>
        </w:tc>
      </w:tr>
      <w:tr>
        <w:tc>
          <w:tcPr>
            <w:tcW w:w="4339" w:type="dxa"/>
          </w:tcPr>
          <w:tcPr/>
          <w:p>
            <w:pPr>
              <w:pStyle w:val="Compact"/>
              <w:jc w:val="left"/>
            </w:pPr>
            <w:r>
              <w:t xml:space="preserve">Zanzibar Energy Sector Transformation and Access (P169561)</w:t>
            </w:r>
          </w:p>
        </w:tc>
        <w:tc>
          <w:tcPr>
            <w:tcW w:w="746" w:type="dxa"/>
          </w:tcPr>
          <w:tcPr/>
          <w:p>
            <w:pPr>
              <w:pStyle w:val="Compact"/>
              <w:jc w:val="left"/>
            </w:pPr>
            <w:r>
              <w:t xml:space="preserve">BM</w:t>
            </w:r>
          </w:p>
        </w:tc>
        <w:tc>
          <w:tcPr>
            <w:tcW w:w="2407" w:type="dxa"/>
          </w:tcPr>
          <w:tcPr/>
          <w:p>
            <w:pPr>
              <w:pStyle w:val="Compact"/>
              <w:jc w:val="left"/>
            </w:pPr>
            <w:r>
              <w:t xml:space="preserve">117 M + 25 M don</w:t>
            </w:r>
          </w:p>
        </w:tc>
        <w:tc>
          <w:tcPr>
            <w:tcW w:w="1289" w:type="dxa"/>
          </w:tcPr>
          <w:tcPr/>
          <w:p>
            <w:pPr>
              <w:pStyle w:val="Compact"/>
              <w:jc w:val="left"/>
            </w:pPr>
            <w:r>
              <w:t xml:space="preserve">2021–2027</w:t>
            </w:r>
          </w:p>
        </w:tc>
        <w:tc>
          <w:tcPr>
            <w:tcW w:w="3202" w:type="dxa"/>
          </w:tcPr>
          <w:tcPr/>
          <w:p>
            <w:pPr>
              <w:pStyle w:val="Compact"/>
              <w:jc w:val="left"/>
            </w:pPr>
            <w:r>
              <w:t xml:space="preserve">ZECO (pas TANESCO)</w:t>
            </w:r>
          </w:p>
        </w:tc>
        <w:tc>
          <w:tcPr>
            <w:tcW w:w="798" w:type="dxa"/>
          </w:tcPr>
          <w:tcPr/>
          <w:p>
            <w:pPr>
              <w:pStyle w:val="Compact"/>
              <w:jc w:val="left"/>
            </w:pPr>
            <w:r>
              <w:t xml:space="preserve">—</w:t>
            </w:r>
          </w:p>
        </w:tc>
        <w:tc>
          <w:tcPr>
            <w:tcW w:w="1022" w:type="dxa"/>
          </w:tcPr>
          <w:tcPr/>
          <w:p>
            <w:pPr>
              <w:pStyle w:val="Compact"/>
              <w:jc w:val="left"/>
            </w:pPr>
            <w:r>
              <w:t xml:space="preserve">Actif</w:t>
            </w:r>
          </w:p>
        </w:tc>
        <w:tc>
          <w:tcPr>
            <w:tcW w:w="764" w:type="dxa"/>
          </w:tcPr>
          <w:tcPr/>
          <w:p>
            <w:pPr>
              <w:pStyle w:val="Compact"/>
              <w:jc w:val="left"/>
            </w:pPr>
            <w:r>
              <w:t xml:space="preserve">[5]</w:t>
            </w:r>
          </w:p>
        </w:tc>
      </w:tr>
      <w:tr>
        <w:tc>
          <w:tcPr>
            <w:tcW w:w="4339" w:type="dxa"/>
          </w:tcPr>
          <w:tcPr/>
          <w:p>
            <w:pPr>
              <w:pStyle w:val="Compact"/>
              <w:jc w:val="left"/>
            </w:pPr>
            <w:r>
              <w:t xml:space="preserve">DPF 1 et 2 Inclusive and Resilient Growth (P178156, P180504) ; DPF Cat-DDO (P507912)</w:t>
            </w:r>
          </w:p>
        </w:tc>
        <w:tc>
          <w:tcPr>
            <w:tcW w:w="746" w:type="dxa"/>
          </w:tcPr>
          <w:tcPr/>
          <w:p>
            <w:pPr>
              <w:pStyle w:val="Compact"/>
              <w:jc w:val="left"/>
            </w:pPr>
            <w:r>
              <w:t xml:space="preserve">BM</w:t>
            </w:r>
          </w:p>
        </w:tc>
        <w:tc>
          <w:tcPr>
            <w:tcW w:w="2407" w:type="dxa"/>
          </w:tcPr>
          <w:tcPr/>
          <w:p>
            <w:pPr>
              <w:pStyle w:val="Compact"/>
              <w:jc w:val="left"/>
            </w:pPr>
            <w:r>
              <w:t xml:space="preserve">500 M ; 750 M ; 300 M USD</w:t>
            </w:r>
          </w:p>
        </w:tc>
        <w:tc>
          <w:tcPr>
            <w:tcW w:w="1289" w:type="dxa"/>
          </w:tcPr>
          <w:tcPr/>
          <w:p>
            <w:pPr>
              <w:pStyle w:val="Compact"/>
              <w:jc w:val="left"/>
            </w:pPr>
            <w:r>
              <w:t xml:space="preserve">2022–2025</w:t>
            </w:r>
          </w:p>
        </w:tc>
        <w:tc>
          <w:tcPr>
            <w:tcW w:w="3202" w:type="dxa"/>
          </w:tcPr>
          <w:tcPr/>
          <w:p>
            <w:pPr>
              <w:pStyle w:val="Compact"/>
              <w:jc w:val="left"/>
            </w:pPr>
            <w:r>
              <w:t xml:space="preserve">aucune action préalable propre à TANESCO trouvée ; la DPF 2025 vise la résilience du réseau de Zanzibar (PA7, ZECO)</w:t>
            </w:r>
          </w:p>
        </w:tc>
        <w:tc>
          <w:tcPr>
            <w:tcW w:w="798" w:type="dxa"/>
          </w:tcPr>
          <w:tcPr/>
          <w:p>
            <w:pPr>
              <w:pStyle w:val="Compact"/>
              <w:jc w:val="left"/>
            </w:pPr>
            <w:r>
              <w:t xml:space="preserve">PA7</w:t>
            </w:r>
          </w:p>
        </w:tc>
        <w:tc>
          <w:tcPr>
            <w:tcW w:w="1022" w:type="dxa"/>
          </w:tcPr>
          <w:tcPr/>
          <w:p>
            <w:pPr>
              <w:pStyle w:val="Compact"/>
              <w:jc w:val="left"/>
            </w:pPr>
            <w:r>
              <w:t xml:space="preserve">Clos / actif</w:t>
            </w:r>
          </w:p>
        </w:tc>
        <w:tc>
          <w:tcPr>
            <w:tcW w:w="764" w:type="dxa"/>
          </w:tcPr>
          <w:tcPr/>
          <w:p>
            <w:pPr>
              <w:pStyle w:val="Compact"/>
              <w:jc w:val="left"/>
            </w:pPr>
            <w:r>
              <w:t xml:space="preserve">[5][7]</w:t>
            </w:r>
          </w:p>
        </w:tc>
      </w:tr>
      <w:tr>
        <w:tc>
          <w:tcPr>
            <w:tcW w:w="4339" w:type="dxa"/>
          </w:tcPr>
          <w:tcPr/>
          <w:p>
            <w:pPr>
              <w:pStyle w:val="Compact"/>
              <w:jc w:val="left"/>
            </w:pPr>
            <w:r>
              <w:t xml:space="preserve">Programme ECF/RSF</w:t>
            </w:r>
          </w:p>
        </w:tc>
        <w:tc>
          <w:tcPr>
            <w:tcW w:w="746" w:type="dxa"/>
          </w:tcPr>
          <w:tcPr/>
          <w:p>
            <w:pPr>
              <w:pStyle w:val="Compact"/>
              <w:jc w:val="left"/>
            </w:pPr>
            <w:r>
              <w:t xml:space="preserve">FMI</w:t>
            </w:r>
          </w:p>
        </w:tc>
        <w:tc>
          <w:tcPr>
            <w:tcW w:w="2407" w:type="dxa"/>
          </w:tcPr>
          <w:tcPr/>
          <w:p>
            <w:pPr>
              <w:pStyle w:val="Compact"/>
              <w:jc w:val="left"/>
            </w:pPr>
            <w:r>
              <w:t xml:space="preserve">—</w:t>
            </w:r>
          </w:p>
        </w:tc>
        <w:tc>
          <w:tcPr>
            <w:tcW w:w="1289" w:type="dxa"/>
          </w:tcPr>
          <w:tcPr/>
          <w:p>
            <w:pPr>
              <w:pStyle w:val="Compact"/>
              <w:jc w:val="left"/>
            </w:pPr>
            <w:r>
              <w:t xml:space="preserve">2022–2026</w:t>
            </w:r>
          </w:p>
        </w:tc>
        <w:tc>
          <w:tcPr>
            <w:tcW w:w="3202" w:type="dxa"/>
          </w:tcPr>
          <w:tcPr/>
          <w:p>
            <w:pPr>
              <w:pStyle w:val="Compact"/>
              <w:jc w:val="left"/>
            </w:pPr>
            <w:r>
              <w:t xml:space="preserve">RM9 : taux de recouvrement des coûts + méthode d’ajustement tarifaire (fin mars 2026)</w:t>
            </w:r>
          </w:p>
        </w:tc>
        <w:tc>
          <w:tcPr>
            <w:tcW w:w="798" w:type="dxa"/>
          </w:tcPr>
          <w:tcPr/>
          <w:p>
            <w:pPr>
              <w:pStyle w:val="Compact"/>
              <w:jc w:val="left"/>
            </w:pPr>
            <w:r>
              <w:t xml:space="preserve">mesure de réforme RSF</w:t>
            </w:r>
          </w:p>
        </w:tc>
        <w:tc>
          <w:tcPr>
            <w:tcW w:w="1022" w:type="dxa"/>
          </w:tcPr>
          <w:tcPr/>
          <w:p>
            <w:pPr>
              <w:pStyle w:val="Compact"/>
              <w:jc w:val="left"/>
            </w:pPr>
            <w:r>
              <w:t xml:space="preserve">en cours</w:t>
            </w:r>
          </w:p>
        </w:tc>
        <w:tc>
          <w:tcPr>
            <w:tcW w:w="764" w:type="dxa"/>
          </w:tcPr>
          <w:tcPr/>
          <w:p>
            <w:pPr>
              <w:pStyle w:val="Compact"/>
              <w:jc w:val="left"/>
            </w:pPr>
            <w:r>
              <w:t xml:space="preserve">[2]</w:t>
            </w:r>
          </w:p>
        </w:tc>
      </w:tr>
      <w:tr>
        <w:tc>
          <w:tcPr>
            <w:tcW w:w="4339" w:type="dxa"/>
          </w:tcPr>
          <w:tcPr/>
          <w:p>
            <w:pPr>
              <w:pStyle w:val="Compact"/>
              <w:jc w:val="left"/>
            </w:pPr>
            <w:r>
              <w:t xml:space="preserve">North-West Grid 400 kV Nyakanazi–Kigoma</w:t>
            </w:r>
          </w:p>
        </w:tc>
        <w:tc>
          <w:tcPr>
            <w:tcW w:w="746" w:type="dxa"/>
          </w:tcPr>
          <w:tcPr/>
          <w:p>
            <w:pPr>
              <w:pStyle w:val="Compact"/>
              <w:jc w:val="left"/>
            </w:pPr>
            <w:r>
              <w:t xml:space="preserve">BAD</w:t>
            </w:r>
          </w:p>
        </w:tc>
        <w:tc>
          <w:tcPr>
            <w:tcW w:w="2407" w:type="dxa"/>
          </w:tcPr>
          <w:tcPr/>
          <w:p>
            <w:pPr>
              <w:pStyle w:val="Compact"/>
              <w:jc w:val="left"/>
            </w:pPr>
            <w:r>
              <w:t xml:space="preserve">123,39 M USD (approbation 20/07/2018)</w:t>
            </w:r>
          </w:p>
        </w:tc>
        <w:tc>
          <w:tcPr>
            <w:tcW w:w="1289" w:type="dxa"/>
          </w:tcPr>
          <w:tcPr/>
          <w:p>
            <w:pPr>
              <w:pStyle w:val="Compact"/>
              <w:jc w:val="left"/>
            </w:pPr>
            <w:r>
              <w:t xml:space="preserve">2018–</w:t>
            </w:r>
          </w:p>
        </w:tc>
        <w:tc>
          <w:tcPr>
            <w:tcW w:w="3202" w:type="dxa"/>
          </w:tcPr>
          <w:tcPr/>
          <w:p>
            <w:pPr>
              <w:pStyle w:val="Compact"/>
              <w:jc w:val="left"/>
            </w:pPr>
            <w:r>
              <w:t xml:space="preserve">ligne de transport TANESCO</w:t>
            </w:r>
          </w:p>
        </w:tc>
        <w:tc>
          <w:tcPr>
            <w:tcW w:w="798" w:type="dxa"/>
          </w:tcPr>
          <w:tcPr/>
          <w:p>
            <w:pPr>
              <w:pStyle w:val="Compact"/>
              <w:jc w:val="left"/>
            </w:pPr>
            <w:r>
              <w:t xml:space="preserve">—</w:t>
            </w:r>
          </w:p>
        </w:tc>
        <w:tc>
          <w:tcPr>
            <w:tcW w:w="1022" w:type="dxa"/>
          </w:tcPr>
          <w:tcPr/>
          <w:p>
            <w:pPr>
              <w:pStyle w:val="Compact"/>
              <w:jc w:val="left"/>
            </w:pPr>
            <w:r>
              <w:t xml:space="preserve">[?]</w:t>
            </w:r>
          </w:p>
        </w:tc>
        <w:tc>
          <w:tcPr>
            <w:tcW w:w="764" w:type="dxa"/>
          </w:tcPr>
          <w:tcPr/>
          <w:p>
            <w:pPr>
              <w:pStyle w:val="Compact"/>
              <w:jc w:val="left"/>
            </w:pPr>
            <w:r>
              <w:t xml:space="preserve">[8]</w:t>
            </w:r>
          </w:p>
        </w:tc>
      </w:tr>
      <w:tr>
        <w:tc>
          <w:tcPr>
            <w:tcW w:w="4339" w:type="dxa"/>
          </w:tcPr>
          <w:tcPr/>
          <w:p>
            <w:pPr>
              <w:pStyle w:val="Compact"/>
              <w:jc w:val="left"/>
            </w:pPr>
            <w:r>
              <w:t xml:space="preserve">Câble sous-marin Zanzibar (224 M), Kakono (161,47 M), Malagarasi (140 M), programme T&amp;D phase 1 (145 M)</w:t>
            </w:r>
          </w:p>
        </w:tc>
        <w:tc>
          <w:tcPr>
            <w:tcW w:w="746" w:type="dxa"/>
          </w:tcPr>
          <w:tcPr/>
          <w:p>
            <w:pPr>
              <w:pStyle w:val="Compact"/>
              <w:jc w:val="left"/>
            </w:pPr>
            <w:r>
              <w:t xml:space="preserve">BAD</w:t>
            </w:r>
          </w:p>
        </w:tc>
        <w:tc>
          <w:tcPr>
            <w:tcW w:w="2407" w:type="dxa"/>
          </w:tcPr>
          <w:tcPr/>
          <w:p>
            <w:pPr>
              <w:pStyle w:val="Compact"/>
              <w:jc w:val="left"/>
            </w:pPr>
            <w:r>
              <w:t xml:space="preserve">montants du pacte</w:t>
            </w:r>
          </w:p>
        </w:tc>
        <w:tc>
          <w:tcPr>
            <w:tcW w:w="1289" w:type="dxa"/>
          </w:tcPr>
          <w:tcPr/>
          <w:p>
            <w:pPr>
              <w:pStyle w:val="Compact"/>
              <w:jc w:val="left"/>
            </w:pPr>
            <w:r>
              <w:t xml:space="preserve">—</w:t>
            </w:r>
          </w:p>
        </w:tc>
        <w:tc>
          <w:tcPr>
            <w:tcW w:w="3202" w:type="dxa"/>
          </w:tcPr>
          <w:tcPr/>
          <w:p>
            <w:pPr>
              <w:pStyle w:val="Compact"/>
              <w:jc w:val="left"/>
            </w:pPr>
            <w:r>
              <w:t xml:space="preserve">—</w:t>
            </w:r>
          </w:p>
        </w:tc>
        <w:tc>
          <w:tcPr>
            <w:tcW w:w="798" w:type="dxa"/>
          </w:tcPr>
          <w:tcPr/>
          <w:p>
            <w:pPr>
              <w:pStyle w:val="Compact"/>
              <w:jc w:val="left"/>
            </w:pPr>
            <w:r>
              <w:t xml:space="preserve">—</w:t>
            </w:r>
          </w:p>
        </w:tc>
        <w:tc>
          <w:tcPr>
            <w:tcW w:w="1022" w:type="dxa"/>
          </w:tcPr>
          <w:tcPr/>
          <w:p>
            <w:pPr>
              <w:pStyle w:val="Compact"/>
              <w:jc w:val="left"/>
            </w:pPr>
            <w:r>
              <w:t xml:space="preserve">[?]</w:t>
            </w:r>
          </w:p>
        </w:tc>
        <w:tc>
          <w:tcPr>
            <w:tcW w:w="764" w:type="dxa"/>
          </w:tcPr>
          <w:tcPr/>
          <w:p>
            <w:pPr>
              <w:pStyle w:val="Compact"/>
              <w:jc w:val="left"/>
            </w:pPr>
            <w:r>
              <w:t xml:space="preserve">[3] (pacte)</w:t>
            </w:r>
          </w:p>
        </w:tc>
      </w:tr>
      <w:tr>
        <w:tc>
          <w:tcPr>
            <w:tcW w:w="4339" w:type="dxa"/>
          </w:tcPr>
          <w:tcPr/>
          <w:p>
            <w:pPr>
              <w:pStyle w:val="Compact"/>
              <w:jc w:val="left"/>
            </w:pPr>
            <w:r>
              <w:t xml:space="preserve">Solaire raccordé + renforcement transport</w:t>
            </w:r>
          </w:p>
        </w:tc>
        <w:tc>
          <w:tcPr>
            <w:tcW w:w="746" w:type="dxa"/>
          </w:tcPr>
          <w:tcPr/>
          <w:p>
            <w:pPr>
              <w:pStyle w:val="Compact"/>
              <w:jc w:val="left"/>
            </w:pPr>
            <w:r>
              <w:t xml:space="preserve">AFD</w:t>
            </w:r>
          </w:p>
        </w:tc>
        <w:tc>
          <w:tcPr>
            <w:tcW w:w="2407" w:type="dxa"/>
          </w:tcPr>
          <w:tcPr/>
          <w:p>
            <w:pPr>
              <w:pStyle w:val="Compact"/>
              <w:jc w:val="left"/>
            </w:pPr>
            <w:r>
              <w:t xml:space="preserve">130 M EUR (prêt à TANESCO, 2026)</w:t>
            </w:r>
          </w:p>
        </w:tc>
        <w:tc>
          <w:tcPr>
            <w:tcW w:w="1289" w:type="dxa"/>
          </w:tcPr>
          <w:tcPr/>
          <w:p>
            <w:pPr>
              <w:pStyle w:val="Compact"/>
              <w:jc w:val="left"/>
            </w:pPr>
            <w:r>
              <w:t xml:space="preserve">2026</w:t>
            </w:r>
          </w:p>
        </w:tc>
        <w:tc>
          <w:tcPr>
            <w:tcW w:w="3202" w:type="dxa"/>
          </w:tcPr>
          <w:tcPr/>
          <w:p>
            <w:pPr>
              <w:pStyle w:val="Compact"/>
              <w:jc w:val="left"/>
            </w:pPr>
            <w:r>
              <w:t xml:space="preserve">premier solaire raccordé au réseau</w:t>
            </w:r>
          </w:p>
        </w:tc>
        <w:tc>
          <w:tcPr>
            <w:tcW w:w="798" w:type="dxa"/>
          </w:tcPr>
          <w:tcPr/>
          <w:p>
            <w:pPr>
              <w:pStyle w:val="Compact"/>
              <w:jc w:val="left"/>
            </w:pPr>
            <w:r>
              <w:t xml:space="preserve">—</w:t>
            </w:r>
          </w:p>
        </w:tc>
        <w:tc>
          <w:tcPr>
            <w:tcW w:w="1022" w:type="dxa"/>
          </w:tcPr>
          <w:tcPr/>
          <w:p>
            <w:pPr>
              <w:pStyle w:val="Compact"/>
              <w:jc w:val="left"/>
            </w:pPr>
            <w:r>
              <w:t xml:space="preserve">signé</w:t>
            </w:r>
          </w:p>
        </w:tc>
        <w:tc>
          <w:tcPr>
            <w:tcW w:w="764" w:type="dxa"/>
          </w:tcPr>
          <w:tcPr/>
          <w:p>
            <w:pPr>
              <w:pStyle w:val="Compact"/>
              <w:jc w:val="left"/>
            </w:pPr>
            <w:r>
              <w:t xml:space="preserve">[9] [S]</w:t>
            </w:r>
          </w:p>
        </w:tc>
      </w:tr>
    </w:tbl>
    <w:bookmarkEnd w:id="367"/>
    <w:bookmarkStart w:id="368" w:name="écart-pacte-réalité-32"/>
    <w:p>
      <w:pPr>
        <w:pStyle w:val="Heading3"/>
      </w:pPr>
      <w:r>
        <w:t xml:space="preserve">5. Écart pacte ↔ réalité</w:t>
      </w:r>
    </w:p>
    <w:p>
      <w:pPr>
        <w:numPr>
          <w:ilvl w:val="0"/>
          <w:numId w:val="1196"/>
        </w:numPr>
        <w:pStyle w:val="Compact"/>
      </w:pPr>
      <w:r>
        <w:rPr>
          <w:bCs/>
          <w:b/>
        </w:rPr>
        <w:t xml:space="preserve">Rentabilité</w:t>
      </w:r>
      <w:r>
        <w:t xml:space="preserve"> </w:t>
      </w:r>
      <w:r>
        <w:t xml:space="preserve">: le pacte affiche un résultat net de 20,3 M USD ; EWURA montre une marge effondrée à</w:t>
      </w:r>
      <w:r>
        <w:t xml:space="preserve"> </w:t>
      </w:r>
      <w:r>
        <w:rPr>
          <w:bCs/>
          <w:b/>
        </w:rPr>
        <w:t xml:space="preserve">0,3 % (6,09 Md TZS ≈ 2,4 M USD)</w:t>
      </w:r>
      <w:r>
        <w:t xml:space="preserve"> </w:t>
      </w:r>
      <w:r>
        <w:t xml:space="preserve">en FY2023/24 et une liquidité courante &lt; 1 [1] — la conversion de dette de 2023 n’a pas suffi à restaurer la trésorerie.</w:t>
      </w:r>
    </w:p>
    <w:p>
      <w:pPr>
        <w:numPr>
          <w:ilvl w:val="0"/>
          <w:numId w:val="1196"/>
        </w:numPr>
        <w:pStyle w:val="Compact"/>
      </w:pPr>
      <w:r>
        <w:rPr>
          <w:bCs/>
          <w:b/>
        </w:rPr>
        <w:t xml:space="preserve">Pertes</w:t>
      </w:r>
      <w:r>
        <w:t xml:space="preserve"> </w:t>
      </w:r>
      <w:r>
        <w:t xml:space="preserve">: le pacte qualifie 14,2 % d’« acceptable » avec –0,05 pt/an ; or la cible réglementaire EWURA (12 % en juin 2025) est manquée et les pertes</w:t>
      </w:r>
      <w:r>
        <w:t xml:space="preserve"> </w:t>
      </w:r>
      <w:r>
        <w:rPr>
          <w:bCs/>
          <w:b/>
        </w:rPr>
        <w:t xml:space="preserve">augmentent</w:t>
      </w:r>
      <w:r>
        <w:t xml:space="preserve"> </w:t>
      </w:r>
      <w:r>
        <w:t xml:space="preserve">légèrement (14,57 → 14,61 %) [1].</w:t>
      </w:r>
    </w:p>
    <w:p>
      <w:pPr>
        <w:numPr>
          <w:ilvl w:val="0"/>
          <w:numId w:val="1196"/>
        </w:numPr>
        <w:pStyle w:val="Compact"/>
      </w:pPr>
      <w:r>
        <w:rPr>
          <w:bCs/>
          <w:b/>
        </w:rPr>
        <w:t xml:space="preserve">Couverture des coûts</w:t>
      </w:r>
      <w:r>
        <w:t xml:space="preserve"> </w:t>
      </w:r>
      <w:r>
        <w:t xml:space="preserve">: pacte 80 % ; calcul sur données EWURA ≈ 91 % en FY22/23 mais coût unitaire en hausse de 10 % en FY23/24 sans révision tarifaire (grille d’avril 2016) [1] [E] — la couverture se dégrade.</w:t>
      </w:r>
    </w:p>
    <w:p>
      <w:pPr>
        <w:numPr>
          <w:ilvl w:val="0"/>
          <w:numId w:val="1196"/>
        </w:numPr>
        <w:pStyle w:val="Compact"/>
      </w:pPr>
      <w:r>
        <w:rPr>
          <w:bCs/>
          <w:b/>
        </w:rPr>
        <w:t xml:space="preserve">Arriérés</w:t>
      </w:r>
      <w:r>
        <w:t xml:space="preserve"> </w:t>
      </w:r>
      <w:r>
        <w:t xml:space="preserve">: le pacte ne chiffre ni les arriérés de l’État envers TANESCO ni ceux de TANESCO envers ses fournisseurs, que le FMI identifie comme prioritaires [2].</w:t>
      </w:r>
    </w:p>
    <w:p>
      <w:pPr>
        <w:numPr>
          <w:ilvl w:val="0"/>
          <w:numId w:val="1196"/>
        </w:numPr>
        <w:pStyle w:val="Compact"/>
      </w:pPr>
      <w:r>
        <w:rPr>
          <w:bCs/>
          <w:b/>
        </w:rPr>
        <w:t xml:space="preserve">Calendrier tarifaire</w:t>
      </w:r>
      <w:r>
        <w:t xml:space="preserve"> </w:t>
      </w:r>
      <w:r>
        <w:t xml:space="preserve">: engagement FMI (mars 2026) vs pacte (août 2026, puis ajustements à partir de 2027) — le pacte est plus tardif que la conditionnalité FMI.</w:t>
      </w:r>
    </w:p>
    <w:bookmarkEnd w:id="368"/>
    <w:bookmarkStart w:id="369" w:name="diagnostic-synthétique-32"/>
    <w:p>
      <w:pPr>
        <w:pStyle w:val="Heading3"/>
      </w:pPr>
      <w:r>
        <w:t xml:space="preserve">6. Diagnostic synthétique</w:t>
      </w:r>
    </w:p>
    <w:p>
      <w:pPr>
        <w:numPr>
          <w:ilvl w:val="0"/>
          <w:numId w:val="1197"/>
        </w:numPr>
        <w:pStyle w:val="Compact"/>
      </w:pPr>
      <w:r>
        <w:rPr>
          <w:bCs/>
          <w:b/>
        </w:rPr>
        <w:t xml:space="preserve">Financier : faible</w:t>
      </w:r>
      <w:r>
        <w:t xml:space="preserve"> </w:t>
      </w:r>
      <w:r>
        <w:t xml:space="preserve">(marge ≈ 0, liquidité &lt; 1, tarifs gelés depuis 2016, arriérés croisés non chiffrés).</w:t>
      </w:r>
      <w:r>
        <w:t xml:space="preserve"> </w:t>
      </w:r>
      <w:r>
        <w:rPr>
          <w:bCs/>
          <w:b/>
        </w:rPr>
        <w:t xml:space="preserve">Technique : moyen</w:t>
      </w:r>
      <w:r>
        <w:t xml:space="preserve"> </w:t>
      </w:r>
      <w:r>
        <w:t xml:space="preserve">(pertes ≈ 14,6 %, recouvrement élevé grâce au prépaiement, fiabilité en nette amélioration).</w:t>
      </w:r>
      <w:r>
        <w:t xml:space="preserve"> </w:t>
      </w:r>
      <w:r>
        <w:rPr>
          <w:bCs/>
          <w:b/>
        </w:rPr>
        <w:t xml:space="preserve">Gouvernance : moyenne-faible</w:t>
      </w:r>
      <w:r>
        <w:t xml:space="preserve"> </w:t>
      </w:r>
      <w:r>
        <w:t xml:space="preserve">(comptes publiés mais tardifs, régulation tarifaire passive).</w:t>
      </w:r>
    </w:p>
    <w:p>
      <w:pPr>
        <w:numPr>
          <w:ilvl w:val="0"/>
          <w:numId w:val="1197"/>
        </w:numPr>
        <w:pStyle w:val="Compact"/>
      </w:pPr>
      <w:r>
        <w:rPr>
          <w:bCs/>
          <w:b/>
        </w:rPr>
        <w:t xml:space="preserve">Causes racines</w:t>
      </w:r>
      <w:r>
        <w:t xml:space="preserve"> </w:t>
      </w:r>
      <w:r>
        <w:t xml:space="preserve">: (1) gel tarifaire depuis avril 2016 face à des coûts en hausse (gaz, amortissement des grands projets publics comme JNHPP) ; (2) programme d’investissement lourd dont le FMI demande qu’il soit désormais fondé sur l’analyse coûts-bénéfices et la diversification [2] — ce qui suggère qu’il ne l’était pas toujours [E] ; (3) arriérés croisés État–TANESCO–fournisseurs.</w:t>
      </w:r>
    </w:p>
    <w:p>
      <w:pPr>
        <w:numPr>
          <w:ilvl w:val="0"/>
          <w:numId w:val="1197"/>
        </w:numPr>
        <w:pStyle w:val="Compact"/>
      </w:pPr>
      <w:r>
        <w:rPr>
          <w:bCs/>
          <w:b/>
        </w:rPr>
        <w:t xml:space="preserve">Phase 3</w:t>
      </w:r>
      <w:r>
        <w:t xml:space="preserve"> </w:t>
      </w:r>
      <w:r>
        <w:t xml:space="preserve">: étude de coût de service EWURA (2026), coût unitaire par segment (génération gaz vs JNHPP), évaluation de l’effet de JNHPP sur le coût moyen.</w:t>
      </w:r>
    </w:p>
    <w:bookmarkEnd w:id="369"/>
    <w:bookmarkStart w:id="370" w:name="inconnus-32"/>
    <w:p>
      <w:pPr>
        <w:pStyle w:val="Heading3"/>
      </w:pPr>
      <w:r>
        <w:t xml:space="preserve">7. Inconnus</w:t>
      </w:r>
    </w:p>
    <w:p>
      <w:pPr>
        <w:numPr>
          <w:ilvl w:val="0"/>
          <w:numId w:val="1198"/>
        </w:numPr>
        <w:pStyle w:val="Compact"/>
      </w:pPr>
      <w:r>
        <w:t xml:space="preserve">Comptes audités FY2023/24 et FY2024/25 (bilan, dette totale, EBITDA) [?].</w:t>
      </w:r>
    </w:p>
    <w:p>
      <w:pPr>
        <w:numPr>
          <w:ilvl w:val="0"/>
          <w:numId w:val="1198"/>
        </w:numPr>
        <w:pStyle w:val="Compact"/>
      </w:pPr>
      <w:r>
        <w:t xml:space="preserve">Montant des arriérés de l’État et des dettes fournisseurs [?].</w:t>
      </w:r>
    </w:p>
    <w:p>
      <w:pPr>
        <w:numPr>
          <w:ilvl w:val="0"/>
          <w:numId w:val="1198"/>
        </w:numPr>
        <w:pStyle w:val="Compact"/>
      </w:pPr>
      <w:r>
        <w:t xml:space="preserve">Rapport EWURA FY2024/25 (non trouvé au 18/10/2026) [?].</w:t>
      </w:r>
    </w:p>
    <w:p>
      <w:pPr>
        <w:numPr>
          <w:ilvl w:val="0"/>
          <w:numId w:val="1198"/>
        </w:numPr>
        <w:pStyle w:val="Compact"/>
      </w:pPr>
      <w:r>
        <w:t xml:space="preserve">Statut de la RM9 du FMI après mars 2026 [?].</w:t>
      </w:r>
    </w:p>
    <w:bookmarkEnd w:id="370"/>
    <w:bookmarkStart w:id="371" w:name="sources-33"/>
    <w:p>
      <w:pPr>
        <w:pStyle w:val="Heading3"/>
      </w:pPr>
      <w:r>
        <w:t xml:space="preserve">Sources</w:t>
      </w:r>
    </w:p>
    <w:p>
      <w:pPr>
        <w:pStyle w:val="FirstParagraph"/>
      </w:pPr>
      <w:r>
        <w:t xml:space="preserve">[1] EWURA / Ministry of Energy,</w:t>
      </w:r>
      <w:r>
        <w:t xml:space="preserve"> </w:t>
      </w:r>
      <w:r>
        <w:rPr>
          <w:iCs/>
          <w:i/>
        </w:rPr>
        <w:t xml:space="preserve">Electricity Sub-Sector Regulatory Performance Report for the Financial Year 2023/24</w:t>
      </w:r>
      <w:r>
        <w:t xml:space="preserve">, mars 2025. https://www.ewuraccc.go.tz/uploads/publications/en-1744207286-Electricty%20Sub-Sector%20Peformance%20Report%20FY%202023-24.pdf</w:t>
      </w:r>
      <w:r>
        <w:t xml:space="preserve"> </w:t>
      </w:r>
      <w:r>
        <w:t xml:space="preserve">[2] FMI,</w:t>
      </w:r>
      <w:r>
        <w:t xml:space="preserve"> </w:t>
      </w:r>
      <w:r>
        <w:rPr>
          <w:iCs/>
          <w:i/>
        </w:rPr>
        <w:t xml:space="preserve">United Republic of Tanzania — 2025 Article IV Consultation, Fifth Review under the ECF and Second Review under the RSF</w:t>
      </w:r>
      <w:r>
        <w:t xml:space="preserve">, Country Report No. 25/163, juillet 2025 (§ SOE, MEFP RM8-RM9). https://www.imf.org/en/Publications/CR/Issues/2025/07/03/United-Republic-of-Tanzania-Staff-Report-for-the-2025-Article-IV-Consultation-Fifth-Review-568276</w:t>
      </w:r>
      <w:r>
        <w:t xml:space="preserve"> </w:t>
      </w:r>
      <w:r>
        <w:t xml:space="preserve">[3] Gouvernement de Tanzanie,</w:t>
      </w:r>
      <w:r>
        <w:t xml:space="preserve"> </w:t>
      </w:r>
      <w:r>
        <w:rPr>
          <w:iCs/>
          <w:i/>
        </w:rPr>
        <w:t xml:space="preserve">National Energy Compact</w:t>
      </w:r>
      <w:r>
        <w:t xml:space="preserve">, janv. 2025 (pacte ; voir fiche phase 1).</w:t>
      </w:r>
      <w:r>
        <w:t xml:space="preserve"> </w:t>
      </w:r>
      <w:r>
        <w:t xml:space="preserve">[4] CDMU Tanzanie,</w:t>
      </w:r>
      <w:r>
        <w:t xml:space="preserve"> </w:t>
      </w:r>
      <w:r>
        <w:rPr>
          <w:iCs/>
          <w:i/>
        </w:rPr>
        <w:t xml:space="preserve">Mission 300 Compact Progress Report</w:t>
      </w:r>
      <w:r>
        <w:t xml:space="preserve">, mars 2026 (voir fiche phase 1).</w:t>
      </w:r>
      <w:r>
        <w:t xml:space="preserve"> </w:t>
      </w:r>
      <w:r>
        <w:t xml:space="preserve">[5] Banque mondiale, base de données des projets (API search.worldbank.org v3, consultée le 18/10/2026) — fiches P163752, P508898, P515152, P507033, P512145, P153781, P177140, P179631, P169561, P178156, P180504, P507912.</w:t>
      </w:r>
      <w:r>
        <w:t xml:space="preserve"> </w:t>
      </w:r>
      <w:r>
        <w:t xml:space="preserve">[6] The Citizen, « What’s at stake as Songas power deal expires » (date non vérifiée). https://www.thecitizen.co.tz/tanzania/news/national/what-s-at-stake-as-songas-power-deal-expires-4807378</w:t>
      </w:r>
      <w:r>
        <w:t xml:space="preserve"> </w:t>
      </w:r>
      <w:r>
        <w:t xml:space="preserve">[7] Banque mondiale,</w:t>
      </w:r>
      <w:r>
        <w:t xml:space="preserve"> </w:t>
      </w:r>
      <w:r>
        <w:rPr>
          <w:iCs/>
          <w:i/>
        </w:rPr>
        <w:t xml:space="preserve">Tanzania — Development Policy Financing with a Catastrophe Deferred Drawdown Option</w:t>
      </w:r>
      <w:r>
        <w:t xml:space="preserve">, Program Document, 08/05/2025 (P507912).</w:t>
      </w:r>
      <w:r>
        <w:t xml:space="preserve"> </w:t>
      </w:r>
      <w:r>
        <w:t xml:space="preserve">[8] BAD, communiqué « Tanzania to receive US$ 123 million African Development Bank loan to finance power transmission line project », 2018 (vu via résultats de recherche ; afdb.org inaccessible). https://www.afdb.org/en/news-and-events/tanzania-to-receive-us-123-million-african-development-bank-loan-to-finance-power-transmission-line-project-18347/</w:t>
      </w:r>
      <w:r>
        <w:t xml:space="preserve"> </w:t>
      </w:r>
      <w:r>
        <w:t xml:space="preserve">[9] Renewable Watch, « AFD finances solar project and transmission upgrade in Tanzania », 03/03/2026. https://renewablewatch.in/2026/03/03/afd-finances-solar-project-and-transmission-upgrade-in-tanzania/</w:t>
      </w:r>
    </w:p>
    <w:p>
      <w:r>
        <w:br w:type="page"/>
      </w:r>
    </w:p>
    <w:bookmarkEnd w:id="371"/>
    <w:bookmarkEnd w:id="372"/>
    <w:bookmarkStart w:id="382" w:name="X967f38a6bb3b0fcf4a5a2cbeb806a498f8ee771"/>
    <w:p>
      <w:pPr>
        <w:pStyle w:val="Heading2"/>
      </w:pPr>
      <w:r>
        <w:t xml:space="preserve">Diagnostic opérateur — UEDCL (après UMEME), UEGCL, UETCL (Ouganda)</w:t>
      </w:r>
    </w:p>
    <w:p>
      <w:pPr>
        <w:pStyle w:val="BlockText"/>
      </w:pPr>
      <w:r>
        <w:t xml:space="preserve">Phase 2 — Mission 300. Statuts :</w:t>
      </w:r>
      <w:r>
        <w:t xml:space="preserve"> </w:t>
      </w:r>
      <w:r>
        <w:rPr>
          <w:bCs/>
          <w:b/>
        </w:rPr>
        <w:t xml:space="preserve">[V]</w:t>
      </w:r>
      <w:r>
        <w:t xml:space="preserve"> </w:t>
      </w:r>
      <w:r>
        <w:t xml:space="preserve">document primaire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Point de départ : fiche phase 1</w:t>
      </w:r>
      <w:r>
        <w:t xml:space="preserve"> </w:t>
      </w:r>
      <w:r>
        <w:rPr>
          <w:rStyle w:val="VerbatimChar"/>
        </w:rPr>
        <w:t xml:space="preserve">../../phase1/fiches/UGA_ouganda.md</w:t>
      </w:r>
      <w:r>
        <w:t xml:space="preserve">. Recherche documentaire au 18/10/2026.</w:t>
      </w:r>
    </w:p>
    <w:bookmarkStart w:id="373" w:name="identité-33"/>
    <w:p>
      <w:pPr>
        <w:pStyle w:val="Heading3"/>
      </w:pPr>
      <w:r>
        <w:t xml:space="preserve">0. Identité</w:t>
      </w:r>
    </w:p>
    <w:p>
      <w:pPr>
        <w:numPr>
          <w:ilvl w:val="0"/>
          <w:numId w:val="1199"/>
        </w:numPr>
        <w:pStyle w:val="Compact"/>
      </w:pPr>
      <w:r>
        <w:rPr>
          <w:bCs/>
          <w:b/>
        </w:rPr>
        <w:t xml:space="preserve">Opérateurs</w:t>
      </w:r>
      <w:r>
        <w:t xml:space="preserve"> </w:t>
      </w:r>
      <w:r>
        <w:t xml:space="preserve">: secteur dégroupé.</w:t>
      </w:r>
      <w:r>
        <w:t xml:space="preserve"> </w:t>
      </w:r>
      <w:r>
        <w:rPr>
          <w:bCs/>
          <w:b/>
        </w:rPr>
        <w:t xml:space="preserve">UEGCL</w:t>
      </w:r>
      <w:r>
        <w:t xml:space="preserve"> </w:t>
      </w:r>
      <w:r>
        <w:t xml:space="preserve">(production publique ; a repris en 2023 les centrales concédées à Eskom Uganda) ;</w:t>
      </w:r>
      <w:r>
        <w:t xml:space="preserve"> </w:t>
      </w:r>
      <w:r>
        <w:rPr>
          <w:bCs/>
          <w:b/>
        </w:rPr>
        <w:t xml:space="preserve">UETCL</w:t>
      </w:r>
      <w:r>
        <w:t xml:space="preserve"> </w:t>
      </w:r>
      <w:r>
        <w:t xml:space="preserve">(transport, opérateur système,</w:t>
      </w:r>
      <w:r>
        <w:t xml:space="preserve"> </w:t>
      </w:r>
      <w:r>
        <w:rPr>
          <w:bCs/>
          <w:b/>
        </w:rPr>
        <w:t xml:space="preserve">acheteur unique</w:t>
      </w:r>
      <w:r>
        <w:t xml:space="preserve"> </w:t>
      </w:r>
      <w:r>
        <w:t xml:space="preserve">; vend à UEDCL au tarif de gros — BST) ;</w:t>
      </w:r>
      <w:r>
        <w:t xml:space="preserve"> </w:t>
      </w:r>
      <w:r>
        <w:rPr>
          <w:bCs/>
          <w:b/>
        </w:rPr>
        <w:t xml:space="preserve">UEDCL</w:t>
      </w:r>
      <w:r>
        <w:t xml:space="preserve"> </w:t>
      </w:r>
      <w:r>
        <w:t xml:space="preserve">(distribution : a repris le</w:t>
      </w:r>
      <w:r>
        <w:t xml:space="preserve"> </w:t>
      </w:r>
      <w:r>
        <w:rPr>
          <w:bCs/>
          <w:b/>
        </w:rPr>
        <w:t xml:space="preserve">1er avril 2025</w:t>
      </w:r>
      <w:r>
        <w:t xml:space="preserve"> </w:t>
      </w:r>
      <w:r>
        <w:t xml:space="preserve">la concession d’Umeme arrivée à échéance le 31/03/2025 ; gérait auparavant ≈ 10 % du réseau) [1][2][3] [V]. Le gouvernement envisage de fusionner les trois sociétés [2] [V].</w:t>
      </w:r>
    </w:p>
    <w:p>
      <w:pPr>
        <w:numPr>
          <w:ilvl w:val="0"/>
          <w:numId w:val="1199"/>
        </w:numPr>
        <w:pStyle w:val="Compact"/>
      </w:pPr>
      <w:r>
        <w:rPr>
          <w:bCs/>
          <w:b/>
        </w:rPr>
        <w:t xml:space="preserve">Tutelle</w:t>
      </w:r>
      <w:r>
        <w:t xml:space="preserve"> </w:t>
      </w:r>
      <w:r>
        <w:t xml:space="preserve">: MEMD ; MoFPED [2] [V].</w:t>
      </w:r>
    </w:p>
    <w:p>
      <w:pPr>
        <w:numPr>
          <w:ilvl w:val="0"/>
          <w:numId w:val="1199"/>
        </w:numPr>
        <w:pStyle w:val="Compact"/>
      </w:pPr>
      <w:r>
        <w:rPr>
          <w:bCs/>
          <w:b/>
        </w:rPr>
        <w:t xml:space="preserve">Régulateur</w:t>
      </w:r>
      <w:r>
        <w:t xml:space="preserve"> </w:t>
      </w:r>
      <w:r>
        <w:t xml:space="preserve">: ERA (2000) — tarifs trimestriels ; trajectoire de pertes imposée à UEDCL (16 % → 14,59 % fin 2025 → 13,65 % → 12,31 %) [S] (documents de clôture d’Umeme 2025, vus via résultats de recherche ; non vérifiés dans une décision ERA).</w:t>
      </w:r>
    </w:p>
    <w:p>
      <w:pPr>
        <w:numPr>
          <w:ilvl w:val="0"/>
          <w:numId w:val="1199"/>
        </w:numPr>
        <w:pStyle w:val="Compact"/>
      </w:pPr>
      <w:r>
        <w:rPr>
          <w:bCs/>
          <w:b/>
        </w:rPr>
        <w:t xml:space="preserve">Derniers comptes</w:t>
      </w:r>
      <w:r>
        <w:t xml:space="preserve"> </w:t>
      </w:r>
      <w:r>
        <w:t xml:space="preserve">: UEDCL FY clos le</w:t>
      </w:r>
      <w:r>
        <w:t xml:space="preserve"> </w:t>
      </w:r>
      <w:r>
        <w:rPr>
          <w:bCs/>
          <w:b/>
        </w:rPr>
        <w:t xml:space="preserve">30/06/2025</w:t>
      </w:r>
      <w:r>
        <w:t xml:space="preserve">, audités par l’Auditor-General (rapport du 19/12/2025),</w:t>
      </w:r>
      <w:r>
        <w:t xml:space="preserve"> </w:t>
      </w:r>
      <w:r>
        <w:rPr>
          <w:bCs/>
          <w:b/>
        </w:rPr>
        <w:t xml:space="preserve">opinion sans réserve</w:t>
      </w:r>
      <w:r>
        <w:t xml:space="preserve"> </w:t>
      </w:r>
      <w:r>
        <w:t xml:space="preserve">avec paragraphes d’observation (fin de la concession, créances) [1] [V]. UETCL, UEGCL : [?] non analysés.</w:t>
      </w:r>
    </w:p>
    <w:bookmarkEnd w:id="373"/>
    <w:bookmarkStart w:id="374" w:name="situation-financière-uedcl-sauf-mention"/>
    <w:p>
      <w:pPr>
        <w:pStyle w:val="Heading3"/>
      </w:pPr>
      <w:r>
        <w:t xml:space="preserve">1. Situation financière (UEDCL sauf mention)</w:t>
      </w:r>
    </w:p>
    <w:tbl>
      <w:tblPr>
        <w:tblStyle w:val="Table"/>
        <w:tblW w:type="dxa" w:w="14570"/>
        <w:tblLook w:firstRow="1" w:lastRow="0" w:firstColumn="0" w:lastColumn="0" w:noHBand="0" w:noVBand="0" w:val="0020"/>
        <w:jc w:val="start"/>
      </w:tblPr>
      <w:tblGrid>
        <w:gridCol w:w="3271"/>
        <w:gridCol w:w="8010"/>
        <w:gridCol w:w="1292"/>
        <w:gridCol w:w="1073"/>
        <w:gridCol w:w="923"/>
      </w:tblGrid>
      <w:tr>
        <w:trPr>
          <w:tblHeader w:val="true"/>
        </w:trPr>
        <w:tc>
          <w:tcPr>
            <w:tcW w:w="3271" w:type="dxa"/>
          </w:tcPr>
          <w:tcPr/>
          <w:p>
            <w:pPr>
              <w:pStyle w:val="Compact"/>
              <w:jc w:val="left"/>
            </w:pPr>
            <w:r>
              <w:t xml:space="preserve">Indicateur</w:t>
            </w:r>
          </w:p>
        </w:tc>
        <w:tc>
          <w:tcPr>
            <w:tcW w:w="8010" w:type="dxa"/>
          </w:tcPr>
          <w:tcPr/>
          <w:p>
            <w:pPr>
              <w:pStyle w:val="Compact"/>
              <w:jc w:val="left"/>
            </w:pPr>
            <w:r>
              <w:t xml:space="preserve">Valeur</w:t>
            </w:r>
          </w:p>
        </w:tc>
        <w:tc>
          <w:tcPr>
            <w:tcW w:w="1292" w:type="dxa"/>
          </w:tcPr>
          <w:tcPr/>
          <w:p>
            <w:pPr>
              <w:pStyle w:val="Compact"/>
              <w:jc w:val="left"/>
            </w:pPr>
            <w:r>
              <w:t xml:space="preserve">Année</w:t>
            </w:r>
          </w:p>
        </w:tc>
        <w:tc>
          <w:tcPr>
            <w:tcW w:w="1073" w:type="dxa"/>
          </w:tcPr>
          <w:tcPr/>
          <w:p>
            <w:pPr>
              <w:pStyle w:val="Compact"/>
              <w:jc w:val="left"/>
            </w:pPr>
            <w:r>
              <w:t xml:space="preserve">Statut</w:t>
            </w:r>
          </w:p>
        </w:tc>
        <w:tc>
          <w:tcPr>
            <w:tcW w:w="923" w:type="dxa"/>
          </w:tcPr>
          <w:tcPr/>
          <w:p>
            <w:pPr>
              <w:pStyle w:val="Compact"/>
              <w:jc w:val="left"/>
            </w:pPr>
            <w:r>
              <w:t xml:space="preserve">Source</w:t>
            </w:r>
          </w:p>
        </w:tc>
      </w:tr>
      <w:tr>
        <w:tc>
          <w:tcPr>
            <w:tcW w:w="3271" w:type="dxa"/>
          </w:tcPr>
          <w:tcPr/>
          <w:p>
            <w:pPr>
              <w:pStyle w:val="Compact"/>
              <w:jc w:val="left"/>
            </w:pPr>
            <w:r>
              <w:t xml:space="preserve">Chiffre d’affaires</w:t>
            </w:r>
          </w:p>
        </w:tc>
        <w:tc>
          <w:tcPr>
            <w:tcW w:w="8010" w:type="dxa"/>
          </w:tcPr>
          <w:tcPr/>
          <w:p>
            <w:pPr>
              <w:pStyle w:val="Compact"/>
              <w:jc w:val="left"/>
            </w:pPr>
            <w:r>
              <w:rPr>
                <w:bCs/>
                <w:b/>
              </w:rPr>
              <w:t xml:space="preserve">669,4 Md UGX</w:t>
            </w:r>
            <w:r>
              <w:t xml:space="preserve"> </w:t>
            </w:r>
            <w:r>
              <w:t xml:space="preserve">(111,3 Md en FY24) — inclut 3 mois d’exploitation nationale</w:t>
            </w:r>
          </w:p>
        </w:tc>
        <w:tc>
          <w:tcPr>
            <w:tcW w:w="1292" w:type="dxa"/>
          </w:tcPr>
          <w:tcPr/>
          <w:p>
            <w:pPr>
              <w:pStyle w:val="Compact"/>
              <w:jc w:val="left"/>
            </w:pPr>
            <w:r>
              <w:t xml:space="preserve">FY2024/25</w:t>
            </w:r>
          </w:p>
        </w:tc>
        <w:tc>
          <w:tcPr>
            <w:tcW w:w="1073" w:type="dxa"/>
          </w:tcPr>
          <w:tcPr/>
          <w:p>
            <w:pPr>
              <w:pStyle w:val="Compact"/>
              <w:jc w:val="left"/>
            </w:pPr>
            <w:r>
              <w:t xml:space="preserve">[V]</w:t>
            </w:r>
          </w:p>
        </w:tc>
        <w:tc>
          <w:tcPr>
            <w:tcW w:w="923" w:type="dxa"/>
          </w:tcPr>
          <w:tcPr/>
          <w:p>
            <w:pPr>
              <w:pStyle w:val="Compact"/>
              <w:jc w:val="left"/>
            </w:pPr>
            <w:r>
              <w:t xml:space="preserve">[1]</w:t>
            </w:r>
          </w:p>
        </w:tc>
      </w:tr>
      <w:tr>
        <w:tc>
          <w:tcPr>
            <w:tcW w:w="3271" w:type="dxa"/>
          </w:tcPr>
          <w:tcPr/>
          <w:p>
            <w:pPr>
              <w:pStyle w:val="Compact"/>
              <w:jc w:val="left"/>
            </w:pPr>
            <w:r>
              <w:t xml:space="preserve">Résultat net</w:t>
            </w:r>
          </w:p>
        </w:tc>
        <w:tc>
          <w:tcPr>
            <w:tcW w:w="8010" w:type="dxa"/>
          </w:tcPr>
          <w:tcPr/>
          <w:p>
            <w:pPr>
              <w:pStyle w:val="Compact"/>
              <w:jc w:val="left"/>
            </w:pPr>
            <w:r>
              <w:rPr>
                <w:bCs/>
                <w:b/>
              </w:rPr>
              <w:t xml:space="preserve">perte après impôt de 193,45 Md UGX</w:t>
            </w:r>
            <w:r>
              <w:t xml:space="preserve">, due surtout à la comptabilisation initiale d’impôts différés passifs sur les actifs retransférés</w:t>
            </w:r>
          </w:p>
        </w:tc>
        <w:tc>
          <w:tcPr>
            <w:tcW w:w="1292" w:type="dxa"/>
          </w:tcPr>
          <w:tcPr/>
          <w:p>
            <w:pPr>
              <w:pStyle w:val="Compact"/>
              <w:jc w:val="left"/>
            </w:pPr>
            <w:r>
              <w:t xml:space="preserve">FY2024/25</w:t>
            </w:r>
          </w:p>
        </w:tc>
        <w:tc>
          <w:tcPr>
            <w:tcW w:w="1073" w:type="dxa"/>
          </w:tcPr>
          <w:tcPr/>
          <w:p>
            <w:pPr>
              <w:pStyle w:val="Compact"/>
              <w:jc w:val="left"/>
            </w:pPr>
            <w:r>
              <w:t xml:space="preserve">[V]</w:t>
            </w:r>
          </w:p>
        </w:tc>
        <w:tc>
          <w:tcPr>
            <w:tcW w:w="923" w:type="dxa"/>
          </w:tcPr>
          <w:tcPr/>
          <w:p>
            <w:pPr>
              <w:pStyle w:val="Compact"/>
              <w:jc w:val="left"/>
            </w:pPr>
            <w:r>
              <w:t xml:space="preserve">[1]</w:t>
            </w:r>
          </w:p>
        </w:tc>
      </w:tr>
      <w:tr>
        <w:tc>
          <w:tcPr>
            <w:tcW w:w="3271" w:type="dxa"/>
          </w:tcPr>
          <w:tcPr/>
          <w:p>
            <w:pPr>
              <w:pStyle w:val="Compact"/>
              <w:jc w:val="left"/>
            </w:pPr>
            <w:r>
              <w:t xml:space="preserve">Excédent d’exploitation avant amortissements (EBITDA)</w:t>
            </w:r>
          </w:p>
        </w:tc>
        <w:tc>
          <w:tcPr>
            <w:tcW w:w="8010" w:type="dxa"/>
          </w:tcPr>
          <w:tcPr/>
          <w:p>
            <w:pPr>
              <w:pStyle w:val="Compact"/>
              <w:jc w:val="left"/>
            </w:pPr>
            <w:r>
              <w:t xml:space="preserve">87,5 Md UGX</w:t>
            </w:r>
          </w:p>
        </w:tc>
        <w:tc>
          <w:tcPr>
            <w:tcW w:w="1292" w:type="dxa"/>
          </w:tcPr>
          <w:tcPr/>
          <w:p>
            <w:pPr>
              <w:pStyle w:val="Compact"/>
              <w:jc w:val="left"/>
            </w:pPr>
            <w:r>
              <w:t xml:space="preserve">FY2024/25</w:t>
            </w:r>
          </w:p>
        </w:tc>
        <w:tc>
          <w:tcPr>
            <w:tcW w:w="1073" w:type="dxa"/>
          </w:tcPr>
          <w:tcPr/>
          <w:p>
            <w:pPr>
              <w:pStyle w:val="Compact"/>
              <w:jc w:val="left"/>
            </w:pPr>
            <w:r>
              <w:t xml:space="preserve">[V]</w:t>
            </w:r>
          </w:p>
        </w:tc>
        <w:tc>
          <w:tcPr>
            <w:tcW w:w="923" w:type="dxa"/>
          </w:tcPr>
          <w:tcPr/>
          <w:p>
            <w:pPr>
              <w:pStyle w:val="Compact"/>
              <w:jc w:val="left"/>
            </w:pPr>
            <w:r>
              <w:t xml:space="preserve">[1]</w:t>
            </w:r>
          </w:p>
        </w:tc>
      </w:tr>
      <w:tr>
        <w:tc>
          <w:tcPr>
            <w:tcW w:w="3271" w:type="dxa"/>
          </w:tcPr>
          <w:tcPr/>
          <w:p>
            <w:pPr>
              <w:pStyle w:val="Compact"/>
              <w:jc w:val="left"/>
            </w:pPr>
            <w:r>
              <w:t xml:space="preserve">Créances clients</w:t>
            </w:r>
          </w:p>
        </w:tc>
        <w:tc>
          <w:tcPr>
            <w:tcW w:w="8010" w:type="dxa"/>
          </w:tcPr>
          <w:tcPr/>
          <w:p>
            <w:pPr>
              <w:pStyle w:val="Compact"/>
              <w:jc w:val="left"/>
            </w:pPr>
            <w:r>
              <w:t xml:space="preserve">238,5 Md UGX (5,9 Md à l’ouverture, ×40), dont 220,4 Md de ventes d’électricité impayées par Umeme</w:t>
            </w:r>
          </w:p>
        </w:tc>
        <w:tc>
          <w:tcPr>
            <w:tcW w:w="1292" w:type="dxa"/>
          </w:tcPr>
          <w:tcPr/>
          <w:p>
            <w:pPr>
              <w:pStyle w:val="Compact"/>
              <w:jc w:val="left"/>
            </w:pPr>
            <w:r>
              <w:t xml:space="preserve">30/06/2025</w:t>
            </w:r>
          </w:p>
        </w:tc>
        <w:tc>
          <w:tcPr>
            <w:tcW w:w="1073" w:type="dxa"/>
          </w:tcPr>
          <w:tcPr/>
          <w:p>
            <w:pPr>
              <w:pStyle w:val="Compact"/>
              <w:jc w:val="left"/>
            </w:pPr>
            <w:r>
              <w:t xml:space="preserve">[V]</w:t>
            </w:r>
          </w:p>
        </w:tc>
        <w:tc>
          <w:tcPr>
            <w:tcW w:w="923" w:type="dxa"/>
          </w:tcPr>
          <w:tcPr/>
          <w:p>
            <w:pPr>
              <w:pStyle w:val="Compact"/>
              <w:jc w:val="left"/>
            </w:pPr>
            <w:r>
              <w:t xml:space="preserve">[1]</w:t>
            </w:r>
          </w:p>
        </w:tc>
      </w:tr>
      <w:tr>
        <w:tc>
          <w:tcPr>
            <w:tcW w:w="3271" w:type="dxa"/>
          </w:tcPr>
          <w:tcPr/>
          <w:p>
            <w:pPr>
              <w:pStyle w:val="Compact"/>
              <w:jc w:val="left"/>
            </w:pPr>
            <w:r>
              <w:t xml:space="preserve">Créances sur entités publiques</w:t>
            </w:r>
          </w:p>
        </w:tc>
        <w:tc>
          <w:tcPr>
            <w:tcW w:w="8010" w:type="dxa"/>
          </w:tcPr>
          <w:tcPr/>
          <w:p>
            <w:pPr>
              <w:pStyle w:val="Compact"/>
              <w:jc w:val="left"/>
            </w:pPr>
            <w:r>
              <w:rPr>
                <w:bCs/>
                <w:b/>
              </w:rPr>
              <w:t xml:space="preserve">233,4 Md UGX</w:t>
            </w:r>
            <w:r>
              <w:t xml:space="preserve"> </w:t>
            </w:r>
            <w:r>
              <w:t xml:space="preserve">dont</w:t>
            </w:r>
            <w:r>
              <w:t xml:space="preserve"> </w:t>
            </w:r>
            <w:r>
              <w:rPr>
                <w:bCs/>
                <w:b/>
              </w:rPr>
              <w:t xml:space="preserve">194,7 Md de factures d’électricité impayées par des entités publiques</w:t>
            </w:r>
            <w:r>
              <w:t xml:space="preserve"> </w:t>
            </w:r>
            <w:r>
              <w:t xml:space="preserve">(héritées d’Umeme) et 38,6 Md d’engagement de l’État (pensions UEB)</w:t>
            </w:r>
          </w:p>
        </w:tc>
        <w:tc>
          <w:tcPr>
            <w:tcW w:w="1292" w:type="dxa"/>
          </w:tcPr>
          <w:tcPr/>
          <w:p>
            <w:pPr>
              <w:pStyle w:val="Compact"/>
              <w:jc w:val="left"/>
            </w:pPr>
            <w:r>
              <w:t xml:space="preserve">30/06/2025</w:t>
            </w:r>
          </w:p>
        </w:tc>
        <w:tc>
          <w:tcPr>
            <w:tcW w:w="1073" w:type="dxa"/>
          </w:tcPr>
          <w:tcPr/>
          <w:p>
            <w:pPr>
              <w:pStyle w:val="Compact"/>
              <w:jc w:val="left"/>
            </w:pPr>
            <w:r>
              <w:t xml:space="preserve">[V]</w:t>
            </w:r>
          </w:p>
        </w:tc>
        <w:tc>
          <w:tcPr>
            <w:tcW w:w="923" w:type="dxa"/>
          </w:tcPr>
          <w:tcPr/>
          <w:p>
            <w:pPr>
              <w:pStyle w:val="Compact"/>
              <w:jc w:val="left"/>
            </w:pPr>
            <w:r>
              <w:t xml:space="preserve">[1]</w:t>
            </w:r>
          </w:p>
        </w:tc>
      </w:tr>
      <w:tr>
        <w:tc>
          <w:tcPr>
            <w:tcW w:w="3271" w:type="dxa"/>
          </w:tcPr>
          <w:tcPr/>
          <w:p>
            <w:pPr>
              <w:pStyle w:val="Compact"/>
              <w:jc w:val="left"/>
            </w:pPr>
            <w:r>
              <w:t xml:space="preserve">Dettes envers UETCL / IPP</w:t>
            </w:r>
          </w:p>
        </w:tc>
        <w:tc>
          <w:tcPr>
            <w:tcW w:w="8010" w:type="dxa"/>
          </w:tcPr>
          <w:tcPr/>
          <w:p>
            <w:pPr>
              <w:pStyle w:val="Compact"/>
              <w:jc w:val="left"/>
            </w:pPr>
            <w:r>
              <w:t xml:space="preserve">[?] ; arriérés croisés pesant sur le fonds de roulement d’UETCL et UEDCL (pacte)</w:t>
            </w:r>
          </w:p>
        </w:tc>
        <w:tc>
          <w:tcPr>
            <w:tcW w:w="1292" w:type="dxa"/>
          </w:tcPr>
          <w:tcPr/>
          <w:p>
            <w:pPr>
              <w:pStyle w:val="Compact"/>
            </w:pPr>
          </w:p>
        </w:tc>
        <w:tc>
          <w:tcPr>
            <w:tcW w:w="1073" w:type="dxa"/>
          </w:tcPr>
          <w:tcPr/>
          <w:p>
            <w:pPr>
              <w:pStyle w:val="Compact"/>
              <w:jc w:val="left"/>
            </w:pPr>
            <w:r>
              <w:t xml:space="preserve">(pacte)</w:t>
            </w:r>
          </w:p>
        </w:tc>
        <w:tc>
          <w:tcPr>
            <w:tcW w:w="923" w:type="dxa"/>
          </w:tcPr>
          <w:tcPr/>
          <w:p>
            <w:pPr>
              <w:pStyle w:val="Compact"/>
              <w:jc w:val="left"/>
            </w:pPr>
            <w:r>
              <w:t xml:space="preserve">[6]</w:t>
            </w:r>
          </w:p>
        </w:tc>
      </w:tr>
      <w:tr>
        <w:tc>
          <w:tcPr>
            <w:tcW w:w="3271" w:type="dxa"/>
          </w:tcPr>
          <w:tcPr/>
          <w:p>
            <w:pPr>
              <w:pStyle w:val="Compact"/>
              <w:jc w:val="left"/>
            </w:pPr>
            <w:r>
              <w:t xml:space="preserve">Subventions</w:t>
            </w:r>
          </w:p>
        </w:tc>
        <w:tc>
          <w:tcPr>
            <w:tcW w:w="8010" w:type="dxa"/>
          </w:tcPr>
          <w:tcPr/>
          <w:p>
            <w:pPr>
              <w:pStyle w:val="Compact"/>
              <w:jc w:val="left"/>
            </w:pPr>
            <w:r>
              <w:t xml:space="preserve">« fragmentées entre lignes budgétaires » (pacte) ; montant [?]</w:t>
            </w:r>
          </w:p>
        </w:tc>
        <w:tc>
          <w:tcPr>
            <w:tcW w:w="1292" w:type="dxa"/>
          </w:tcPr>
          <w:tcPr/>
          <w:p>
            <w:pPr>
              <w:pStyle w:val="Compact"/>
            </w:pPr>
          </w:p>
        </w:tc>
        <w:tc>
          <w:tcPr>
            <w:tcW w:w="1073" w:type="dxa"/>
          </w:tcPr>
          <w:tcPr/>
          <w:p>
            <w:pPr>
              <w:pStyle w:val="Compact"/>
              <w:jc w:val="left"/>
            </w:pPr>
            <w:r>
              <w:t xml:space="preserve">(pacte)</w:t>
            </w:r>
          </w:p>
        </w:tc>
        <w:tc>
          <w:tcPr>
            <w:tcW w:w="923" w:type="dxa"/>
          </w:tcPr>
          <w:tcPr/>
          <w:p>
            <w:pPr>
              <w:pStyle w:val="Compact"/>
              <w:jc w:val="left"/>
            </w:pPr>
            <w:r>
              <w:t xml:space="preserve">[6]</w:t>
            </w:r>
          </w:p>
        </w:tc>
      </w:tr>
      <w:tr>
        <w:tc>
          <w:tcPr>
            <w:tcW w:w="3271" w:type="dxa"/>
          </w:tcPr>
          <w:tcPr/>
          <w:p>
            <w:pPr>
              <w:pStyle w:val="Compact"/>
              <w:jc w:val="left"/>
            </w:pPr>
            <w:r>
              <w:t xml:space="preserve">Taux de recouvrement</w:t>
            </w:r>
          </w:p>
        </w:tc>
        <w:tc>
          <w:tcPr>
            <w:tcW w:w="8010" w:type="dxa"/>
          </w:tcPr>
          <w:tcPr/>
          <w:p>
            <w:pPr>
              <w:pStyle w:val="Compact"/>
              <w:jc w:val="left"/>
            </w:pPr>
            <w:r>
              <w:rPr>
                <w:bCs/>
                <w:b/>
              </w:rPr>
              <w:t xml:space="preserve">100 %</w:t>
            </w:r>
            <w:r>
              <w:t xml:space="preserve"> </w:t>
            </w:r>
            <w:r>
              <w:t xml:space="preserve">(rapport annuel UEDCL FY25) ; &gt; 95 % en 2025 (BM) ; ≈ 99 % en fin de concession Umeme</w:t>
            </w:r>
          </w:p>
        </w:tc>
        <w:tc>
          <w:tcPr>
            <w:tcW w:w="1292" w:type="dxa"/>
          </w:tcPr>
          <w:tcPr/>
          <w:p>
            <w:pPr>
              <w:pStyle w:val="Compact"/>
              <w:jc w:val="left"/>
            </w:pPr>
            <w:r>
              <w:t xml:space="preserve">2025</w:t>
            </w:r>
          </w:p>
        </w:tc>
        <w:tc>
          <w:tcPr>
            <w:tcW w:w="1073" w:type="dxa"/>
          </w:tcPr>
          <w:tcPr/>
          <w:p>
            <w:pPr>
              <w:pStyle w:val="Compact"/>
              <w:jc w:val="left"/>
            </w:pPr>
            <w:r>
              <w:t xml:space="preserve">[V]</w:t>
            </w:r>
          </w:p>
        </w:tc>
        <w:tc>
          <w:tcPr>
            <w:tcW w:w="923" w:type="dxa"/>
          </w:tcPr>
          <w:tcPr/>
          <w:p>
            <w:pPr>
              <w:pStyle w:val="Compact"/>
              <w:jc w:val="left"/>
            </w:pPr>
            <w:r>
              <w:t xml:space="preserve">[1][2]</w:t>
            </w:r>
          </w:p>
        </w:tc>
      </w:tr>
      <w:tr>
        <w:tc>
          <w:tcPr>
            <w:tcW w:w="3271" w:type="dxa"/>
          </w:tcPr>
          <w:tcPr/>
          <w:p>
            <w:pPr>
              <w:pStyle w:val="Compact"/>
              <w:jc w:val="left"/>
            </w:pPr>
            <w:r>
              <w:t xml:space="preserve">Recette moyenne</w:t>
            </w:r>
          </w:p>
        </w:tc>
        <w:tc>
          <w:tcPr>
            <w:tcW w:w="8010" w:type="dxa"/>
          </w:tcPr>
          <w:tcPr/>
          <w:p>
            <w:pPr>
              <w:pStyle w:val="Compact"/>
              <w:jc w:val="left"/>
            </w:pPr>
            <w:r>
              <w:t xml:space="preserve">≈ 465 UGX/kWh vendu (669,4 Md UGX / 1 439 GWh) — ordre de grandeur, l’exercice mélangeant deux périmètres</w:t>
            </w:r>
          </w:p>
        </w:tc>
        <w:tc>
          <w:tcPr>
            <w:tcW w:w="1292" w:type="dxa"/>
          </w:tcPr>
          <w:tcPr/>
          <w:p>
            <w:pPr>
              <w:pStyle w:val="Compact"/>
              <w:jc w:val="left"/>
            </w:pPr>
            <w:r>
              <w:t xml:space="preserve">FY2024/25</w:t>
            </w:r>
          </w:p>
        </w:tc>
        <w:tc>
          <w:tcPr>
            <w:tcW w:w="1073" w:type="dxa"/>
          </w:tcPr>
          <w:tcPr/>
          <w:p>
            <w:pPr>
              <w:pStyle w:val="Compact"/>
              <w:jc w:val="left"/>
            </w:pPr>
            <w:r>
              <w:t xml:space="preserve">[E]</w:t>
            </w:r>
          </w:p>
        </w:tc>
        <w:tc>
          <w:tcPr>
            <w:tcW w:w="923" w:type="dxa"/>
          </w:tcPr>
          <w:tcPr/>
          <w:p>
            <w:pPr>
              <w:pStyle w:val="Compact"/>
              <w:jc w:val="left"/>
            </w:pPr>
            <w:r>
              <w:t xml:space="preserve">[1]</w:t>
            </w:r>
          </w:p>
        </w:tc>
      </w:tr>
      <w:tr>
        <w:tc>
          <w:tcPr>
            <w:tcW w:w="3271" w:type="dxa"/>
          </w:tcPr>
          <w:tcPr/>
          <w:p>
            <w:pPr>
              <w:pStyle w:val="Compact"/>
              <w:jc w:val="left"/>
            </w:pPr>
            <w:r>
              <w:t xml:space="preserve">Coût complet / kWh</w:t>
            </w:r>
          </w:p>
        </w:tc>
        <w:tc>
          <w:tcPr>
            <w:tcW w:w="8010" w:type="dxa"/>
          </w:tcPr>
          <w:tcPr/>
          <w:p>
            <w:pPr>
              <w:pStyle w:val="Compact"/>
              <w:jc w:val="left"/>
            </w:pPr>
            <w:r>
              <w:t xml:space="preserve">[?] ; la BM évoque des contraintes tarifaires liées à l’abordabilité qui ont érodé la qualité du réseau</w:t>
            </w:r>
          </w:p>
        </w:tc>
        <w:tc>
          <w:tcPr>
            <w:tcW w:w="1292" w:type="dxa"/>
          </w:tcPr>
          <w:tcPr/>
          <w:p>
            <w:pPr>
              <w:pStyle w:val="Compact"/>
              <w:jc w:val="left"/>
            </w:pPr>
            <w:r>
              <w:t xml:space="preserve">2026</w:t>
            </w:r>
          </w:p>
        </w:tc>
        <w:tc>
          <w:tcPr>
            <w:tcW w:w="1073" w:type="dxa"/>
          </w:tcPr>
          <w:tcPr/>
          <w:p>
            <w:pPr>
              <w:pStyle w:val="Compact"/>
              <w:jc w:val="left"/>
            </w:pPr>
            <w:r>
              <w:t xml:space="preserve">[V]</w:t>
            </w:r>
          </w:p>
        </w:tc>
        <w:tc>
          <w:tcPr>
            <w:tcW w:w="923" w:type="dxa"/>
          </w:tcPr>
          <w:tcPr/>
          <w:p>
            <w:pPr>
              <w:pStyle w:val="Compact"/>
              <w:jc w:val="left"/>
            </w:pPr>
            <w:r>
              <w:t xml:space="preserve">[3]</w:t>
            </w:r>
          </w:p>
        </w:tc>
      </w:tr>
      <w:tr>
        <w:tc>
          <w:tcPr>
            <w:tcW w:w="3271" w:type="dxa"/>
          </w:tcPr>
          <w:tcPr/>
          <w:p>
            <w:pPr>
              <w:pStyle w:val="Compact"/>
              <w:jc w:val="left"/>
            </w:pPr>
            <w:r>
              <w:t xml:space="preserve">Notation</w:t>
            </w:r>
          </w:p>
        </w:tc>
        <w:tc>
          <w:tcPr>
            <w:tcW w:w="8010" w:type="dxa"/>
          </w:tcPr>
          <w:tcPr/>
          <w:p>
            <w:pPr>
              <w:pStyle w:val="Compact"/>
              <w:jc w:val="left"/>
            </w:pPr>
            <w:r>
              <w:t xml:space="preserve">aucune</w:t>
            </w:r>
          </w:p>
        </w:tc>
        <w:tc>
          <w:tcPr>
            <w:tcW w:w="1292" w:type="dxa"/>
          </w:tcPr>
          <w:tcPr/>
          <w:p>
            <w:pPr>
              <w:pStyle w:val="Compact"/>
            </w:pPr>
          </w:p>
        </w:tc>
        <w:tc>
          <w:tcPr>
            <w:tcW w:w="1073" w:type="dxa"/>
          </w:tcPr>
          <w:tcPr/>
          <w:p>
            <w:pPr>
              <w:pStyle w:val="Compact"/>
              <w:jc w:val="left"/>
            </w:pPr>
            <w:r>
              <w:t xml:space="preserve">[?]</w:t>
            </w:r>
          </w:p>
        </w:tc>
        <w:tc>
          <w:tcPr>
            <w:tcW w:w="923" w:type="dxa"/>
          </w:tcPr>
          <w:tcPr/>
          <w:p>
            <w:pPr>
              <w:pStyle w:val="Compact"/>
            </w:pPr>
          </w:p>
        </w:tc>
      </w:tr>
    </w:tbl>
    <w:bookmarkEnd w:id="374"/>
    <w:bookmarkStart w:id="375" w:name="situation-technique-33"/>
    <w:p>
      <w:pPr>
        <w:pStyle w:val="Heading3"/>
      </w:pPr>
      <w:r>
        <w:t xml:space="preserve">2. Situation technique</w:t>
      </w:r>
    </w:p>
    <w:tbl>
      <w:tblPr>
        <w:tblStyle w:val="Table"/>
        <w:tblW w:type="dxa" w:w="14570"/>
        <w:tblLook w:firstRow="1" w:lastRow="0" w:firstColumn="0" w:lastColumn="0" w:noHBand="0" w:noVBand="0" w:val="0020"/>
        <w:jc w:val="start"/>
      </w:tblPr>
      <w:tblGrid>
        <w:gridCol w:w="2859"/>
        <w:gridCol w:w="7786"/>
        <w:gridCol w:w="1593"/>
        <w:gridCol w:w="1257"/>
        <w:gridCol w:w="1073"/>
      </w:tblGrid>
      <w:tr>
        <w:trPr>
          <w:tblHeader w:val="true"/>
        </w:trPr>
        <w:tc>
          <w:tcPr>
            <w:tcW w:w="2859" w:type="dxa"/>
          </w:tcPr>
          <w:tcPr/>
          <w:p>
            <w:pPr>
              <w:pStyle w:val="Compact"/>
              <w:jc w:val="left"/>
            </w:pPr>
            <w:r>
              <w:t xml:space="preserve">Indicateur</w:t>
            </w:r>
          </w:p>
        </w:tc>
        <w:tc>
          <w:tcPr>
            <w:tcW w:w="7786" w:type="dxa"/>
          </w:tcPr>
          <w:tcPr/>
          <w:p>
            <w:pPr>
              <w:pStyle w:val="Compact"/>
              <w:jc w:val="left"/>
            </w:pPr>
            <w:r>
              <w:t xml:space="preserve">Valeur</w:t>
            </w:r>
          </w:p>
        </w:tc>
        <w:tc>
          <w:tcPr>
            <w:tcW w:w="1593" w:type="dxa"/>
          </w:tcPr>
          <w:tcPr/>
          <w:p>
            <w:pPr>
              <w:pStyle w:val="Compact"/>
              <w:jc w:val="left"/>
            </w:pPr>
            <w:r>
              <w:t xml:space="preserve">Année</w:t>
            </w:r>
          </w:p>
        </w:tc>
        <w:tc>
          <w:tcPr>
            <w:tcW w:w="1257" w:type="dxa"/>
          </w:tcPr>
          <w:tcPr/>
          <w:p>
            <w:pPr>
              <w:pStyle w:val="Compact"/>
              <w:jc w:val="left"/>
            </w:pPr>
            <w:r>
              <w:t xml:space="preserve">Statut</w:t>
            </w:r>
          </w:p>
        </w:tc>
        <w:tc>
          <w:tcPr>
            <w:tcW w:w="1073" w:type="dxa"/>
          </w:tcPr>
          <w:tcPr/>
          <w:p>
            <w:pPr>
              <w:pStyle w:val="Compact"/>
              <w:jc w:val="left"/>
            </w:pPr>
            <w:r>
              <w:t xml:space="preserve">Source</w:t>
            </w:r>
          </w:p>
        </w:tc>
      </w:tr>
      <w:tr>
        <w:tc>
          <w:tcPr>
            <w:tcW w:w="2859" w:type="dxa"/>
          </w:tcPr>
          <w:tcPr/>
          <w:p>
            <w:pPr>
              <w:pStyle w:val="Compact"/>
              <w:jc w:val="left"/>
            </w:pPr>
            <w:r>
              <w:t xml:space="preserve">Énergie achetée / vendue (UEDCL)</w:t>
            </w:r>
          </w:p>
        </w:tc>
        <w:tc>
          <w:tcPr>
            <w:tcW w:w="7786" w:type="dxa"/>
          </w:tcPr>
          <w:tcPr/>
          <w:p>
            <w:pPr>
              <w:pStyle w:val="Compact"/>
              <w:jc w:val="left"/>
            </w:pPr>
            <w:r>
              <w:t xml:space="preserve">1 757 GWh / 1 439 GWh ; pertes</w:t>
            </w:r>
            <w:r>
              <w:t xml:space="preserve"> </w:t>
            </w:r>
            <w:r>
              <w:rPr>
                <w:bCs/>
                <w:b/>
              </w:rPr>
              <w:t xml:space="preserve">18 %</w:t>
            </w:r>
          </w:p>
        </w:tc>
        <w:tc>
          <w:tcPr>
            <w:tcW w:w="1593" w:type="dxa"/>
          </w:tcPr>
          <w:tcPr/>
          <w:p>
            <w:pPr>
              <w:pStyle w:val="Compact"/>
              <w:jc w:val="left"/>
            </w:pPr>
            <w:r>
              <w:t xml:space="preserve">FY2024/25</w:t>
            </w:r>
          </w:p>
        </w:tc>
        <w:tc>
          <w:tcPr>
            <w:tcW w:w="1257" w:type="dxa"/>
          </w:tcPr>
          <w:tcPr/>
          <w:p>
            <w:pPr>
              <w:pStyle w:val="Compact"/>
              <w:jc w:val="left"/>
            </w:pPr>
            <w:r>
              <w:t xml:space="preserve">[V]</w:t>
            </w:r>
          </w:p>
        </w:tc>
        <w:tc>
          <w:tcPr>
            <w:tcW w:w="1073" w:type="dxa"/>
          </w:tcPr>
          <w:tcPr/>
          <w:p>
            <w:pPr>
              <w:pStyle w:val="Compact"/>
              <w:jc w:val="left"/>
            </w:pPr>
            <w:r>
              <w:t xml:space="preserve">[1]</w:t>
            </w:r>
          </w:p>
        </w:tc>
      </w:tr>
      <w:tr>
        <w:tc>
          <w:tcPr>
            <w:tcW w:w="2859" w:type="dxa"/>
          </w:tcPr>
          <w:tcPr/>
          <w:p>
            <w:pPr>
              <w:pStyle w:val="Compact"/>
              <w:jc w:val="left"/>
            </w:pPr>
            <w:r>
              <w:t xml:space="preserve">Pertes UEDCL récentes</w:t>
            </w:r>
          </w:p>
        </w:tc>
        <w:tc>
          <w:tcPr>
            <w:tcW w:w="7786" w:type="dxa"/>
          </w:tcPr>
          <w:tcPr/>
          <w:p>
            <w:pPr>
              <w:pStyle w:val="Compact"/>
              <w:jc w:val="left"/>
            </w:pPr>
            <w:r>
              <w:rPr>
                <w:bCs/>
                <w:b/>
              </w:rPr>
              <w:t xml:space="preserve">18,11 %</w:t>
            </w:r>
            <w:r>
              <w:t xml:space="preserve"> </w:t>
            </w:r>
            <w:r>
              <w:t xml:space="preserve">(rapport de performance d’avril 2026) vs cible ERA 13,65 % ; 16 % à la reprise</w:t>
            </w:r>
          </w:p>
        </w:tc>
        <w:tc>
          <w:tcPr>
            <w:tcW w:w="1593" w:type="dxa"/>
          </w:tcPr>
          <w:tcPr/>
          <w:p>
            <w:pPr>
              <w:pStyle w:val="Compact"/>
              <w:jc w:val="left"/>
            </w:pPr>
            <w:r>
              <w:t xml:space="preserve">2026</w:t>
            </w:r>
          </w:p>
        </w:tc>
        <w:tc>
          <w:tcPr>
            <w:tcW w:w="1257" w:type="dxa"/>
          </w:tcPr>
          <w:tcPr/>
          <w:p>
            <w:pPr>
              <w:pStyle w:val="Compact"/>
              <w:jc w:val="left"/>
            </w:pPr>
            <w:r>
              <w:t xml:space="preserve">[S]</w:t>
            </w:r>
          </w:p>
        </w:tc>
        <w:tc>
          <w:tcPr>
            <w:tcW w:w="1073" w:type="dxa"/>
          </w:tcPr>
          <w:tcPr/>
          <w:p>
            <w:pPr>
              <w:pStyle w:val="Compact"/>
              <w:jc w:val="left"/>
            </w:pPr>
            <w:r>
              <w:t xml:space="preserve">[5]</w:t>
            </w:r>
          </w:p>
        </w:tc>
      </w:tr>
      <w:tr>
        <w:tc>
          <w:tcPr>
            <w:tcW w:w="2859" w:type="dxa"/>
          </w:tcPr>
          <w:tcPr/>
          <w:p>
            <w:pPr>
              <w:pStyle w:val="Compact"/>
              <w:jc w:val="left"/>
            </w:pPr>
            <w:r>
              <w:t xml:space="preserve">Pertes de distribution (BM)</w:t>
            </w:r>
          </w:p>
        </w:tc>
        <w:tc>
          <w:tcPr>
            <w:tcW w:w="7786" w:type="dxa"/>
          </w:tcPr>
          <w:tcPr/>
          <w:p>
            <w:pPr>
              <w:pStyle w:val="Compact"/>
              <w:jc w:val="left"/>
            </w:pPr>
            <w:r>
              <w:t xml:space="preserve">≈ 16,4 % (2024) ; transport ≈ 4,9 % (2026)</w:t>
            </w:r>
          </w:p>
        </w:tc>
        <w:tc>
          <w:tcPr>
            <w:tcW w:w="1593" w:type="dxa"/>
          </w:tcPr>
          <w:tcPr/>
          <w:p>
            <w:pPr>
              <w:pStyle w:val="Compact"/>
              <w:jc w:val="left"/>
            </w:pPr>
            <w:r>
              <w:t xml:space="preserve">2024–2026</w:t>
            </w:r>
          </w:p>
        </w:tc>
        <w:tc>
          <w:tcPr>
            <w:tcW w:w="1257" w:type="dxa"/>
          </w:tcPr>
          <w:tcPr/>
          <w:p>
            <w:pPr>
              <w:pStyle w:val="Compact"/>
              <w:jc w:val="left"/>
            </w:pPr>
            <w:r>
              <w:t xml:space="preserve">[V]</w:t>
            </w:r>
          </w:p>
        </w:tc>
        <w:tc>
          <w:tcPr>
            <w:tcW w:w="1073" w:type="dxa"/>
          </w:tcPr>
          <w:tcPr/>
          <w:p>
            <w:pPr>
              <w:pStyle w:val="Compact"/>
              <w:jc w:val="left"/>
            </w:pPr>
            <w:r>
              <w:t xml:space="preserve">[2]</w:t>
            </w:r>
          </w:p>
        </w:tc>
      </w:tr>
      <w:tr>
        <w:tc>
          <w:tcPr>
            <w:tcW w:w="2859" w:type="dxa"/>
          </w:tcPr>
          <w:tcPr/>
          <w:p>
            <w:pPr>
              <w:pStyle w:val="Compact"/>
              <w:jc w:val="left"/>
            </w:pPr>
            <w:r>
              <w:t xml:space="preserve">SAIDI / SAIFI (UEDCL)</w:t>
            </w:r>
          </w:p>
        </w:tc>
        <w:tc>
          <w:tcPr>
            <w:tcW w:w="7786" w:type="dxa"/>
          </w:tcPr>
          <w:tcPr/>
          <w:p>
            <w:pPr>
              <w:pStyle w:val="Compact"/>
              <w:jc w:val="left"/>
            </w:pPr>
            <w:r>
              <w:t xml:space="preserve">SAIFI 5,42–9,16 interruptions/mois ; SAIDI 7,93–12,39 h (mensuel, fin FY2024/25) ; objectifs du plan stratégique : SAIDI 87 → 81 → 76 h, SAIFI 68 → 63 → 59</w:t>
            </w:r>
          </w:p>
        </w:tc>
        <w:tc>
          <w:tcPr>
            <w:tcW w:w="1593" w:type="dxa"/>
          </w:tcPr>
          <w:tcPr/>
          <w:p>
            <w:pPr>
              <w:pStyle w:val="Compact"/>
              <w:jc w:val="left"/>
            </w:pPr>
            <w:r>
              <w:t xml:space="preserve">FY2024/25</w:t>
            </w:r>
          </w:p>
        </w:tc>
        <w:tc>
          <w:tcPr>
            <w:tcW w:w="1257" w:type="dxa"/>
          </w:tcPr>
          <w:tcPr/>
          <w:p>
            <w:pPr>
              <w:pStyle w:val="Compact"/>
              <w:jc w:val="left"/>
            </w:pPr>
            <w:r>
              <w:t xml:space="preserve">[V]</w:t>
            </w:r>
          </w:p>
        </w:tc>
        <w:tc>
          <w:tcPr>
            <w:tcW w:w="1073" w:type="dxa"/>
          </w:tcPr>
          <w:tcPr/>
          <w:p>
            <w:pPr>
              <w:pStyle w:val="Compact"/>
              <w:jc w:val="left"/>
            </w:pPr>
            <w:r>
              <w:t xml:space="preserve">[1]</w:t>
            </w:r>
          </w:p>
        </w:tc>
      </w:tr>
      <w:tr>
        <w:tc>
          <w:tcPr>
            <w:tcW w:w="2859" w:type="dxa"/>
          </w:tcPr>
          <w:tcPr/>
          <w:p>
            <w:pPr>
              <w:pStyle w:val="Compact"/>
              <w:jc w:val="left"/>
            </w:pPr>
            <w:r>
              <w:t xml:space="preserve">Clients</w:t>
            </w:r>
          </w:p>
        </w:tc>
        <w:tc>
          <w:tcPr>
            <w:tcW w:w="7786" w:type="dxa"/>
          </w:tcPr>
          <w:tcPr/>
          <w:p>
            <w:pPr>
              <w:pStyle w:val="Compact"/>
              <w:jc w:val="left"/>
            </w:pPr>
            <w:r>
              <w:rPr>
                <w:bCs/>
                <w:b/>
              </w:rPr>
              <w:t xml:space="preserve">2 487 346</w:t>
            </w:r>
            <w:r>
              <w:t xml:space="preserve"> </w:t>
            </w:r>
            <w:r>
              <w:t xml:space="preserve">(juin 2025), dont 2 458 846 prépayés (</w:t>
            </w:r>
            <w:r>
              <w:rPr>
                <w:bCs/>
                <w:b/>
              </w:rPr>
              <w:t xml:space="preserve">99 %</w:t>
            </w:r>
            <w:r>
              <w:t xml:space="preserve">) ; 2 227 568 repris d’Umeme ; 2,76 M clients actifs (mars 2026)</w:t>
            </w:r>
          </w:p>
        </w:tc>
        <w:tc>
          <w:tcPr>
            <w:tcW w:w="1593" w:type="dxa"/>
          </w:tcPr>
          <w:tcPr/>
          <w:p>
            <w:pPr>
              <w:pStyle w:val="Compact"/>
              <w:jc w:val="left"/>
            </w:pPr>
            <w:r>
              <w:t xml:space="preserve">2025–2026</w:t>
            </w:r>
          </w:p>
        </w:tc>
        <w:tc>
          <w:tcPr>
            <w:tcW w:w="1257" w:type="dxa"/>
          </w:tcPr>
          <w:tcPr/>
          <w:p>
            <w:pPr>
              <w:pStyle w:val="Compact"/>
              <w:jc w:val="left"/>
            </w:pPr>
            <w:r>
              <w:t xml:space="preserve">[V] / [S]</w:t>
            </w:r>
          </w:p>
        </w:tc>
        <w:tc>
          <w:tcPr>
            <w:tcW w:w="1073" w:type="dxa"/>
          </w:tcPr>
          <w:tcPr/>
          <w:p>
            <w:pPr>
              <w:pStyle w:val="Compact"/>
              <w:jc w:val="left"/>
            </w:pPr>
            <w:r>
              <w:t xml:space="preserve">[1][5]</w:t>
            </w:r>
          </w:p>
        </w:tc>
      </w:tr>
      <w:tr>
        <w:tc>
          <w:tcPr>
            <w:tcW w:w="2859" w:type="dxa"/>
          </w:tcPr>
          <w:tcPr/>
          <w:p>
            <w:pPr>
              <w:pStyle w:val="Compact"/>
              <w:jc w:val="left"/>
            </w:pPr>
            <w:r>
              <w:t xml:space="preserve">Capacité</w:t>
            </w:r>
          </w:p>
        </w:tc>
        <w:tc>
          <w:tcPr>
            <w:tcW w:w="7786" w:type="dxa"/>
          </w:tcPr>
          <w:tcPr/>
          <w:p>
            <w:pPr>
              <w:pStyle w:val="Compact"/>
              <w:jc w:val="left"/>
            </w:pPr>
            <w:r>
              <w:t xml:space="preserve">≈ 2,0 GW (février 2026), ≈ 82 % hydro ; ventes 6,3 TWh (2026)</w:t>
            </w:r>
          </w:p>
        </w:tc>
        <w:tc>
          <w:tcPr>
            <w:tcW w:w="1593" w:type="dxa"/>
          </w:tcPr>
          <w:tcPr/>
          <w:p>
            <w:pPr>
              <w:pStyle w:val="Compact"/>
              <w:jc w:val="left"/>
            </w:pPr>
            <w:r>
              <w:t xml:space="preserve">2026</w:t>
            </w:r>
          </w:p>
        </w:tc>
        <w:tc>
          <w:tcPr>
            <w:tcW w:w="1257" w:type="dxa"/>
          </w:tcPr>
          <w:tcPr/>
          <w:p>
            <w:pPr>
              <w:pStyle w:val="Compact"/>
              <w:jc w:val="left"/>
            </w:pPr>
            <w:r>
              <w:t xml:space="preserve">[V]</w:t>
            </w:r>
          </w:p>
        </w:tc>
        <w:tc>
          <w:tcPr>
            <w:tcW w:w="1073" w:type="dxa"/>
          </w:tcPr>
          <w:tcPr/>
          <w:p>
            <w:pPr>
              <w:pStyle w:val="Compact"/>
              <w:jc w:val="left"/>
            </w:pPr>
            <w:r>
              <w:t xml:space="preserve">[2]</w:t>
            </w:r>
          </w:p>
        </w:tc>
      </w:tr>
      <w:tr>
        <w:tc>
          <w:tcPr>
            <w:tcW w:w="2859" w:type="dxa"/>
          </w:tcPr>
          <w:tcPr/>
          <w:p>
            <w:pPr>
              <w:pStyle w:val="Compact"/>
              <w:jc w:val="left"/>
            </w:pPr>
            <w:r>
              <w:t xml:space="preserve">Surcapacité</w:t>
            </w:r>
          </w:p>
        </w:tc>
        <w:tc>
          <w:tcPr>
            <w:tcW w:w="7786" w:type="dxa"/>
          </w:tcPr>
          <w:tcPr/>
          <w:p>
            <w:pPr>
              <w:pStyle w:val="Compact"/>
              <w:jc w:val="left"/>
            </w:pPr>
            <w:r>
              <w:t xml:space="preserve">« Excess supply may become a financial burden for the sector in the absence of increased demand » ; facteur de charge de Karuma ≈ 21 % (pacte)</w:t>
            </w:r>
          </w:p>
        </w:tc>
        <w:tc>
          <w:tcPr>
            <w:tcW w:w="1593" w:type="dxa"/>
          </w:tcPr>
          <w:tcPr/>
          <w:p>
            <w:pPr>
              <w:pStyle w:val="Compact"/>
              <w:jc w:val="left"/>
            </w:pPr>
            <w:r>
              <w:t xml:space="preserve">2025–2026</w:t>
            </w:r>
          </w:p>
        </w:tc>
        <w:tc>
          <w:tcPr>
            <w:tcW w:w="1257" w:type="dxa"/>
          </w:tcPr>
          <w:tcPr/>
          <w:p>
            <w:pPr>
              <w:pStyle w:val="Compact"/>
              <w:jc w:val="left"/>
            </w:pPr>
            <w:r>
              <w:t xml:space="preserve">[V] / (pacte)</w:t>
            </w:r>
          </w:p>
        </w:tc>
        <w:tc>
          <w:tcPr>
            <w:tcW w:w="1073" w:type="dxa"/>
          </w:tcPr>
          <w:tcPr/>
          <w:p>
            <w:pPr>
              <w:pStyle w:val="Compact"/>
              <w:jc w:val="left"/>
            </w:pPr>
            <w:r>
              <w:t xml:space="preserve">[2][6]</w:t>
            </w:r>
          </w:p>
        </w:tc>
      </w:tr>
    </w:tbl>
    <w:bookmarkEnd w:id="375"/>
    <w:bookmarkStart w:id="376" w:name="situation-économique-et-gouvernance-33"/>
    <w:p>
      <w:pPr>
        <w:pStyle w:val="Heading3"/>
      </w:pPr>
      <w:r>
        <w:t xml:space="preserve">3. Situation économique et gouvernance</w:t>
      </w:r>
    </w:p>
    <w:p>
      <w:pPr>
        <w:numPr>
          <w:ilvl w:val="0"/>
          <w:numId w:val="1200"/>
        </w:numPr>
        <w:pStyle w:val="Compact"/>
      </w:pPr>
      <w:r>
        <w:rPr>
          <w:bCs/>
          <w:b/>
        </w:rPr>
        <w:t xml:space="preserve">PPA</w:t>
      </w:r>
      <w:r>
        <w:t xml:space="preserve"> </w:t>
      </w:r>
      <w:r>
        <w:t xml:space="preserve">: UETCL acheteur unique ; IPP ≈ un tiers de la capacité (Bujagali 250 MW) ; risque de paiements d’« énergie réputée » (deemed energy) en cas de surcapacité (pacte) [6] ; la BM présente l’interconnexion avec la Tanzanie comme moyen d’exporter le surplus et d’améliorer les finances d’UETCL [2] [V].</w:t>
      </w:r>
    </w:p>
    <w:p>
      <w:pPr>
        <w:numPr>
          <w:ilvl w:val="0"/>
          <w:numId w:val="1200"/>
        </w:numPr>
        <w:pStyle w:val="Compact"/>
      </w:pPr>
      <w:r>
        <w:rPr>
          <w:bCs/>
          <w:b/>
        </w:rPr>
        <w:t xml:space="preserve">Change</w:t>
      </w:r>
      <w:r>
        <w:t xml:space="preserve"> </w:t>
      </w:r>
      <w:r>
        <w:t xml:space="preserve">: tarifs ajustés trimestriellement selon change et inflation (pacte) [6].</w:t>
      </w:r>
    </w:p>
    <w:p>
      <w:pPr>
        <w:numPr>
          <w:ilvl w:val="0"/>
          <w:numId w:val="1200"/>
        </w:numPr>
        <w:pStyle w:val="Compact"/>
      </w:pPr>
      <w:r>
        <w:rPr>
          <w:bCs/>
          <w:b/>
        </w:rPr>
        <w:t xml:space="preserve">Transition Umeme → UEDCL</w:t>
      </w:r>
      <w:r>
        <w:t xml:space="preserve"> </w:t>
      </w:r>
      <w:r>
        <w:t xml:space="preserve">: restrictions d’investissement d’Umeme en fin de concession (décision de non-renouvellement) [1] [V] ; rachat des actifs (valeur de rachat) ; selon la presse, président du conseil révoqué et DG mis en congé forcé en 2026 [5] [S].</w:t>
      </w:r>
    </w:p>
    <w:p>
      <w:pPr>
        <w:numPr>
          <w:ilvl w:val="0"/>
          <w:numId w:val="1200"/>
        </w:numPr>
        <w:pStyle w:val="Compact"/>
      </w:pPr>
      <w:r>
        <w:rPr>
          <w:bCs/>
          <w:b/>
        </w:rPr>
        <w:t xml:space="preserve">Gouvernance</w:t>
      </w:r>
      <w:r>
        <w:t xml:space="preserve"> </w:t>
      </w:r>
      <w:r>
        <w:t xml:space="preserve">: comptes audités et publiés ; mais forte instabilité de direction et pertes en hausse depuis la reprise [5] [S].</w:t>
      </w:r>
    </w:p>
    <w:bookmarkEnd w:id="376"/>
    <w:bookmarkStart w:id="377" w:name="X732a2c7b8f090bdc87c24ced2d269bc4afeb40e"/>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625"/>
        <w:gridCol w:w="1122"/>
        <w:gridCol w:w="1744"/>
        <w:gridCol w:w="1388"/>
        <w:gridCol w:w="3971"/>
        <w:gridCol w:w="696"/>
        <w:gridCol w:w="1165"/>
        <w:gridCol w:w="857"/>
      </w:tblGrid>
      <w:tr>
        <w:trPr>
          <w:tblHeader w:val="true"/>
        </w:trPr>
        <w:tc>
          <w:tcPr>
            <w:tcW w:w="3625" w:type="dxa"/>
          </w:tcPr>
          <w:tcPr/>
          <w:p>
            <w:pPr>
              <w:pStyle w:val="Compact"/>
              <w:jc w:val="left"/>
            </w:pPr>
            <w:r>
              <w:t xml:space="preserve">Programme / projet</w:t>
            </w:r>
          </w:p>
        </w:tc>
        <w:tc>
          <w:tcPr>
            <w:tcW w:w="1122" w:type="dxa"/>
          </w:tcPr>
          <w:tcPr/>
          <w:p>
            <w:pPr>
              <w:pStyle w:val="Compact"/>
              <w:jc w:val="left"/>
            </w:pPr>
            <w:r>
              <w:t xml:space="preserve">Bailleur</w:t>
            </w:r>
          </w:p>
        </w:tc>
        <w:tc>
          <w:tcPr>
            <w:tcW w:w="1744" w:type="dxa"/>
          </w:tcPr>
          <w:tcPr/>
          <w:p>
            <w:pPr>
              <w:pStyle w:val="Compact"/>
              <w:jc w:val="left"/>
            </w:pPr>
            <w:r>
              <w:t xml:space="preserve">Montant</w:t>
            </w:r>
          </w:p>
        </w:tc>
        <w:tc>
          <w:tcPr>
            <w:tcW w:w="1388" w:type="dxa"/>
          </w:tcPr>
          <w:tcPr/>
          <w:p>
            <w:pPr>
              <w:pStyle w:val="Compact"/>
              <w:jc w:val="left"/>
            </w:pPr>
            <w:r>
              <w:t xml:space="preserve">Années</w:t>
            </w:r>
          </w:p>
        </w:tc>
        <w:tc>
          <w:tcPr>
            <w:tcW w:w="3971" w:type="dxa"/>
          </w:tcPr>
          <w:tcPr/>
          <w:p>
            <w:pPr>
              <w:pStyle w:val="Compact"/>
              <w:jc w:val="left"/>
            </w:pPr>
            <w:r>
              <w:t xml:space="preserve">Objectifs liés à l’opérateur</w:t>
            </w:r>
          </w:p>
        </w:tc>
        <w:tc>
          <w:tcPr>
            <w:tcW w:w="696" w:type="dxa"/>
          </w:tcPr>
          <w:tcPr/>
          <w:p>
            <w:pPr>
              <w:pStyle w:val="Compact"/>
              <w:jc w:val="left"/>
            </w:pPr>
            <w:r>
              <w:t xml:space="preserve">Conditions / indicateurs</w:t>
            </w:r>
          </w:p>
        </w:tc>
        <w:tc>
          <w:tcPr>
            <w:tcW w:w="1165" w:type="dxa"/>
          </w:tcPr>
          <w:tcPr/>
          <w:p>
            <w:pPr>
              <w:pStyle w:val="Compact"/>
              <w:jc w:val="left"/>
            </w:pPr>
            <w:r>
              <w:t xml:space="preserve">Statut</w:t>
            </w:r>
          </w:p>
        </w:tc>
        <w:tc>
          <w:tcPr>
            <w:tcW w:w="857" w:type="dxa"/>
          </w:tcPr>
          <w:tcPr/>
          <w:p>
            <w:pPr>
              <w:pStyle w:val="Compact"/>
              <w:jc w:val="left"/>
            </w:pPr>
            <w:r>
              <w:t xml:space="preserve">Source</w:t>
            </w:r>
          </w:p>
        </w:tc>
      </w:tr>
      <w:tr>
        <w:tc>
          <w:tcPr>
            <w:tcW w:w="3625" w:type="dxa"/>
          </w:tcPr>
          <w:tcPr/>
          <w:p>
            <w:pPr>
              <w:pStyle w:val="Compact"/>
              <w:jc w:val="left"/>
            </w:pPr>
            <w:r>
              <w:t xml:space="preserve">Electricity Access Scale-up Project — EASP (P166685)</w:t>
            </w:r>
          </w:p>
        </w:tc>
        <w:tc>
          <w:tcPr>
            <w:tcW w:w="1122" w:type="dxa"/>
          </w:tcPr>
          <w:tcPr/>
          <w:p>
            <w:pPr>
              <w:pStyle w:val="Compact"/>
              <w:jc w:val="left"/>
            </w:pPr>
            <w:r>
              <w:t xml:space="preserve">BM</w:t>
            </w:r>
          </w:p>
        </w:tc>
        <w:tc>
          <w:tcPr>
            <w:tcW w:w="1744" w:type="dxa"/>
          </w:tcPr>
          <w:tcPr/>
          <w:p>
            <w:pPr>
              <w:pStyle w:val="Compact"/>
              <w:jc w:val="left"/>
            </w:pPr>
            <w:r>
              <w:t xml:space="preserve">568 M USD + 40 M don</w:t>
            </w:r>
          </w:p>
        </w:tc>
        <w:tc>
          <w:tcPr>
            <w:tcW w:w="1388" w:type="dxa"/>
          </w:tcPr>
          <w:tcPr/>
          <w:p>
            <w:pPr>
              <w:pStyle w:val="Compact"/>
              <w:jc w:val="left"/>
            </w:pPr>
            <w:r>
              <w:t xml:space="preserve">2022–2027</w:t>
            </w:r>
          </w:p>
        </w:tc>
        <w:tc>
          <w:tcPr>
            <w:tcW w:w="3971" w:type="dxa"/>
          </w:tcPr>
          <w:tcPr/>
          <w:p>
            <w:pPr>
              <w:pStyle w:val="Compact"/>
              <w:jc w:val="left"/>
            </w:pPr>
            <w:r>
              <w:t xml:space="preserve">raccordements (MEMD, UECCC) ; analyse des options de réforme du secteur et de participation privée</w:t>
            </w:r>
          </w:p>
        </w:tc>
        <w:tc>
          <w:tcPr>
            <w:tcW w:w="696" w:type="dxa"/>
          </w:tcPr>
          <w:tcPr/>
          <w:p>
            <w:pPr>
              <w:pStyle w:val="Compact"/>
              <w:jc w:val="left"/>
            </w:pPr>
            <w:r>
              <w:t xml:space="preserve">—</w:t>
            </w:r>
          </w:p>
        </w:tc>
        <w:tc>
          <w:tcPr>
            <w:tcW w:w="1165" w:type="dxa"/>
          </w:tcPr>
          <w:tcPr/>
          <w:p>
            <w:pPr>
              <w:pStyle w:val="Compact"/>
              <w:jc w:val="left"/>
            </w:pPr>
            <w:r>
              <w:t xml:space="preserve">Actif</w:t>
            </w:r>
          </w:p>
        </w:tc>
        <w:tc>
          <w:tcPr>
            <w:tcW w:w="857" w:type="dxa"/>
          </w:tcPr>
          <w:tcPr/>
          <w:p>
            <w:pPr>
              <w:pStyle w:val="Compact"/>
              <w:jc w:val="left"/>
            </w:pPr>
            <w:r>
              <w:t xml:space="preserve">[4][3]</w:t>
            </w:r>
          </w:p>
        </w:tc>
      </w:tr>
      <w:tr>
        <w:tc>
          <w:tcPr>
            <w:tcW w:w="3625" w:type="dxa"/>
          </w:tcPr>
          <w:tcPr/>
          <w:p>
            <w:pPr>
              <w:pStyle w:val="Compact"/>
              <w:jc w:val="left"/>
            </w:pPr>
            <w:r>
              <w:rPr>
                <w:bCs/>
                <w:b/>
              </w:rPr>
              <w:t xml:space="preserve">ASCENT Uganda (P514490)</w:t>
            </w:r>
          </w:p>
        </w:tc>
        <w:tc>
          <w:tcPr>
            <w:tcW w:w="1122" w:type="dxa"/>
          </w:tcPr>
          <w:tcPr/>
          <w:p>
            <w:pPr>
              <w:pStyle w:val="Compact"/>
              <w:jc w:val="left"/>
            </w:pPr>
            <w:r>
              <w:t xml:space="preserve">BM</w:t>
            </w:r>
          </w:p>
        </w:tc>
        <w:tc>
          <w:tcPr>
            <w:tcW w:w="1744" w:type="dxa"/>
          </w:tcPr>
          <w:tcPr/>
          <w:p>
            <w:pPr>
              <w:pStyle w:val="Compact"/>
              <w:jc w:val="left"/>
            </w:pPr>
            <w:r>
              <w:t xml:space="preserve">250 M USD IDA (+ 120 M commercial ; coût 370 M)</w:t>
            </w:r>
          </w:p>
        </w:tc>
        <w:tc>
          <w:tcPr>
            <w:tcW w:w="1388" w:type="dxa"/>
          </w:tcPr>
          <w:tcPr/>
          <w:p>
            <w:pPr>
              <w:pStyle w:val="Compact"/>
              <w:jc w:val="left"/>
            </w:pPr>
            <w:r>
              <w:t xml:space="preserve">approbation prévue 13/11/2026</w:t>
            </w:r>
          </w:p>
        </w:tc>
        <w:tc>
          <w:tcPr>
            <w:tcW w:w="3971" w:type="dxa"/>
          </w:tcPr>
          <w:tcPr/>
          <w:p>
            <w:pPr>
              <w:pStyle w:val="Compact"/>
              <w:jc w:val="left"/>
            </w:pPr>
            <w:r>
              <w:rPr>
                <w:bCs/>
                <w:b/>
              </w:rPr>
              <w:t xml:space="preserve">UEDCL</w:t>
            </w:r>
            <w:r>
              <w:t xml:space="preserve"> </w:t>
            </w:r>
            <w:r>
              <w:t xml:space="preserve">: 70 M raccordements « no-pole/one-pole », 50 M réhabilitation réseau ; UECCC (crédit, RBF) ; renforcement des capacités d’UEDCL (1er projet BM géré par UEDCL)</w:t>
            </w:r>
          </w:p>
        </w:tc>
        <w:tc>
          <w:tcPr>
            <w:tcW w:w="696" w:type="dxa"/>
          </w:tcPr>
          <w:tcPr/>
          <w:p>
            <w:pPr>
              <w:pStyle w:val="Compact"/>
              <w:jc w:val="left"/>
            </w:pPr>
            <w:r>
              <w:t xml:space="preserve">—</w:t>
            </w:r>
          </w:p>
        </w:tc>
        <w:tc>
          <w:tcPr>
            <w:tcW w:w="1165" w:type="dxa"/>
          </w:tcPr>
          <w:tcPr/>
          <w:p>
            <w:pPr>
              <w:pStyle w:val="Compact"/>
              <w:jc w:val="left"/>
            </w:pPr>
            <w:r>
              <w:t xml:space="preserve">Pipeline (PID d’évaluation 01/06/2026)</w:t>
            </w:r>
          </w:p>
        </w:tc>
        <w:tc>
          <w:tcPr>
            <w:tcW w:w="857" w:type="dxa"/>
          </w:tcPr>
          <w:tcPr/>
          <w:p>
            <w:pPr>
              <w:pStyle w:val="Compact"/>
              <w:jc w:val="left"/>
            </w:pPr>
            <w:r>
              <w:t xml:space="preserve">[3]</w:t>
            </w:r>
          </w:p>
        </w:tc>
      </w:tr>
      <w:tr>
        <w:tc>
          <w:tcPr>
            <w:tcW w:w="3625" w:type="dxa"/>
          </w:tcPr>
          <w:tcPr/>
          <w:p>
            <w:pPr>
              <w:pStyle w:val="Compact"/>
              <w:jc w:val="left"/>
            </w:pPr>
            <w:r>
              <w:rPr>
                <w:bCs/>
                <w:b/>
              </w:rPr>
              <w:t xml:space="preserve">Uganda-Tanzania Interconnector (P513494)</w:t>
            </w:r>
            <w:r>
              <w:t xml:space="preserve"> </w:t>
            </w:r>
            <w:r>
              <w:t xml:space="preserve">— volet du</w:t>
            </w:r>
            <w:r>
              <w:t xml:space="preserve"> </w:t>
            </w:r>
            <w:r>
              <w:rPr>
                <w:iCs/>
                <w:i/>
              </w:rPr>
              <w:t xml:space="preserve">Regional Power Trade and Market Project</w:t>
            </w:r>
          </w:p>
        </w:tc>
        <w:tc>
          <w:tcPr>
            <w:tcW w:w="1122" w:type="dxa"/>
          </w:tcPr>
          <w:tcPr/>
          <w:p>
            <w:pPr>
              <w:pStyle w:val="Compact"/>
              <w:jc w:val="left"/>
            </w:pPr>
            <w:r>
              <w:t xml:space="preserve">BM</w:t>
            </w:r>
          </w:p>
        </w:tc>
        <w:tc>
          <w:tcPr>
            <w:tcW w:w="1744" w:type="dxa"/>
          </w:tcPr>
          <w:tcPr/>
          <w:p>
            <w:pPr>
              <w:pStyle w:val="Compact"/>
              <w:jc w:val="left"/>
            </w:pPr>
            <w:r>
              <w:t xml:space="preserve">250 M USD</w:t>
            </w:r>
          </w:p>
        </w:tc>
        <w:tc>
          <w:tcPr>
            <w:tcW w:w="1388" w:type="dxa"/>
          </w:tcPr>
          <w:tcPr/>
          <w:p>
            <w:pPr>
              <w:pStyle w:val="Compact"/>
              <w:jc w:val="left"/>
            </w:pPr>
            <w:r>
              <w:t xml:space="preserve">approuvé 04/06/2026</w:t>
            </w:r>
          </w:p>
        </w:tc>
        <w:tc>
          <w:tcPr>
            <w:tcW w:w="3971" w:type="dxa"/>
          </w:tcPr>
          <w:tcPr/>
          <w:p>
            <w:pPr>
              <w:pStyle w:val="Compact"/>
              <w:jc w:val="left"/>
            </w:pPr>
            <w:r>
              <w:t xml:space="preserve">UETCL : ligne 400 kV Masaka–Mwanza ; capacité d’exploitation EAPP ; recettes d’export</w:t>
            </w:r>
          </w:p>
        </w:tc>
        <w:tc>
          <w:tcPr>
            <w:tcW w:w="696" w:type="dxa"/>
          </w:tcPr>
          <w:tcPr/>
          <w:p>
            <w:pPr>
              <w:pStyle w:val="Compact"/>
              <w:jc w:val="left"/>
            </w:pPr>
            <w:r>
              <w:t xml:space="preserve">—</w:t>
            </w:r>
          </w:p>
        </w:tc>
        <w:tc>
          <w:tcPr>
            <w:tcW w:w="1165" w:type="dxa"/>
          </w:tcPr>
          <w:tcPr/>
          <w:p>
            <w:pPr>
              <w:pStyle w:val="Compact"/>
              <w:jc w:val="left"/>
            </w:pPr>
            <w:r>
              <w:t xml:space="preserve">Actif</w:t>
            </w:r>
          </w:p>
        </w:tc>
        <w:tc>
          <w:tcPr>
            <w:tcW w:w="857" w:type="dxa"/>
          </w:tcPr>
          <w:tcPr/>
          <w:p>
            <w:pPr>
              <w:pStyle w:val="Compact"/>
              <w:jc w:val="left"/>
            </w:pPr>
            <w:r>
              <w:t xml:space="preserve">[2][4]</w:t>
            </w:r>
          </w:p>
        </w:tc>
      </w:tr>
      <w:tr>
        <w:tc>
          <w:tcPr>
            <w:tcW w:w="3625" w:type="dxa"/>
          </w:tcPr>
          <w:tcPr/>
          <w:p>
            <w:pPr>
              <w:pStyle w:val="Compact"/>
              <w:jc w:val="left"/>
            </w:pPr>
            <w:r>
              <w:t xml:space="preserve">Uganda Rural Electrification (P159112)</w:t>
            </w:r>
          </w:p>
        </w:tc>
        <w:tc>
          <w:tcPr>
            <w:tcW w:w="1122" w:type="dxa"/>
          </w:tcPr>
          <w:tcPr/>
          <w:p>
            <w:pPr>
              <w:pStyle w:val="Compact"/>
              <w:jc w:val="left"/>
            </w:pPr>
            <w:r>
              <w:t xml:space="preserve">BM (don)</w:t>
            </w:r>
          </w:p>
        </w:tc>
        <w:tc>
          <w:tcPr>
            <w:tcW w:w="1744" w:type="dxa"/>
          </w:tcPr>
          <w:tcPr/>
          <w:p>
            <w:pPr>
              <w:pStyle w:val="Compact"/>
              <w:jc w:val="left"/>
            </w:pPr>
            <w:r>
              <w:t xml:space="preserve">13,7 M USD</w:t>
            </w:r>
          </w:p>
        </w:tc>
        <w:tc>
          <w:tcPr>
            <w:tcW w:w="1388" w:type="dxa"/>
          </w:tcPr>
          <w:tcPr/>
          <w:p>
            <w:pPr>
              <w:pStyle w:val="Compact"/>
              <w:jc w:val="left"/>
            </w:pPr>
            <w:r>
              <w:t xml:space="preserve">2016–2026</w:t>
            </w:r>
          </w:p>
        </w:tc>
        <w:tc>
          <w:tcPr>
            <w:tcW w:w="3971" w:type="dxa"/>
          </w:tcPr>
          <w:tcPr/>
          <w:p>
            <w:pPr>
              <w:pStyle w:val="Compact"/>
              <w:jc w:val="left"/>
            </w:pPr>
            <w:r>
              <w:t xml:space="preserve">—</w:t>
            </w:r>
          </w:p>
        </w:tc>
        <w:tc>
          <w:tcPr>
            <w:tcW w:w="696" w:type="dxa"/>
          </w:tcPr>
          <w:tcPr/>
          <w:p>
            <w:pPr>
              <w:pStyle w:val="Compact"/>
              <w:jc w:val="left"/>
            </w:pPr>
            <w:r>
              <w:t xml:space="preserve">—</w:t>
            </w:r>
          </w:p>
        </w:tc>
        <w:tc>
          <w:tcPr>
            <w:tcW w:w="1165" w:type="dxa"/>
          </w:tcPr>
          <w:tcPr/>
          <w:p>
            <w:pPr>
              <w:pStyle w:val="Compact"/>
              <w:jc w:val="left"/>
            </w:pPr>
            <w:r>
              <w:t xml:space="preserve">Actif</w:t>
            </w:r>
          </w:p>
        </w:tc>
        <w:tc>
          <w:tcPr>
            <w:tcW w:w="857" w:type="dxa"/>
          </w:tcPr>
          <w:tcPr/>
          <w:p>
            <w:pPr>
              <w:pStyle w:val="Compact"/>
              <w:jc w:val="left"/>
            </w:pPr>
            <w:r>
              <w:t xml:space="preserve">[4]</w:t>
            </w:r>
          </w:p>
        </w:tc>
      </w:tr>
      <w:tr>
        <w:tc>
          <w:tcPr>
            <w:tcW w:w="3625" w:type="dxa"/>
          </w:tcPr>
          <w:tcPr/>
          <w:p>
            <w:pPr>
              <w:pStyle w:val="Compact"/>
              <w:jc w:val="left"/>
            </w:pPr>
            <w:r>
              <w:t xml:space="preserve">Grid Expansion and Reinforcement Project (P133305)</w:t>
            </w:r>
          </w:p>
        </w:tc>
        <w:tc>
          <w:tcPr>
            <w:tcW w:w="1122" w:type="dxa"/>
          </w:tcPr>
          <w:tcPr/>
          <w:p>
            <w:pPr>
              <w:pStyle w:val="Compact"/>
              <w:jc w:val="left"/>
            </w:pPr>
            <w:r>
              <w:t xml:space="preserve">BM</w:t>
            </w:r>
          </w:p>
        </w:tc>
        <w:tc>
          <w:tcPr>
            <w:tcW w:w="1744" w:type="dxa"/>
          </w:tcPr>
          <w:tcPr/>
          <w:p>
            <w:pPr>
              <w:pStyle w:val="Compact"/>
              <w:jc w:val="left"/>
            </w:pPr>
            <w:r>
              <w:t xml:space="preserve">100 M USD</w:t>
            </w:r>
          </w:p>
        </w:tc>
        <w:tc>
          <w:tcPr>
            <w:tcW w:w="1388" w:type="dxa"/>
          </w:tcPr>
          <w:tcPr/>
          <w:p>
            <w:pPr>
              <w:pStyle w:val="Compact"/>
              <w:jc w:val="left"/>
            </w:pPr>
            <w:r>
              <w:t xml:space="preserve">2016–2024</w:t>
            </w:r>
          </w:p>
        </w:tc>
        <w:tc>
          <w:tcPr>
            <w:tcW w:w="3971" w:type="dxa"/>
          </w:tcPr>
          <w:tcPr/>
          <w:p>
            <w:pPr>
              <w:pStyle w:val="Compact"/>
              <w:jc w:val="left"/>
            </w:pPr>
            <w:r>
              <w:t xml:space="preserve">UETCL</w:t>
            </w:r>
          </w:p>
        </w:tc>
        <w:tc>
          <w:tcPr>
            <w:tcW w:w="696" w:type="dxa"/>
          </w:tcPr>
          <w:tcPr/>
          <w:p>
            <w:pPr>
              <w:pStyle w:val="Compact"/>
              <w:jc w:val="left"/>
            </w:pPr>
            <w:r>
              <w:t xml:space="preserve">—</w:t>
            </w:r>
          </w:p>
        </w:tc>
        <w:tc>
          <w:tcPr>
            <w:tcW w:w="1165" w:type="dxa"/>
          </w:tcPr>
          <w:tcPr/>
          <w:p>
            <w:pPr>
              <w:pStyle w:val="Compact"/>
              <w:jc w:val="left"/>
            </w:pPr>
            <w:r>
              <w:t xml:space="preserve">Clos</w:t>
            </w:r>
          </w:p>
        </w:tc>
        <w:tc>
          <w:tcPr>
            <w:tcW w:w="857" w:type="dxa"/>
          </w:tcPr>
          <w:tcPr/>
          <w:p>
            <w:pPr>
              <w:pStyle w:val="Compact"/>
              <w:jc w:val="left"/>
            </w:pPr>
            <w:r>
              <w:t xml:space="preserve">[4]</w:t>
            </w:r>
          </w:p>
        </w:tc>
      </w:tr>
      <w:tr>
        <w:tc>
          <w:tcPr>
            <w:tcW w:w="3625" w:type="dxa"/>
          </w:tcPr>
          <w:tcPr/>
          <w:p>
            <w:pPr>
              <w:pStyle w:val="Compact"/>
              <w:jc w:val="left"/>
            </w:pPr>
            <w:r>
              <w:t xml:space="preserve">PIM Plus (P511206)</w:t>
            </w:r>
          </w:p>
        </w:tc>
        <w:tc>
          <w:tcPr>
            <w:tcW w:w="1122" w:type="dxa"/>
          </w:tcPr>
          <w:tcPr/>
          <w:p>
            <w:pPr>
              <w:pStyle w:val="Compact"/>
              <w:jc w:val="left"/>
            </w:pPr>
            <w:r>
              <w:t xml:space="preserve">BM</w:t>
            </w:r>
          </w:p>
        </w:tc>
        <w:tc>
          <w:tcPr>
            <w:tcW w:w="1744" w:type="dxa"/>
          </w:tcPr>
          <w:tcPr/>
          <w:p>
            <w:pPr>
              <w:pStyle w:val="Compact"/>
              <w:jc w:val="left"/>
            </w:pPr>
            <w:r>
              <w:t xml:space="preserve">200 M USD</w:t>
            </w:r>
          </w:p>
        </w:tc>
        <w:tc>
          <w:tcPr>
            <w:tcW w:w="1388" w:type="dxa"/>
          </w:tcPr>
          <w:tcPr/>
          <w:p>
            <w:pPr>
              <w:pStyle w:val="Compact"/>
              <w:jc w:val="left"/>
            </w:pPr>
            <w:r>
              <w:t xml:space="preserve">2025–</w:t>
            </w:r>
          </w:p>
        </w:tc>
        <w:tc>
          <w:tcPr>
            <w:tcW w:w="3971" w:type="dxa"/>
          </w:tcPr>
          <w:tcPr/>
          <w:p>
            <w:pPr>
              <w:pStyle w:val="Compact"/>
              <w:jc w:val="left"/>
            </w:pPr>
            <w:r>
              <w:t xml:space="preserve">gestion des investissements publics (non spécifique)</w:t>
            </w:r>
          </w:p>
        </w:tc>
        <w:tc>
          <w:tcPr>
            <w:tcW w:w="696" w:type="dxa"/>
          </w:tcPr>
          <w:tcPr/>
          <w:p>
            <w:pPr>
              <w:pStyle w:val="Compact"/>
              <w:jc w:val="left"/>
            </w:pPr>
            <w:r>
              <w:t xml:space="preserve">—</w:t>
            </w:r>
          </w:p>
        </w:tc>
        <w:tc>
          <w:tcPr>
            <w:tcW w:w="1165" w:type="dxa"/>
          </w:tcPr>
          <w:tcPr/>
          <w:p>
            <w:pPr>
              <w:pStyle w:val="Compact"/>
              <w:jc w:val="left"/>
            </w:pPr>
            <w:r>
              <w:t xml:space="preserve">Actif</w:t>
            </w:r>
          </w:p>
        </w:tc>
        <w:tc>
          <w:tcPr>
            <w:tcW w:w="857" w:type="dxa"/>
          </w:tcPr>
          <w:tcPr/>
          <w:p>
            <w:pPr>
              <w:pStyle w:val="Compact"/>
              <w:jc w:val="left"/>
            </w:pPr>
            <w:r>
              <w:t xml:space="preserve">[4]</w:t>
            </w:r>
          </w:p>
        </w:tc>
      </w:tr>
      <w:tr>
        <w:tc>
          <w:tcPr>
            <w:tcW w:w="3625" w:type="dxa"/>
          </w:tcPr>
          <w:tcPr/>
          <w:p>
            <w:pPr>
              <w:pStyle w:val="Compact"/>
              <w:jc w:val="left"/>
            </w:pPr>
            <w:r>
              <w:t xml:space="preserve">Olwiyo–Bibia–Juba 400 kV</w:t>
            </w:r>
          </w:p>
        </w:tc>
        <w:tc>
          <w:tcPr>
            <w:tcW w:w="1122" w:type="dxa"/>
          </w:tcPr>
          <w:tcPr/>
          <w:p>
            <w:pPr>
              <w:pStyle w:val="Compact"/>
              <w:jc w:val="left"/>
            </w:pPr>
            <w:r>
              <w:t xml:space="preserve">BAD (+ UE 27 M)</w:t>
            </w:r>
          </w:p>
        </w:tc>
        <w:tc>
          <w:tcPr>
            <w:tcW w:w="1744" w:type="dxa"/>
          </w:tcPr>
          <w:tcPr/>
          <w:p>
            <w:pPr>
              <w:pStyle w:val="Compact"/>
              <w:jc w:val="left"/>
            </w:pPr>
            <w:r>
              <w:t xml:space="preserve">155 M USD</w:t>
            </w:r>
          </w:p>
        </w:tc>
        <w:tc>
          <w:tcPr>
            <w:tcW w:w="1388" w:type="dxa"/>
          </w:tcPr>
          <w:tcPr/>
          <w:p>
            <w:pPr>
              <w:pStyle w:val="Compact"/>
              <w:jc w:val="left"/>
            </w:pPr>
            <w:r>
              <w:t xml:space="preserve">—</w:t>
            </w:r>
          </w:p>
        </w:tc>
        <w:tc>
          <w:tcPr>
            <w:tcW w:w="3971" w:type="dxa"/>
          </w:tcPr>
          <w:tcPr/>
          <w:p>
            <w:pPr>
              <w:pStyle w:val="Compact"/>
              <w:jc w:val="left"/>
            </w:pPr>
            <w:r>
              <w:t xml:space="preserve">UETCL</w:t>
            </w:r>
          </w:p>
        </w:tc>
        <w:tc>
          <w:tcPr>
            <w:tcW w:w="696" w:type="dxa"/>
          </w:tcPr>
          <w:tcPr/>
          <w:p>
            <w:pPr>
              <w:pStyle w:val="Compact"/>
              <w:jc w:val="left"/>
            </w:pPr>
            <w:r>
              <w:t xml:space="preserve">—</w:t>
            </w:r>
          </w:p>
        </w:tc>
        <w:tc>
          <w:tcPr>
            <w:tcW w:w="1165" w:type="dxa"/>
          </w:tcPr>
          <w:tcPr/>
          <w:p>
            <w:pPr>
              <w:pStyle w:val="Compact"/>
              <w:jc w:val="left"/>
            </w:pPr>
            <w:r>
              <w:t xml:space="preserve">[?]</w:t>
            </w:r>
          </w:p>
        </w:tc>
        <w:tc>
          <w:tcPr>
            <w:tcW w:w="857" w:type="dxa"/>
          </w:tcPr>
          <w:tcPr/>
          <w:p>
            <w:pPr>
              <w:pStyle w:val="Compact"/>
              <w:jc w:val="left"/>
            </w:pPr>
            <w:r>
              <w:t xml:space="preserve">pacte</w:t>
            </w:r>
          </w:p>
        </w:tc>
      </w:tr>
      <w:tr>
        <w:tc>
          <w:tcPr>
            <w:tcW w:w="3625" w:type="dxa"/>
          </w:tcPr>
          <w:tcPr/>
          <w:p>
            <w:pPr>
              <w:pStyle w:val="Compact"/>
              <w:jc w:val="left"/>
            </w:pPr>
            <w:r>
              <w:t xml:space="preserve">GET FiT, CCAF</w:t>
            </w:r>
          </w:p>
        </w:tc>
        <w:tc>
          <w:tcPr>
            <w:tcW w:w="1122" w:type="dxa"/>
          </w:tcPr>
          <w:tcPr/>
          <w:p>
            <w:pPr>
              <w:pStyle w:val="Compact"/>
              <w:jc w:val="left"/>
            </w:pPr>
            <w:r>
              <w:t xml:space="preserve">KfW/UE/Norvège/RU ; divers</w:t>
            </w:r>
          </w:p>
        </w:tc>
        <w:tc>
          <w:tcPr>
            <w:tcW w:w="1744" w:type="dxa"/>
          </w:tcPr>
          <w:tcPr/>
          <w:p>
            <w:pPr>
              <w:pStyle w:val="Compact"/>
              <w:jc w:val="left"/>
            </w:pPr>
            <w:r>
              <w:t xml:space="preserve">—</w:t>
            </w:r>
          </w:p>
        </w:tc>
        <w:tc>
          <w:tcPr>
            <w:tcW w:w="1388" w:type="dxa"/>
          </w:tcPr>
          <w:tcPr/>
          <w:p>
            <w:pPr>
              <w:pStyle w:val="Compact"/>
              <w:jc w:val="left"/>
            </w:pPr>
            <w:r>
              <w:t xml:space="preserve">—</w:t>
            </w:r>
          </w:p>
        </w:tc>
        <w:tc>
          <w:tcPr>
            <w:tcW w:w="3971" w:type="dxa"/>
          </w:tcPr>
          <w:tcPr/>
          <w:p>
            <w:pPr>
              <w:pStyle w:val="Compact"/>
              <w:jc w:val="left"/>
            </w:pPr>
            <w:r>
              <w:t xml:space="preserve">IPP / cuisson propre</w:t>
            </w:r>
          </w:p>
        </w:tc>
        <w:tc>
          <w:tcPr>
            <w:tcW w:w="696" w:type="dxa"/>
          </w:tcPr>
          <w:tcPr/>
          <w:p>
            <w:pPr>
              <w:pStyle w:val="Compact"/>
              <w:jc w:val="left"/>
            </w:pPr>
            <w:r>
              <w:t xml:space="preserve">—</w:t>
            </w:r>
          </w:p>
        </w:tc>
        <w:tc>
          <w:tcPr>
            <w:tcW w:w="1165" w:type="dxa"/>
          </w:tcPr>
          <w:tcPr/>
          <w:p>
            <w:pPr>
              <w:pStyle w:val="Compact"/>
              <w:jc w:val="left"/>
            </w:pPr>
            <w:r>
              <w:t xml:space="preserve">—</w:t>
            </w:r>
          </w:p>
        </w:tc>
        <w:tc>
          <w:tcPr>
            <w:tcW w:w="857" w:type="dxa"/>
          </w:tcPr>
          <w:tcPr/>
          <w:p>
            <w:pPr>
              <w:pStyle w:val="Compact"/>
              <w:jc w:val="left"/>
            </w:pPr>
            <w:r>
              <w:t xml:space="preserve">pacte</w:t>
            </w:r>
          </w:p>
        </w:tc>
      </w:tr>
    </w:tbl>
    <w:bookmarkEnd w:id="377"/>
    <w:bookmarkStart w:id="378" w:name="écart-pacte-réalité-33"/>
    <w:p>
      <w:pPr>
        <w:pStyle w:val="Heading3"/>
      </w:pPr>
      <w:r>
        <w:t xml:space="preserve">5. Écart pacte ↔ réalité</w:t>
      </w:r>
    </w:p>
    <w:p>
      <w:pPr>
        <w:numPr>
          <w:ilvl w:val="0"/>
          <w:numId w:val="1201"/>
        </w:numPr>
        <w:pStyle w:val="Compact"/>
      </w:pPr>
      <w:r>
        <w:rPr>
          <w:bCs/>
          <w:b/>
        </w:rPr>
        <w:t xml:space="preserve">Pertes</w:t>
      </w:r>
      <w:r>
        <w:t xml:space="preserve"> </w:t>
      </w:r>
      <w:r>
        <w:t xml:space="preserve">: le pacte part de 16 % (2025) → 15 % (2027) ; UEDCL affiche</w:t>
      </w:r>
      <w:r>
        <w:t xml:space="preserve"> </w:t>
      </w:r>
      <w:r>
        <w:rPr>
          <w:bCs/>
          <w:b/>
        </w:rPr>
        <w:t xml:space="preserve">18 %</w:t>
      </w:r>
      <w:r>
        <w:t xml:space="preserve"> </w:t>
      </w:r>
      <w:r>
        <w:t xml:space="preserve">sur FY2024/25 et</w:t>
      </w:r>
      <w:r>
        <w:t xml:space="preserve"> </w:t>
      </w:r>
      <w:r>
        <w:rPr>
          <w:bCs/>
          <w:b/>
        </w:rPr>
        <w:t xml:space="preserve">18,11 %</w:t>
      </w:r>
      <w:r>
        <w:t xml:space="preserve"> </w:t>
      </w:r>
      <w:r>
        <w:t xml:space="preserve">en avril 2026 [1][5] — la trajectoire ERA (13,65 % en 2026) est déjà manquée.</w:t>
      </w:r>
    </w:p>
    <w:p>
      <w:pPr>
        <w:numPr>
          <w:ilvl w:val="0"/>
          <w:numId w:val="1201"/>
        </w:numPr>
        <w:pStyle w:val="Compact"/>
      </w:pPr>
      <w:r>
        <w:rPr>
          <w:bCs/>
          <w:b/>
        </w:rPr>
        <w:t xml:space="preserve">Finances</w:t>
      </w:r>
      <w:r>
        <w:t xml:space="preserve"> </w:t>
      </w:r>
      <w:r>
        <w:t xml:space="preserve">: le pacte signale des bénéfices UETCL « missing » et ne dit rien d’UEDCL ; les comptes montrent une</w:t>
      </w:r>
      <w:r>
        <w:t xml:space="preserve"> </w:t>
      </w:r>
      <w:r>
        <w:rPr>
          <w:bCs/>
          <w:b/>
        </w:rPr>
        <w:t xml:space="preserve">perte de 193 Md UGX</w:t>
      </w:r>
      <w:r>
        <w:t xml:space="preserve"> </w:t>
      </w:r>
      <w:r>
        <w:t xml:space="preserve">(largement comptable) et</w:t>
      </w:r>
      <w:r>
        <w:t xml:space="preserve"> </w:t>
      </w:r>
      <w:r>
        <w:rPr>
          <w:bCs/>
          <w:b/>
        </w:rPr>
        <w:t xml:space="preserve">195 Md UGX de factures publiques impayées</w:t>
      </w:r>
      <w:r>
        <w:t xml:space="preserve"> </w:t>
      </w:r>
      <w:r>
        <w:t xml:space="preserve">héritées [1] — l’apurement des arriérés de l’État (pacte : plan au T4 2026) est l’enjeu immédiat.</w:t>
      </w:r>
    </w:p>
    <w:p>
      <w:pPr>
        <w:numPr>
          <w:ilvl w:val="0"/>
          <w:numId w:val="1201"/>
        </w:numPr>
        <w:pStyle w:val="Compact"/>
      </w:pPr>
      <w:r>
        <w:rPr>
          <w:bCs/>
          <w:b/>
        </w:rPr>
        <w:t xml:space="preserve">Recouvrement</w:t>
      </w:r>
      <w:r>
        <w:t xml:space="preserve"> </w:t>
      </w:r>
      <w:r>
        <w:t xml:space="preserve">: cohérent (≈ 99–100 %) grâce au prépaiement quasi généralisé [1].</w:t>
      </w:r>
    </w:p>
    <w:p>
      <w:pPr>
        <w:numPr>
          <w:ilvl w:val="0"/>
          <w:numId w:val="1201"/>
        </w:numPr>
        <w:pStyle w:val="Compact"/>
      </w:pPr>
      <w:r>
        <w:rPr>
          <w:bCs/>
          <w:b/>
        </w:rPr>
        <w:t xml:space="preserve">Capacité / surcapacité</w:t>
      </w:r>
      <w:r>
        <w:t xml:space="preserve"> </w:t>
      </w:r>
      <w:r>
        <w:t xml:space="preserve">: la BM elle-même alerte sur le coût d’une offre excédentaire [2], ce que la taxonomie « 8,3 GW » du pacte occulte.</w:t>
      </w:r>
    </w:p>
    <w:bookmarkEnd w:id="378"/>
    <w:bookmarkStart w:id="379" w:name="diagnostic-synthétique-33"/>
    <w:p>
      <w:pPr>
        <w:pStyle w:val="Heading3"/>
      </w:pPr>
      <w:r>
        <w:t xml:space="preserve">6. Diagnostic synthétique</w:t>
      </w:r>
    </w:p>
    <w:p>
      <w:pPr>
        <w:numPr>
          <w:ilvl w:val="0"/>
          <w:numId w:val="1202"/>
        </w:numPr>
        <w:pStyle w:val="Compact"/>
      </w:pPr>
      <w:r>
        <w:rPr>
          <w:bCs/>
          <w:b/>
        </w:rPr>
        <w:t xml:space="preserve">Financier : moyen-faible</w:t>
      </w:r>
      <w:r>
        <w:t xml:space="preserve"> </w:t>
      </w:r>
      <w:r>
        <w:t xml:space="preserve">(exercice de transition déficitaire, créances publiques élevées, mais EBITDA positif et recouvrement très élevé).</w:t>
      </w:r>
      <w:r>
        <w:t xml:space="preserve"> </w:t>
      </w:r>
      <w:r>
        <w:rPr>
          <w:bCs/>
          <w:b/>
        </w:rPr>
        <w:t xml:space="preserve">Technique : moyen, en dégradation</w:t>
      </w:r>
      <w:r>
        <w:t xml:space="preserve"> </w:t>
      </w:r>
      <w:r>
        <w:t xml:space="preserve">(pertes 16 → 18 %, réseau sous-investi en fin de concession).</w:t>
      </w:r>
      <w:r>
        <w:t xml:space="preserve"> </w:t>
      </w:r>
      <w:r>
        <w:rPr>
          <w:bCs/>
          <w:b/>
        </w:rPr>
        <w:t xml:space="preserve">Gouvernance : moyenne-faible</w:t>
      </w:r>
      <w:r>
        <w:t xml:space="preserve"> </w:t>
      </w:r>
      <w:r>
        <w:t xml:space="preserve">(instabilité de la direction, projet de fusion, mais comptes audités sans réserve).</w:t>
      </w:r>
    </w:p>
    <w:p>
      <w:pPr>
        <w:numPr>
          <w:ilvl w:val="0"/>
          <w:numId w:val="1202"/>
        </w:numPr>
        <w:pStyle w:val="Compact"/>
      </w:pPr>
      <w:r>
        <w:rPr>
          <w:bCs/>
          <w:b/>
        </w:rPr>
        <w:t xml:space="preserve">Causes racines</w:t>
      </w:r>
      <w:r>
        <w:t xml:space="preserve"> </w:t>
      </w:r>
      <w:r>
        <w:t xml:space="preserve">: (1) fin de concession non anticipée en investissement (sous-investissement d’Umeme sur la fin de période) ; (2) arriérés publics structurels ; (3) surcapacité et PPA à charges fixes face à une demande trop lente.</w:t>
      </w:r>
    </w:p>
    <w:p>
      <w:pPr>
        <w:numPr>
          <w:ilvl w:val="0"/>
          <w:numId w:val="1202"/>
        </w:numPr>
        <w:pStyle w:val="Compact"/>
      </w:pPr>
      <w:r>
        <w:rPr>
          <w:bCs/>
          <w:b/>
        </w:rPr>
        <w:t xml:space="preserve">Phase 3</w:t>
      </w:r>
      <w:r>
        <w:t xml:space="preserve"> </w:t>
      </w:r>
      <w:r>
        <w:t xml:space="preserve">: BST UETCL→UEDCL, coût de service ERA (2026), ordonnance pluriannuelle T4 2026, coût de la surcapacité (Karuma).</w:t>
      </w:r>
    </w:p>
    <w:bookmarkEnd w:id="379"/>
    <w:bookmarkStart w:id="380" w:name="inconnus-33"/>
    <w:p>
      <w:pPr>
        <w:pStyle w:val="Heading3"/>
      </w:pPr>
      <w:r>
        <w:t xml:space="preserve">7. Inconnus</w:t>
      </w:r>
    </w:p>
    <w:p>
      <w:pPr>
        <w:numPr>
          <w:ilvl w:val="0"/>
          <w:numId w:val="1203"/>
        </w:numPr>
        <w:pStyle w:val="Compact"/>
      </w:pPr>
      <w:r>
        <w:t xml:space="preserve">Comptes UETCL et UEGCL FY2024/25 [?].</w:t>
      </w:r>
    </w:p>
    <w:p>
      <w:pPr>
        <w:numPr>
          <w:ilvl w:val="0"/>
          <w:numId w:val="1203"/>
        </w:numPr>
        <w:pStyle w:val="Compact"/>
      </w:pPr>
      <w:r>
        <w:t xml:space="preserve">Dettes d’UEDCL envers UETCL et d’UETCL envers les IPP [?].</w:t>
      </w:r>
    </w:p>
    <w:p>
      <w:pPr>
        <w:numPr>
          <w:ilvl w:val="0"/>
          <w:numId w:val="1203"/>
        </w:numPr>
        <w:pStyle w:val="Compact"/>
      </w:pPr>
      <w:r>
        <w:t xml:space="preserve">Montant de la valeur de rachat versée à Umeme [?].</w:t>
      </w:r>
    </w:p>
    <w:p>
      <w:pPr>
        <w:numPr>
          <w:ilvl w:val="0"/>
          <w:numId w:val="1203"/>
        </w:numPr>
        <w:pStyle w:val="Compact"/>
      </w:pPr>
      <w:r>
        <w:t xml:space="preserve">Montant total des subventions [?].</w:t>
      </w:r>
    </w:p>
    <w:bookmarkEnd w:id="380"/>
    <w:bookmarkStart w:id="381" w:name="sources-34"/>
    <w:p>
      <w:pPr>
        <w:pStyle w:val="Heading3"/>
      </w:pPr>
      <w:r>
        <w:t xml:space="preserve">Sources</w:t>
      </w:r>
    </w:p>
    <w:p>
      <w:pPr>
        <w:pStyle w:val="FirstParagraph"/>
      </w:pPr>
      <w:r>
        <w:t xml:space="preserve">[1] UEDCL,</w:t>
      </w:r>
      <w:r>
        <w:t xml:space="preserve"> </w:t>
      </w:r>
      <w:r>
        <w:rPr>
          <w:iCs/>
          <w:i/>
        </w:rPr>
        <w:t xml:space="preserve">Annual Report and Financial Statements FY2024/25</w:t>
      </w:r>
      <w:r>
        <w:t xml:space="preserve"> </w:t>
      </w:r>
      <w:r>
        <w:t xml:space="preserve">(incl. rapport de l’Auditor-General du 19/12/2025, pages scannées lues visuellement p. 102-103). https://www.uedcl.co.ug/wp-content/uploads/2026/05/UEDCL-Annual-Report-2025-FINAL.pdf</w:t>
      </w:r>
      <w:r>
        <w:t xml:space="preserve"> </w:t>
      </w:r>
      <w:r>
        <w:t xml:space="preserve">[2] Banque mondiale,</w:t>
      </w:r>
      <w:r>
        <w:t xml:space="preserve"> </w:t>
      </w:r>
      <w:r>
        <w:rPr>
          <w:iCs/>
          <w:i/>
        </w:rPr>
        <w:t xml:space="preserve">Eastern and Southern Africa — Regional Power Trade and Market Project</w:t>
      </w:r>
      <w:r>
        <w:t xml:space="preserve"> </w:t>
      </w:r>
      <w:r>
        <w:t xml:space="preserve">(Uganda-Tanzania Interconnector), Project Appraisal Document, 15/04/2026 (P513494). https://documents1.worldbank.org/curated/en/099041726170013582/text/BOSIB-1b4a51a5-d7c5-48e3-a048-048cc045a80d.txt</w:t>
      </w:r>
      <w:r>
        <w:t xml:space="preserve"> </w:t>
      </w:r>
      <w:r>
        <w:t xml:space="preserve">[3] Banque mondiale,</w:t>
      </w:r>
      <w:r>
        <w:t xml:space="preserve"> </w:t>
      </w:r>
      <w:r>
        <w:rPr>
          <w:iCs/>
          <w:i/>
        </w:rPr>
        <w:t xml:space="preserve">ASCENT Uganda (P514490)</w:t>
      </w:r>
      <w:r>
        <w:t xml:space="preserve">, Appraisal Project Information Document, 01/06/2026. https://documents.worldbank.org/curated/en/099060126153026820/text/P514490-7e835342-588f-4533-a1d8-70920200423c.txt</w:t>
      </w:r>
      <w:r>
        <w:t xml:space="preserve"> </w:t>
      </w:r>
      <w:r>
        <w:t xml:space="preserve">[4] Banque mondiale, base de données des projets (API v3, 18/10/2026) — P166685, P514490, P513494, P159112, P133305, P511206.</w:t>
      </w:r>
      <w:r>
        <w:t xml:space="preserve"> </w:t>
      </w:r>
      <w:r>
        <w:t xml:space="preserve">[5] Daily Monitor, « Why UEDCL board chair was terminated, MD sent on forced leave », 2026. https://www.monitor.co.ug/uganda/news/national/why-uedcl-board-chair-was-terminated-md-sent-on-forced-leave-5444096 (vu via résultats de recherche)</w:t>
      </w:r>
      <w:r>
        <w:t xml:space="preserve"> </w:t>
      </w:r>
      <w:r>
        <w:t xml:space="preserve">[6] Gouvernement de l’Ouganda,</w:t>
      </w:r>
      <w:r>
        <w:t xml:space="preserve"> </w:t>
      </w:r>
      <w:r>
        <w:rPr>
          <w:iCs/>
          <w:i/>
        </w:rPr>
        <w:t xml:space="preserve">National Energy Compact</w:t>
      </w:r>
      <w:r>
        <w:t xml:space="preserve">, juin 2026 (pacte ; voir fiche phase 1).</w:t>
      </w:r>
    </w:p>
    <w:p>
      <w:r>
        <w:br w:type="page"/>
      </w:r>
    </w:p>
    <w:bookmarkEnd w:id="381"/>
    <w:bookmarkEnd w:id="382"/>
    <w:bookmarkStart w:id="392" w:name="X51ea88bd3c7dda33141e2b57ca21835674dda82"/>
    <w:p>
      <w:pPr>
        <w:pStyle w:val="Heading2"/>
      </w:pPr>
      <w:r>
        <w:t xml:space="preserve">Diagnostic opérateur — ZESCO Limited (Zambie)</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de projet BM/BAD, rapport FMI)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../../phase1/fiches/ZMB_zambie.md (« pacte » = National Energy Compact, janv. 2025).</w:t>
      </w:r>
    </w:p>
    <w:bookmarkStart w:id="383" w:name="identité-34"/>
    <w:p>
      <w:pPr>
        <w:pStyle w:val="Heading3"/>
      </w:pPr>
      <w:r>
        <w:t xml:space="preserve">0. Identité</w:t>
      </w:r>
    </w:p>
    <w:p>
      <w:pPr>
        <w:numPr>
          <w:ilvl w:val="0"/>
          <w:numId w:val="1204"/>
        </w:numPr>
        <w:pStyle w:val="Compact"/>
      </w:pPr>
      <w:r>
        <w:t xml:space="preserve">Opérateur :</w:t>
      </w:r>
      <w:r>
        <w:t xml:space="preserve"> </w:t>
      </w:r>
      <w:r>
        <w:rPr>
          <w:bCs/>
          <w:b/>
        </w:rPr>
        <w:t xml:space="preserve">ZESCO Limited</w:t>
      </w:r>
      <w:r>
        <w:t xml:space="preserve">, entreprise publique verticalement intégrée (production, transport, distribution, acheteur des IPP) ; 61 % de la production nationale en 2025, IPP 17 %, partenariats ZESCO-IPP 21 % (342 MW) [3] [V]. Distributeurs privés minoritaires : Copperbelt Energy Corporation (CEC), North Western Energy (pacte). Capacité installée nationale 3 902 MW (oct. 2025) [3] [V] ; parc ZESCO 3 964,8 MW selon le rapport intégré 2025 [1] [V].</w:t>
      </w:r>
    </w:p>
    <w:p>
      <w:pPr>
        <w:numPr>
          <w:ilvl w:val="0"/>
          <w:numId w:val="1204"/>
        </w:numPr>
        <w:pStyle w:val="Compact"/>
      </w:pPr>
      <w:r>
        <w:t xml:space="preserve">Statut juridique : société anonyme détenue à 100 % par l’État (IDC/État) [?] — l’actionnariat exact n’a pas été vérifié dans les sources lues. Tutelle : ministère de l’Énergie (MoE) ; ministère des Finances (MoFNP) pour la dette.</w:t>
      </w:r>
    </w:p>
    <w:p>
      <w:pPr>
        <w:numPr>
          <w:ilvl w:val="0"/>
          <w:numId w:val="1204"/>
        </w:numPr>
        <w:pStyle w:val="Compact"/>
      </w:pPr>
      <w:r>
        <w:t xml:space="preserve">Régulateur :</w:t>
      </w:r>
      <w:r>
        <w:t xml:space="preserve"> </w:t>
      </w:r>
      <w:r>
        <w:rPr>
          <w:bCs/>
          <w:b/>
        </w:rPr>
        <w:t xml:space="preserve">Energy Regulation Board (ERB)</w:t>
      </w:r>
      <w:r>
        <w:t xml:space="preserve"> </w:t>
      </w:r>
      <w:r>
        <w:t xml:space="preserve">— fixe les tarifs (cadre tarifaire pluriannuel, MYTF). Indépendance relative : l’ERB a accordé en 2025 un revenu inférieur de 17 % à la demande de ZESCO [3] [V], ce qui suggère une autonomie décisionnelle, mais sous forte contrainte politique d’abordabilité [E].</w:t>
      </w:r>
    </w:p>
    <w:p>
      <w:pPr>
        <w:numPr>
          <w:ilvl w:val="0"/>
          <w:numId w:val="1204"/>
        </w:numPr>
        <w:pStyle w:val="Compact"/>
      </w:pPr>
      <w:r>
        <w:t xml:space="preserve">Dernier exercice publié :</w:t>
      </w:r>
      <w:r>
        <w:t xml:space="preserve"> </w:t>
      </w:r>
      <w:r>
        <w:rPr>
          <w:bCs/>
          <w:b/>
        </w:rPr>
        <w:t xml:space="preserve">2025</w:t>
      </w:r>
      <w:r>
        <w:t xml:space="preserve"> </w:t>
      </w:r>
      <w:r>
        <w:t xml:space="preserve">(rapport intégré 2025, exercice clos le 31/12/2025) [1] [V] — statut d’audit non confirmé dans l’extrait lu (pas de rapport d’auditeur repéré) [?]. Dernier exercice</w:t>
      </w:r>
      <w:r>
        <w:t xml:space="preserve"> </w:t>
      </w:r>
      <w:r>
        <w:rPr>
          <w:bCs/>
          <w:b/>
        </w:rPr>
        <w:t xml:space="preserve">audité confirmé : 2024</w:t>
      </w:r>
      <w:r>
        <w:t xml:space="preserve"> </w:t>
      </w:r>
      <w:r>
        <w:t xml:space="preserve">(Grant Thornton, opinion non modifiée avec</w:t>
      </w:r>
      <w:r>
        <w:t xml:space="preserve"> </w:t>
      </w:r>
      <w:r>
        <w:rPr>
          <w:bCs/>
          <w:b/>
        </w:rPr>
        <w:t xml:space="preserve">incertitude significative sur la continuité d’exploitation</w:t>
      </w:r>
      <w:r>
        <w:t xml:space="preserve">) [2] [V].</w:t>
      </w:r>
    </w:p>
    <w:bookmarkEnd w:id="383"/>
    <w:bookmarkStart w:id="384" w:name="situation-financière-32"/>
    <w:p>
      <w:pPr>
        <w:pStyle w:val="Heading3"/>
      </w:pPr>
      <w:r>
        <w:t xml:space="preserve">1. Situation financière</w:t>
      </w:r>
    </w:p>
    <w:tbl>
      <w:tblPr>
        <w:tblStyle w:val="Table"/>
        <w:tblW w:type="dxa" w:w="14570"/>
        <w:tblLook w:firstRow="1" w:lastRow="0" w:firstColumn="0" w:lastColumn="0" w:noHBand="0" w:noVBand="0" w:val="0020"/>
        <w:jc w:val="start"/>
      </w:tblPr>
      <w:tblGrid>
        <w:gridCol w:w="3002"/>
        <w:gridCol w:w="8321"/>
        <w:gridCol w:w="1240"/>
        <w:gridCol w:w="1054"/>
        <w:gridCol w:w="951"/>
      </w:tblGrid>
      <w:tr>
        <w:trPr>
          <w:tblHeader w:val="true"/>
        </w:trPr>
        <w:tc>
          <w:tcPr>
            <w:tcW w:w="3002" w:type="dxa"/>
          </w:tcPr>
          <w:tcPr/>
          <w:p>
            <w:pPr>
              <w:pStyle w:val="Compact"/>
              <w:jc w:val="left"/>
            </w:pPr>
            <w:r>
              <w:t xml:space="preserve">Indicateur</w:t>
            </w:r>
          </w:p>
        </w:tc>
        <w:tc>
          <w:tcPr>
            <w:tcW w:w="8321" w:type="dxa"/>
          </w:tcPr>
          <w:tcPr/>
          <w:p>
            <w:pPr>
              <w:pStyle w:val="Compact"/>
              <w:jc w:val="left"/>
            </w:pPr>
            <w:r>
              <w:t xml:space="preserve">Valeur</w:t>
            </w:r>
          </w:p>
        </w:tc>
        <w:tc>
          <w:tcPr>
            <w:tcW w:w="1240" w:type="dxa"/>
          </w:tcPr>
          <w:tcPr/>
          <w:p>
            <w:pPr>
              <w:pStyle w:val="Compact"/>
              <w:jc w:val="left"/>
            </w:pPr>
            <w:r>
              <w:t xml:space="preserve">Année</w:t>
            </w:r>
          </w:p>
        </w:tc>
        <w:tc>
          <w:tcPr>
            <w:tcW w:w="1054" w:type="dxa"/>
          </w:tcPr>
          <w:tcPr/>
          <w:p>
            <w:pPr>
              <w:pStyle w:val="Compact"/>
              <w:jc w:val="left"/>
            </w:pPr>
            <w:r>
              <w:t xml:space="preserve">Statut</w:t>
            </w:r>
          </w:p>
        </w:tc>
        <w:tc>
          <w:tcPr>
            <w:tcW w:w="951" w:type="dxa"/>
          </w:tcPr>
          <w:tcPr/>
          <w:p>
            <w:pPr>
              <w:pStyle w:val="Compact"/>
              <w:jc w:val="left"/>
            </w:pPr>
            <w:r>
              <w:t xml:space="preserve">Source</w:t>
            </w:r>
          </w:p>
        </w:tc>
      </w:tr>
      <w:tr>
        <w:tc>
          <w:tcPr>
            <w:tcW w:w="3002" w:type="dxa"/>
          </w:tcPr>
          <w:tcPr/>
          <w:p>
            <w:pPr>
              <w:pStyle w:val="Compact"/>
              <w:jc w:val="left"/>
            </w:pPr>
            <w:r>
              <w:t xml:space="preserve">Chiffre d’affaires (groupe)</w:t>
            </w:r>
          </w:p>
        </w:tc>
        <w:tc>
          <w:tcPr>
            <w:tcW w:w="8321" w:type="dxa"/>
          </w:tcPr>
          <w:tcPr/>
          <w:p>
            <w:pPr>
              <w:pStyle w:val="Compact"/>
              <w:jc w:val="left"/>
            </w:pPr>
            <w:r>
              <w:t xml:space="preserve">28,3 Md ZMW (2023) ; 30,8 Md ZMW (2024) ; 32,7 Md ZMW (2025, +6 %)</w:t>
            </w:r>
          </w:p>
        </w:tc>
        <w:tc>
          <w:tcPr>
            <w:tcW w:w="1240" w:type="dxa"/>
          </w:tcPr>
          <w:tcPr/>
          <w:p>
            <w:pPr>
              <w:pStyle w:val="Compact"/>
              <w:jc w:val="left"/>
            </w:pPr>
            <w:r>
              <w:t xml:space="preserve">2023-2025</w:t>
            </w:r>
          </w:p>
        </w:tc>
        <w:tc>
          <w:tcPr>
            <w:tcW w:w="1054" w:type="dxa"/>
          </w:tcPr>
          <w:tcPr/>
          <w:p>
            <w:pPr>
              <w:pStyle w:val="Compact"/>
              <w:jc w:val="left"/>
            </w:pPr>
            <w:r>
              <w:t xml:space="preserve">[V]</w:t>
            </w:r>
          </w:p>
        </w:tc>
        <w:tc>
          <w:tcPr>
            <w:tcW w:w="951" w:type="dxa"/>
          </w:tcPr>
          <w:tcPr/>
          <w:p>
            <w:pPr>
              <w:pStyle w:val="Compact"/>
              <w:jc w:val="left"/>
            </w:pPr>
            <w:r>
              <w:t xml:space="preserve">[1][2]</w:t>
            </w:r>
          </w:p>
        </w:tc>
      </w:tr>
      <w:tr>
        <w:tc>
          <w:tcPr>
            <w:tcW w:w="3002" w:type="dxa"/>
          </w:tcPr>
          <w:tcPr/>
          <w:p>
            <w:pPr>
              <w:pStyle w:val="Compact"/>
              <w:jc w:val="left"/>
            </w:pPr>
            <w:r>
              <w:t xml:space="preserve">Résultat net</w:t>
            </w:r>
          </w:p>
        </w:tc>
        <w:tc>
          <w:tcPr>
            <w:tcW w:w="8321" w:type="dxa"/>
          </w:tcPr>
          <w:tcPr/>
          <w:p>
            <w:pPr>
              <w:pStyle w:val="Compact"/>
              <w:jc w:val="left"/>
            </w:pPr>
            <w:r>
              <w:rPr>
                <w:bCs/>
                <w:b/>
              </w:rPr>
              <w:t xml:space="preserve">-39,5 Md ZMW (2023)</w:t>
            </w:r>
            <w:r>
              <w:t xml:space="preserve"> </w:t>
            </w:r>
            <w:r>
              <w:t xml:space="preserve">;</w:t>
            </w:r>
            <w:r>
              <w:t xml:space="preserve"> </w:t>
            </w:r>
            <w:r>
              <w:rPr>
                <w:bCs/>
                <w:b/>
              </w:rPr>
              <w:t xml:space="preserve">-15,5 Md ZMW (2024)</w:t>
            </w:r>
            <w:r>
              <w:t xml:space="preserve"> </w:t>
            </w:r>
            <w:r>
              <w:t xml:space="preserve">;</w:t>
            </w:r>
            <w:r>
              <w:t xml:space="preserve"> </w:t>
            </w:r>
            <w:r>
              <w:rPr>
                <w:bCs/>
                <w:b/>
              </w:rPr>
              <w:t xml:space="preserve">bénéfice 2025 : 6,3 Md ZMW</w:t>
            </w:r>
            <w:r>
              <w:t xml:space="preserve"> </w:t>
            </w:r>
            <w:r>
              <w:t xml:space="preserve">(message du DF) ou</w:t>
            </w:r>
            <w:r>
              <w:t xml:space="preserve"> </w:t>
            </w:r>
            <w:r>
              <w:rPr>
                <w:bCs/>
                <w:b/>
              </w:rPr>
              <w:t xml:space="preserve">5,3 Md ZMW</w:t>
            </w:r>
            <w:r>
              <w:t xml:space="preserve"> </w:t>
            </w:r>
            <w:r>
              <w:t xml:space="preserve">(rapport des administrateurs) — incohérence interne ; marge nette 19 % (2025)</w:t>
            </w:r>
          </w:p>
        </w:tc>
        <w:tc>
          <w:tcPr>
            <w:tcW w:w="1240" w:type="dxa"/>
          </w:tcPr>
          <w:tcPr/>
          <w:p>
            <w:pPr>
              <w:pStyle w:val="Compact"/>
              <w:jc w:val="left"/>
            </w:pPr>
            <w:r>
              <w:t xml:space="preserve">2023-2025</w:t>
            </w:r>
          </w:p>
        </w:tc>
        <w:tc>
          <w:tcPr>
            <w:tcW w:w="1054" w:type="dxa"/>
          </w:tcPr>
          <w:tcPr/>
          <w:p>
            <w:pPr>
              <w:pStyle w:val="Compact"/>
              <w:jc w:val="left"/>
            </w:pPr>
            <w:r>
              <w:t xml:space="preserve">[V] (2023-24 audités) ; [V]/[?] 2025</w:t>
            </w:r>
          </w:p>
        </w:tc>
        <w:tc>
          <w:tcPr>
            <w:tcW w:w="951" w:type="dxa"/>
          </w:tcPr>
          <w:tcPr/>
          <w:p>
            <w:pPr>
              <w:pStyle w:val="Compact"/>
              <w:jc w:val="left"/>
            </w:pPr>
            <w:r>
              <w:t xml:space="preserve">[1][2]</w:t>
            </w:r>
          </w:p>
        </w:tc>
      </w:tr>
      <w:tr>
        <w:tc>
          <w:tcPr>
            <w:tcW w:w="3002" w:type="dxa"/>
          </w:tcPr>
          <w:tcPr/>
          <w:p>
            <w:pPr>
              <w:pStyle w:val="Compact"/>
              <w:jc w:val="left"/>
            </w:pPr>
            <w:r>
              <w:t xml:space="preserve">Moteur du résultat 2025</w:t>
            </w:r>
          </w:p>
        </w:tc>
        <w:tc>
          <w:tcPr>
            <w:tcW w:w="8321" w:type="dxa"/>
          </w:tcPr>
          <w:tcPr/>
          <w:p>
            <w:pPr>
              <w:pStyle w:val="Compact"/>
              <w:jc w:val="left"/>
            </w:pPr>
            <w:r>
              <w:t xml:space="preserve">Gain de change de 5,9 Md ZMW (contre perte de change de 13,8 Md ZMW en 2024 selon la section EBITDA ; 5,0 Md selon une autre page) ; coût des ventes -26 % (19,5 Md ZMW) car importations portées par des négociants</w:t>
            </w:r>
          </w:p>
        </w:tc>
        <w:tc>
          <w:tcPr>
            <w:tcW w:w="1240" w:type="dxa"/>
          </w:tcPr>
          <w:tcPr/>
          <w:p>
            <w:pPr>
              <w:pStyle w:val="Compact"/>
              <w:jc w:val="left"/>
            </w:pPr>
            <w:r>
              <w:t xml:space="preserve">2025</w:t>
            </w:r>
          </w:p>
        </w:tc>
        <w:tc>
          <w:tcPr>
            <w:tcW w:w="1054" w:type="dxa"/>
          </w:tcPr>
          <w:tcPr/>
          <w:p>
            <w:pPr>
              <w:pStyle w:val="Compact"/>
              <w:jc w:val="left"/>
            </w:pPr>
            <w:r>
              <w:t xml:space="preserve">[V]</w:t>
            </w:r>
          </w:p>
        </w:tc>
        <w:tc>
          <w:tcPr>
            <w:tcW w:w="951" w:type="dxa"/>
          </w:tcPr>
          <w:tcPr/>
          <w:p>
            <w:pPr>
              <w:pStyle w:val="Compact"/>
              <w:jc w:val="left"/>
            </w:pPr>
            <w:r>
              <w:t xml:space="preserve">[1]</w:t>
            </w:r>
          </w:p>
        </w:tc>
      </w:tr>
      <w:tr>
        <w:tc>
          <w:tcPr>
            <w:tcW w:w="3002" w:type="dxa"/>
          </w:tcPr>
          <w:tcPr/>
          <w:p>
            <w:pPr>
              <w:pStyle w:val="Compact"/>
              <w:jc w:val="left"/>
            </w:pPr>
            <w:r>
              <w:t xml:space="preserve">EBITDA</w:t>
            </w:r>
          </w:p>
        </w:tc>
        <w:tc>
          <w:tcPr>
            <w:tcW w:w="8321" w:type="dxa"/>
          </w:tcPr>
          <w:tcPr/>
          <w:p>
            <w:pPr>
              <w:pStyle w:val="Compact"/>
              <w:jc w:val="left"/>
            </w:pPr>
            <w:r>
              <w:t xml:space="preserve">+94 % en 2025 ; marge EBITDA 70 % (2025) ; résultat opérationnel 11,2 Md ZMW (2025) contre -8,7 Md ZMW (2024)</w:t>
            </w:r>
          </w:p>
        </w:tc>
        <w:tc>
          <w:tcPr>
            <w:tcW w:w="1240" w:type="dxa"/>
          </w:tcPr>
          <w:tcPr/>
          <w:p>
            <w:pPr>
              <w:pStyle w:val="Compact"/>
              <w:jc w:val="left"/>
            </w:pPr>
            <w:r>
              <w:t xml:space="preserve">2025</w:t>
            </w:r>
          </w:p>
        </w:tc>
        <w:tc>
          <w:tcPr>
            <w:tcW w:w="1054" w:type="dxa"/>
          </w:tcPr>
          <w:tcPr/>
          <w:p>
            <w:pPr>
              <w:pStyle w:val="Compact"/>
              <w:jc w:val="left"/>
            </w:pPr>
            <w:r>
              <w:t xml:space="preserve">[V]</w:t>
            </w:r>
          </w:p>
        </w:tc>
        <w:tc>
          <w:tcPr>
            <w:tcW w:w="951" w:type="dxa"/>
          </w:tcPr>
          <w:tcPr/>
          <w:p>
            <w:pPr>
              <w:pStyle w:val="Compact"/>
              <w:jc w:val="left"/>
            </w:pPr>
            <w:r>
              <w:t xml:space="preserve">[1]</w:t>
            </w:r>
          </w:p>
        </w:tc>
      </w:tr>
      <w:tr>
        <w:tc>
          <w:tcPr>
            <w:tcW w:w="3002" w:type="dxa"/>
          </w:tcPr>
          <w:tcPr/>
          <w:p>
            <w:pPr>
              <w:pStyle w:val="Compact"/>
              <w:jc w:val="left"/>
            </w:pPr>
            <w:r>
              <w:t xml:space="preserve">Dette totale</w:t>
            </w:r>
          </w:p>
        </w:tc>
        <w:tc>
          <w:tcPr>
            <w:tcW w:w="8321" w:type="dxa"/>
          </w:tcPr>
          <w:tcPr/>
          <w:p>
            <w:pPr>
              <w:pStyle w:val="Compact"/>
              <w:jc w:val="left"/>
            </w:pPr>
            <w:r>
              <w:t xml:space="preserve">Emprunts :</w:t>
            </w:r>
            <w:r>
              <w:t xml:space="preserve"> </w:t>
            </w:r>
            <w:r>
              <w:rPr>
                <w:bCs/>
                <w:b/>
              </w:rPr>
              <w:t xml:space="preserve">61,1 Md ZMW (2024)</w:t>
            </w:r>
            <w:r>
              <w:t xml:space="preserve"> </w:t>
            </w:r>
            <w:r>
              <w:t xml:space="preserve">(54,8 Md en 2023), clauses de covenants rompues ; 49,99 Md ZMW (2025) ; dette long terme ≈ 2,1 Md US$ (2024)</w:t>
            </w:r>
          </w:p>
        </w:tc>
        <w:tc>
          <w:tcPr>
            <w:tcW w:w="1240" w:type="dxa"/>
          </w:tcPr>
          <w:tcPr/>
          <w:p>
            <w:pPr>
              <w:pStyle w:val="Compact"/>
              <w:jc w:val="left"/>
            </w:pPr>
            <w:r>
              <w:t xml:space="preserve">2023-2025</w:t>
            </w:r>
          </w:p>
        </w:tc>
        <w:tc>
          <w:tcPr>
            <w:tcW w:w="1054" w:type="dxa"/>
          </w:tcPr>
          <w:tcPr/>
          <w:p>
            <w:pPr>
              <w:pStyle w:val="Compact"/>
              <w:jc w:val="left"/>
            </w:pPr>
            <w:r>
              <w:t xml:space="preserve">[V]</w:t>
            </w:r>
          </w:p>
        </w:tc>
        <w:tc>
          <w:tcPr>
            <w:tcW w:w="951" w:type="dxa"/>
          </w:tcPr>
          <w:tcPr/>
          <w:p>
            <w:pPr>
              <w:pStyle w:val="Compact"/>
              <w:jc w:val="left"/>
            </w:pPr>
            <w:r>
              <w:t xml:space="preserve">[1][2]</w:t>
            </w:r>
          </w:p>
        </w:tc>
      </w:tr>
      <w:tr>
        <w:tc>
          <w:tcPr>
            <w:tcW w:w="3002" w:type="dxa"/>
          </w:tcPr>
          <w:tcPr/>
          <w:p>
            <w:pPr>
              <w:pStyle w:val="Compact"/>
              <w:jc w:val="left"/>
            </w:pPr>
            <w:r>
              <w:t xml:space="preserve">Dette (vue FMI)</w:t>
            </w:r>
          </w:p>
        </w:tc>
        <w:tc>
          <w:tcPr>
            <w:tcW w:w="8321" w:type="dxa"/>
          </w:tcPr>
          <w:tcPr/>
          <w:p>
            <w:pPr>
              <w:pStyle w:val="Compact"/>
              <w:jc w:val="left"/>
            </w:pPr>
            <w:r>
              <w:rPr>
                <w:bCs/>
                <w:b/>
              </w:rPr>
              <w:t xml:space="preserve">2,6 Md US$</w:t>
            </w:r>
            <w:r>
              <w:t xml:space="preserve"> </w:t>
            </w:r>
            <w:r>
              <w:t xml:space="preserve">à sept. 2025 : 384 M US$ prêts rétrocédés par l’État, 207 M US$ prêteurs commerciaux, 2,0 Md US$ prêts garantis par l’État, ~300 M US$ dette extérieure non garantie</w:t>
            </w:r>
          </w:p>
        </w:tc>
        <w:tc>
          <w:tcPr>
            <w:tcW w:w="1240" w:type="dxa"/>
          </w:tcPr>
          <w:tcPr/>
          <w:p>
            <w:pPr>
              <w:pStyle w:val="Compact"/>
              <w:jc w:val="left"/>
            </w:pPr>
            <w:r>
              <w:t xml:space="preserve">2025</w:t>
            </w:r>
          </w:p>
        </w:tc>
        <w:tc>
          <w:tcPr>
            <w:tcW w:w="1054" w:type="dxa"/>
          </w:tcPr>
          <w:tcPr/>
          <w:p>
            <w:pPr>
              <w:pStyle w:val="Compact"/>
              <w:jc w:val="left"/>
            </w:pPr>
            <w:r>
              <w:t xml:space="preserve">[V]</w:t>
            </w:r>
          </w:p>
        </w:tc>
        <w:tc>
          <w:tcPr>
            <w:tcW w:w="951" w:type="dxa"/>
          </w:tcPr>
          <w:tcPr/>
          <w:p>
            <w:pPr>
              <w:pStyle w:val="Compact"/>
              <w:jc w:val="left"/>
            </w:pPr>
            <w:r>
              <w:t xml:space="preserve">[3]</w:t>
            </w:r>
          </w:p>
        </w:tc>
      </w:tr>
      <w:tr>
        <w:tc>
          <w:tcPr>
            <w:tcW w:w="3002" w:type="dxa"/>
          </w:tcPr>
          <w:tcPr/>
          <w:p>
            <w:pPr>
              <w:pStyle w:val="Compact"/>
              <w:jc w:val="left"/>
            </w:pPr>
            <w:r>
              <w:t xml:space="preserve">Dette envers IPP</w:t>
            </w:r>
          </w:p>
        </w:tc>
        <w:tc>
          <w:tcPr>
            <w:tcW w:w="8321" w:type="dxa"/>
          </w:tcPr>
          <w:tcPr/>
          <w:p>
            <w:pPr>
              <w:pStyle w:val="Compact"/>
              <w:jc w:val="left"/>
            </w:pPr>
            <w:r>
              <w:t xml:space="preserve">Arriérés IPP domestiques</w:t>
            </w:r>
            <w:r>
              <w:t xml:space="preserve"> </w:t>
            </w:r>
            <w:r>
              <w:rPr>
                <w:bCs/>
                <w:b/>
              </w:rPr>
              <w:t xml:space="preserve">181 M US$</w:t>
            </w:r>
            <w:r>
              <w:t xml:space="preserve"> </w:t>
            </w:r>
            <w:r>
              <w:t xml:space="preserve">+ IPP extérieurs</w:t>
            </w:r>
            <w:r>
              <w:t xml:space="preserve"> </w:t>
            </w:r>
            <w:r>
              <w:rPr>
                <w:bCs/>
                <w:b/>
              </w:rPr>
              <w:t xml:space="preserve">81 M US$</w:t>
            </w:r>
            <w:r>
              <w:t xml:space="preserve"> </w:t>
            </w:r>
            <w:r>
              <w:t xml:space="preserve">(fin juin 2025) [3] ; « dette IPP » ramenée de 377 M US$ (2024) à</w:t>
            </w:r>
            <w:r>
              <w:t xml:space="preserve"> </w:t>
            </w:r>
            <w:r>
              <w:rPr>
                <w:bCs/>
                <w:b/>
              </w:rPr>
              <w:t xml:space="preserve">187 M US$ (2025)</w:t>
            </w:r>
            <w:r>
              <w:t xml:space="preserve">, contre 1,8 Md US$ en 2021 [1]</w:t>
            </w:r>
          </w:p>
        </w:tc>
        <w:tc>
          <w:tcPr>
            <w:tcW w:w="1240" w:type="dxa"/>
          </w:tcPr>
          <w:tcPr/>
          <w:p>
            <w:pPr>
              <w:pStyle w:val="Compact"/>
              <w:jc w:val="left"/>
            </w:pPr>
            <w:r>
              <w:t xml:space="preserve">2021-2025</w:t>
            </w:r>
          </w:p>
        </w:tc>
        <w:tc>
          <w:tcPr>
            <w:tcW w:w="1054" w:type="dxa"/>
          </w:tcPr>
          <w:tcPr/>
          <w:p>
            <w:pPr>
              <w:pStyle w:val="Compact"/>
              <w:jc w:val="left"/>
            </w:pPr>
            <w:r>
              <w:t xml:space="preserve">[V]</w:t>
            </w:r>
          </w:p>
        </w:tc>
        <w:tc>
          <w:tcPr>
            <w:tcW w:w="951" w:type="dxa"/>
          </w:tcPr>
          <w:tcPr/>
          <w:p>
            <w:pPr>
              <w:pStyle w:val="Compact"/>
              <w:jc w:val="left"/>
            </w:pPr>
            <w:r>
              <w:t xml:space="preserve">[1][3]</w:t>
            </w:r>
          </w:p>
        </w:tc>
      </w:tr>
      <w:tr>
        <w:tc>
          <w:tcPr>
            <w:tcW w:w="3002" w:type="dxa"/>
          </w:tcPr>
          <w:tcPr/>
          <w:p>
            <w:pPr>
              <w:pStyle w:val="Compact"/>
              <w:jc w:val="left"/>
            </w:pPr>
            <w:r>
              <w:t xml:space="preserve">Dette + arriérés (historique)</w:t>
            </w:r>
          </w:p>
        </w:tc>
        <w:tc>
          <w:tcPr>
            <w:tcW w:w="8321" w:type="dxa"/>
          </w:tcPr>
          <w:tcPr/>
          <w:p>
            <w:pPr>
              <w:pStyle w:val="Compact"/>
              <w:jc w:val="left"/>
            </w:pPr>
            <w:r>
              <w:t xml:space="preserve">De ~0,7 Md US$ (2011) à</w:t>
            </w:r>
            <w:r>
              <w:t xml:space="preserve"> </w:t>
            </w:r>
            <w:r>
              <w:rPr>
                <w:bCs/>
                <w:b/>
              </w:rPr>
              <w:t xml:space="preserve">3 Md US$ (2022)</w:t>
            </w:r>
            <w:r>
              <w:t xml:space="preserve"> </w:t>
            </w:r>
            <w:r>
              <w:t xml:space="preserve">; dettes fournisseurs de 50 M US$ (2014) à 1,9 Md US$ (2022)</w:t>
            </w:r>
          </w:p>
        </w:tc>
        <w:tc>
          <w:tcPr>
            <w:tcW w:w="1240" w:type="dxa"/>
          </w:tcPr>
          <w:tcPr/>
          <w:p>
            <w:pPr>
              <w:pStyle w:val="Compact"/>
              <w:jc w:val="left"/>
            </w:pPr>
            <w:r>
              <w:t xml:space="preserve">2011-2022</w:t>
            </w:r>
          </w:p>
        </w:tc>
        <w:tc>
          <w:tcPr>
            <w:tcW w:w="1054" w:type="dxa"/>
          </w:tcPr>
          <w:tcPr/>
          <w:p>
            <w:pPr>
              <w:pStyle w:val="Compact"/>
              <w:jc w:val="left"/>
            </w:pPr>
            <w:r>
              <w:t xml:space="preserve">[V]</w:t>
            </w:r>
          </w:p>
        </w:tc>
        <w:tc>
          <w:tcPr>
            <w:tcW w:w="951" w:type="dxa"/>
          </w:tcPr>
          <w:tcPr/>
          <w:p>
            <w:pPr>
              <w:pStyle w:val="Compact"/>
              <w:jc w:val="left"/>
            </w:pPr>
            <w:r>
              <w:t xml:space="preserve">[4]</w:t>
            </w:r>
          </w:p>
        </w:tc>
      </w:tr>
      <w:tr>
        <w:tc>
          <w:tcPr>
            <w:tcW w:w="3002" w:type="dxa"/>
          </w:tcPr>
          <w:tcPr/>
          <w:p>
            <w:pPr>
              <w:pStyle w:val="Compact"/>
              <w:jc w:val="left"/>
            </w:pPr>
            <w:r>
              <w:t xml:space="preserve">Passif courant vs actif courant</w:t>
            </w:r>
          </w:p>
        </w:tc>
        <w:tc>
          <w:tcPr>
            <w:tcW w:w="8321" w:type="dxa"/>
          </w:tcPr>
          <w:tcPr/>
          <w:p>
            <w:pPr>
              <w:pStyle w:val="Compact"/>
              <w:jc w:val="left"/>
            </w:pPr>
            <w:r>
              <w:t xml:space="preserve">Passif courant &gt; actif courant de</w:t>
            </w:r>
            <w:r>
              <w:t xml:space="preserve"> </w:t>
            </w:r>
            <w:r>
              <w:rPr>
                <w:bCs/>
                <w:b/>
              </w:rPr>
              <w:t xml:space="preserve">48,7 Md ZMW</w:t>
            </w:r>
            <w:r>
              <w:t xml:space="preserve"> </w:t>
            </w:r>
            <w:r>
              <w:t xml:space="preserve">(2024 ; 40,2 Md en 2023) ; report à nouveau négatif de 60 Md ZMW (2024)</w:t>
            </w:r>
          </w:p>
        </w:tc>
        <w:tc>
          <w:tcPr>
            <w:tcW w:w="1240" w:type="dxa"/>
          </w:tcPr>
          <w:tcPr/>
          <w:p>
            <w:pPr>
              <w:pStyle w:val="Compact"/>
              <w:jc w:val="left"/>
            </w:pPr>
            <w:r>
              <w:t xml:space="preserve">2024</w:t>
            </w:r>
          </w:p>
        </w:tc>
        <w:tc>
          <w:tcPr>
            <w:tcW w:w="1054" w:type="dxa"/>
          </w:tcPr>
          <w:tcPr/>
          <w:p>
            <w:pPr>
              <w:pStyle w:val="Compact"/>
              <w:jc w:val="left"/>
            </w:pPr>
            <w:r>
              <w:t xml:space="preserve">[V]</w:t>
            </w:r>
          </w:p>
        </w:tc>
        <w:tc>
          <w:tcPr>
            <w:tcW w:w="951" w:type="dxa"/>
          </w:tcPr>
          <w:tcPr/>
          <w:p>
            <w:pPr>
              <w:pStyle w:val="Compact"/>
              <w:jc w:val="left"/>
            </w:pPr>
            <w:r>
              <w:t xml:space="preserve">[2]</w:t>
            </w:r>
          </w:p>
        </w:tc>
      </w:tr>
      <w:tr>
        <w:tc>
          <w:tcPr>
            <w:tcW w:w="3002" w:type="dxa"/>
          </w:tcPr>
          <w:tcPr/>
          <w:p>
            <w:pPr>
              <w:pStyle w:val="Compact"/>
              <w:jc w:val="left"/>
            </w:pPr>
            <w:r>
              <w:t xml:space="preserve">Créances clients brutes</w:t>
            </w:r>
          </w:p>
        </w:tc>
        <w:tc>
          <w:tcPr>
            <w:tcW w:w="8321" w:type="dxa"/>
          </w:tcPr>
          <w:tcPr/>
          <w:p>
            <w:pPr>
              <w:pStyle w:val="Compact"/>
              <w:jc w:val="left"/>
            </w:pPr>
            <w:r>
              <w:t xml:space="preserve">26,6 Md ZMW (2024) ; 24,0 Md ZMW (2023) (groupe)</w:t>
            </w:r>
          </w:p>
        </w:tc>
        <w:tc>
          <w:tcPr>
            <w:tcW w:w="1240" w:type="dxa"/>
          </w:tcPr>
          <w:tcPr/>
          <w:p>
            <w:pPr>
              <w:pStyle w:val="Compact"/>
              <w:jc w:val="left"/>
            </w:pPr>
            <w:r>
              <w:t xml:space="preserve">2024</w:t>
            </w:r>
          </w:p>
        </w:tc>
        <w:tc>
          <w:tcPr>
            <w:tcW w:w="1054" w:type="dxa"/>
          </w:tcPr>
          <w:tcPr/>
          <w:p>
            <w:pPr>
              <w:pStyle w:val="Compact"/>
              <w:jc w:val="left"/>
            </w:pPr>
            <w:r>
              <w:t xml:space="preserve">[V]</w:t>
            </w:r>
          </w:p>
        </w:tc>
        <w:tc>
          <w:tcPr>
            <w:tcW w:w="951" w:type="dxa"/>
          </w:tcPr>
          <w:tcPr/>
          <w:p>
            <w:pPr>
              <w:pStyle w:val="Compact"/>
              <w:jc w:val="left"/>
            </w:pPr>
            <w:r>
              <w:t xml:space="preserve">[2]</w:t>
            </w:r>
          </w:p>
        </w:tc>
      </w:tr>
      <w:tr>
        <w:tc>
          <w:tcPr>
            <w:tcW w:w="3002" w:type="dxa"/>
          </w:tcPr>
          <w:tcPr/>
          <w:p>
            <w:pPr>
              <w:pStyle w:val="Compact"/>
              <w:jc w:val="left"/>
            </w:pPr>
            <w:r>
              <w:t xml:space="preserve">Arriérés de l’État / entités publiques</w:t>
            </w:r>
          </w:p>
        </w:tc>
        <w:tc>
          <w:tcPr>
            <w:tcW w:w="8321" w:type="dxa"/>
          </w:tcPr>
          <w:tcPr/>
          <w:p>
            <w:pPr>
              <w:pStyle w:val="Compact"/>
              <w:jc w:val="left"/>
            </w:pPr>
            <w:r>
              <w:t xml:space="preserve">[?] non isolés dans les sources lues ; le PAD NEAT mentionne un recouvrement ponctuel des factures du secteur public en 2021 et des créances sur les régies d’eau</w:t>
            </w:r>
          </w:p>
        </w:tc>
        <w:tc>
          <w:tcPr>
            <w:tcW w:w="1240" w:type="dxa"/>
          </w:tcPr>
          <w:tcPr/>
          <w:p>
            <w:pPr>
              <w:pStyle w:val="Compact"/>
              <w:jc w:val="left"/>
            </w:pPr>
            <w:r>
              <w:t xml:space="preserve">2021</w:t>
            </w:r>
          </w:p>
        </w:tc>
        <w:tc>
          <w:tcPr>
            <w:tcW w:w="1054" w:type="dxa"/>
          </w:tcPr>
          <w:tcPr/>
          <w:p>
            <w:pPr>
              <w:pStyle w:val="Compact"/>
              <w:jc w:val="left"/>
            </w:pPr>
            <w:r>
              <w:t xml:space="preserve">[V] partiel</w:t>
            </w:r>
          </w:p>
        </w:tc>
        <w:tc>
          <w:tcPr>
            <w:tcW w:w="951" w:type="dxa"/>
          </w:tcPr>
          <w:tcPr/>
          <w:p>
            <w:pPr>
              <w:pStyle w:val="Compact"/>
              <w:jc w:val="left"/>
            </w:pPr>
            <w:r>
              <w:t xml:space="preserve">[4]</w:t>
            </w:r>
          </w:p>
        </w:tc>
      </w:tr>
      <w:tr>
        <w:tc>
          <w:tcPr>
            <w:tcW w:w="3002" w:type="dxa"/>
          </w:tcPr>
          <w:tcPr/>
          <w:p>
            <w:pPr>
              <w:pStyle w:val="Compact"/>
              <w:jc w:val="left"/>
            </w:pPr>
            <w:r>
              <w:t xml:space="preserve">Créances du secteur minier</w:t>
            </w:r>
          </w:p>
        </w:tc>
        <w:tc>
          <w:tcPr>
            <w:tcW w:w="8321" w:type="dxa"/>
          </w:tcPr>
          <w:tcPr/>
          <w:p>
            <w:pPr>
              <w:pStyle w:val="Compact"/>
              <w:jc w:val="left"/>
            </w:pPr>
            <w:r>
              <w:t xml:space="preserve">Taux de recouvrement auprès des mines</w:t>
            </w:r>
            <w:r>
              <w:t xml:space="preserve"> </w:t>
            </w:r>
            <w:r>
              <w:rPr>
                <w:bCs/>
                <w:b/>
              </w:rPr>
              <w:t xml:space="preserve">72 % (2022)</w:t>
            </w:r>
            <w:r>
              <w:t xml:space="preserve"> </w:t>
            </w:r>
            <w:r>
              <w:t xml:space="preserve">; les mines ≈ la moitié des ventes</w:t>
            </w:r>
          </w:p>
        </w:tc>
        <w:tc>
          <w:tcPr>
            <w:tcW w:w="1240" w:type="dxa"/>
          </w:tcPr>
          <w:tcPr/>
          <w:p>
            <w:pPr>
              <w:pStyle w:val="Compact"/>
              <w:jc w:val="left"/>
            </w:pPr>
            <w:r>
              <w:t xml:space="preserve">2022</w:t>
            </w:r>
          </w:p>
        </w:tc>
        <w:tc>
          <w:tcPr>
            <w:tcW w:w="1054" w:type="dxa"/>
          </w:tcPr>
          <w:tcPr/>
          <w:p>
            <w:pPr>
              <w:pStyle w:val="Compact"/>
              <w:jc w:val="left"/>
            </w:pPr>
            <w:r>
              <w:t xml:space="preserve">[V]</w:t>
            </w:r>
          </w:p>
        </w:tc>
        <w:tc>
          <w:tcPr>
            <w:tcW w:w="951" w:type="dxa"/>
          </w:tcPr>
          <w:tcPr/>
          <w:p>
            <w:pPr>
              <w:pStyle w:val="Compact"/>
              <w:jc w:val="left"/>
            </w:pPr>
            <w:r>
              <w:t xml:space="preserve">[4]</w:t>
            </w:r>
          </w:p>
        </w:tc>
      </w:tr>
      <w:tr>
        <w:tc>
          <w:tcPr>
            <w:tcW w:w="3002" w:type="dxa"/>
          </w:tcPr>
          <w:tcPr/>
          <w:p>
            <w:pPr>
              <w:pStyle w:val="Compact"/>
              <w:jc w:val="left"/>
            </w:pPr>
            <w:r>
              <w:t xml:space="preserve">Transferts / subventions de l’État</w:t>
            </w:r>
          </w:p>
        </w:tc>
        <w:tc>
          <w:tcPr>
            <w:tcW w:w="8321" w:type="dxa"/>
          </w:tcPr>
          <w:tcPr/>
          <w:p>
            <w:pPr>
              <w:pStyle w:val="Compact"/>
              <w:jc w:val="left"/>
            </w:pPr>
            <w:r>
              <w:t xml:space="preserve">Soutien de</w:t>
            </w:r>
            <w:r>
              <w:t xml:space="preserve"> </w:t>
            </w:r>
            <w:r>
              <w:rPr>
                <w:bCs/>
                <w:b/>
              </w:rPr>
              <w:t xml:space="preserve">533 M ZMW</w:t>
            </w:r>
            <w:r>
              <w:t xml:space="preserve"> </w:t>
            </w:r>
            <w:r>
              <w:t xml:space="preserve">pour obligations d’achat d’électricité (2025) ; swap de dettes tripartite État-ZRA-ZESCO 257 M ZMW (2025) ; conversion envisagée de 371,5 M US$ de prêts rétrocédés/garantis en capital (2024) ; le budget central n’enregistre pas de transfert direct au secteur électrique (FMI)</w:t>
            </w:r>
          </w:p>
        </w:tc>
        <w:tc>
          <w:tcPr>
            <w:tcW w:w="1240" w:type="dxa"/>
          </w:tcPr>
          <w:tcPr/>
          <w:p>
            <w:pPr>
              <w:pStyle w:val="Compact"/>
              <w:jc w:val="left"/>
            </w:pPr>
            <w:r>
              <w:t xml:space="preserve">2024-2025</w:t>
            </w:r>
          </w:p>
        </w:tc>
        <w:tc>
          <w:tcPr>
            <w:tcW w:w="1054" w:type="dxa"/>
          </w:tcPr>
          <w:tcPr/>
          <w:p>
            <w:pPr>
              <w:pStyle w:val="Compact"/>
              <w:jc w:val="left"/>
            </w:pPr>
            <w:r>
              <w:t xml:space="preserve">[V]</w:t>
            </w:r>
          </w:p>
        </w:tc>
        <w:tc>
          <w:tcPr>
            <w:tcW w:w="951" w:type="dxa"/>
          </w:tcPr>
          <w:tcPr/>
          <w:p>
            <w:pPr>
              <w:pStyle w:val="Compact"/>
              <w:jc w:val="left"/>
            </w:pPr>
            <w:r>
              <w:t xml:space="preserve">[1][2][3]</w:t>
            </w:r>
          </w:p>
        </w:tc>
      </w:tr>
      <w:tr>
        <w:tc>
          <w:tcPr>
            <w:tcW w:w="3002" w:type="dxa"/>
          </w:tcPr>
          <w:tcPr/>
          <w:p>
            <w:pPr>
              <w:pStyle w:val="Compact"/>
              <w:jc w:val="left"/>
            </w:pPr>
            <w:r>
              <w:t xml:space="preserve">Taux de recouvrement (distribution)</w:t>
            </w:r>
          </w:p>
        </w:tc>
        <w:tc>
          <w:tcPr>
            <w:tcW w:w="8321" w:type="dxa"/>
          </w:tcPr>
          <w:tcPr/>
          <w:p>
            <w:pPr>
              <w:pStyle w:val="Compact"/>
              <w:jc w:val="left"/>
            </w:pPr>
            <w:r>
              <w:rPr>
                <w:bCs/>
                <w:b/>
              </w:rPr>
              <w:t xml:space="preserve">72 % (2024)</w:t>
            </w:r>
            <w:r>
              <w:t xml:space="preserve"> </w:t>
            </w:r>
            <w:r>
              <w:t xml:space="preserve">;</w:t>
            </w:r>
            <w:r>
              <w:t xml:space="preserve"> </w:t>
            </w:r>
            <w:r>
              <w:rPr>
                <w:bCs/>
                <w:b/>
              </w:rPr>
              <w:t xml:space="preserve">90 % (2025)</w:t>
            </w:r>
            <w:r>
              <w:t xml:space="preserve"> </w:t>
            </w:r>
            <w:r>
              <w:t xml:space="preserve">(facturation 6,79 Md ZMW, encaissement 6,11 Md ZMW)</w:t>
            </w:r>
          </w:p>
        </w:tc>
        <w:tc>
          <w:tcPr>
            <w:tcW w:w="1240" w:type="dxa"/>
          </w:tcPr>
          <w:tcPr/>
          <w:p>
            <w:pPr>
              <w:pStyle w:val="Compact"/>
              <w:jc w:val="left"/>
            </w:pPr>
            <w:r>
              <w:t xml:space="preserve">2024-2025</w:t>
            </w:r>
          </w:p>
        </w:tc>
        <w:tc>
          <w:tcPr>
            <w:tcW w:w="1054" w:type="dxa"/>
          </w:tcPr>
          <w:tcPr/>
          <w:p>
            <w:pPr>
              <w:pStyle w:val="Compact"/>
              <w:jc w:val="left"/>
            </w:pPr>
            <w:r>
              <w:t xml:space="preserve">[V]</w:t>
            </w:r>
          </w:p>
        </w:tc>
        <w:tc>
          <w:tcPr>
            <w:tcW w:w="951" w:type="dxa"/>
          </w:tcPr>
          <w:tcPr/>
          <w:p>
            <w:pPr>
              <w:pStyle w:val="Compact"/>
              <w:jc w:val="left"/>
            </w:pPr>
            <w:r>
              <w:t xml:space="preserve">[1]</w:t>
            </w:r>
          </w:p>
        </w:tc>
      </w:tr>
      <w:tr>
        <w:tc>
          <w:tcPr>
            <w:tcW w:w="3002" w:type="dxa"/>
          </w:tcPr>
          <w:tcPr/>
          <w:p>
            <w:pPr>
              <w:pStyle w:val="Compact"/>
              <w:jc w:val="left"/>
            </w:pPr>
            <w:r>
              <w:t xml:space="preserve">Recouvrement des coûts (indicateur BM)</w:t>
            </w:r>
          </w:p>
        </w:tc>
        <w:tc>
          <w:tcPr>
            <w:tcW w:w="8321" w:type="dxa"/>
          </w:tcPr>
          <w:tcPr/>
          <w:p>
            <w:pPr>
              <w:pStyle w:val="Compact"/>
              <w:jc w:val="left"/>
            </w:pPr>
            <w:r>
              <w:t xml:space="preserve">Couverture coûts d’exploitation + service de la dette : &gt;90 % (2014) → 58 % (2019) → 110 % (2021) → 100 % (2022) ; avec dettes fournisseurs (PrDO 1) :</w:t>
            </w:r>
            <w:r>
              <w:t xml:space="preserve"> </w:t>
            </w:r>
            <w:r>
              <w:rPr>
                <w:bCs/>
                <w:b/>
              </w:rPr>
              <w:t xml:space="preserve">35 % (2023)</w:t>
            </w:r>
            <w:r>
              <w:t xml:space="preserve">, cible 98 % (2033)</w:t>
            </w:r>
          </w:p>
        </w:tc>
        <w:tc>
          <w:tcPr>
            <w:tcW w:w="1240" w:type="dxa"/>
          </w:tcPr>
          <w:tcPr/>
          <w:p>
            <w:pPr>
              <w:pStyle w:val="Compact"/>
              <w:jc w:val="left"/>
            </w:pPr>
            <w:r>
              <w:t xml:space="preserve">2014-2023</w:t>
            </w:r>
          </w:p>
        </w:tc>
        <w:tc>
          <w:tcPr>
            <w:tcW w:w="1054" w:type="dxa"/>
          </w:tcPr>
          <w:tcPr/>
          <w:p>
            <w:pPr>
              <w:pStyle w:val="Compact"/>
              <w:jc w:val="left"/>
            </w:pPr>
            <w:r>
              <w:t xml:space="preserve">[V]</w:t>
            </w:r>
          </w:p>
        </w:tc>
        <w:tc>
          <w:tcPr>
            <w:tcW w:w="951" w:type="dxa"/>
          </w:tcPr>
          <w:tcPr/>
          <w:p>
            <w:pPr>
              <w:pStyle w:val="Compact"/>
              <w:jc w:val="left"/>
            </w:pPr>
            <w:r>
              <w:t xml:space="preserve">[4]</w:t>
            </w:r>
          </w:p>
        </w:tc>
      </w:tr>
      <w:tr>
        <w:tc>
          <w:tcPr>
            <w:tcW w:w="3002" w:type="dxa"/>
          </w:tcPr>
          <w:tcPr/>
          <w:p>
            <w:pPr>
              <w:pStyle w:val="Compact"/>
              <w:jc w:val="left"/>
            </w:pPr>
            <w:r>
              <w:t xml:space="preserve">Recette moyenne vs coût par kWh</w:t>
            </w:r>
          </w:p>
        </w:tc>
        <w:tc>
          <w:tcPr>
            <w:tcW w:w="8321" w:type="dxa"/>
          </w:tcPr>
          <w:tcPr/>
          <w:p>
            <w:pPr>
              <w:pStyle w:val="Compact"/>
              <w:jc w:val="left"/>
            </w:pPr>
            <w:r>
              <w:t xml:space="preserve">[?] non trouvé (coût complet par kWh non publié) ; tarif moyen de valorisation des pertes : 1,86 ZMW/kWh (2025) ; IPP domestiques à ≥ 10 USc/kWh ; tarifs résidentiels &lt; 50 % du coût jusqu’en 2020</w:t>
            </w:r>
          </w:p>
        </w:tc>
        <w:tc>
          <w:tcPr>
            <w:tcW w:w="1240" w:type="dxa"/>
          </w:tcPr>
          <w:tcPr/>
          <w:p>
            <w:pPr>
              <w:pStyle w:val="Compact"/>
              <w:jc w:val="left"/>
            </w:pPr>
            <w:r>
              <w:t xml:space="preserve">2020-2025</w:t>
            </w:r>
          </w:p>
        </w:tc>
        <w:tc>
          <w:tcPr>
            <w:tcW w:w="1054" w:type="dxa"/>
          </w:tcPr>
          <w:tcPr/>
          <w:p>
            <w:pPr>
              <w:pStyle w:val="Compact"/>
              <w:jc w:val="left"/>
            </w:pPr>
            <w:r>
              <w:t xml:space="preserve">[V] partiel</w:t>
            </w:r>
          </w:p>
        </w:tc>
        <w:tc>
          <w:tcPr>
            <w:tcW w:w="951" w:type="dxa"/>
          </w:tcPr>
          <w:tcPr/>
          <w:p>
            <w:pPr>
              <w:pStyle w:val="Compact"/>
              <w:jc w:val="left"/>
            </w:pPr>
            <w:r>
              <w:t xml:space="preserve">[1][4]</w:t>
            </w:r>
          </w:p>
        </w:tc>
      </w:tr>
      <w:tr>
        <w:tc>
          <w:tcPr>
            <w:tcW w:w="3002" w:type="dxa"/>
          </w:tcPr>
          <w:tcPr/>
          <w:p>
            <w:pPr>
              <w:pStyle w:val="Compact"/>
              <w:jc w:val="left"/>
            </w:pPr>
            <w:r>
              <w:t xml:space="preserve">Tarifs</w:t>
            </w:r>
          </w:p>
        </w:tc>
        <w:tc>
          <w:tcPr>
            <w:tcW w:w="8321" w:type="dxa"/>
          </w:tcPr>
          <w:tcPr/>
          <w:p>
            <w:pPr>
              <w:pStyle w:val="Compact"/>
              <w:jc w:val="left"/>
            </w:pPr>
            <w:r>
              <w:t xml:space="preserve">Hausse moyenne de 113 % en 2020 ; MYTF 2023 : +15 % (2023) et +13 %/an (2024-2027) ; tarifs d’urgence depuis nov. 2024 (prolongés 3 fois, +70 % sur le tarif moyen pondéré) ; nouveau MYTF ERB 1/11/2025-31/10/2027</w:t>
            </w:r>
          </w:p>
        </w:tc>
        <w:tc>
          <w:tcPr>
            <w:tcW w:w="1240" w:type="dxa"/>
          </w:tcPr>
          <w:tcPr/>
          <w:p>
            <w:pPr>
              <w:pStyle w:val="Compact"/>
              <w:jc w:val="left"/>
            </w:pPr>
            <w:r>
              <w:t xml:space="preserve">2020-2025</w:t>
            </w:r>
          </w:p>
        </w:tc>
        <w:tc>
          <w:tcPr>
            <w:tcW w:w="1054" w:type="dxa"/>
          </w:tcPr>
          <w:tcPr/>
          <w:p>
            <w:pPr>
              <w:pStyle w:val="Compact"/>
              <w:jc w:val="left"/>
            </w:pPr>
            <w:r>
              <w:t xml:space="preserve">[V]</w:t>
            </w:r>
          </w:p>
        </w:tc>
        <w:tc>
          <w:tcPr>
            <w:tcW w:w="951" w:type="dxa"/>
          </w:tcPr>
          <w:tcPr/>
          <w:p>
            <w:pPr>
              <w:pStyle w:val="Compact"/>
              <w:jc w:val="left"/>
            </w:pPr>
            <w:r>
              <w:t xml:space="preserve">[1][3][4]</w:t>
            </w:r>
          </w:p>
        </w:tc>
      </w:tr>
      <w:tr>
        <w:tc>
          <w:tcPr>
            <w:tcW w:w="3002" w:type="dxa"/>
          </w:tcPr>
          <w:tcPr/>
          <w:p>
            <w:pPr>
              <w:pStyle w:val="Compact"/>
              <w:jc w:val="left"/>
            </w:pPr>
            <w:r>
              <w:t xml:space="preserve">Déficit quasi-budgétaire</w:t>
            </w:r>
          </w:p>
        </w:tc>
        <w:tc>
          <w:tcPr>
            <w:tcW w:w="8321" w:type="dxa"/>
          </w:tcPr>
          <w:tcPr/>
          <w:p>
            <w:pPr>
              <w:pStyle w:val="Compact"/>
              <w:jc w:val="left"/>
            </w:pPr>
            <w:r>
              <w:t xml:space="preserve">[?] non estimé ; le FMI inclut les arriérés IPP de ZESCO dans le périmètre de l’AVD et qualifie ZESCO de « risque budgétaire potentiellement matériel »</w:t>
            </w:r>
          </w:p>
        </w:tc>
        <w:tc>
          <w:tcPr>
            <w:tcW w:w="1240" w:type="dxa"/>
          </w:tcPr>
          <w:tcPr/>
          <w:p>
            <w:pPr>
              <w:pStyle w:val="Compact"/>
              <w:jc w:val="left"/>
            </w:pPr>
            <w:r>
              <w:t xml:space="preserve">2025</w:t>
            </w:r>
          </w:p>
        </w:tc>
        <w:tc>
          <w:tcPr>
            <w:tcW w:w="1054" w:type="dxa"/>
          </w:tcPr>
          <w:tcPr/>
          <w:p>
            <w:pPr>
              <w:pStyle w:val="Compact"/>
              <w:jc w:val="left"/>
            </w:pPr>
            <w:r>
              <w:t xml:space="preserve">[V]</w:t>
            </w:r>
          </w:p>
        </w:tc>
        <w:tc>
          <w:tcPr>
            <w:tcW w:w="951" w:type="dxa"/>
          </w:tcPr>
          <w:tcPr/>
          <w:p>
            <w:pPr>
              <w:pStyle w:val="Compact"/>
              <w:jc w:val="left"/>
            </w:pPr>
            <w:r>
              <w:t xml:space="preserve">[3]</w:t>
            </w:r>
          </w:p>
        </w:tc>
      </w:tr>
      <w:tr>
        <w:tc>
          <w:tcPr>
            <w:tcW w:w="3002" w:type="dxa"/>
          </w:tcPr>
          <w:tcPr/>
          <w:p>
            <w:pPr>
              <w:pStyle w:val="Compact"/>
              <w:jc w:val="left"/>
            </w:pPr>
            <w:r>
              <w:t xml:space="preserve">Notation de crédit</w:t>
            </w:r>
          </w:p>
        </w:tc>
        <w:tc>
          <w:tcPr>
            <w:tcW w:w="8321" w:type="dxa"/>
          </w:tcPr>
          <w:tcPr/>
          <w:p>
            <w:pPr>
              <w:pStyle w:val="Compact"/>
              <w:jc w:val="left"/>
            </w:pPr>
            <w:r>
              <w:t xml:space="preserve">[?] non trouvée</w:t>
            </w:r>
          </w:p>
        </w:tc>
        <w:tc>
          <w:tcPr>
            <w:tcW w:w="1240" w:type="dxa"/>
          </w:tcPr>
          <w:tcPr/>
          <w:p>
            <w:pPr>
              <w:pStyle w:val="Compact"/>
              <w:jc w:val="left"/>
            </w:pPr>
            <w:r>
              <w:t xml:space="preserve">—</w:t>
            </w:r>
          </w:p>
        </w:tc>
        <w:tc>
          <w:tcPr>
            <w:tcW w:w="1054" w:type="dxa"/>
          </w:tcPr>
          <w:tcPr/>
          <w:p>
            <w:pPr>
              <w:pStyle w:val="Compact"/>
              <w:jc w:val="left"/>
            </w:pPr>
            <w:r>
              <w:t xml:space="preserve">[?]</w:t>
            </w:r>
          </w:p>
        </w:tc>
        <w:tc>
          <w:tcPr>
            <w:tcW w:w="951" w:type="dxa"/>
          </w:tcPr>
          <w:tcPr/>
          <w:p>
            <w:pPr>
              <w:pStyle w:val="Compact"/>
              <w:jc w:val="left"/>
            </w:pPr>
            <w:r>
              <w:t xml:space="preserve">—</w:t>
            </w:r>
          </w:p>
        </w:tc>
      </w:tr>
    </w:tbl>
    <w:bookmarkEnd w:id="384"/>
    <w:bookmarkStart w:id="385" w:name="situation-technique-34"/>
    <w:p>
      <w:pPr>
        <w:pStyle w:val="Heading3"/>
      </w:pPr>
      <w:r>
        <w:t xml:space="preserve">2. Situation technique</w:t>
      </w:r>
    </w:p>
    <w:tbl>
      <w:tblPr>
        <w:tblStyle w:val="Table"/>
        <w:tblW w:type="dxa" w:w="14570"/>
        <w:tblLook w:firstRow="1" w:lastRow="0" w:firstColumn="0" w:lastColumn="0" w:noHBand="0" w:noVBand="0" w:val="0020"/>
        <w:jc w:val="start"/>
      </w:tblPr>
      <w:tblGrid>
        <w:gridCol w:w="2416"/>
        <w:gridCol w:w="8700"/>
        <w:gridCol w:w="1482"/>
        <w:gridCol w:w="898"/>
        <w:gridCol w:w="1073"/>
      </w:tblGrid>
      <w:tr>
        <w:trPr>
          <w:tblHeader w:val="true"/>
        </w:trPr>
        <w:tc>
          <w:tcPr>
            <w:tcW w:w="2416" w:type="dxa"/>
          </w:tcPr>
          <w:tcPr/>
          <w:p>
            <w:pPr>
              <w:pStyle w:val="Compact"/>
              <w:jc w:val="left"/>
            </w:pPr>
            <w:r>
              <w:t xml:space="preserve">Indicateur</w:t>
            </w:r>
          </w:p>
        </w:tc>
        <w:tc>
          <w:tcPr>
            <w:tcW w:w="8700" w:type="dxa"/>
          </w:tcPr>
          <w:tcPr/>
          <w:p>
            <w:pPr>
              <w:pStyle w:val="Compact"/>
              <w:jc w:val="left"/>
            </w:pPr>
            <w:r>
              <w:t xml:space="preserve">Valeur</w:t>
            </w:r>
          </w:p>
        </w:tc>
        <w:tc>
          <w:tcPr>
            <w:tcW w:w="1482" w:type="dxa"/>
          </w:tcPr>
          <w:tcPr/>
          <w:p>
            <w:pPr>
              <w:pStyle w:val="Compact"/>
              <w:jc w:val="left"/>
            </w:pPr>
            <w:r>
              <w:t xml:space="preserve">Année</w:t>
            </w:r>
          </w:p>
        </w:tc>
        <w:tc>
          <w:tcPr>
            <w:tcW w:w="898" w:type="dxa"/>
          </w:tcPr>
          <w:tcPr/>
          <w:p>
            <w:pPr>
              <w:pStyle w:val="Compact"/>
              <w:jc w:val="left"/>
            </w:pPr>
            <w:r>
              <w:t xml:space="preserve">Statut</w:t>
            </w:r>
          </w:p>
        </w:tc>
        <w:tc>
          <w:tcPr>
            <w:tcW w:w="1073" w:type="dxa"/>
          </w:tcPr>
          <w:tcPr/>
          <w:p>
            <w:pPr>
              <w:pStyle w:val="Compact"/>
              <w:jc w:val="left"/>
            </w:pPr>
            <w:r>
              <w:t xml:space="preserve">Source</w:t>
            </w:r>
          </w:p>
        </w:tc>
      </w:tr>
      <w:tr>
        <w:tc>
          <w:tcPr>
            <w:tcW w:w="2416" w:type="dxa"/>
          </w:tcPr>
          <w:tcPr/>
          <w:p>
            <w:pPr>
              <w:pStyle w:val="Compact"/>
              <w:jc w:val="left"/>
            </w:pPr>
            <w:r>
              <w:t xml:space="preserve">Capacité installée / disponible</w:t>
            </w:r>
          </w:p>
        </w:tc>
        <w:tc>
          <w:tcPr>
            <w:tcW w:w="8700" w:type="dxa"/>
          </w:tcPr>
          <w:tcPr/>
          <w:p>
            <w:pPr>
              <w:pStyle w:val="Compact"/>
              <w:jc w:val="left"/>
            </w:pPr>
            <w:r>
              <w:t xml:space="preserve">ZESCO 3 964,8 MW installés ; production moyenne effective</w:t>
            </w:r>
            <w:r>
              <w:t xml:space="preserve"> </w:t>
            </w:r>
            <w:r>
              <w:rPr>
                <w:bCs/>
                <w:b/>
              </w:rPr>
              <w:t xml:space="preserve">1 506 MW (38 %)</w:t>
            </w:r>
            <w:r>
              <w:t xml:space="preserve"> </w:t>
            </w:r>
            <w:r>
              <w:t xml:space="preserve">en 2025 ; nationale : disponibilité 27 % (sept. 2024) → 41 % (2025)</w:t>
            </w:r>
          </w:p>
        </w:tc>
        <w:tc>
          <w:tcPr>
            <w:tcW w:w="1482" w:type="dxa"/>
          </w:tcPr>
          <w:tcPr/>
          <w:p>
            <w:pPr>
              <w:pStyle w:val="Compact"/>
              <w:jc w:val="left"/>
            </w:pPr>
            <w:r>
              <w:t xml:space="preserve">2024-2025</w:t>
            </w:r>
          </w:p>
        </w:tc>
        <w:tc>
          <w:tcPr>
            <w:tcW w:w="898" w:type="dxa"/>
          </w:tcPr>
          <w:tcPr/>
          <w:p>
            <w:pPr>
              <w:pStyle w:val="Compact"/>
              <w:jc w:val="left"/>
            </w:pPr>
            <w:r>
              <w:t xml:space="preserve">[V]</w:t>
            </w:r>
          </w:p>
        </w:tc>
        <w:tc>
          <w:tcPr>
            <w:tcW w:w="1073" w:type="dxa"/>
          </w:tcPr>
          <w:tcPr/>
          <w:p>
            <w:pPr>
              <w:pStyle w:val="Compact"/>
              <w:jc w:val="left"/>
            </w:pPr>
            <w:r>
              <w:t xml:space="preserve">[1][3]</w:t>
            </w:r>
          </w:p>
        </w:tc>
      </w:tr>
      <w:tr>
        <w:tc>
          <w:tcPr>
            <w:tcW w:w="2416" w:type="dxa"/>
          </w:tcPr>
          <w:tcPr/>
          <w:p>
            <w:pPr>
              <w:pStyle w:val="Compact"/>
              <w:jc w:val="left"/>
            </w:pPr>
            <w:r>
              <w:t xml:space="preserve">Production</w:t>
            </w:r>
          </w:p>
        </w:tc>
        <w:tc>
          <w:tcPr>
            <w:tcW w:w="8700" w:type="dxa"/>
          </w:tcPr>
          <w:tcPr/>
          <w:p>
            <w:pPr>
              <w:pStyle w:val="Compact"/>
              <w:jc w:val="left"/>
            </w:pPr>
            <w:r>
              <w:t xml:space="preserve">7 469 GWh (2024) → 8 739 GWh (2025)</w:t>
            </w:r>
          </w:p>
        </w:tc>
        <w:tc>
          <w:tcPr>
            <w:tcW w:w="1482" w:type="dxa"/>
          </w:tcPr>
          <w:tcPr/>
          <w:p>
            <w:pPr>
              <w:pStyle w:val="Compact"/>
              <w:jc w:val="left"/>
            </w:pPr>
            <w:r>
              <w:t xml:space="preserve">2024-2025</w:t>
            </w:r>
          </w:p>
        </w:tc>
        <w:tc>
          <w:tcPr>
            <w:tcW w:w="898" w:type="dxa"/>
          </w:tcPr>
          <w:tcPr/>
          <w:p>
            <w:pPr>
              <w:pStyle w:val="Compact"/>
              <w:jc w:val="left"/>
            </w:pPr>
            <w:r>
              <w:t xml:space="preserve">[V]</w:t>
            </w:r>
          </w:p>
        </w:tc>
        <w:tc>
          <w:tcPr>
            <w:tcW w:w="1073" w:type="dxa"/>
          </w:tcPr>
          <w:tcPr/>
          <w:p>
            <w:pPr>
              <w:pStyle w:val="Compact"/>
              <w:jc w:val="left"/>
            </w:pPr>
            <w:r>
              <w:t xml:space="preserve">[1]</w:t>
            </w:r>
          </w:p>
        </w:tc>
      </w:tr>
      <w:tr>
        <w:tc>
          <w:tcPr>
            <w:tcW w:w="2416" w:type="dxa"/>
          </w:tcPr>
          <w:tcPr/>
          <w:p>
            <w:pPr>
              <w:pStyle w:val="Compact"/>
              <w:jc w:val="left"/>
            </w:pPr>
            <w:r>
              <w:t xml:space="preserve">Pertes de distribution</w:t>
            </w:r>
          </w:p>
        </w:tc>
        <w:tc>
          <w:tcPr>
            <w:tcW w:w="8700" w:type="dxa"/>
          </w:tcPr>
          <w:tcPr/>
          <w:p>
            <w:pPr>
              <w:pStyle w:val="Compact"/>
              <w:jc w:val="left"/>
            </w:pPr>
            <w:r>
              <w:rPr>
                <w:bCs/>
                <w:b/>
              </w:rPr>
              <w:t xml:space="preserve">11,26 % (2024)</w:t>
            </w:r>
            <w:r>
              <w:t xml:space="preserve"> </w:t>
            </w:r>
            <w:r>
              <w:t xml:space="preserve">→</w:t>
            </w:r>
            <w:r>
              <w:t xml:space="preserve"> </w:t>
            </w:r>
            <w:r>
              <w:rPr>
                <w:bCs/>
                <w:b/>
              </w:rPr>
              <w:t xml:space="preserve">9,48 % (2025)</w:t>
            </w:r>
            <w:r>
              <w:t xml:space="preserve"> </w:t>
            </w:r>
            <w:r>
              <w:t xml:space="preserve">(seuil ERB 10 %) ; manque à gagner 1,07 Md ZMW (2025)</w:t>
            </w:r>
          </w:p>
        </w:tc>
        <w:tc>
          <w:tcPr>
            <w:tcW w:w="1482" w:type="dxa"/>
          </w:tcPr>
          <w:tcPr/>
          <w:p>
            <w:pPr>
              <w:pStyle w:val="Compact"/>
              <w:jc w:val="left"/>
            </w:pPr>
            <w:r>
              <w:t xml:space="preserve">2024-2025</w:t>
            </w:r>
          </w:p>
        </w:tc>
        <w:tc>
          <w:tcPr>
            <w:tcW w:w="898" w:type="dxa"/>
          </w:tcPr>
          <w:tcPr/>
          <w:p>
            <w:pPr>
              <w:pStyle w:val="Compact"/>
              <w:jc w:val="left"/>
            </w:pPr>
            <w:r>
              <w:t xml:space="preserve">[V]</w:t>
            </w:r>
          </w:p>
        </w:tc>
        <w:tc>
          <w:tcPr>
            <w:tcW w:w="1073" w:type="dxa"/>
          </w:tcPr>
          <w:tcPr/>
          <w:p>
            <w:pPr>
              <w:pStyle w:val="Compact"/>
              <w:jc w:val="left"/>
            </w:pPr>
            <w:r>
              <w:t xml:space="preserve">[1]</w:t>
            </w:r>
          </w:p>
        </w:tc>
      </w:tr>
      <w:tr>
        <w:tc>
          <w:tcPr>
            <w:tcW w:w="2416" w:type="dxa"/>
          </w:tcPr>
          <w:tcPr/>
          <w:p>
            <w:pPr>
              <w:pStyle w:val="Compact"/>
              <w:jc w:val="left"/>
            </w:pPr>
            <w:r>
              <w:t xml:space="preserve">Pertes T&amp;D globales</w:t>
            </w:r>
          </w:p>
        </w:tc>
        <w:tc>
          <w:tcPr>
            <w:tcW w:w="8700" w:type="dxa"/>
          </w:tcPr>
          <w:tcPr/>
          <w:p>
            <w:pPr>
              <w:pStyle w:val="Compact"/>
              <w:jc w:val="left"/>
            </w:pPr>
            <w:r>
              <w:t xml:space="preserve">~</w:t>
            </w:r>
            <w:r>
              <w:rPr>
                <w:bCs/>
                <w:b/>
              </w:rPr>
              <w:t xml:space="preserve">22 %</w:t>
            </w:r>
            <w:r>
              <w:t xml:space="preserve"> </w:t>
            </w:r>
            <w:r>
              <w:t xml:space="preserve">(estimation BM, base 2022) ; pertes techniques modélisées à 15,5 % en 2030</w:t>
            </w:r>
          </w:p>
        </w:tc>
        <w:tc>
          <w:tcPr>
            <w:tcW w:w="1482" w:type="dxa"/>
          </w:tcPr>
          <w:tcPr/>
          <w:p>
            <w:pPr>
              <w:pStyle w:val="Compact"/>
              <w:jc w:val="left"/>
            </w:pPr>
            <w:r>
              <w:t xml:space="preserve">2022</w:t>
            </w:r>
          </w:p>
        </w:tc>
        <w:tc>
          <w:tcPr>
            <w:tcW w:w="898" w:type="dxa"/>
          </w:tcPr>
          <w:tcPr/>
          <w:p>
            <w:pPr>
              <w:pStyle w:val="Compact"/>
              <w:jc w:val="left"/>
            </w:pPr>
            <w:r>
              <w:t xml:space="preserve">[V]</w:t>
            </w:r>
          </w:p>
        </w:tc>
        <w:tc>
          <w:tcPr>
            <w:tcW w:w="1073" w:type="dxa"/>
          </w:tcPr>
          <w:tcPr/>
          <w:p>
            <w:pPr>
              <w:pStyle w:val="Compact"/>
              <w:jc w:val="left"/>
            </w:pPr>
            <w:r>
              <w:t xml:space="preserve">[4]</w:t>
            </w:r>
          </w:p>
        </w:tc>
      </w:tr>
      <w:tr>
        <w:tc>
          <w:tcPr>
            <w:tcW w:w="2416" w:type="dxa"/>
          </w:tcPr>
          <w:tcPr/>
          <w:p>
            <w:pPr>
              <w:pStyle w:val="Compact"/>
              <w:jc w:val="left"/>
            </w:pPr>
            <w:r>
              <w:t xml:space="preserve">SAIDI / SAIFI</w:t>
            </w:r>
          </w:p>
        </w:tc>
        <w:tc>
          <w:tcPr>
            <w:tcW w:w="8700" w:type="dxa"/>
          </w:tcPr>
          <w:tcPr/>
          <w:p>
            <w:pPr>
              <w:pStyle w:val="Compact"/>
              <w:jc w:val="left"/>
            </w:pPr>
            <w:r>
              <w:rPr>
                <w:bCs/>
                <w:b/>
              </w:rPr>
              <w:t xml:space="preserve">SAIDI 184 h</w:t>
            </w:r>
            <w:r>
              <w:t xml:space="preserve"> </w:t>
            </w:r>
            <w:r>
              <w:t xml:space="preserve">(norme ERB ≤ 27 h) ;</w:t>
            </w:r>
            <w:r>
              <w:t xml:space="preserve"> </w:t>
            </w:r>
            <w:r>
              <w:rPr>
                <w:bCs/>
                <w:b/>
              </w:rPr>
              <w:t xml:space="preserve">SAIFI 11</w:t>
            </w:r>
            <w:r>
              <w:t xml:space="preserve"> </w:t>
            </w:r>
            <w:r>
              <w:t xml:space="preserve">(cible ≤ 5) ; aucun des 4 indices de performance atteint (2025) ; CAIDI 7 h (2023)</w:t>
            </w:r>
          </w:p>
        </w:tc>
        <w:tc>
          <w:tcPr>
            <w:tcW w:w="1482" w:type="dxa"/>
          </w:tcPr>
          <w:tcPr/>
          <w:p>
            <w:pPr>
              <w:pStyle w:val="Compact"/>
              <w:jc w:val="left"/>
            </w:pPr>
            <w:r>
              <w:t xml:space="preserve">2023-2025</w:t>
            </w:r>
          </w:p>
        </w:tc>
        <w:tc>
          <w:tcPr>
            <w:tcW w:w="898" w:type="dxa"/>
          </w:tcPr>
          <w:tcPr/>
          <w:p>
            <w:pPr>
              <w:pStyle w:val="Compact"/>
              <w:jc w:val="left"/>
            </w:pPr>
            <w:r>
              <w:t xml:space="preserve">[V]</w:t>
            </w:r>
          </w:p>
        </w:tc>
        <w:tc>
          <w:tcPr>
            <w:tcW w:w="1073" w:type="dxa"/>
          </w:tcPr>
          <w:tcPr/>
          <w:p>
            <w:pPr>
              <w:pStyle w:val="Compact"/>
              <w:jc w:val="left"/>
            </w:pPr>
            <w:r>
              <w:t xml:space="preserve">[1][4]</w:t>
            </w:r>
          </w:p>
        </w:tc>
      </w:tr>
      <w:tr>
        <w:tc>
          <w:tcPr>
            <w:tcW w:w="2416" w:type="dxa"/>
          </w:tcPr>
          <w:tcPr/>
          <w:p>
            <w:pPr>
              <w:pStyle w:val="Compact"/>
              <w:jc w:val="left"/>
            </w:pPr>
            <w:r>
              <w:t xml:space="preserve">Clients</w:t>
            </w:r>
          </w:p>
        </w:tc>
        <w:tc>
          <w:tcPr>
            <w:tcW w:w="8700" w:type="dxa"/>
          </w:tcPr>
          <w:tcPr/>
          <w:p>
            <w:pPr>
              <w:pStyle w:val="Compact"/>
              <w:jc w:val="left"/>
            </w:pPr>
            <w:r>
              <w:t xml:space="preserve">1 356 945 (2024) →</w:t>
            </w:r>
            <w:r>
              <w:t xml:space="preserve"> </w:t>
            </w:r>
            <w:r>
              <w:rPr>
                <w:bCs/>
                <w:b/>
              </w:rPr>
              <w:t xml:space="preserve">1 438 153</w:t>
            </w:r>
            <w:r>
              <w:t xml:space="preserve"> </w:t>
            </w:r>
            <w:r>
              <w:t xml:space="preserve">(31/12/2025) ; « comptage intégral » revendiqué ; 14 026 compteurs intelligents cumulés ; cible NEAT 11 000 compteurs intelligents gros clients (juin 2026)</w:t>
            </w:r>
          </w:p>
        </w:tc>
        <w:tc>
          <w:tcPr>
            <w:tcW w:w="1482" w:type="dxa"/>
          </w:tcPr>
          <w:tcPr/>
          <w:p>
            <w:pPr>
              <w:pStyle w:val="Compact"/>
              <w:jc w:val="left"/>
            </w:pPr>
            <w:r>
              <w:t xml:space="preserve">2024-2026</w:t>
            </w:r>
          </w:p>
        </w:tc>
        <w:tc>
          <w:tcPr>
            <w:tcW w:w="898" w:type="dxa"/>
          </w:tcPr>
          <w:tcPr/>
          <w:p>
            <w:pPr>
              <w:pStyle w:val="Compact"/>
              <w:jc w:val="left"/>
            </w:pPr>
            <w:r>
              <w:t xml:space="preserve">[V]</w:t>
            </w:r>
          </w:p>
        </w:tc>
        <w:tc>
          <w:tcPr>
            <w:tcW w:w="1073" w:type="dxa"/>
          </w:tcPr>
          <w:tcPr/>
          <w:p>
            <w:pPr>
              <w:pStyle w:val="Compact"/>
              <w:jc w:val="left"/>
            </w:pPr>
            <w:r>
              <w:t xml:space="preserve">[1][4]</w:t>
            </w:r>
          </w:p>
        </w:tc>
      </w:tr>
      <w:tr>
        <w:tc>
          <w:tcPr>
            <w:tcW w:w="2416" w:type="dxa"/>
          </w:tcPr>
          <w:tcPr/>
          <w:p>
            <w:pPr>
              <w:pStyle w:val="Compact"/>
              <w:jc w:val="left"/>
            </w:pPr>
            <w:r>
              <w:t xml:space="preserve">Mix</w:t>
            </w:r>
          </w:p>
        </w:tc>
        <w:tc>
          <w:tcPr>
            <w:tcW w:w="8700" w:type="dxa"/>
          </w:tcPr>
          <w:tcPr/>
          <w:p>
            <w:pPr>
              <w:pStyle w:val="Compact"/>
              <w:jc w:val="left"/>
            </w:pPr>
            <w:r>
              <w:t xml:space="preserve">Hydro dominante (&gt;80 %) ; importations jusqu’à</w:t>
            </w:r>
            <w:r>
              <w:t xml:space="preserve"> </w:t>
            </w:r>
            <w:r>
              <w:rPr>
                <w:bCs/>
                <w:b/>
              </w:rPr>
              <w:t xml:space="preserve">52 % de la production totale au T4 2024</w:t>
            </w:r>
            <w:r>
              <w:t xml:space="preserve"> </w:t>
            </w:r>
            <w:r>
              <w:t xml:space="preserve">; recours accru au diesel</w:t>
            </w:r>
          </w:p>
        </w:tc>
        <w:tc>
          <w:tcPr>
            <w:tcW w:w="1482" w:type="dxa"/>
          </w:tcPr>
          <w:tcPr/>
          <w:p>
            <w:pPr>
              <w:pStyle w:val="Compact"/>
              <w:jc w:val="left"/>
            </w:pPr>
            <w:r>
              <w:t xml:space="preserve">2024</w:t>
            </w:r>
          </w:p>
        </w:tc>
        <w:tc>
          <w:tcPr>
            <w:tcW w:w="898" w:type="dxa"/>
          </w:tcPr>
          <w:tcPr/>
          <w:p>
            <w:pPr>
              <w:pStyle w:val="Compact"/>
              <w:jc w:val="left"/>
            </w:pPr>
            <w:r>
              <w:t xml:space="preserve">[V]</w:t>
            </w:r>
          </w:p>
        </w:tc>
        <w:tc>
          <w:tcPr>
            <w:tcW w:w="1073" w:type="dxa"/>
          </w:tcPr>
          <w:tcPr/>
          <w:p>
            <w:pPr>
              <w:pStyle w:val="Compact"/>
              <w:jc w:val="left"/>
            </w:pPr>
            <w:r>
              <w:t xml:space="preserve">[3]</w:t>
            </w:r>
          </w:p>
        </w:tc>
      </w:tr>
      <w:tr>
        <w:tc>
          <w:tcPr>
            <w:tcW w:w="2416" w:type="dxa"/>
          </w:tcPr>
          <w:tcPr/>
          <w:p>
            <w:pPr>
              <w:pStyle w:val="Compact"/>
              <w:jc w:val="left"/>
            </w:pPr>
            <w:r>
              <w:t xml:space="preserve">Délestages</w:t>
            </w:r>
          </w:p>
        </w:tc>
        <w:tc>
          <w:tcPr>
            <w:tcW w:w="8700" w:type="dxa"/>
          </w:tcPr>
          <w:tcPr/>
          <w:p>
            <w:pPr>
              <w:pStyle w:val="Compact"/>
              <w:jc w:val="left"/>
            </w:pPr>
            <w:r>
              <w:t xml:space="preserve">Déficit ~707 MW en 2025 (demande 2 301 MW) ; nov. 2025 :</w:t>
            </w:r>
            <w:r>
              <w:t xml:space="preserve"> </w:t>
            </w:r>
            <w:r>
              <w:rPr>
                <w:bCs/>
                <w:b/>
              </w:rPr>
              <w:t xml:space="preserve">~4 heures d’électricité par jour</w:t>
            </w:r>
            <w:r>
              <w:t xml:space="preserve"> </w:t>
            </w:r>
            <w:r>
              <w:t xml:space="preserve">en moyenne annoncées ; délestage concentré sur les ménages (mines et gros clients prioritaires)</w:t>
            </w:r>
          </w:p>
        </w:tc>
        <w:tc>
          <w:tcPr>
            <w:tcW w:w="1482" w:type="dxa"/>
          </w:tcPr>
          <w:tcPr/>
          <w:p>
            <w:pPr>
              <w:pStyle w:val="Compact"/>
              <w:jc w:val="left"/>
            </w:pPr>
            <w:r>
              <w:t xml:space="preserve">2025</w:t>
            </w:r>
          </w:p>
        </w:tc>
        <w:tc>
          <w:tcPr>
            <w:tcW w:w="898" w:type="dxa"/>
          </w:tcPr>
          <w:tcPr/>
          <w:p>
            <w:pPr>
              <w:pStyle w:val="Compact"/>
              <w:jc w:val="left"/>
            </w:pPr>
            <w:r>
              <w:t xml:space="preserve">[V]</w:t>
            </w:r>
          </w:p>
        </w:tc>
        <w:tc>
          <w:tcPr>
            <w:tcW w:w="1073" w:type="dxa"/>
          </w:tcPr>
          <w:tcPr/>
          <w:p>
            <w:pPr>
              <w:pStyle w:val="Compact"/>
              <w:jc w:val="left"/>
            </w:pPr>
            <w:r>
              <w:t xml:space="preserve">[3]</w:t>
            </w:r>
          </w:p>
        </w:tc>
      </w:tr>
    </w:tbl>
    <w:bookmarkEnd w:id="385"/>
    <w:bookmarkStart w:id="386" w:name="situation-économique-et-gouvernance-34"/>
    <w:p>
      <w:pPr>
        <w:pStyle w:val="Heading3"/>
      </w:pPr>
      <w:r>
        <w:t xml:space="preserve">3. Situation économique et gouvernance</w:t>
      </w:r>
    </w:p>
    <w:p>
      <w:pPr>
        <w:numPr>
          <w:ilvl w:val="0"/>
          <w:numId w:val="1205"/>
        </w:numPr>
        <w:pStyle w:val="Compact"/>
      </w:pPr>
      <w:r>
        <w:rPr>
          <w:bCs/>
          <w:b/>
        </w:rPr>
        <w:t xml:space="preserve">PPA</w:t>
      </w:r>
      <w:r>
        <w:t xml:space="preserve"> </w:t>
      </w:r>
      <w:r>
        <w:t xml:space="preserve">: IPP domestiques à ≥ 10 USc/kWh [4] ; renégociations conclues avec Maamba Collieries et Itezhi-Tezhi Power Corp. (2024) [2] [V]. Le poids des PPA dans les coûts n’est pas chiffré [?]. Les importations d’urgence sont désormais portées par des « power traders » (coût des ventes -26 % en 2025) [1] [V].</w:t>
      </w:r>
    </w:p>
    <w:p>
      <w:pPr>
        <w:numPr>
          <w:ilvl w:val="0"/>
          <w:numId w:val="1205"/>
        </w:numPr>
        <w:pStyle w:val="Compact"/>
      </w:pPr>
      <w:r>
        <w:rPr>
          <w:bCs/>
          <w:b/>
        </w:rPr>
        <w:t xml:space="preserve">Change</w:t>
      </w:r>
      <w:r>
        <w:t xml:space="preserve"> </w:t>
      </w:r>
      <w:r>
        <w:t xml:space="preserve">: ~2,1 Md US$ de dette long terme en devises ; résultat dominé par le change (perte 13,8 Md ZMW en 2024, gain 5,9 Md ZMW en 2025) [1][2] [V]. Ventes aux mines en US$ partiellement couvrantes [E].</w:t>
      </w:r>
    </w:p>
    <w:p>
      <w:pPr>
        <w:numPr>
          <w:ilvl w:val="0"/>
          <w:numId w:val="1205"/>
        </w:numPr>
        <w:pStyle w:val="Compact"/>
      </w:pPr>
      <w:r>
        <w:rPr>
          <w:bCs/>
          <w:b/>
        </w:rPr>
        <w:t xml:space="preserve">Plan de redressement</w:t>
      </w:r>
      <w:r>
        <w:t xml:space="preserve"> </w:t>
      </w:r>
      <w:r>
        <w:t xml:space="preserve">: Plan stratégique décennal glissant (2022-2031 ; révisé 2026-2035 par le conseil) — 6,2 à 6,5 Md US$ [1][4] [V] ; restructuration des dettes commerciales en cours [2] [V].</w:t>
      </w:r>
    </w:p>
    <w:p>
      <w:pPr>
        <w:numPr>
          <w:ilvl w:val="0"/>
          <w:numId w:val="1205"/>
        </w:numPr>
        <w:pStyle w:val="Compact"/>
      </w:pPr>
      <w:r>
        <w:rPr>
          <w:bCs/>
          <w:b/>
        </w:rPr>
        <w:t xml:space="preserve">Gouvernance</w:t>
      </w:r>
      <w:r>
        <w:t xml:space="preserve"> </w:t>
      </w:r>
      <w:r>
        <w:t xml:space="preserve">: conseil renouvelé (président nommé le 23/01/2025, DG confirmé le 07/02/2025) [1] [V] ; audit externe Grant Thornton (2024) [2] [V] ; comptes 2024 publiés fin 2025 (≈ 10-12 mois après clôture) [E], ce qui contredit l’indicateur du pacte « publication 4 mois après la clôture… déjà atteint ».</w:t>
      </w:r>
    </w:p>
    <w:bookmarkEnd w:id="386"/>
    <w:bookmarkStart w:id="387" w:name="Xe6bc7d745d3df25e919474ec770edfe0706cf2b"/>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534"/>
        <w:gridCol w:w="1386"/>
        <w:gridCol w:w="1061"/>
        <w:gridCol w:w="1638"/>
        <w:gridCol w:w="2728"/>
        <w:gridCol w:w="2218"/>
        <w:gridCol w:w="1309"/>
        <w:gridCol w:w="693"/>
      </w:tblGrid>
      <w:tr>
        <w:trPr>
          <w:tblHeader w:val="true"/>
        </w:trPr>
        <w:tc>
          <w:tcPr>
            <w:tcW w:w="3534" w:type="dxa"/>
          </w:tcPr>
          <w:tcPr/>
          <w:p>
            <w:pPr>
              <w:pStyle w:val="Compact"/>
              <w:jc w:val="left"/>
            </w:pPr>
            <w:r>
              <w:t xml:space="preserve">Programme / projet</w:t>
            </w:r>
          </w:p>
        </w:tc>
        <w:tc>
          <w:tcPr>
            <w:tcW w:w="1386" w:type="dxa"/>
          </w:tcPr>
          <w:tcPr/>
          <w:p>
            <w:pPr>
              <w:pStyle w:val="Compact"/>
              <w:jc w:val="left"/>
            </w:pPr>
            <w:r>
              <w:t xml:space="preserve">Bailleur</w:t>
            </w:r>
          </w:p>
        </w:tc>
        <w:tc>
          <w:tcPr>
            <w:tcW w:w="1061" w:type="dxa"/>
          </w:tcPr>
          <w:tcPr/>
          <w:p>
            <w:pPr>
              <w:pStyle w:val="Compact"/>
              <w:jc w:val="left"/>
            </w:pPr>
            <w:r>
              <w:t xml:space="preserve">Montant</w:t>
            </w:r>
          </w:p>
        </w:tc>
        <w:tc>
          <w:tcPr>
            <w:tcW w:w="1638" w:type="dxa"/>
          </w:tcPr>
          <w:tcPr/>
          <w:p>
            <w:pPr>
              <w:pStyle w:val="Compact"/>
              <w:jc w:val="left"/>
            </w:pPr>
            <w:r>
              <w:t xml:space="preserve">Années</w:t>
            </w:r>
          </w:p>
        </w:tc>
        <w:tc>
          <w:tcPr>
            <w:tcW w:w="2728" w:type="dxa"/>
          </w:tcPr>
          <w:tcPr/>
          <w:p>
            <w:pPr>
              <w:pStyle w:val="Compact"/>
              <w:jc w:val="left"/>
            </w:pPr>
            <w:r>
              <w:t xml:space="preserve">Objectifs liés à l’opérateur</w:t>
            </w:r>
          </w:p>
        </w:tc>
        <w:tc>
          <w:tcPr>
            <w:tcW w:w="2218" w:type="dxa"/>
          </w:tcPr>
          <w:tcPr/>
          <w:p>
            <w:pPr>
              <w:pStyle w:val="Compact"/>
              <w:jc w:val="left"/>
            </w:pPr>
            <w:r>
              <w:t xml:space="preserve">Conditions / indicateurs</w:t>
            </w:r>
          </w:p>
        </w:tc>
        <w:tc>
          <w:tcPr>
            <w:tcW w:w="1309" w:type="dxa"/>
          </w:tcPr>
          <w:tcPr/>
          <w:p>
            <w:pPr>
              <w:pStyle w:val="Compact"/>
              <w:jc w:val="left"/>
            </w:pPr>
            <w:r>
              <w:t xml:space="preserve">Statut</w:t>
            </w:r>
          </w:p>
        </w:tc>
        <w:tc>
          <w:tcPr>
            <w:tcW w:w="693" w:type="dxa"/>
          </w:tcPr>
          <w:tcPr/>
          <w:p>
            <w:pPr>
              <w:pStyle w:val="Compact"/>
              <w:jc w:val="left"/>
            </w:pPr>
            <w:r>
              <w:t xml:space="preserve">Source</w:t>
            </w:r>
          </w:p>
        </w:tc>
      </w:tr>
      <w:tr>
        <w:tc>
          <w:tcPr>
            <w:tcW w:w="3534" w:type="dxa"/>
          </w:tcPr>
          <w:tcPr/>
          <w:p>
            <w:pPr>
              <w:pStyle w:val="Compact"/>
              <w:jc w:val="left"/>
            </w:pPr>
            <w:r>
              <w:rPr>
                <w:bCs/>
                <w:b/>
              </w:rPr>
              <w:t xml:space="preserve">National Energy Advancement and Transformation Program (NEAT), P179380</w:t>
            </w:r>
            <w:r>
              <w:t xml:space="preserve"> </w:t>
            </w:r>
            <w:r>
              <w:t xml:space="preserve">— phase 1 d’un MPA de 700 M US$ (2024-2033)</w:t>
            </w:r>
          </w:p>
        </w:tc>
        <w:tc>
          <w:tcPr>
            <w:tcW w:w="1386" w:type="dxa"/>
          </w:tcPr>
          <w:tcPr/>
          <w:p>
            <w:pPr>
              <w:pStyle w:val="Compact"/>
              <w:jc w:val="left"/>
            </w:pPr>
            <w:r>
              <w:t xml:space="preserve">BM (IDA, don E2970-ZM, PforR)</w:t>
            </w:r>
          </w:p>
        </w:tc>
        <w:tc>
          <w:tcPr>
            <w:tcW w:w="1061" w:type="dxa"/>
          </w:tcPr>
          <w:tcPr/>
          <w:p>
            <w:pPr>
              <w:pStyle w:val="Compact"/>
              <w:jc w:val="left"/>
            </w:pPr>
            <w:r>
              <w:rPr>
                <w:bCs/>
                <w:b/>
              </w:rPr>
              <w:t xml:space="preserve">100 M US$</w:t>
            </w:r>
          </w:p>
        </w:tc>
        <w:tc>
          <w:tcPr>
            <w:tcW w:w="1638" w:type="dxa"/>
          </w:tcPr>
          <w:tcPr/>
          <w:p>
            <w:pPr>
              <w:pStyle w:val="Compact"/>
              <w:jc w:val="left"/>
            </w:pPr>
            <w:r>
              <w:t xml:space="preserve">approuvé 14/03/2024 ; effectif 09/08/2024 ; clôture 30/12/2026</w:t>
            </w:r>
          </w:p>
        </w:tc>
        <w:tc>
          <w:tcPr>
            <w:tcW w:w="2728" w:type="dxa"/>
          </w:tcPr>
          <w:tcPr/>
          <w:p>
            <w:pPr>
              <w:pStyle w:val="Compact"/>
              <w:jc w:val="left"/>
            </w:pPr>
            <w:r>
              <w:t xml:space="preserve">Améliorer la performance financière de ZESCO ; REF (REA)</w:t>
            </w:r>
          </w:p>
        </w:tc>
        <w:tc>
          <w:tcPr>
            <w:tcW w:w="2218" w:type="dxa"/>
          </w:tcPr>
          <w:tcPr/>
          <w:p>
            <w:pPr>
              <w:pStyle w:val="Compact"/>
              <w:jc w:val="left"/>
            </w:pPr>
            <w:r>
              <w:t xml:space="preserve">DLI 1 (37,2 M US$) : plan de gestion de la dette et des arriérés incl. mines ; publication des tarifs ERB 2024 et 2025 ; conversion des prêts rétrocédés en capital ; baisse des créances minières (≥ 30 M US$ fin 2025). DLI 3 (42,8 M) : fiabilité, 11 000 compteurs intelligents. DLI 4 : achats EnR. Phases 3-4 : restructuration de la dette ZESCO, garanties</w:t>
            </w:r>
          </w:p>
        </w:tc>
        <w:tc>
          <w:tcPr>
            <w:tcW w:w="1309" w:type="dxa"/>
          </w:tcPr>
          <w:tcPr/>
          <w:p>
            <w:pPr>
              <w:pStyle w:val="Compact"/>
              <w:jc w:val="left"/>
            </w:pPr>
            <w:r>
              <w:t xml:space="preserve">ISR déc. 2024 : Satisfaisant ; 25,35 M US$ décaissés (avance) ; ISR 2025-2026 non trouvés</w:t>
            </w:r>
          </w:p>
        </w:tc>
        <w:tc>
          <w:tcPr>
            <w:tcW w:w="693" w:type="dxa"/>
          </w:tcPr>
          <w:tcPr/>
          <w:p>
            <w:pPr>
              <w:pStyle w:val="Compact"/>
              <w:jc w:val="left"/>
            </w:pPr>
            <w:r>
              <w:t xml:space="preserve">[4][5]</w:t>
            </w:r>
          </w:p>
        </w:tc>
      </w:tr>
      <w:tr>
        <w:tc>
          <w:tcPr>
            <w:tcW w:w="3534" w:type="dxa"/>
          </w:tcPr>
          <w:tcPr/>
          <w:p>
            <w:pPr>
              <w:pStyle w:val="Compact"/>
              <w:jc w:val="left"/>
            </w:pPr>
            <w:r>
              <w:rPr>
                <w:bCs/>
                <w:b/>
              </w:rPr>
              <w:t xml:space="preserve">ASCENT Zambia</w:t>
            </w:r>
            <w:r>
              <w:t xml:space="preserve"> </w:t>
            </w:r>
            <w:r>
              <w:t xml:space="preserve">(P507635 dans la base BM)</w:t>
            </w:r>
          </w:p>
        </w:tc>
        <w:tc>
          <w:tcPr>
            <w:tcW w:w="1386" w:type="dxa"/>
          </w:tcPr>
          <w:tcPr/>
          <w:p>
            <w:pPr>
              <w:pStyle w:val="Compact"/>
              <w:jc w:val="left"/>
            </w:pPr>
            <w:r>
              <w:t xml:space="preserve">BM (IDA, don)</w:t>
            </w:r>
          </w:p>
        </w:tc>
        <w:tc>
          <w:tcPr>
            <w:tcW w:w="1061" w:type="dxa"/>
          </w:tcPr>
          <w:tcPr/>
          <w:p>
            <w:pPr>
              <w:pStyle w:val="Compact"/>
              <w:jc w:val="left"/>
            </w:pPr>
            <w:r>
              <w:rPr>
                <w:bCs/>
                <w:b/>
              </w:rPr>
              <w:t xml:space="preserve">200 M US$</w:t>
            </w:r>
          </w:p>
        </w:tc>
        <w:tc>
          <w:tcPr>
            <w:tcW w:w="1638" w:type="dxa"/>
          </w:tcPr>
          <w:tcPr/>
          <w:p>
            <w:pPr>
              <w:pStyle w:val="Compact"/>
              <w:jc w:val="left"/>
            </w:pPr>
            <w:r>
              <w:t xml:space="preserve">approuvé 28/07/2025</w:t>
            </w:r>
          </w:p>
        </w:tc>
        <w:tc>
          <w:tcPr>
            <w:tcW w:w="2728" w:type="dxa"/>
          </w:tcPr>
          <w:tcPr/>
          <w:p>
            <w:pPr>
              <w:pStyle w:val="Compact"/>
              <w:jc w:val="left"/>
            </w:pPr>
            <w:r>
              <w:t xml:space="preserve">Accès (&gt;1 M de bénéficiaires) ; rôle de ZESCO non précisé</w:t>
            </w:r>
          </w:p>
        </w:tc>
        <w:tc>
          <w:tcPr>
            <w:tcW w:w="2218" w:type="dxa"/>
          </w:tcPr>
          <w:tcPr/>
          <w:p>
            <w:pPr>
              <w:pStyle w:val="Compact"/>
              <w:jc w:val="left"/>
            </w:pPr>
            <w:r>
              <w:t xml:space="preserve">[?]</w:t>
            </w:r>
          </w:p>
        </w:tc>
        <w:tc>
          <w:tcPr>
            <w:tcW w:w="1309" w:type="dxa"/>
          </w:tcPr>
          <w:tcPr/>
          <w:p>
            <w:pPr>
              <w:pStyle w:val="Compact"/>
              <w:jc w:val="left"/>
            </w:pPr>
            <w:r>
              <w:t xml:space="preserve">approuvé</w:t>
            </w:r>
          </w:p>
        </w:tc>
        <w:tc>
          <w:tcPr>
            <w:tcW w:w="693" w:type="dxa"/>
          </w:tcPr>
          <w:tcPr/>
          <w:p>
            <w:pPr>
              <w:pStyle w:val="Compact"/>
              <w:jc w:val="left"/>
            </w:pPr>
            <w:r>
              <w:t xml:space="preserve">[6]</w:t>
            </w:r>
          </w:p>
        </w:tc>
      </w:tr>
      <w:tr>
        <w:tc>
          <w:tcPr>
            <w:tcW w:w="3534" w:type="dxa"/>
          </w:tcPr>
          <w:tcPr/>
          <w:p>
            <w:pPr>
              <w:pStyle w:val="Compact"/>
              <w:jc w:val="left"/>
            </w:pPr>
            <w:r>
              <w:rPr>
                <w:bCs/>
                <w:b/>
              </w:rPr>
              <w:t xml:space="preserve">RETRADE-SA MPA Phase 1 : Zambia-Tanzania Interconnector (ZTIP), P507033</w:t>
            </w:r>
          </w:p>
        </w:tc>
        <w:tc>
          <w:tcPr>
            <w:tcW w:w="1386" w:type="dxa"/>
          </w:tcPr>
          <w:tcPr/>
          <w:p>
            <w:pPr>
              <w:pStyle w:val="Compact"/>
              <w:jc w:val="left"/>
            </w:pPr>
            <w:r>
              <w:t xml:space="preserve">BM (IDA don 245 M US$) + FCDO/ESMAP 17 M + UE 30 M</w:t>
            </w:r>
          </w:p>
        </w:tc>
        <w:tc>
          <w:tcPr>
            <w:tcW w:w="1061" w:type="dxa"/>
          </w:tcPr>
          <w:tcPr/>
          <w:p>
            <w:pPr>
              <w:pStyle w:val="Compact"/>
              <w:jc w:val="left"/>
            </w:pPr>
            <w:r>
              <w:t xml:space="preserve">292 M US$</w:t>
            </w:r>
          </w:p>
        </w:tc>
        <w:tc>
          <w:tcPr>
            <w:tcW w:w="1638" w:type="dxa"/>
          </w:tcPr>
          <w:tcPr/>
          <w:p>
            <w:pPr>
              <w:pStyle w:val="Compact"/>
              <w:jc w:val="left"/>
            </w:pPr>
            <w:r>
              <w:t xml:space="preserve">annoncé 20/01/2025</w:t>
            </w:r>
          </w:p>
        </w:tc>
        <w:tc>
          <w:tcPr>
            <w:tcW w:w="2728" w:type="dxa"/>
          </w:tcPr>
          <w:tcPr/>
          <w:p>
            <w:pPr>
              <w:pStyle w:val="Compact"/>
              <w:jc w:val="left"/>
            </w:pPr>
            <w:r>
              <w:t xml:space="preserve">Interconnexion SAPP-EAPP, transport nord Zambie ; maître d’ouvrage ZESCO</w:t>
            </w:r>
          </w:p>
        </w:tc>
        <w:tc>
          <w:tcPr>
            <w:tcW w:w="2218" w:type="dxa"/>
          </w:tcPr>
          <w:tcPr/>
          <w:p>
            <w:pPr>
              <w:pStyle w:val="Compact"/>
              <w:jc w:val="left"/>
            </w:pPr>
            <w:r>
              <w:t xml:space="preserve">[?]</w:t>
            </w:r>
          </w:p>
        </w:tc>
        <w:tc>
          <w:tcPr>
            <w:tcW w:w="1309" w:type="dxa"/>
          </w:tcPr>
          <w:tcPr/>
          <w:p>
            <w:pPr>
              <w:pStyle w:val="Compact"/>
              <w:jc w:val="left"/>
            </w:pPr>
            <w:r>
              <w:t xml:space="preserve">en exécution (marché de conception attribué)</w:t>
            </w:r>
          </w:p>
        </w:tc>
        <w:tc>
          <w:tcPr>
            <w:tcW w:w="693" w:type="dxa"/>
          </w:tcPr>
          <w:tcPr/>
          <w:p>
            <w:pPr>
              <w:pStyle w:val="Compact"/>
              <w:jc w:val="left"/>
            </w:pPr>
            <w:r>
              <w:t xml:space="preserve">[7][S]</w:t>
            </w:r>
          </w:p>
        </w:tc>
      </w:tr>
      <w:tr>
        <w:tc>
          <w:tcPr>
            <w:tcW w:w="3534" w:type="dxa"/>
          </w:tcPr>
          <w:tcPr/>
          <w:p>
            <w:pPr>
              <w:pStyle w:val="Compact"/>
              <w:jc w:val="left"/>
            </w:pPr>
            <w:r>
              <w:t xml:space="preserve">Zambia Second Macroeconomic Stability, Growth and Competitiveness DPF, P181011</w:t>
            </w:r>
          </w:p>
        </w:tc>
        <w:tc>
          <w:tcPr>
            <w:tcW w:w="1386" w:type="dxa"/>
          </w:tcPr>
          <w:tcPr/>
          <w:p>
            <w:pPr>
              <w:pStyle w:val="Compact"/>
              <w:jc w:val="left"/>
            </w:pPr>
            <w:r>
              <w:t xml:space="preserve">BM (DPF)</w:t>
            </w:r>
          </w:p>
        </w:tc>
        <w:tc>
          <w:tcPr>
            <w:tcW w:w="1061" w:type="dxa"/>
          </w:tcPr>
          <w:tcPr/>
          <w:p>
            <w:pPr>
              <w:pStyle w:val="Compact"/>
              <w:jc w:val="left"/>
            </w:pPr>
            <w:r>
              <w:t xml:space="preserve">125 M US$</w:t>
            </w:r>
          </w:p>
        </w:tc>
        <w:tc>
          <w:tcPr>
            <w:tcW w:w="1638" w:type="dxa"/>
          </w:tcPr>
          <w:tcPr/>
          <w:p>
            <w:pPr>
              <w:pStyle w:val="Compact"/>
              <w:jc w:val="left"/>
            </w:pPr>
            <w:r>
              <w:t xml:space="preserve">21/12/2023</w:t>
            </w:r>
          </w:p>
        </w:tc>
        <w:tc>
          <w:tcPr>
            <w:tcW w:w="2728" w:type="dxa"/>
          </w:tcPr>
          <w:tcPr/>
          <w:p>
            <w:pPr>
              <w:pStyle w:val="Compact"/>
              <w:jc w:val="left"/>
            </w:pPr>
            <w:r>
              <w:t xml:space="preserve">Secteur électrique</w:t>
            </w:r>
          </w:p>
        </w:tc>
        <w:tc>
          <w:tcPr>
            <w:tcW w:w="2218" w:type="dxa"/>
          </w:tcPr>
          <w:tcPr/>
          <w:p>
            <w:pPr>
              <w:pStyle w:val="Compact"/>
              <w:jc w:val="left"/>
            </w:pPr>
            <w:r>
              <w:t xml:space="preserve">PA #4 : adoption de l’IRP ; DPF1 (P174911, 275 M US$, 2022) avait appuyé le tarif pluriannuel reflétant les coûts avec tarif social (lifeline)</w:t>
            </w:r>
          </w:p>
        </w:tc>
        <w:tc>
          <w:tcPr>
            <w:tcW w:w="1309" w:type="dxa"/>
          </w:tcPr>
          <w:tcPr/>
          <w:p>
            <w:pPr>
              <w:pStyle w:val="Compact"/>
              <w:jc w:val="left"/>
            </w:pPr>
            <w:r>
              <w:t xml:space="preserve">clos/actif</w:t>
            </w:r>
          </w:p>
        </w:tc>
        <w:tc>
          <w:tcPr>
            <w:tcW w:w="693" w:type="dxa"/>
          </w:tcPr>
          <w:tcPr/>
          <w:p>
            <w:pPr>
              <w:pStyle w:val="Compact"/>
              <w:jc w:val="left"/>
            </w:pPr>
            <w:r>
              <w:t xml:space="preserve">[8]</w:t>
            </w:r>
          </w:p>
        </w:tc>
      </w:tr>
      <w:tr>
        <w:tc>
          <w:tcPr>
            <w:tcW w:w="3534" w:type="dxa"/>
          </w:tcPr>
          <w:tcPr/>
          <w:p>
            <w:pPr>
              <w:pStyle w:val="Compact"/>
              <w:jc w:val="left"/>
            </w:pPr>
            <w:r>
              <w:t xml:space="preserve">First Zambia Climate and Economic Resilience DPF with Cat-DDO, P507116</w:t>
            </w:r>
          </w:p>
        </w:tc>
        <w:tc>
          <w:tcPr>
            <w:tcW w:w="1386" w:type="dxa"/>
          </w:tcPr>
          <w:tcPr/>
          <w:p>
            <w:pPr>
              <w:pStyle w:val="Compact"/>
              <w:jc w:val="left"/>
            </w:pPr>
            <w:r>
              <w:t xml:space="preserve">BM</w:t>
            </w:r>
          </w:p>
        </w:tc>
        <w:tc>
          <w:tcPr>
            <w:tcW w:w="1061" w:type="dxa"/>
          </w:tcPr>
          <w:tcPr/>
          <w:p>
            <w:pPr>
              <w:pStyle w:val="Compact"/>
              <w:jc w:val="left"/>
            </w:pPr>
            <w:r>
              <w:t xml:space="preserve">100 M US$ (25 M DPF + 75 M Cat-DDO)</w:t>
            </w:r>
          </w:p>
        </w:tc>
        <w:tc>
          <w:tcPr>
            <w:tcW w:w="1638" w:type="dxa"/>
          </w:tcPr>
          <w:tcPr/>
          <w:p>
            <w:pPr>
              <w:pStyle w:val="Compact"/>
              <w:jc w:val="left"/>
            </w:pPr>
            <w:r>
              <w:t xml:space="preserve">18/12/2024</w:t>
            </w:r>
          </w:p>
        </w:tc>
        <w:tc>
          <w:tcPr>
            <w:tcW w:w="2728" w:type="dxa"/>
          </w:tcPr>
          <w:tcPr/>
          <w:p>
            <w:pPr>
              <w:pStyle w:val="Compact"/>
              <w:jc w:val="left"/>
            </w:pPr>
            <w:r>
              <w:t xml:space="preserve">Ouverture du marché</w:t>
            </w:r>
          </w:p>
        </w:tc>
        <w:tc>
          <w:tcPr>
            <w:tcW w:w="2218" w:type="dxa"/>
          </w:tcPr>
          <w:tcPr/>
          <w:p>
            <w:pPr>
              <w:pStyle w:val="Compact"/>
              <w:jc w:val="left"/>
            </w:pPr>
            <w:r>
              <w:t xml:space="preserve">PA #5 : règlements Open Access et Net Metering</w:t>
            </w:r>
          </w:p>
        </w:tc>
        <w:tc>
          <w:tcPr>
            <w:tcW w:w="1309" w:type="dxa"/>
          </w:tcPr>
          <w:tcPr/>
          <w:p>
            <w:pPr>
              <w:pStyle w:val="Compact"/>
              <w:jc w:val="left"/>
            </w:pPr>
            <w:r>
              <w:t xml:space="preserve">actif</w:t>
            </w:r>
          </w:p>
        </w:tc>
        <w:tc>
          <w:tcPr>
            <w:tcW w:w="693" w:type="dxa"/>
          </w:tcPr>
          <w:tcPr/>
          <w:p>
            <w:pPr>
              <w:pStyle w:val="Compact"/>
              <w:jc w:val="left"/>
            </w:pPr>
            <w:r>
              <w:t xml:space="preserve">[9]</w:t>
            </w:r>
          </w:p>
        </w:tc>
      </w:tr>
      <w:tr>
        <w:tc>
          <w:tcPr>
            <w:tcW w:w="3534" w:type="dxa"/>
          </w:tcPr>
          <w:tcPr/>
          <w:p>
            <w:pPr>
              <w:pStyle w:val="Compact"/>
              <w:jc w:val="left"/>
            </w:pPr>
            <w:r>
              <w:t xml:space="preserve">ECF FMI (38 mois, ~1,7 Md US$)</w:t>
            </w:r>
          </w:p>
        </w:tc>
        <w:tc>
          <w:tcPr>
            <w:tcW w:w="1386" w:type="dxa"/>
          </w:tcPr>
          <w:tcPr/>
          <w:p>
            <w:pPr>
              <w:pStyle w:val="Compact"/>
              <w:jc w:val="left"/>
            </w:pPr>
            <w:r>
              <w:t xml:space="preserve">FMI</w:t>
            </w:r>
          </w:p>
        </w:tc>
        <w:tc>
          <w:tcPr>
            <w:tcW w:w="1061" w:type="dxa"/>
          </w:tcPr>
          <w:tcPr/>
          <w:p>
            <w:pPr>
              <w:pStyle w:val="Compact"/>
              <w:jc w:val="left"/>
            </w:pPr>
            <w:r>
              <w:t xml:space="preserve">—</w:t>
            </w:r>
          </w:p>
        </w:tc>
        <w:tc>
          <w:tcPr>
            <w:tcW w:w="1638" w:type="dxa"/>
          </w:tcPr>
          <w:tcPr/>
          <w:p>
            <w:pPr>
              <w:pStyle w:val="Compact"/>
              <w:jc w:val="left"/>
            </w:pPr>
            <w:r>
              <w:t xml:space="preserve">2022-2026 (6e et dernière revue jan. 2026)</w:t>
            </w:r>
          </w:p>
        </w:tc>
        <w:tc>
          <w:tcPr>
            <w:tcW w:w="2728" w:type="dxa"/>
          </w:tcPr>
          <w:tcPr/>
          <w:p>
            <w:pPr>
              <w:pStyle w:val="Compact"/>
              <w:jc w:val="left"/>
            </w:pPr>
            <w:r>
              <w:t xml:space="preserve">ZESCO dans le périmètre des plafonds de dette extérieure ; plafond « nouveaux arriérés extérieurs » de ZESCO = 0 (respecté)</w:t>
            </w:r>
          </w:p>
        </w:tc>
        <w:tc>
          <w:tcPr>
            <w:tcW w:w="2218" w:type="dxa"/>
          </w:tcPr>
          <w:tcPr/>
          <w:p>
            <w:pPr>
              <w:pStyle w:val="Compact"/>
              <w:jc w:val="left"/>
            </w:pPr>
            <w:r>
              <w:t xml:space="preserve">Constat : MYTF 2023 « obsolète », reflet des coûts repoussé à 2027</w:t>
            </w:r>
          </w:p>
        </w:tc>
        <w:tc>
          <w:tcPr>
            <w:tcW w:w="1309" w:type="dxa"/>
          </w:tcPr>
          <w:tcPr/>
          <w:p>
            <w:pPr>
              <w:pStyle w:val="Compact"/>
              <w:jc w:val="left"/>
            </w:pPr>
            <w:r>
              <w:t xml:space="preserve">achevé</w:t>
            </w:r>
          </w:p>
        </w:tc>
        <w:tc>
          <w:tcPr>
            <w:tcW w:w="693" w:type="dxa"/>
          </w:tcPr>
          <w:tcPr/>
          <w:p>
            <w:pPr>
              <w:pStyle w:val="Compact"/>
              <w:jc w:val="left"/>
            </w:pPr>
            <w:r>
              <w:t xml:space="preserve">[3]</w:t>
            </w:r>
          </w:p>
        </w:tc>
      </w:tr>
      <w:tr>
        <w:tc>
          <w:tcPr>
            <w:tcW w:w="3534" w:type="dxa"/>
          </w:tcPr>
          <w:tcPr/>
          <w:p>
            <w:pPr>
              <w:pStyle w:val="Compact"/>
              <w:jc w:val="left"/>
            </w:pPr>
            <w:r>
              <w:t xml:space="preserve">Garneton North Solar 20 MW (offtake ZESCO, PPA 25 ans)</w:t>
            </w:r>
          </w:p>
        </w:tc>
        <w:tc>
          <w:tcPr>
            <w:tcW w:w="1386" w:type="dxa"/>
          </w:tcPr>
          <w:tcPr/>
          <w:p>
            <w:pPr>
              <w:pStyle w:val="Compact"/>
              <w:jc w:val="left"/>
            </w:pPr>
            <w:r>
              <w:t xml:space="preserve">BAD (7,27 M US$ ressources propres + concessionnel)</w:t>
            </w:r>
          </w:p>
        </w:tc>
        <w:tc>
          <w:tcPr>
            <w:tcW w:w="1061" w:type="dxa"/>
          </w:tcPr>
          <w:tcPr/>
          <w:p>
            <w:pPr>
              <w:pStyle w:val="Compact"/>
              <w:jc w:val="left"/>
            </w:pPr>
            <w:r>
              <w:t xml:space="preserve">14,54 M US$</w:t>
            </w:r>
          </w:p>
        </w:tc>
        <w:tc>
          <w:tcPr>
            <w:tcW w:w="1638" w:type="dxa"/>
          </w:tcPr>
          <w:tcPr/>
          <w:p>
            <w:pPr>
              <w:pStyle w:val="Compact"/>
              <w:jc w:val="left"/>
            </w:pPr>
            <w:r>
              <w:t xml:space="preserve">date [?]</w:t>
            </w:r>
          </w:p>
        </w:tc>
        <w:tc>
          <w:tcPr>
            <w:tcW w:w="2728" w:type="dxa"/>
          </w:tcPr>
          <w:tcPr/>
          <w:p>
            <w:pPr>
              <w:pStyle w:val="Compact"/>
              <w:jc w:val="left"/>
            </w:pPr>
            <w:r>
              <w:t xml:space="preserve">Achat par ZESCO</w:t>
            </w:r>
          </w:p>
        </w:tc>
        <w:tc>
          <w:tcPr>
            <w:tcW w:w="2218" w:type="dxa"/>
          </w:tcPr>
          <w:tcPr/>
          <w:p>
            <w:pPr>
              <w:pStyle w:val="Compact"/>
              <w:jc w:val="left"/>
            </w:pPr>
            <w:r>
              <w:t xml:space="preserve">—</w:t>
            </w:r>
          </w:p>
        </w:tc>
        <w:tc>
          <w:tcPr>
            <w:tcW w:w="1309" w:type="dxa"/>
          </w:tcPr>
          <w:tcPr/>
          <w:p>
            <w:pPr>
              <w:pStyle w:val="Compact"/>
              <w:jc w:val="left"/>
            </w:pPr>
            <w:r>
              <w:t xml:space="preserve">[S]</w:t>
            </w:r>
          </w:p>
        </w:tc>
        <w:tc>
          <w:tcPr>
            <w:tcW w:w="693" w:type="dxa"/>
          </w:tcPr>
          <w:tcPr/>
          <w:p>
            <w:pPr>
              <w:pStyle w:val="Compact"/>
              <w:jc w:val="left"/>
            </w:pPr>
            <w:r>
              <w:t xml:space="preserve">[10]</w:t>
            </w:r>
          </w:p>
        </w:tc>
      </w:tr>
      <w:tr>
        <w:tc>
          <w:tcPr>
            <w:tcW w:w="3534" w:type="dxa"/>
          </w:tcPr>
          <w:tcPr/>
          <w:p>
            <w:pPr>
              <w:pStyle w:val="Compact"/>
              <w:jc w:val="left"/>
            </w:pPr>
            <w:r>
              <w:t xml:space="preserve">Itezhi-Tezhi–Nambala 220 kV (ZESCO bénéficiaire FAD)</w:t>
            </w:r>
          </w:p>
        </w:tc>
        <w:tc>
          <w:tcPr>
            <w:tcW w:w="1386" w:type="dxa"/>
          </w:tcPr>
          <w:tcPr/>
          <w:p>
            <w:pPr>
              <w:pStyle w:val="Compact"/>
              <w:jc w:val="left"/>
            </w:pPr>
            <w:r>
              <w:t xml:space="preserve">BAD (FAD)</w:t>
            </w:r>
          </w:p>
        </w:tc>
        <w:tc>
          <w:tcPr>
            <w:tcW w:w="1061" w:type="dxa"/>
          </w:tcPr>
          <w:tcPr/>
          <w:p>
            <w:pPr>
              <w:pStyle w:val="Compact"/>
              <w:jc w:val="left"/>
            </w:pPr>
            <w:r>
              <w:t xml:space="preserve">[?]</w:t>
            </w:r>
          </w:p>
        </w:tc>
        <w:tc>
          <w:tcPr>
            <w:tcW w:w="1638" w:type="dxa"/>
          </w:tcPr>
          <w:tcPr/>
          <w:p>
            <w:pPr>
              <w:pStyle w:val="Compact"/>
              <w:jc w:val="left"/>
            </w:pPr>
            <w:r>
              <w:t xml:space="preserve">avis de marché 04/03/2024</w:t>
            </w:r>
          </w:p>
        </w:tc>
        <w:tc>
          <w:tcPr>
            <w:tcW w:w="2728" w:type="dxa"/>
          </w:tcPr>
          <w:tcPr/>
          <w:p>
            <w:pPr>
              <w:pStyle w:val="Compact"/>
              <w:jc w:val="left"/>
            </w:pPr>
            <w:r>
              <w:t xml:space="preserve">Transport</w:t>
            </w:r>
          </w:p>
        </w:tc>
        <w:tc>
          <w:tcPr>
            <w:tcW w:w="2218" w:type="dxa"/>
          </w:tcPr>
          <w:tcPr/>
          <w:p>
            <w:pPr>
              <w:pStyle w:val="Compact"/>
              <w:jc w:val="left"/>
            </w:pPr>
            <w:r>
              <w:t xml:space="preserve">—</w:t>
            </w:r>
          </w:p>
        </w:tc>
        <w:tc>
          <w:tcPr>
            <w:tcW w:w="1309" w:type="dxa"/>
          </w:tcPr>
          <w:tcPr/>
          <w:p>
            <w:pPr>
              <w:pStyle w:val="Compact"/>
              <w:jc w:val="left"/>
            </w:pPr>
            <w:r>
              <w:t xml:space="preserve">[S]</w:t>
            </w:r>
          </w:p>
        </w:tc>
        <w:tc>
          <w:tcPr>
            <w:tcW w:w="693" w:type="dxa"/>
          </w:tcPr>
          <w:tcPr/>
          <w:p>
            <w:pPr>
              <w:pStyle w:val="Compact"/>
              <w:jc w:val="left"/>
            </w:pPr>
            <w:r>
              <w:t xml:space="preserve">[10]</w:t>
            </w:r>
          </w:p>
        </w:tc>
      </w:tr>
      <w:tr>
        <w:tc>
          <w:tcPr>
            <w:tcW w:w="3534" w:type="dxa"/>
          </w:tcPr>
          <w:tcPr/>
          <w:p>
            <w:pPr>
              <w:pStyle w:val="Compact"/>
              <w:jc w:val="left"/>
            </w:pPr>
            <w:r>
              <w:t xml:space="preserve">AESTAP Mission 300 Phase I (déc. 2025) / Phase II (3,9 M US$, 2026)</w:t>
            </w:r>
          </w:p>
        </w:tc>
        <w:tc>
          <w:tcPr>
            <w:tcW w:w="1386" w:type="dxa"/>
          </w:tcPr>
          <w:tcPr/>
          <w:p>
            <w:pPr>
              <w:pStyle w:val="Compact"/>
              <w:jc w:val="left"/>
            </w:pPr>
            <w:r>
              <w:t xml:space="preserve">BAD</w:t>
            </w:r>
          </w:p>
        </w:tc>
        <w:tc>
          <w:tcPr>
            <w:tcW w:w="1061" w:type="dxa"/>
          </w:tcPr>
          <w:tcPr/>
          <w:p>
            <w:pPr>
              <w:pStyle w:val="Compact"/>
              <w:jc w:val="left"/>
            </w:pPr>
            <w:r>
              <w:t xml:space="preserve">3,9 M US$ (Phase II)</w:t>
            </w:r>
          </w:p>
        </w:tc>
        <w:tc>
          <w:tcPr>
            <w:tcW w:w="1638" w:type="dxa"/>
          </w:tcPr>
          <w:tcPr/>
          <w:p>
            <w:pPr>
              <w:pStyle w:val="Compact"/>
              <w:jc w:val="left"/>
            </w:pPr>
            <w:r>
              <w:t xml:space="preserve">2025-2026</w:t>
            </w:r>
          </w:p>
        </w:tc>
        <w:tc>
          <w:tcPr>
            <w:tcW w:w="2728" w:type="dxa"/>
          </w:tcPr>
          <w:tcPr/>
          <w:p>
            <w:pPr>
              <w:pStyle w:val="Compact"/>
              <w:jc w:val="left"/>
            </w:pPr>
            <w:r>
              <w:t xml:space="preserve">Zambie</w:t>
            </w:r>
            <w:r>
              <w:t xml:space="preserve"> </w:t>
            </w:r>
            <w:r>
              <w:rPr>
                <w:bCs/>
                <w:b/>
              </w:rPr>
              <w:t xml:space="preserve">non listée</w:t>
            </w:r>
            <w:r>
              <w:t xml:space="preserve"> </w:t>
            </w:r>
            <w:r>
              <w:t xml:space="preserve">dans la Phase II</w:t>
            </w:r>
          </w:p>
        </w:tc>
        <w:tc>
          <w:tcPr>
            <w:tcW w:w="2218" w:type="dxa"/>
          </w:tcPr>
          <w:tcPr/>
          <w:p>
            <w:pPr>
              <w:pStyle w:val="Compact"/>
              <w:jc w:val="left"/>
            </w:pPr>
            <w:r>
              <w:t xml:space="preserve">—</w:t>
            </w:r>
          </w:p>
        </w:tc>
        <w:tc>
          <w:tcPr>
            <w:tcW w:w="1309" w:type="dxa"/>
          </w:tcPr>
          <w:tcPr/>
          <w:p>
            <w:pPr>
              <w:pStyle w:val="Compact"/>
              <w:jc w:val="left"/>
            </w:pPr>
            <w:r>
              <w:t xml:space="preserve">[S]</w:t>
            </w:r>
          </w:p>
        </w:tc>
        <w:tc>
          <w:tcPr>
            <w:tcW w:w="693" w:type="dxa"/>
          </w:tcPr>
          <w:tcPr/>
          <w:p>
            <w:pPr>
              <w:pStyle w:val="Compact"/>
              <w:jc w:val="left"/>
            </w:pPr>
            <w:r>
              <w:t xml:space="preserve">[11]</w:t>
            </w:r>
          </w:p>
        </w:tc>
      </w:tr>
    </w:tbl>
    <w:bookmarkEnd w:id="387"/>
    <w:bookmarkStart w:id="388" w:name="écart-pacte-réalité-34"/>
    <w:p>
      <w:pPr>
        <w:pStyle w:val="Heading3"/>
      </w:pPr>
      <w:r>
        <w:t xml:space="preserve">5. Écart pacte ↔ réalité</w:t>
      </w:r>
    </w:p>
    <w:p>
      <w:pPr>
        <w:numPr>
          <w:ilvl w:val="0"/>
          <w:numId w:val="1206"/>
        </w:numPr>
        <w:pStyle w:val="Compact"/>
      </w:pPr>
      <w:r>
        <w:rPr>
          <w:bCs/>
          <w:b/>
        </w:rPr>
        <w:t xml:space="preserve">Données financières « Information not available » dans le pacte</w:t>
      </w:r>
      <w:r>
        <w:t xml:space="preserve"> </w:t>
      </w:r>
      <w:r>
        <w:t xml:space="preserve">: elles existent pourtant (comptes audités 2024 publiés ; PAD NEAT 2024 avec ratios de recouvrement) — le pacte n’a pas mobilisé l’information disponible.</w:t>
      </w:r>
    </w:p>
    <w:p>
      <w:pPr>
        <w:numPr>
          <w:ilvl w:val="0"/>
          <w:numId w:val="1206"/>
        </w:numPr>
        <w:pStyle w:val="Compact"/>
      </w:pPr>
      <w:r>
        <w:rPr>
          <w:bCs/>
          <w:b/>
        </w:rPr>
        <w:t xml:space="preserve">Recouvrement intégral des coûts d’ici 2027</w:t>
      </w:r>
      <w:r>
        <w:t xml:space="preserve"> </w:t>
      </w:r>
      <w:r>
        <w:t xml:space="preserve">(pacte) : le FMI (fév. 2026) juge le MYTF 2023 « obsolète » et non suffisant ; les tarifs d’urgence restent sous le niveau de recouvrement ; l’ERB a amputé de 17 % le revenu 2025 demandé ; reflet des coûts « seulement attendu en 2027 », avec une forte hausse nécessaire [3].</w:t>
      </w:r>
    </w:p>
    <w:p>
      <w:pPr>
        <w:numPr>
          <w:ilvl w:val="0"/>
          <w:numId w:val="1206"/>
        </w:numPr>
        <w:pStyle w:val="Compact"/>
      </w:pPr>
      <w:r>
        <w:rPr>
          <w:bCs/>
          <w:b/>
        </w:rPr>
        <w:t xml:space="preserve">Pertes AT&amp;C « non disponibles »</w:t>
      </w:r>
      <w:r>
        <w:t xml:space="preserve"> </w:t>
      </w:r>
      <w:r>
        <w:t xml:space="preserve">(pacte) : distribution 11,26 % (2024) et 9,48 % (2025) [1] ; ~22 % T&amp;D selon la BM (2022) [4] — chiffres à réconcilier (périmètre distribution seule vs T&amp;D).</w:t>
      </w:r>
    </w:p>
    <w:p>
      <w:pPr>
        <w:numPr>
          <w:ilvl w:val="0"/>
          <w:numId w:val="1206"/>
        </w:numPr>
        <w:pStyle w:val="Compact"/>
      </w:pPr>
      <w:r>
        <w:rPr>
          <w:bCs/>
          <w:b/>
        </w:rPr>
        <w:t xml:space="preserve">Publication des comptes « 4 mois après clôture — déjà atteint (2022) »</w:t>
      </w:r>
      <w:r>
        <w:t xml:space="preserve"> </w:t>
      </w:r>
      <w:r>
        <w:t xml:space="preserve">(pacte) : les comptes 2024 ont été diffusés fin 2025 [1][2] [E].</w:t>
      </w:r>
    </w:p>
    <w:p>
      <w:pPr>
        <w:numPr>
          <w:ilvl w:val="0"/>
          <w:numId w:val="1206"/>
        </w:numPr>
        <w:pStyle w:val="Compact"/>
      </w:pPr>
      <w:r>
        <w:rPr>
          <w:bCs/>
          <w:b/>
        </w:rPr>
        <w:t xml:space="preserve">« Tous les ménages électrifiés ont un compteur à prépaiement (3,86 M) »</w:t>
      </w:r>
      <w:r>
        <w:t xml:space="preserve"> </w:t>
      </w:r>
      <w:r>
        <w:t xml:space="preserve">(pacte) : ZESCO compte</w:t>
      </w:r>
      <w:r>
        <w:t xml:space="preserve"> </w:t>
      </w:r>
      <w:r>
        <w:rPr>
          <w:bCs/>
          <w:b/>
        </w:rPr>
        <w:t xml:space="preserve">1,44 M clients</w:t>
      </w:r>
      <w:r>
        <w:t xml:space="preserve"> </w:t>
      </w:r>
      <w:r>
        <w:t xml:space="preserve">fin 2025 [1] — chiffre du pacte non cohérent avec la base clients de l’opérateur.</w:t>
      </w:r>
    </w:p>
    <w:p>
      <w:pPr>
        <w:numPr>
          <w:ilvl w:val="0"/>
          <w:numId w:val="1206"/>
        </w:numPr>
        <w:pStyle w:val="Compact"/>
      </w:pPr>
      <w:r>
        <w:rPr>
          <w:bCs/>
          <w:b/>
        </w:rPr>
        <w:t xml:space="preserve">Retour à l’équilibre</w:t>
      </w:r>
      <w:r>
        <w:t xml:space="preserve"> </w:t>
      </w:r>
      <w:r>
        <w:t xml:space="preserve">: le bénéfice 2025 tient surtout à un gain de change (5,9 Md ZMW) et au transfert du coût des importations vers des négociants ; il ne reflète pas un redressement structurel [E].</w:t>
      </w:r>
    </w:p>
    <w:p>
      <w:pPr>
        <w:numPr>
          <w:ilvl w:val="0"/>
          <w:numId w:val="1206"/>
        </w:numPr>
        <w:pStyle w:val="Compact"/>
      </w:pPr>
      <w:r>
        <w:rPr>
          <w:bCs/>
          <w:b/>
        </w:rPr>
        <w:t xml:space="preserve">Délestages 3-7 h/jour</w:t>
      </w:r>
      <w:r>
        <w:t xml:space="preserve"> </w:t>
      </w:r>
      <w:r>
        <w:t xml:space="preserve">(pacte) : en nov. 2025, ~4 h d’électricité</w:t>
      </w:r>
      <w:r>
        <w:t xml:space="preserve"> </w:t>
      </w:r>
      <w:r>
        <w:rPr>
          <w:bCs/>
          <w:b/>
        </w:rPr>
        <w:t xml:space="preserve">disponibles</w:t>
      </w:r>
      <w:r>
        <w:t xml:space="preserve"> </w:t>
      </w:r>
      <w:r>
        <w:t xml:space="preserve">par jour, soit ~20 h de coupure [3] — situation plus grave que décrite.</w:t>
      </w:r>
    </w:p>
    <w:bookmarkEnd w:id="388"/>
    <w:bookmarkStart w:id="389" w:name="diagnostic-synthétique-34"/>
    <w:p>
      <w:pPr>
        <w:pStyle w:val="Heading3"/>
      </w:pPr>
      <w:r>
        <w:t xml:space="preserve">6. Diagnostic synthétique</w:t>
      </w:r>
    </w:p>
    <w:p>
      <w:pPr>
        <w:numPr>
          <w:ilvl w:val="0"/>
          <w:numId w:val="1207"/>
        </w:numPr>
        <w:pStyle w:val="Compact"/>
      </w:pPr>
      <w:r>
        <w:rPr>
          <w:bCs/>
          <w:b/>
        </w:rPr>
        <w:t xml:space="preserve">Financière : faible</w:t>
      </w:r>
      <w:r>
        <w:t xml:space="preserve"> </w:t>
      </w:r>
      <w:r>
        <w:t xml:space="preserve">— pertes de 39,5 et 15,5 Md ZMW (2023-2024), incertitude sur la continuité d’exploitation, covenants rompus, passif courant &gt; actif de 48,7 Md ZMW ; amélioration 2025 fragile (change).</w:t>
      </w:r>
    </w:p>
    <w:p>
      <w:pPr>
        <w:numPr>
          <w:ilvl w:val="0"/>
          <w:numId w:val="1207"/>
        </w:numPr>
        <w:pStyle w:val="Compact"/>
      </w:pPr>
      <w:r>
        <w:rPr>
          <w:bCs/>
          <w:b/>
        </w:rPr>
        <w:t xml:space="preserve">Technique : faible</w:t>
      </w:r>
      <w:r>
        <w:t xml:space="preserve"> </w:t>
      </w:r>
      <w:r>
        <w:t xml:space="preserve">— production à 38 % de la capacité, SAIDI 184 h, dépendance hydro ; pertes de distribution en baisse (9,5 %) mais pertes T&amp;D globales incertaines.</w:t>
      </w:r>
    </w:p>
    <w:p>
      <w:pPr>
        <w:numPr>
          <w:ilvl w:val="0"/>
          <w:numId w:val="1207"/>
        </w:numPr>
        <w:pStyle w:val="Compact"/>
      </w:pPr>
      <w:r>
        <w:rPr>
          <w:bCs/>
          <w:b/>
        </w:rPr>
        <w:t xml:space="preserve">Gouvernance : moyenne</w:t>
      </w:r>
      <w:r>
        <w:t xml:space="preserve"> </w:t>
      </w:r>
      <w:r>
        <w:t xml:space="preserve">— régulateur actif, audits publiés avec retard, cadre PforR avec vérification indépendante ; incohérences internes dans le rapport 2025.</w:t>
      </w:r>
    </w:p>
    <w:p>
      <w:pPr>
        <w:numPr>
          <w:ilvl w:val="0"/>
          <w:numId w:val="1207"/>
        </w:numPr>
        <w:pStyle w:val="Compact"/>
      </w:pPr>
      <w:r>
        <w:rPr>
          <w:bCs/>
          <w:b/>
        </w:rPr>
        <w:t xml:space="preserve">Causes racines</w:t>
      </w:r>
      <w:r>
        <w:t xml:space="preserve"> </w:t>
      </w:r>
      <w:r>
        <w:t xml:space="preserve">: (1) tarifs durablement sous les coûts et ajustements non appliqués (MYTF suspendu par les tarifs d’urgence) ; (2) choc hydrologique et dépendance &gt; 80 % à l’hydro, importations coûteuses ; (3) endettement en devises et IPP chers, aggravés par la dépréciation du kwacha et les impayés miniers.</w:t>
      </w:r>
    </w:p>
    <w:p>
      <w:pPr>
        <w:numPr>
          <w:ilvl w:val="0"/>
          <w:numId w:val="1207"/>
        </w:numPr>
        <w:pStyle w:val="Compact"/>
      </w:pPr>
      <w:r>
        <w:rPr>
          <w:bCs/>
          <w:b/>
        </w:rPr>
        <w:t xml:space="preserve">Phase 3</w:t>
      </w:r>
      <w:r>
        <w:t xml:space="preserve"> </w:t>
      </w:r>
      <w:r>
        <w:t xml:space="preserve">: coût de service par segment (mines vs résidentiel) ; contenu du MYTF 2025-2027 ; tarifs bilatéraux « premium » des mines ; transfert des importations aux négociants.</w:t>
      </w:r>
    </w:p>
    <w:bookmarkEnd w:id="389"/>
    <w:bookmarkStart w:id="390" w:name="inconnus-34"/>
    <w:p>
      <w:pPr>
        <w:pStyle w:val="Heading3"/>
      </w:pPr>
      <w:r>
        <w:t xml:space="preserve">7. Inconnus</w:t>
      </w:r>
    </w:p>
    <w:p>
      <w:pPr>
        <w:numPr>
          <w:ilvl w:val="0"/>
          <w:numId w:val="1208"/>
        </w:numPr>
        <w:pStyle w:val="Compact"/>
      </w:pPr>
      <w:r>
        <w:t xml:space="preserve">[?] Statut d’audit des comptes 2025 et chiffre exact du bénéfice (6,3 vs 5,3 Md ZMW).</w:t>
      </w:r>
    </w:p>
    <w:p>
      <w:pPr>
        <w:numPr>
          <w:ilvl w:val="0"/>
          <w:numId w:val="1208"/>
        </w:numPr>
        <w:pStyle w:val="Compact"/>
      </w:pPr>
      <w:r>
        <w:t xml:space="preserve">[?] Coût complet par kWh et recette moyenne par kWh (non publiés).</w:t>
      </w:r>
    </w:p>
    <w:p>
      <w:pPr>
        <w:numPr>
          <w:ilvl w:val="0"/>
          <w:numId w:val="1208"/>
        </w:numPr>
        <w:pStyle w:val="Compact"/>
      </w:pPr>
      <w:r>
        <w:t xml:space="preserve">[?] Arriérés de l’État et des entités publiques envers ZESCO (non isolés).</w:t>
      </w:r>
    </w:p>
    <w:p>
      <w:pPr>
        <w:numPr>
          <w:ilvl w:val="0"/>
          <w:numId w:val="1208"/>
        </w:numPr>
        <w:pStyle w:val="Compact"/>
      </w:pPr>
      <w:r>
        <w:t xml:space="preserve">[?] ISR 2025-2026 du NEAT (atteinte des DLR 1.1-1.4) — la base documentaire BM consultée s’arrête à déc. 2024.</w:t>
      </w:r>
    </w:p>
    <w:p>
      <w:pPr>
        <w:numPr>
          <w:ilvl w:val="0"/>
          <w:numId w:val="1208"/>
        </w:numPr>
        <w:pStyle w:val="Compact"/>
      </w:pPr>
      <w:r>
        <w:t xml:space="preserve">[?] Écart entre « emprunts 1,295 Md US$ » (presse, 2024) et « dette 2,6 Md US$ » (FMI, 2025) — périmètres différents (garanties, rétrocessions) [S].</w:t>
      </w:r>
    </w:p>
    <w:p>
      <w:pPr>
        <w:numPr>
          <w:ilvl w:val="0"/>
          <w:numId w:val="1208"/>
        </w:numPr>
        <w:pStyle w:val="Compact"/>
      </w:pPr>
      <w:r>
        <w:t xml:space="preserve">[?] Montants et dates des opérations BAD (afdb.org inaccessible, 403).</w:t>
      </w:r>
    </w:p>
    <w:bookmarkEnd w:id="390"/>
    <w:bookmarkStart w:id="391" w:name="sources-35"/>
    <w:p>
      <w:pPr>
        <w:pStyle w:val="Heading3"/>
      </w:pPr>
      <w:r>
        <w:t xml:space="preserve">Sources</w:t>
      </w:r>
    </w:p>
    <w:p>
      <w:pPr>
        <w:pStyle w:val="FirstParagraph"/>
      </w:pPr>
      <w:r>
        <w:t xml:space="preserve">[1] ZESCO Limited,</w:t>
      </w:r>
      <w:r>
        <w:t xml:space="preserve"> </w:t>
      </w:r>
      <w:r>
        <w:rPr>
          <w:iCs/>
          <w:i/>
        </w:rPr>
        <w:t xml:space="preserve">2025 Integrated Report</w:t>
      </w:r>
      <w:r>
        <w:t xml:space="preserve"> </w:t>
      </w:r>
      <w:r>
        <w:t xml:space="preserve">(exercice 2025). https://www.zesco.co.zm/assets/documents/annual_reports/2025_ZESCO_Integrated_Report_Digital.pdf (consulté le 18/10/2026).</w:t>
      </w:r>
      <w:r>
        <w:t xml:space="preserve"> </w:t>
      </w:r>
      <w:r>
        <w:t xml:space="preserve">[2] ZESCO Limited,</w:t>
      </w:r>
      <w:r>
        <w:t xml:space="preserve"> </w:t>
      </w:r>
      <w:r>
        <w:rPr>
          <w:iCs/>
          <w:i/>
        </w:rPr>
        <w:t xml:space="preserve">2024 Integrated Report</w:t>
      </w:r>
      <w:r>
        <w:t xml:space="preserve">, incl. états financiers consolidés audités 2024 (Grant Thornton). https://www.zesco.co.zm/assets/documents/annual_reports/2024_Integrated_Report_ZESCO.pdf</w:t>
      </w:r>
      <w:r>
        <w:t xml:space="preserve"> </w:t>
      </w:r>
      <w:r>
        <w:t xml:space="preserve">[3] FMI,</w:t>
      </w:r>
      <w:r>
        <w:t xml:space="preserve"> </w:t>
      </w:r>
      <w:r>
        <w:rPr>
          <w:iCs/>
          <w:i/>
        </w:rPr>
        <w:t xml:space="preserve">Zambia — Sixth Review under the ECF Arrangement…</w:t>
      </w:r>
      <w:r>
        <w:t xml:space="preserve">, IMF Country Report No. 26/21, février 2026 (staff report, annexe I électricité, MEFP §36-37, AVD). https://www.imf.org/-/media/files/publications/cr/2026/english/1zmbea2026001-source-pdf.pdf</w:t>
      </w:r>
      <w:r>
        <w:t xml:space="preserve"> </w:t>
      </w:r>
      <w:r>
        <w:t xml:space="preserve">[4] Banque mondiale,</w:t>
      </w:r>
      <w:r>
        <w:t xml:space="preserve"> </w:t>
      </w:r>
      <w:r>
        <w:rPr>
          <w:iCs/>
          <w:i/>
        </w:rPr>
        <w:t xml:space="preserve">Program Appraisal Document — National Energy Advancement and Transformation Program (P179380)</w:t>
      </w:r>
      <w:r>
        <w:t xml:space="preserve">, 21/02/2024. http://documents.worldbank.org/curated/en/099022624174038480/pdf/BOSIB176f40c680eb19c4b1a361862f20f0.pdf</w:t>
      </w:r>
      <w:r>
        <w:t xml:space="preserve"> </w:t>
      </w:r>
      <w:r>
        <w:t xml:space="preserve">[5] Banque mondiale,</w:t>
      </w:r>
      <w:r>
        <w:t xml:space="preserve"> </w:t>
      </w:r>
      <w:r>
        <w:rPr>
          <w:iCs/>
          <w:i/>
        </w:rPr>
        <w:t xml:space="preserve">ISR Seq. 2 — NEAT (P179380)</w:t>
      </w:r>
      <w:r>
        <w:t xml:space="preserve">, 24/12/2024. http://documents.worldbank.org/curated/en/099122424084588196/pdf/P17938013cb7bb0e3196541e001f292588a.pdf ; API projets BM (P179380).</w:t>
      </w:r>
      <w:r>
        <w:t xml:space="preserve"> </w:t>
      </w:r>
      <w:r>
        <w:t xml:space="preserve">[6] Banque mondiale, communiqué du 28/07/2025, « Over One Million Zambians to be Connected to Electricity by 2030… ». https://www.worldbank.org/en/news/press-release/2025/07/28/over-one-million-zambians-to-be-connected-to-electricity-by-2030-under-new-energy-access-project</w:t>
      </w:r>
      <w:r>
        <w:t xml:space="preserve"> </w:t>
      </w:r>
      <w:r>
        <w:t xml:space="preserve">[7] Banque mondiale, communiqué du 20/01/2025 (ZTIP) https://www.worldbank.org/en/news/press-release/2025/01/20/zambia-afe-to-benefit-from-expanded-access-to-affordable-energy-thanks-to-increased-power-transmission-with-tanzania ; page projet P507033 ; fiche UE/EEAS (2025) [S pour le détail du marché].</w:t>
      </w:r>
      <w:r>
        <w:t xml:space="preserve"> </w:t>
      </w:r>
      <w:r>
        <w:t xml:space="preserve">[8] Banque mondiale,</w:t>
      </w:r>
      <w:r>
        <w:t xml:space="preserve"> </w:t>
      </w:r>
      <w:r>
        <w:rPr>
          <w:iCs/>
          <w:i/>
        </w:rPr>
        <w:t xml:space="preserve">Program Document — Zambia Second Macroeconomic Stability, Growth and Competitiveness DPF (P181011)</w:t>
      </w:r>
      <w:r>
        <w:t xml:space="preserve">, 29/11/2023. http://documents.worldbank.org/curated/en/099113023163572851/pdf/BOSIB1a5a7d7ad0091b65113deb11dc0b04.pdf</w:t>
      </w:r>
      <w:r>
        <w:t xml:space="preserve"> </w:t>
      </w:r>
      <w:r>
        <w:t xml:space="preserve">[9] Banque mondiale,</w:t>
      </w:r>
      <w:r>
        <w:t xml:space="preserve"> </w:t>
      </w:r>
      <w:r>
        <w:rPr>
          <w:iCs/>
          <w:i/>
        </w:rPr>
        <w:t xml:space="preserve">Program Document — First Zambia Climate and Economic Resilience DPF with Cat-DDO (P507116)</w:t>
      </w:r>
      <w:r>
        <w:t xml:space="preserve">, 22/11/2024. http://documents.worldbank.org/curated/en/099112524175539911/pdf/BOSIB15d0cfc7e05818c2a1636531983275.pdf</w:t>
      </w:r>
      <w:r>
        <w:t xml:space="preserve"> </w:t>
      </w:r>
      <w:r>
        <w:t xml:space="preserve">[10] BAD, communiqué « Garneton North Solar Project » (afdb.org, page 403 — contenu via moteur de recherche) [S] ; avis spécifique de passation de marché Itezhi-Tezhi–Nambala 220 kV (04/03/2024) [S].</w:t>
      </w:r>
      <w:r>
        <w:t xml:space="preserve"> </w:t>
      </w:r>
      <w:r>
        <w:t xml:space="preserve">[11] SolarQuarter, 02/02/2026, « AfDB Launches $3.9M Project… » (AESTAP Mission 300 Phase II) [S].</w:t>
      </w:r>
      <w:r>
        <w:t xml:space="preserve"> </w:t>
      </w:r>
      <w:r>
        <w:t xml:space="preserve">[12] Diggers News, 27 et 29/12/2025 (synthèse du rapport 2024 : emprunts 1,295 Md US$, service de la dette 46,1 M US$) [S].</w:t>
      </w:r>
    </w:p>
    <w:p>
      <w:r>
        <w:br w:type="page"/>
      </w:r>
    </w:p>
    <w:bookmarkEnd w:id="391"/>
    <w:bookmarkEnd w:id="392"/>
    <w:bookmarkStart w:id="402" w:name="Xccdae86748a7742ddd9bdcc424ae7a4d1adc5cd"/>
    <w:p>
      <w:pPr>
        <w:pStyle w:val="Heading2"/>
      </w:pPr>
      <w:r>
        <w:t xml:space="preserve">Diagnostic opérateur — ZESA Holdings : ZETDC, ZPC (Zimbabwe)</w:t>
      </w:r>
    </w:p>
    <w:p>
      <w:pPr>
        <w:pStyle w:val="BlockText"/>
      </w:pPr>
      <w:r>
        <w:t xml:space="preserve">Phase 2 — Mission 300. Statuts :</w:t>
      </w:r>
      <w:r>
        <w:t xml:space="preserve"> </w:t>
      </w:r>
      <w:r>
        <w:rPr>
          <w:bCs/>
          <w:b/>
        </w:rPr>
        <w:t xml:space="preserve">[V]</w:t>
      </w:r>
      <w:r>
        <w:t xml:space="preserve"> </w:t>
      </w:r>
      <w:r>
        <w:t xml:space="preserve">document primaire (états financiers audités, rapport annuel, régulateur, document BM/BAD, FMI)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calcul/estimation ·</w:t>
      </w:r>
      <w:r>
        <w:t xml:space="preserve"> </w:t>
      </w:r>
      <w:r>
        <w:rPr>
          <w:bCs/>
          <w:b/>
        </w:rPr>
        <w:t xml:space="preserve">[?]</w:t>
      </w:r>
      <w:r>
        <w:t xml:space="preserve"> </w:t>
      </w:r>
      <w:r>
        <w:t xml:space="preserve">inconnu.</w:t>
      </w:r>
      <w:r>
        <w:t xml:space="preserve"> </w:t>
      </w:r>
      <w:r>
        <w:t xml:space="preserve">Chaque chiffre : source [n] + année. Comparaison avec le pacte : ../../phase1/fiches/ZWE_zimbabwe.md (cité « (pacte) »).</w:t>
      </w:r>
      <w:r>
        <w:t xml:space="preserve"> </w:t>
      </w:r>
      <w:r>
        <w:rPr>
          <w:bCs/>
          <w:b/>
        </w:rPr>
        <w:t xml:space="preserve">Mise en garde monétaire.</w:t>
      </w:r>
      <w:r>
        <w:t xml:space="preserve"> </w:t>
      </w:r>
      <w:r>
        <w:t xml:space="preserve">Les comptes sont en ZWL de 2019 à 2024, puis en ZWG (ZiG) depuis 2024. Les chiffres en monnaie locale ne sont pas comparables d’une année à l’autre [V][2].</w:t>
      </w:r>
    </w:p>
    <w:bookmarkStart w:id="393" w:name="identité-35"/>
    <w:p>
      <w:pPr>
        <w:pStyle w:val="Heading3"/>
      </w:pPr>
      <w:r>
        <w:t xml:space="preserve">0. Identité</w:t>
      </w:r>
    </w:p>
    <w:p>
      <w:pPr>
        <w:numPr>
          <w:ilvl w:val="0"/>
          <w:numId w:val="1209"/>
        </w:numPr>
        <w:pStyle w:val="Compact"/>
      </w:pPr>
      <w:r>
        <w:t xml:space="preserve">Opérateurs : groupe ZESA Holdings.</w:t>
      </w:r>
    </w:p>
    <w:p>
      <w:pPr>
        <w:numPr>
          <w:ilvl w:val="1"/>
          <w:numId w:val="1210"/>
        </w:numPr>
        <w:pStyle w:val="Compact"/>
      </w:pPr>
      <w:r>
        <w:t xml:space="preserve">ZPC : production (Kariba South 1 050 MW, Hwange 1 590 MW, petites centrales thermiques).</w:t>
      </w:r>
    </w:p>
    <w:p>
      <w:pPr>
        <w:numPr>
          <w:ilvl w:val="1"/>
          <w:numId w:val="1210"/>
        </w:numPr>
        <w:pStyle w:val="Compact"/>
      </w:pPr>
      <w:r>
        <w:t xml:space="preserve">ZETDC : transport, distribution et vente ; acheteur unique des IPP et des importations.</w:t>
      </w:r>
    </w:p>
    <w:p>
      <w:pPr>
        <w:numPr>
          <w:ilvl w:val="1"/>
          <w:numId w:val="1210"/>
        </w:numPr>
        <w:pStyle w:val="Compact"/>
      </w:pPr>
      <w:r>
        <w:t xml:space="preserve">Autres filiales : ZENT, Powertel [V][2].</w:t>
      </w:r>
    </w:p>
    <w:p>
      <w:pPr>
        <w:numPr>
          <w:ilvl w:val="0"/>
          <w:numId w:val="1209"/>
        </w:numPr>
        <w:pStyle w:val="Compact"/>
      </w:pPr>
      <w:r>
        <w:t xml:space="preserve">Actionnariat : l’État, via le Mutapa Investment Fund [V][2].</w:t>
      </w:r>
    </w:p>
    <w:p>
      <w:pPr>
        <w:numPr>
          <w:ilvl w:val="1"/>
          <w:numId w:val="1211"/>
        </w:numPr>
        <w:pStyle w:val="Compact"/>
      </w:pPr>
      <w:r>
        <w:rPr>
          <w:bCs/>
          <w:b/>
        </w:rPr>
        <w:t xml:space="preserve">Re-bundling</w:t>
      </w:r>
      <w:r>
        <w:t xml:space="preserve"> </w:t>
      </w:r>
      <w:r>
        <w:t xml:space="preserve">: en août 2026, le Cabinet a approuvé le regroupement de la production, du transport et de la distribution dans une structure unique (ZESA Private Limited) [S][5][6].</w:t>
      </w:r>
    </w:p>
    <w:p>
      <w:pPr>
        <w:numPr>
          <w:ilvl w:val="1"/>
          <w:numId w:val="1211"/>
        </w:numPr>
        <w:pStyle w:val="Compact"/>
      </w:pPr>
      <w:r>
        <w:t xml:space="preserve">Le pacte prévoyait une « nouvelle structure de l’opérateur » au T4 2025. C’est une action prioritaire du pacte, probablement en retard selon le rapport d’avancement de mars 2026 (pacte).</w:t>
      </w:r>
    </w:p>
    <w:p>
      <w:pPr>
        <w:numPr>
          <w:ilvl w:val="0"/>
          <w:numId w:val="1209"/>
        </w:numPr>
        <w:pStyle w:val="Compact"/>
      </w:pPr>
      <w:r>
        <w:t xml:space="preserve">Régulateur : ZERA, régulateur multisectoriel (électricité, pétrole) [V][2]. Son indépendance est limitée : des injonctions politiques ont imposé le re-bundling malgré la politique énergétique de 2012 qui prévoyait la séparation des activités, ce qui « compromet la capacité du régulateur » à faire appliquer les licences [V][3].</w:t>
      </w:r>
    </w:p>
    <w:p>
      <w:pPr>
        <w:numPr>
          <w:ilvl w:val="0"/>
          <w:numId w:val="1209"/>
        </w:numPr>
        <w:pStyle w:val="Compact"/>
      </w:pPr>
      <w:r>
        <w:t xml:space="preserve">Dernier exercice audité :</w:t>
      </w:r>
      <w:r>
        <w:t xml:space="preserve"> </w:t>
      </w:r>
      <w:r>
        <w:rPr>
          <w:bCs/>
          <w:b/>
        </w:rPr>
        <w:t xml:space="preserve">2025 (ZETDC)</w:t>
      </w:r>
      <w:r>
        <w:t xml:space="preserve">, rapport de l’Auditor-General, opinion sans réserve mais incertitude significative sur la continuité d’exploitation, selon la presse [S][5]. Le rapport primaire n’a pas été consulté [?]. Le dernier rapport AG sur les entreprises publiques trouvé en ligne est celui de l’exercice 2023 (juin 2024) [V][7], non dépouillé.</w:t>
      </w:r>
    </w:p>
    <w:bookmarkEnd w:id="393"/>
    <w:bookmarkStart w:id="394" w:name="situation-financière-33"/>
    <w:p>
      <w:pPr>
        <w:pStyle w:val="Heading3"/>
      </w:pPr>
      <w:r>
        <w:t xml:space="preserve">1. Situation financière</w:t>
      </w:r>
    </w:p>
    <w:tbl>
      <w:tblPr>
        <w:tblStyle w:val="Table"/>
        <w:tblW w:type="dxa" w:w="14570"/>
        <w:tblLook w:firstRow="1" w:lastRow="0" w:firstColumn="0" w:lastColumn="0" w:noHBand="0" w:noVBand="0" w:val="0020"/>
        <w:jc w:val="start"/>
      </w:tblPr>
      <w:tblGrid>
        <w:gridCol w:w="2507"/>
        <w:gridCol w:w="8428"/>
        <w:gridCol w:w="1232"/>
        <w:gridCol w:w="1490"/>
        <w:gridCol w:w="912"/>
      </w:tblGrid>
      <w:tr>
        <w:trPr>
          <w:tblHeader w:val="true"/>
        </w:trPr>
        <w:tc>
          <w:tcPr>
            <w:tcW w:w="2507" w:type="dxa"/>
          </w:tcPr>
          <w:tcPr/>
          <w:p>
            <w:pPr>
              <w:pStyle w:val="Compact"/>
              <w:jc w:val="left"/>
            </w:pPr>
            <w:r>
              <w:t xml:space="preserve">Indicateur</w:t>
            </w:r>
          </w:p>
        </w:tc>
        <w:tc>
          <w:tcPr>
            <w:tcW w:w="8428" w:type="dxa"/>
          </w:tcPr>
          <w:tcPr/>
          <w:p>
            <w:pPr>
              <w:pStyle w:val="Compact"/>
              <w:jc w:val="left"/>
            </w:pPr>
            <w:r>
              <w:t xml:space="preserve">Valeur</w:t>
            </w:r>
          </w:p>
        </w:tc>
        <w:tc>
          <w:tcPr>
            <w:tcW w:w="1232" w:type="dxa"/>
          </w:tcPr>
          <w:tcPr/>
          <w:p>
            <w:pPr>
              <w:pStyle w:val="Compact"/>
              <w:jc w:val="left"/>
            </w:pPr>
            <w:r>
              <w:t xml:space="preserve">Année</w:t>
            </w:r>
          </w:p>
        </w:tc>
        <w:tc>
          <w:tcPr>
            <w:tcW w:w="1490" w:type="dxa"/>
          </w:tcPr>
          <w:tcPr/>
          <w:p>
            <w:pPr>
              <w:pStyle w:val="Compact"/>
              <w:jc w:val="left"/>
            </w:pPr>
            <w:r>
              <w:t xml:space="preserve">Statut</w:t>
            </w:r>
          </w:p>
        </w:tc>
        <w:tc>
          <w:tcPr>
            <w:tcW w:w="912" w:type="dxa"/>
          </w:tcPr>
          <w:tcPr/>
          <w:p>
            <w:pPr>
              <w:pStyle w:val="Compact"/>
              <w:jc w:val="left"/>
            </w:pPr>
            <w:r>
              <w:t xml:space="preserve">Source</w:t>
            </w:r>
          </w:p>
        </w:tc>
      </w:tr>
      <w:tr>
        <w:tc>
          <w:tcPr>
            <w:tcW w:w="2507" w:type="dxa"/>
          </w:tcPr>
          <w:tcPr/>
          <w:p>
            <w:pPr>
              <w:pStyle w:val="Compact"/>
              <w:jc w:val="left"/>
            </w:pPr>
            <w:r>
              <w:t xml:space="preserve">Chiffre d’affaires</w:t>
            </w:r>
          </w:p>
        </w:tc>
        <w:tc>
          <w:tcPr>
            <w:tcW w:w="8428" w:type="dxa"/>
          </w:tcPr>
          <w:tcPr/>
          <w:p>
            <w:pPr>
              <w:pStyle w:val="Compact"/>
              <w:jc w:val="left"/>
            </w:pPr>
            <w:r>
              <w:t xml:space="preserve">[?] non trouvé (2024-2025)</w:t>
            </w:r>
          </w:p>
        </w:tc>
        <w:tc>
          <w:tcPr>
            <w:tcW w:w="1232" w:type="dxa"/>
          </w:tcPr>
          <w:tcPr/>
          <w:p>
            <w:pPr>
              <w:pStyle w:val="Compact"/>
              <w:jc w:val="left"/>
            </w:pPr>
            <w:r>
              <w:t xml:space="preserve">—</w:t>
            </w:r>
          </w:p>
        </w:tc>
        <w:tc>
          <w:tcPr>
            <w:tcW w:w="1490" w:type="dxa"/>
          </w:tcPr>
          <w:tcPr/>
          <w:p>
            <w:pPr>
              <w:pStyle w:val="Compact"/>
              <w:jc w:val="left"/>
            </w:pPr>
            <w:r>
              <w:t xml:space="preserve">[?]</w:t>
            </w:r>
          </w:p>
        </w:tc>
        <w:tc>
          <w:tcPr>
            <w:tcW w:w="912" w:type="dxa"/>
          </w:tcPr>
          <w:tcPr/>
          <w:p>
            <w:pPr>
              <w:pStyle w:val="Compact"/>
              <w:jc w:val="left"/>
            </w:pPr>
            <w:r>
              <w:t xml:space="preserve">—</w:t>
            </w:r>
          </w:p>
        </w:tc>
      </w:tr>
      <w:tr>
        <w:tc>
          <w:tcPr>
            <w:tcW w:w="2507" w:type="dxa"/>
          </w:tcPr>
          <w:tcPr/>
          <w:p>
            <w:pPr>
              <w:pStyle w:val="Compact"/>
              <w:jc w:val="left"/>
            </w:pPr>
            <w:r>
              <w:t xml:space="preserve">Résultat</w:t>
            </w:r>
          </w:p>
        </w:tc>
        <w:tc>
          <w:tcPr>
            <w:tcW w:w="8428" w:type="dxa"/>
          </w:tcPr>
          <w:tcPr/>
          <w:p>
            <w:pPr>
              <w:pStyle w:val="Compact"/>
              <w:jc w:val="left"/>
            </w:pPr>
            <w:r>
              <w:t xml:space="preserve">ZETDC : perte d’exploitation avant impôt de 10 Mds ZWG</w:t>
            </w:r>
          </w:p>
        </w:tc>
        <w:tc>
          <w:tcPr>
            <w:tcW w:w="1232" w:type="dxa"/>
          </w:tcPr>
          <w:tcPr/>
          <w:p>
            <w:pPr>
              <w:pStyle w:val="Compact"/>
              <w:jc w:val="left"/>
            </w:pPr>
            <w:r>
              <w:t xml:space="preserve">2025</w:t>
            </w:r>
          </w:p>
        </w:tc>
        <w:tc>
          <w:tcPr>
            <w:tcW w:w="1490" w:type="dxa"/>
          </w:tcPr>
          <w:tcPr/>
          <w:p>
            <w:pPr>
              <w:pStyle w:val="Compact"/>
              <w:jc w:val="left"/>
            </w:pPr>
            <w:r>
              <w:t xml:space="preserve">[S] (citant l’AG)</w:t>
            </w:r>
          </w:p>
        </w:tc>
        <w:tc>
          <w:tcPr>
            <w:tcW w:w="912" w:type="dxa"/>
          </w:tcPr>
          <w:tcPr/>
          <w:p>
            <w:pPr>
              <w:pStyle w:val="Compact"/>
              <w:jc w:val="left"/>
            </w:pPr>
            <w:r>
              <w:t xml:space="preserve">[5]</w:t>
            </w:r>
          </w:p>
        </w:tc>
      </w:tr>
      <w:tr>
        <w:tc>
          <w:tcPr>
            <w:tcW w:w="2507" w:type="dxa"/>
          </w:tcPr>
          <w:tcPr/>
          <w:p>
            <w:pPr>
              <w:pStyle w:val="Compact"/>
            </w:pPr>
          </w:p>
        </w:tc>
        <w:tc>
          <w:tcPr>
            <w:tcW w:w="8428" w:type="dxa"/>
          </w:tcPr>
          <w:tcPr/>
          <w:p>
            <w:pPr>
              <w:pStyle w:val="Compact"/>
              <w:jc w:val="left"/>
            </w:pPr>
            <w:r>
              <w:t xml:space="preserve">Annexe II du pacte : « Net income/loss » ZPC 6 548,52 et ZETDC 8 328,24 (ZWL, M probables ; signe non indiqué)</w:t>
            </w:r>
          </w:p>
        </w:tc>
        <w:tc>
          <w:tcPr>
            <w:tcW w:w="1232" w:type="dxa"/>
          </w:tcPr>
          <w:tcPr/>
          <w:p>
            <w:pPr>
              <w:pStyle w:val="Compact"/>
              <w:jc w:val="left"/>
            </w:pPr>
            <w:r>
              <w:t xml:space="preserve">~2022-23</w:t>
            </w:r>
          </w:p>
        </w:tc>
        <w:tc>
          <w:tcPr>
            <w:tcW w:w="1490" w:type="dxa"/>
          </w:tcPr>
          <w:tcPr/>
          <w:p>
            <w:pPr>
              <w:pStyle w:val="Compact"/>
              <w:jc w:val="left"/>
            </w:pPr>
            <w:r>
              <w:t xml:space="preserve">(pacte) [?]</w:t>
            </w:r>
          </w:p>
        </w:tc>
        <w:tc>
          <w:tcPr>
            <w:tcW w:w="912" w:type="dxa"/>
          </w:tcPr>
          <w:tcPr/>
          <w:p>
            <w:pPr>
              <w:pStyle w:val="Compact"/>
              <w:jc w:val="left"/>
            </w:pPr>
            <w:r>
              <w:t xml:space="preserve">[2]</w:t>
            </w:r>
          </w:p>
        </w:tc>
      </w:tr>
      <w:tr>
        <w:tc>
          <w:tcPr>
            <w:tcW w:w="2507" w:type="dxa"/>
          </w:tcPr>
          <w:tcPr/>
          <w:p>
            <w:pPr>
              <w:pStyle w:val="Compact"/>
            </w:pPr>
          </w:p>
        </w:tc>
        <w:tc>
          <w:tcPr>
            <w:tcW w:w="8428" w:type="dxa"/>
          </w:tcPr>
          <w:tcPr/>
          <w:p>
            <w:pPr>
              <w:pStyle w:val="Compact"/>
              <w:jc w:val="left"/>
            </w:pPr>
            <w:r>
              <w:t xml:space="preserve">Pertes de ZPC : 2,5 % du PIB ; de ZETDC : 3,4 à 4,7 % du PIB</w:t>
            </w:r>
          </w:p>
        </w:tc>
        <w:tc>
          <w:tcPr>
            <w:tcW w:w="1232" w:type="dxa"/>
          </w:tcPr>
          <w:tcPr/>
          <w:p>
            <w:pPr>
              <w:pStyle w:val="Compact"/>
              <w:jc w:val="left"/>
            </w:pPr>
            <w:r>
              <w:t xml:space="preserve">2019-2020</w:t>
            </w:r>
          </w:p>
        </w:tc>
        <w:tc>
          <w:tcPr>
            <w:tcW w:w="1490" w:type="dxa"/>
          </w:tcPr>
          <w:tcPr/>
          <w:p>
            <w:pPr>
              <w:pStyle w:val="Compact"/>
              <w:jc w:val="left"/>
            </w:pPr>
            <w:r>
              <w:t xml:space="preserve">[V]</w:t>
            </w:r>
          </w:p>
        </w:tc>
        <w:tc>
          <w:tcPr>
            <w:tcW w:w="912" w:type="dxa"/>
          </w:tcPr>
          <w:tcPr/>
          <w:p>
            <w:pPr>
              <w:pStyle w:val="Compact"/>
              <w:jc w:val="left"/>
            </w:pPr>
            <w:r>
              <w:t xml:space="preserve">[3]</w:t>
            </w:r>
          </w:p>
        </w:tc>
      </w:tr>
      <w:tr>
        <w:tc>
          <w:tcPr>
            <w:tcW w:w="2507" w:type="dxa"/>
          </w:tcPr>
          <w:tcPr/>
          <w:p>
            <w:pPr>
              <w:pStyle w:val="Compact"/>
              <w:jc w:val="left"/>
            </w:pPr>
            <w:r>
              <w:t xml:space="preserve">EBITDA</w:t>
            </w:r>
          </w:p>
        </w:tc>
        <w:tc>
          <w:tcPr>
            <w:tcW w:w="8428" w:type="dxa"/>
          </w:tcPr>
          <w:tcPr/>
          <w:p>
            <w:pPr>
              <w:pStyle w:val="Compact"/>
              <w:jc w:val="left"/>
            </w:pPr>
            <w:r>
              <w:t xml:space="preserve">[?]</w:t>
            </w:r>
          </w:p>
        </w:tc>
        <w:tc>
          <w:tcPr>
            <w:tcW w:w="1232" w:type="dxa"/>
          </w:tcPr>
          <w:tcPr/>
          <w:p>
            <w:pPr>
              <w:pStyle w:val="Compact"/>
              <w:jc w:val="left"/>
            </w:pPr>
            <w:r>
              <w:t xml:space="preserve">—</w:t>
            </w:r>
          </w:p>
        </w:tc>
        <w:tc>
          <w:tcPr>
            <w:tcW w:w="1490" w:type="dxa"/>
          </w:tcPr>
          <w:tcPr/>
          <w:p>
            <w:pPr>
              <w:pStyle w:val="Compact"/>
              <w:jc w:val="left"/>
            </w:pPr>
            <w:r>
              <w:t xml:space="preserve">[?]</w:t>
            </w:r>
          </w:p>
        </w:tc>
        <w:tc>
          <w:tcPr>
            <w:tcW w:w="912" w:type="dxa"/>
          </w:tcPr>
          <w:tcPr/>
          <w:p>
            <w:pPr>
              <w:pStyle w:val="Compact"/>
              <w:jc w:val="left"/>
            </w:pPr>
            <w:r>
              <w:t xml:space="preserve">—</w:t>
            </w:r>
          </w:p>
        </w:tc>
      </w:tr>
      <w:tr>
        <w:tc>
          <w:tcPr>
            <w:tcW w:w="2507" w:type="dxa"/>
          </w:tcPr>
          <w:tcPr/>
          <w:p>
            <w:pPr>
              <w:pStyle w:val="Compact"/>
              <w:jc w:val="left"/>
            </w:pPr>
            <w:r>
              <w:t xml:space="preserve">Écart recettes-coûts (tarif inférieur au coût de service efficient)</w:t>
            </w:r>
          </w:p>
        </w:tc>
        <w:tc>
          <w:tcPr>
            <w:tcW w:w="8428" w:type="dxa"/>
          </w:tcPr>
          <w:tcPr/>
          <w:p>
            <w:pPr>
              <w:pStyle w:val="Compact"/>
              <w:jc w:val="left"/>
            </w:pPr>
            <w:r>
              <w:t xml:space="preserve">ZETDC : plus de 200 M USD au pic de 2020 ; ZPC : près de 1 Md USD en 2019</w:t>
            </w:r>
          </w:p>
        </w:tc>
        <w:tc>
          <w:tcPr>
            <w:tcW w:w="1232" w:type="dxa"/>
          </w:tcPr>
          <w:tcPr/>
          <w:p>
            <w:pPr>
              <w:pStyle w:val="Compact"/>
              <w:jc w:val="left"/>
            </w:pPr>
            <w:r>
              <w:t xml:space="preserve">2019-21</w:t>
            </w:r>
          </w:p>
        </w:tc>
        <w:tc>
          <w:tcPr>
            <w:tcW w:w="1490" w:type="dxa"/>
          </w:tcPr>
          <w:tcPr/>
          <w:p>
            <w:pPr>
              <w:pStyle w:val="Compact"/>
              <w:jc w:val="left"/>
            </w:pPr>
            <w:r>
              <w:t xml:space="preserve">[V]</w:t>
            </w:r>
          </w:p>
        </w:tc>
        <w:tc>
          <w:tcPr>
            <w:tcW w:w="912" w:type="dxa"/>
          </w:tcPr>
          <w:tcPr/>
          <w:p>
            <w:pPr>
              <w:pStyle w:val="Compact"/>
              <w:jc w:val="left"/>
            </w:pPr>
            <w:r>
              <w:t xml:space="preserve">[3]</w:t>
            </w:r>
          </w:p>
        </w:tc>
      </w:tr>
      <w:tr>
        <w:tc>
          <w:tcPr>
            <w:tcW w:w="2507" w:type="dxa"/>
          </w:tcPr>
          <w:tcPr/>
          <w:p>
            <w:pPr>
              <w:pStyle w:val="Compact"/>
              <w:jc w:val="left"/>
            </w:pPr>
            <w:r>
              <w:t xml:space="preserve">Fonds de roulement</w:t>
            </w:r>
          </w:p>
        </w:tc>
        <w:tc>
          <w:tcPr>
            <w:tcW w:w="8428" w:type="dxa"/>
          </w:tcPr>
          <w:tcPr/>
          <w:p>
            <w:pPr>
              <w:pStyle w:val="Compact"/>
              <w:jc w:val="left"/>
            </w:pPr>
            <w:r>
              <w:t xml:space="preserve">ZETDC : passif courant supérieur à l’actif courant de 29,9 Mds ZWG. Prêts étrangers en défaut non rééchelonnés, reclassés en passif courant</w:t>
            </w:r>
          </w:p>
        </w:tc>
        <w:tc>
          <w:tcPr>
            <w:tcW w:w="1232" w:type="dxa"/>
          </w:tcPr>
          <w:tcPr/>
          <w:p>
            <w:pPr>
              <w:pStyle w:val="Compact"/>
              <w:jc w:val="left"/>
            </w:pPr>
            <w:r>
              <w:t xml:space="preserve">2025</w:t>
            </w:r>
          </w:p>
        </w:tc>
        <w:tc>
          <w:tcPr>
            <w:tcW w:w="1490" w:type="dxa"/>
          </w:tcPr>
          <w:tcPr/>
          <w:p>
            <w:pPr>
              <w:pStyle w:val="Compact"/>
              <w:jc w:val="left"/>
            </w:pPr>
            <w:r>
              <w:t xml:space="preserve">[S] (AG)</w:t>
            </w:r>
          </w:p>
        </w:tc>
        <w:tc>
          <w:tcPr>
            <w:tcW w:w="912" w:type="dxa"/>
          </w:tcPr>
          <w:tcPr/>
          <w:p>
            <w:pPr>
              <w:pStyle w:val="Compact"/>
              <w:jc w:val="left"/>
            </w:pPr>
            <w:r>
              <w:t xml:space="preserve">[5]</w:t>
            </w:r>
          </w:p>
        </w:tc>
      </w:tr>
      <w:tr>
        <w:tc>
          <w:tcPr>
            <w:tcW w:w="2507" w:type="dxa"/>
          </w:tcPr>
          <w:tcPr/>
          <w:p>
            <w:pPr>
              <w:pStyle w:val="Compact"/>
            </w:pPr>
          </w:p>
        </w:tc>
        <w:tc>
          <w:tcPr>
            <w:tcW w:w="8428" w:type="dxa"/>
          </w:tcPr>
          <w:tcPr/>
          <w:p>
            <w:pPr>
              <w:pStyle w:val="Compact"/>
              <w:jc w:val="left"/>
            </w:pPr>
            <w:r>
              <w:t xml:space="preserve">ZETDC : passif courant supérieur à l’actif courant de 24,5 Mds ZWL ; « going concern » mis en doute</w:t>
            </w:r>
          </w:p>
        </w:tc>
        <w:tc>
          <w:tcPr>
            <w:tcW w:w="1232" w:type="dxa"/>
          </w:tcPr>
          <w:tcPr/>
          <w:p>
            <w:pPr>
              <w:pStyle w:val="Compact"/>
              <w:jc w:val="left"/>
            </w:pPr>
            <w:r>
              <w:t xml:space="preserve">2021</w:t>
            </w:r>
          </w:p>
        </w:tc>
        <w:tc>
          <w:tcPr>
            <w:tcW w:w="1490" w:type="dxa"/>
          </w:tcPr>
          <w:tcPr/>
          <w:p>
            <w:pPr>
              <w:pStyle w:val="Compact"/>
              <w:jc w:val="left"/>
            </w:pPr>
            <w:r>
              <w:t xml:space="preserve">[S] (AG)</w:t>
            </w:r>
          </w:p>
        </w:tc>
        <w:tc>
          <w:tcPr>
            <w:tcW w:w="912" w:type="dxa"/>
          </w:tcPr>
          <w:tcPr/>
          <w:p>
            <w:pPr>
              <w:pStyle w:val="Compact"/>
              <w:jc w:val="left"/>
            </w:pPr>
            <w:r>
              <w:t xml:space="preserve">[8]</w:t>
            </w:r>
          </w:p>
        </w:tc>
      </w:tr>
      <w:tr>
        <w:tc>
          <w:tcPr>
            <w:tcW w:w="2507" w:type="dxa"/>
          </w:tcPr>
          <w:tcPr/>
          <w:p>
            <w:pPr>
              <w:pStyle w:val="Compact"/>
              <w:jc w:val="left"/>
            </w:pPr>
            <w:r>
              <w:t xml:space="preserve">Dette ; dette fournisseurs et importations</w:t>
            </w:r>
          </w:p>
        </w:tc>
        <w:tc>
          <w:tcPr>
            <w:tcW w:w="8428" w:type="dxa"/>
          </w:tcPr>
          <w:tcPr/>
          <w:p>
            <w:pPr>
              <w:pStyle w:val="Compact"/>
              <w:jc w:val="left"/>
            </w:pPr>
            <w:r>
              <w:t xml:space="preserve">Dette historique (« legacy ») de ZETDC : 328 M USD ; le comptage intelligent en aurait recouvré environ 20 % (environ 66 M USD) à avril 2026</w:t>
            </w:r>
          </w:p>
        </w:tc>
        <w:tc>
          <w:tcPr>
            <w:tcW w:w="1232" w:type="dxa"/>
          </w:tcPr>
          <w:tcPr/>
          <w:p>
            <w:pPr>
              <w:pStyle w:val="Compact"/>
              <w:jc w:val="left"/>
            </w:pPr>
            <w:r>
              <w:t xml:space="preserve">2026</w:t>
            </w:r>
          </w:p>
        </w:tc>
        <w:tc>
          <w:tcPr>
            <w:tcW w:w="1490" w:type="dxa"/>
          </w:tcPr>
          <w:tcPr/>
          <w:p>
            <w:pPr>
              <w:pStyle w:val="Compact"/>
              <w:jc w:val="left"/>
            </w:pPr>
            <w:r>
              <w:t xml:space="preserve">[S]</w:t>
            </w:r>
          </w:p>
        </w:tc>
        <w:tc>
          <w:tcPr>
            <w:tcW w:w="912" w:type="dxa"/>
          </w:tcPr>
          <w:tcPr/>
          <w:p>
            <w:pPr>
              <w:pStyle w:val="Compact"/>
              <w:jc w:val="left"/>
            </w:pPr>
            <w:r>
              <w:t xml:space="preserve">[5]</w:t>
            </w:r>
          </w:p>
        </w:tc>
      </w:tr>
      <w:tr>
        <w:tc>
          <w:tcPr>
            <w:tcW w:w="2507" w:type="dxa"/>
          </w:tcPr>
          <w:tcPr/>
          <w:p>
            <w:pPr>
              <w:pStyle w:val="Compact"/>
            </w:pPr>
          </w:p>
        </w:tc>
        <w:tc>
          <w:tcPr>
            <w:tcW w:w="8428" w:type="dxa"/>
          </w:tcPr>
          <w:tcPr/>
          <w:p>
            <w:pPr>
              <w:pStyle w:val="Compact"/>
              <w:jc w:val="left"/>
            </w:pPr>
            <w:r>
              <w:t xml:space="preserve">Dettes sur importations : 119 M USD au 30/06/2021, dont 91 % en arriérés</w:t>
            </w:r>
          </w:p>
        </w:tc>
        <w:tc>
          <w:tcPr>
            <w:tcW w:w="1232" w:type="dxa"/>
          </w:tcPr>
          <w:tcPr/>
          <w:p>
            <w:pPr>
              <w:pStyle w:val="Compact"/>
              <w:jc w:val="left"/>
            </w:pPr>
            <w:r>
              <w:t xml:space="preserve">2021</w:t>
            </w:r>
          </w:p>
        </w:tc>
        <w:tc>
          <w:tcPr>
            <w:tcW w:w="1490" w:type="dxa"/>
          </w:tcPr>
          <w:tcPr/>
          <w:p>
            <w:pPr>
              <w:pStyle w:val="Compact"/>
              <w:jc w:val="left"/>
            </w:pPr>
            <w:r>
              <w:t xml:space="preserve">(pacte)</w:t>
            </w:r>
          </w:p>
        </w:tc>
        <w:tc>
          <w:tcPr>
            <w:tcW w:w="912" w:type="dxa"/>
          </w:tcPr>
          <w:tcPr/>
          <w:p>
            <w:pPr>
              <w:pStyle w:val="Compact"/>
              <w:jc w:val="left"/>
            </w:pPr>
            <w:r>
              <w:t xml:space="preserve">[2]</w:t>
            </w:r>
          </w:p>
        </w:tc>
      </w:tr>
      <w:tr>
        <w:tc>
          <w:tcPr>
            <w:tcW w:w="2507" w:type="dxa"/>
          </w:tcPr>
          <w:tcPr/>
          <w:p>
            <w:pPr>
              <w:pStyle w:val="Compact"/>
            </w:pPr>
          </w:p>
        </w:tc>
        <w:tc>
          <w:tcPr>
            <w:tcW w:w="8428" w:type="dxa"/>
          </w:tcPr>
          <w:tcPr/>
          <w:p>
            <w:pPr>
              <w:pStyle w:val="Compact"/>
              <w:jc w:val="left"/>
            </w:pPr>
            <w:r>
              <w:t xml:space="preserve">Dettes envers fournisseurs locaux : 9 857,8 M ZWL</w:t>
            </w:r>
          </w:p>
        </w:tc>
        <w:tc>
          <w:tcPr>
            <w:tcW w:w="1232" w:type="dxa"/>
          </w:tcPr>
          <w:tcPr/>
          <w:p>
            <w:pPr>
              <w:pStyle w:val="Compact"/>
              <w:jc w:val="left"/>
            </w:pPr>
            <w:r>
              <w:t xml:space="preserve">~2022-23</w:t>
            </w:r>
          </w:p>
        </w:tc>
        <w:tc>
          <w:tcPr>
            <w:tcW w:w="1490" w:type="dxa"/>
          </w:tcPr>
          <w:tcPr/>
          <w:p>
            <w:pPr>
              <w:pStyle w:val="Compact"/>
              <w:jc w:val="left"/>
            </w:pPr>
            <w:r>
              <w:t xml:space="preserve">(pacte)</w:t>
            </w:r>
          </w:p>
        </w:tc>
        <w:tc>
          <w:tcPr>
            <w:tcW w:w="912" w:type="dxa"/>
          </w:tcPr>
          <w:tcPr/>
          <w:p>
            <w:pPr>
              <w:pStyle w:val="Compact"/>
              <w:jc w:val="left"/>
            </w:pPr>
            <w:r>
              <w:t xml:space="preserve">[2]</w:t>
            </w:r>
          </w:p>
        </w:tc>
      </w:tr>
      <w:tr>
        <w:tc>
          <w:tcPr>
            <w:tcW w:w="2507" w:type="dxa"/>
          </w:tcPr>
          <w:tcPr/>
          <w:p>
            <w:pPr>
              <w:pStyle w:val="Compact"/>
            </w:pPr>
          </w:p>
        </w:tc>
        <w:tc>
          <w:tcPr>
            <w:tcW w:w="8428" w:type="dxa"/>
          </w:tcPr>
          <w:tcPr/>
          <w:p>
            <w:pPr>
              <w:pStyle w:val="Compact"/>
              <w:jc w:val="left"/>
            </w:pPr>
            <w:r>
              <w:t xml:space="preserve">Plus de 86 % de la dette historique est due à des fournisseurs extérieurs, avec des retards de 90 jours ou plus</w:t>
            </w:r>
          </w:p>
        </w:tc>
        <w:tc>
          <w:tcPr>
            <w:tcW w:w="1232" w:type="dxa"/>
          </w:tcPr>
          <w:tcPr/>
          <w:p>
            <w:pPr>
              <w:pStyle w:val="Compact"/>
              <w:jc w:val="left"/>
            </w:pPr>
            <w:r>
              <w:t xml:space="preserve">~2021</w:t>
            </w:r>
          </w:p>
        </w:tc>
        <w:tc>
          <w:tcPr>
            <w:tcW w:w="1490" w:type="dxa"/>
          </w:tcPr>
          <w:tcPr/>
          <w:p>
            <w:pPr>
              <w:pStyle w:val="Compact"/>
              <w:jc w:val="left"/>
            </w:pPr>
            <w:r>
              <w:t xml:space="preserve">[V]</w:t>
            </w:r>
          </w:p>
        </w:tc>
        <w:tc>
          <w:tcPr>
            <w:tcW w:w="912" w:type="dxa"/>
          </w:tcPr>
          <w:tcPr/>
          <w:p>
            <w:pPr>
              <w:pStyle w:val="Compact"/>
              <w:jc w:val="left"/>
            </w:pPr>
            <w:r>
              <w:t xml:space="preserve">[3]</w:t>
            </w:r>
          </w:p>
        </w:tc>
      </w:tr>
      <w:tr>
        <w:tc>
          <w:tcPr>
            <w:tcW w:w="2507" w:type="dxa"/>
          </w:tcPr>
          <w:tcPr/>
          <w:p>
            <w:pPr>
              <w:pStyle w:val="Compact"/>
              <w:jc w:val="left"/>
            </w:pPr>
            <w:r>
              <w:t xml:space="preserve">Arriérés de l’État et des entités publiques envers ZESA</w:t>
            </w:r>
          </w:p>
        </w:tc>
        <w:tc>
          <w:tcPr>
            <w:tcW w:w="8428" w:type="dxa"/>
          </w:tcPr>
          <w:tcPr/>
          <w:p>
            <w:pPr>
              <w:pStyle w:val="Compact"/>
              <w:jc w:val="left"/>
            </w:pPr>
            <w:r>
              <w:t xml:space="preserve">38 % des arriérés dus à ZESA proviennent des collectivités locales, des parastataux et du secteur public</w:t>
            </w:r>
          </w:p>
        </w:tc>
        <w:tc>
          <w:tcPr>
            <w:tcW w:w="1232" w:type="dxa"/>
          </w:tcPr>
          <w:tcPr/>
          <w:p>
            <w:pPr>
              <w:pStyle w:val="Compact"/>
              <w:jc w:val="left"/>
            </w:pPr>
            <w:r>
              <w:t xml:space="preserve">~2021-22</w:t>
            </w:r>
          </w:p>
        </w:tc>
        <w:tc>
          <w:tcPr>
            <w:tcW w:w="1490" w:type="dxa"/>
          </w:tcPr>
          <w:tcPr/>
          <w:p>
            <w:pPr>
              <w:pStyle w:val="Compact"/>
              <w:jc w:val="left"/>
            </w:pPr>
            <w:r>
              <w:t xml:space="preserve">[V]</w:t>
            </w:r>
          </w:p>
        </w:tc>
        <w:tc>
          <w:tcPr>
            <w:tcW w:w="912" w:type="dxa"/>
          </w:tcPr>
          <w:tcPr/>
          <w:p>
            <w:pPr>
              <w:pStyle w:val="Compact"/>
              <w:jc w:val="left"/>
            </w:pPr>
            <w:r>
              <w:t xml:space="preserve">[3]</w:t>
            </w:r>
          </w:p>
        </w:tc>
      </w:tr>
      <w:tr>
        <w:tc>
          <w:tcPr>
            <w:tcW w:w="2507" w:type="dxa"/>
          </w:tcPr>
          <w:tcPr/>
          <w:p>
            <w:pPr>
              <w:pStyle w:val="Compact"/>
            </w:pPr>
          </w:p>
        </w:tc>
        <w:tc>
          <w:tcPr>
            <w:tcW w:w="8428" w:type="dxa"/>
          </w:tcPr>
          <w:tcPr/>
          <w:p>
            <w:pPr>
              <w:pStyle w:val="Compact"/>
              <w:jc w:val="left"/>
            </w:pPr>
            <w:r>
              <w:t xml:space="preserve">« 71 » % de créances sur l’État et les entités publiques (annexe II du pacte, lecture probable)</w:t>
            </w:r>
          </w:p>
        </w:tc>
        <w:tc>
          <w:tcPr>
            <w:tcW w:w="1232" w:type="dxa"/>
          </w:tcPr>
          <w:tcPr/>
          <w:p>
            <w:pPr>
              <w:pStyle w:val="Compact"/>
              <w:jc w:val="left"/>
            </w:pPr>
            <w:r>
              <w:t xml:space="preserve">~2023</w:t>
            </w:r>
          </w:p>
        </w:tc>
        <w:tc>
          <w:tcPr>
            <w:tcW w:w="1490" w:type="dxa"/>
          </w:tcPr>
          <w:tcPr/>
          <w:p>
            <w:pPr>
              <w:pStyle w:val="Compact"/>
              <w:jc w:val="left"/>
            </w:pPr>
            <w:r>
              <w:t xml:space="preserve">(pacte) [E]</w:t>
            </w:r>
          </w:p>
        </w:tc>
        <w:tc>
          <w:tcPr>
            <w:tcW w:w="912" w:type="dxa"/>
          </w:tcPr>
          <w:tcPr/>
          <w:p>
            <w:pPr>
              <w:pStyle w:val="Compact"/>
              <w:jc w:val="left"/>
            </w:pPr>
            <w:r>
              <w:t xml:space="preserve">[2]</w:t>
            </w:r>
          </w:p>
        </w:tc>
      </w:tr>
      <w:tr>
        <w:tc>
          <w:tcPr>
            <w:tcW w:w="2507" w:type="dxa"/>
          </w:tcPr>
          <w:tcPr/>
          <w:p>
            <w:pPr>
              <w:pStyle w:val="Compact"/>
              <w:jc w:val="left"/>
            </w:pPr>
            <w:r>
              <w:t xml:space="preserve">Transferts / subventions</w:t>
            </w:r>
          </w:p>
        </w:tc>
        <w:tc>
          <w:tcPr>
            <w:tcW w:w="8428" w:type="dxa"/>
          </w:tcPr>
          <w:tcPr/>
          <w:p>
            <w:pPr>
              <w:pStyle w:val="Compact"/>
              <w:jc w:val="left"/>
            </w:pPr>
            <w:r>
              <w:t xml:space="preserve">« No data » (pacte) ; [?]</w:t>
            </w:r>
          </w:p>
        </w:tc>
        <w:tc>
          <w:tcPr>
            <w:tcW w:w="1232" w:type="dxa"/>
          </w:tcPr>
          <w:tcPr/>
          <w:p>
            <w:pPr>
              <w:pStyle w:val="Compact"/>
              <w:jc w:val="left"/>
            </w:pPr>
            <w:r>
              <w:t xml:space="preserve">—</w:t>
            </w:r>
          </w:p>
        </w:tc>
        <w:tc>
          <w:tcPr>
            <w:tcW w:w="1490" w:type="dxa"/>
          </w:tcPr>
          <w:tcPr/>
          <w:p>
            <w:pPr>
              <w:pStyle w:val="Compact"/>
              <w:jc w:val="left"/>
            </w:pPr>
            <w:r>
              <w:t xml:space="preserve">[?]</w:t>
            </w:r>
          </w:p>
        </w:tc>
        <w:tc>
          <w:tcPr>
            <w:tcW w:w="912" w:type="dxa"/>
          </w:tcPr>
          <w:tcPr/>
          <w:p>
            <w:pPr>
              <w:pStyle w:val="Compact"/>
              <w:jc w:val="left"/>
            </w:pPr>
            <w:r>
              <w:t xml:space="preserve">[2]</w:t>
            </w:r>
          </w:p>
        </w:tc>
      </w:tr>
      <w:tr>
        <w:tc>
          <w:tcPr>
            <w:tcW w:w="2507" w:type="dxa"/>
          </w:tcPr>
          <w:tcPr/>
          <w:p>
            <w:pPr>
              <w:pStyle w:val="Compact"/>
              <w:jc w:val="left"/>
            </w:pPr>
            <w:r>
              <w:t xml:space="preserve">Taux de recouvrement</w:t>
            </w:r>
          </w:p>
        </w:tc>
        <w:tc>
          <w:tcPr>
            <w:tcW w:w="8428" w:type="dxa"/>
          </w:tcPr>
          <w:tcPr/>
          <w:p>
            <w:pPr>
              <w:pStyle w:val="Compact"/>
              <w:jc w:val="left"/>
            </w:pPr>
            <w:r>
              <w:t xml:space="preserve">[?] non trouvé. La BM jugeait le recouvrement des créances commerciales supérieur à la médiane africaine (données jusqu’en 2018)</w:t>
            </w:r>
          </w:p>
        </w:tc>
        <w:tc>
          <w:tcPr>
            <w:tcW w:w="1232" w:type="dxa"/>
          </w:tcPr>
          <w:tcPr/>
          <w:p>
            <w:pPr>
              <w:pStyle w:val="Compact"/>
              <w:jc w:val="left"/>
            </w:pPr>
            <w:r>
              <w:t xml:space="preserve">≤2018</w:t>
            </w:r>
          </w:p>
        </w:tc>
        <w:tc>
          <w:tcPr>
            <w:tcW w:w="1490" w:type="dxa"/>
          </w:tcPr>
          <w:tcPr/>
          <w:p>
            <w:pPr>
              <w:pStyle w:val="Compact"/>
              <w:jc w:val="left"/>
            </w:pPr>
            <w:r>
              <w:t xml:space="preserve">[V]</w:t>
            </w:r>
          </w:p>
        </w:tc>
        <w:tc>
          <w:tcPr>
            <w:tcW w:w="912" w:type="dxa"/>
          </w:tcPr>
          <w:tcPr/>
          <w:p>
            <w:pPr>
              <w:pStyle w:val="Compact"/>
              <w:jc w:val="left"/>
            </w:pPr>
            <w:r>
              <w:t xml:space="preserve">[3]</w:t>
            </w:r>
          </w:p>
        </w:tc>
      </w:tr>
      <w:tr>
        <w:tc>
          <w:tcPr>
            <w:tcW w:w="2507" w:type="dxa"/>
          </w:tcPr>
          <w:tcPr/>
          <w:p>
            <w:pPr>
              <w:pStyle w:val="Compact"/>
              <w:jc w:val="left"/>
            </w:pPr>
            <w:r>
              <w:t xml:space="preserve">Recette moyenne vs coût par kWh</w:t>
            </w:r>
          </w:p>
        </w:tc>
        <w:tc>
          <w:tcPr>
            <w:tcW w:w="8428" w:type="dxa"/>
          </w:tcPr>
          <w:tcPr/>
          <w:p>
            <w:pPr>
              <w:pStyle w:val="Compact"/>
              <w:jc w:val="left"/>
            </w:pPr>
            <w:r>
              <w:t xml:space="preserve">Tarif moyen de 16,08 USc/kWh après la hausse de 21 % du 01/12/2023 (avant : 11,3 USc)</w:t>
            </w:r>
          </w:p>
        </w:tc>
        <w:tc>
          <w:tcPr>
            <w:tcW w:w="1232" w:type="dxa"/>
          </w:tcPr>
          <w:tcPr/>
          <w:p>
            <w:pPr>
              <w:pStyle w:val="Compact"/>
              <w:jc w:val="left"/>
            </w:pPr>
            <w:r>
              <w:t xml:space="preserve">2023</w:t>
            </w:r>
          </w:p>
        </w:tc>
        <w:tc>
          <w:tcPr>
            <w:tcW w:w="1490" w:type="dxa"/>
          </w:tcPr>
          <w:tcPr/>
          <w:p>
            <w:pPr>
              <w:pStyle w:val="Compact"/>
              <w:jc w:val="left"/>
            </w:pPr>
            <w:r>
              <w:t xml:space="preserve">(pacte) ; [V] pour 11,3</w:t>
            </w:r>
          </w:p>
        </w:tc>
        <w:tc>
          <w:tcPr>
            <w:tcW w:w="912" w:type="dxa"/>
          </w:tcPr>
          <w:tcPr/>
          <w:p>
            <w:pPr>
              <w:pStyle w:val="Compact"/>
              <w:jc w:val="left"/>
            </w:pPr>
            <w:r>
              <w:t xml:space="preserve">[2][3]</w:t>
            </w:r>
          </w:p>
        </w:tc>
      </w:tr>
      <w:tr>
        <w:tc>
          <w:tcPr>
            <w:tcW w:w="2507" w:type="dxa"/>
          </w:tcPr>
          <w:tcPr/>
          <w:p>
            <w:pPr>
              <w:pStyle w:val="Compact"/>
            </w:pPr>
          </w:p>
        </w:tc>
        <w:tc>
          <w:tcPr>
            <w:tcW w:w="8428" w:type="dxa"/>
          </w:tcPr>
          <w:tcPr/>
          <w:p>
            <w:pPr>
              <w:pStyle w:val="Compact"/>
              <w:jc w:val="left"/>
            </w:pPr>
            <w:r>
              <w:t xml:space="preserve">ZETDC achetait environ 12 USc/kWh et vendait environ 10 USc/kWh (2023) ; en août 2022, tarif de 8,7 USc contre un coût de recouvrement de 10,6 USc</w:t>
            </w:r>
          </w:p>
        </w:tc>
        <w:tc>
          <w:tcPr>
            <w:tcW w:w="1232" w:type="dxa"/>
          </w:tcPr>
          <w:tcPr/>
          <w:p>
            <w:pPr>
              <w:pStyle w:val="Compact"/>
              <w:jc w:val="left"/>
            </w:pPr>
            <w:r>
              <w:t xml:space="preserve">2022-23</w:t>
            </w:r>
          </w:p>
        </w:tc>
        <w:tc>
          <w:tcPr>
            <w:tcW w:w="1490" w:type="dxa"/>
          </w:tcPr>
          <w:tcPr/>
          <w:p>
            <w:pPr>
              <w:pStyle w:val="Compact"/>
              <w:jc w:val="left"/>
            </w:pPr>
            <w:r>
              <w:t xml:space="preserve">[V]</w:t>
            </w:r>
          </w:p>
        </w:tc>
        <w:tc>
          <w:tcPr>
            <w:tcW w:w="912" w:type="dxa"/>
          </w:tcPr>
          <w:tcPr/>
          <w:p>
            <w:pPr>
              <w:pStyle w:val="Compact"/>
              <w:jc w:val="left"/>
            </w:pPr>
            <w:r>
              <w:t xml:space="preserve">[3]</w:t>
            </w:r>
          </w:p>
        </w:tc>
      </w:tr>
      <w:tr>
        <w:tc>
          <w:tcPr>
            <w:tcW w:w="2507" w:type="dxa"/>
          </w:tcPr>
          <w:tcPr/>
          <w:p>
            <w:pPr>
              <w:pStyle w:val="Compact"/>
              <w:jc w:val="left"/>
            </w:pPr>
            <w:r>
              <w:t xml:space="preserve">Déficit quasi-budgétaire</w:t>
            </w:r>
          </w:p>
        </w:tc>
        <w:tc>
          <w:tcPr>
            <w:tcW w:w="8428" w:type="dxa"/>
          </w:tcPr>
          <w:tcPr/>
          <w:p>
            <w:pPr>
              <w:pStyle w:val="Compact"/>
              <w:jc w:val="left"/>
            </w:pPr>
            <w:r>
              <w:t xml:space="preserve">Inefficacités de production et pertes de réseau : environ 2,3 % du PIB par an ; coût total des pénuries : 6,1 % du PIB</w:t>
            </w:r>
          </w:p>
        </w:tc>
        <w:tc>
          <w:tcPr>
            <w:tcW w:w="1232" w:type="dxa"/>
          </w:tcPr>
          <w:tcPr/>
          <w:p>
            <w:pPr>
              <w:pStyle w:val="Compact"/>
              <w:jc w:val="left"/>
            </w:pPr>
            <w:r>
              <w:t xml:space="preserve">2022</w:t>
            </w:r>
          </w:p>
        </w:tc>
        <w:tc>
          <w:tcPr>
            <w:tcW w:w="1490" w:type="dxa"/>
          </w:tcPr>
          <w:tcPr/>
          <w:p>
            <w:pPr>
              <w:pStyle w:val="Compact"/>
              <w:jc w:val="left"/>
            </w:pPr>
            <w:r>
              <w:t xml:space="preserve">[V]</w:t>
            </w:r>
          </w:p>
        </w:tc>
        <w:tc>
          <w:tcPr>
            <w:tcW w:w="912" w:type="dxa"/>
          </w:tcPr>
          <w:tcPr/>
          <w:p>
            <w:pPr>
              <w:pStyle w:val="Compact"/>
              <w:jc w:val="left"/>
            </w:pPr>
            <w:r>
              <w:t xml:space="preserve">[3]</w:t>
            </w:r>
          </w:p>
        </w:tc>
      </w:tr>
      <w:tr>
        <w:tc>
          <w:tcPr>
            <w:tcW w:w="2507" w:type="dxa"/>
          </w:tcPr>
          <w:tcPr/>
          <w:p>
            <w:pPr>
              <w:pStyle w:val="Compact"/>
              <w:jc w:val="left"/>
            </w:pPr>
            <w:r>
              <w:t xml:space="preserve">Notation de crédit</w:t>
            </w:r>
          </w:p>
        </w:tc>
        <w:tc>
          <w:tcPr>
            <w:tcW w:w="8428" w:type="dxa"/>
          </w:tcPr>
          <w:tcPr/>
          <w:p>
            <w:pPr>
              <w:pStyle w:val="Compact"/>
              <w:jc w:val="left"/>
            </w:pPr>
            <w:r>
              <w:t xml:space="preserve">Aucune</w:t>
            </w:r>
          </w:p>
        </w:tc>
        <w:tc>
          <w:tcPr>
            <w:tcW w:w="1232" w:type="dxa"/>
          </w:tcPr>
          <w:tcPr/>
          <w:p>
            <w:pPr>
              <w:pStyle w:val="Compact"/>
              <w:jc w:val="left"/>
            </w:pPr>
            <w:r>
              <w:t xml:space="preserve">—</w:t>
            </w:r>
          </w:p>
        </w:tc>
        <w:tc>
          <w:tcPr>
            <w:tcW w:w="1490" w:type="dxa"/>
          </w:tcPr>
          <w:tcPr/>
          <w:p>
            <w:pPr>
              <w:pStyle w:val="Compact"/>
              <w:jc w:val="left"/>
            </w:pPr>
            <w:r>
              <w:t xml:space="preserve">[?]</w:t>
            </w:r>
          </w:p>
        </w:tc>
        <w:tc>
          <w:tcPr>
            <w:tcW w:w="912" w:type="dxa"/>
          </w:tcPr>
          <w:tcPr/>
          <w:p>
            <w:pPr>
              <w:pStyle w:val="Compact"/>
              <w:jc w:val="left"/>
            </w:pPr>
            <w:r>
              <w:t xml:space="preserve">—</w:t>
            </w:r>
          </w:p>
        </w:tc>
      </w:tr>
    </w:tbl>
    <w:bookmarkEnd w:id="394"/>
    <w:bookmarkStart w:id="395" w:name="situation-technique-35"/>
    <w:p>
      <w:pPr>
        <w:pStyle w:val="Heading3"/>
      </w:pPr>
      <w:r>
        <w:t xml:space="preserve">2. Situation technique</w:t>
      </w:r>
    </w:p>
    <w:tbl>
      <w:tblPr>
        <w:tblStyle w:val="Table"/>
        <w:tblW w:type="dxa" w:w="14570"/>
        <w:tblLook w:firstRow="1" w:lastRow="0" w:firstColumn="0" w:lastColumn="0" w:noHBand="0" w:noVBand="0" w:val="0020"/>
        <w:jc w:val="start"/>
      </w:tblPr>
      <w:tblGrid>
        <w:gridCol w:w="1615"/>
        <w:gridCol w:w="8846"/>
        <w:gridCol w:w="1437"/>
        <w:gridCol w:w="1548"/>
        <w:gridCol w:w="1123"/>
      </w:tblGrid>
      <w:tr>
        <w:trPr>
          <w:tblHeader w:val="true"/>
        </w:trPr>
        <w:tc>
          <w:tcPr>
            <w:tcW w:w="1615" w:type="dxa"/>
          </w:tcPr>
          <w:tcPr/>
          <w:p>
            <w:pPr>
              <w:pStyle w:val="Compact"/>
              <w:jc w:val="left"/>
            </w:pPr>
            <w:r>
              <w:t xml:space="preserve">Indicateur</w:t>
            </w:r>
          </w:p>
        </w:tc>
        <w:tc>
          <w:tcPr>
            <w:tcW w:w="8846" w:type="dxa"/>
          </w:tcPr>
          <w:tcPr/>
          <w:p>
            <w:pPr>
              <w:pStyle w:val="Compact"/>
              <w:jc w:val="left"/>
            </w:pPr>
            <w:r>
              <w:t xml:space="preserve">Valeur</w:t>
            </w:r>
          </w:p>
        </w:tc>
        <w:tc>
          <w:tcPr>
            <w:tcW w:w="1437" w:type="dxa"/>
          </w:tcPr>
          <w:tcPr/>
          <w:p>
            <w:pPr>
              <w:pStyle w:val="Compact"/>
              <w:jc w:val="left"/>
            </w:pPr>
            <w:r>
              <w:t xml:space="preserve">Année</w:t>
            </w:r>
          </w:p>
        </w:tc>
        <w:tc>
          <w:tcPr>
            <w:tcW w:w="1548" w:type="dxa"/>
          </w:tcPr>
          <w:tcPr/>
          <w:p>
            <w:pPr>
              <w:pStyle w:val="Compact"/>
              <w:jc w:val="left"/>
            </w:pPr>
            <w:r>
              <w:t xml:space="preserve">Statut</w:t>
            </w:r>
          </w:p>
        </w:tc>
        <w:tc>
          <w:tcPr>
            <w:tcW w:w="1123" w:type="dxa"/>
          </w:tcPr>
          <w:tcPr/>
          <w:p>
            <w:pPr>
              <w:pStyle w:val="Compact"/>
              <w:jc w:val="left"/>
            </w:pPr>
            <w:r>
              <w:t xml:space="preserve">Source</w:t>
            </w:r>
          </w:p>
        </w:tc>
      </w:tr>
      <w:tr>
        <w:tc>
          <w:tcPr>
            <w:tcW w:w="1615" w:type="dxa"/>
          </w:tcPr>
          <w:tcPr/>
          <w:p>
            <w:pPr>
              <w:pStyle w:val="Compact"/>
              <w:jc w:val="left"/>
            </w:pPr>
            <w:r>
              <w:t xml:space="preserve">Capacité installée / disponible</w:t>
            </w:r>
          </w:p>
        </w:tc>
        <w:tc>
          <w:tcPr>
            <w:tcW w:w="8846" w:type="dxa"/>
          </w:tcPr>
          <w:tcPr/>
          <w:p>
            <w:pPr>
              <w:pStyle w:val="Compact"/>
              <w:jc w:val="left"/>
            </w:pPr>
            <w:r>
              <w:t xml:space="preserve">2 962 MW installés ; 1 200 à 1 600 MW fiables, pour une pointe d’environ 2 000 MW</w:t>
            </w:r>
          </w:p>
        </w:tc>
        <w:tc>
          <w:tcPr>
            <w:tcW w:w="1437" w:type="dxa"/>
          </w:tcPr>
          <w:tcPr/>
          <w:p>
            <w:pPr>
              <w:pStyle w:val="Compact"/>
              <w:jc w:val="left"/>
            </w:pPr>
            <w:r>
              <w:t xml:space="preserve">2024-25</w:t>
            </w:r>
          </w:p>
        </w:tc>
        <w:tc>
          <w:tcPr>
            <w:tcW w:w="1548" w:type="dxa"/>
          </w:tcPr>
          <w:tcPr/>
          <w:p>
            <w:pPr>
              <w:pStyle w:val="Compact"/>
              <w:jc w:val="left"/>
            </w:pPr>
            <w:r>
              <w:t xml:space="preserve">(pacte)</w:t>
            </w:r>
          </w:p>
        </w:tc>
        <w:tc>
          <w:tcPr>
            <w:tcW w:w="1123" w:type="dxa"/>
          </w:tcPr>
          <w:tcPr/>
          <w:p>
            <w:pPr>
              <w:pStyle w:val="Compact"/>
              <w:jc w:val="left"/>
            </w:pPr>
            <w:r>
              <w:t xml:space="preserve">[2]</w:t>
            </w:r>
          </w:p>
        </w:tc>
      </w:tr>
      <w:tr>
        <w:tc>
          <w:tcPr>
            <w:tcW w:w="1615" w:type="dxa"/>
          </w:tcPr>
          <w:tcPr/>
          <w:p>
            <w:pPr>
              <w:pStyle w:val="Compact"/>
            </w:pPr>
          </w:p>
        </w:tc>
        <w:tc>
          <w:tcPr>
            <w:tcW w:w="8846" w:type="dxa"/>
          </w:tcPr>
          <w:tcPr/>
          <w:p>
            <w:pPr>
              <w:pStyle w:val="Compact"/>
              <w:jc w:val="left"/>
            </w:pPr>
            <w:r>
              <w:t xml:space="preserve">1 585 MW disponibles contre 1 900 MW de pointe</w:t>
            </w:r>
          </w:p>
        </w:tc>
        <w:tc>
          <w:tcPr>
            <w:tcW w:w="1437" w:type="dxa"/>
          </w:tcPr>
          <w:tcPr/>
          <w:p>
            <w:pPr>
              <w:pStyle w:val="Compact"/>
              <w:jc w:val="left"/>
            </w:pPr>
            <w:r>
              <w:t xml:space="preserve">2020</w:t>
            </w:r>
          </w:p>
        </w:tc>
        <w:tc>
          <w:tcPr>
            <w:tcW w:w="1548" w:type="dxa"/>
          </w:tcPr>
          <w:tcPr/>
          <w:p>
            <w:pPr>
              <w:pStyle w:val="Compact"/>
              <w:jc w:val="left"/>
            </w:pPr>
            <w:r>
              <w:t xml:space="preserve">[V]</w:t>
            </w:r>
          </w:p>
        </w:tc>
        <w:tc>
          <w:tcPr>
            <w:tcW w:w="1123" w:type="dxa"/>
          </w:tcPr>
          <w:tcPr/>
          <w:p>
            <w:pPr>
              <w:pStyle w:val="Compact"/>
              <w:jc w:val="left"/>
            </w:pPr>
            <w:r>
              <w:t xml:space="preserve">[3]</w:t>
            </w:r>
          </w:p>
        </w:tc>
      </w:tr>
      <w:tr>
        <w:tc>
          <w:tcPr>
            <w:tcW w:w="1615" w:type="dxa"/>
          </w:tcPr>
          <w:tcPr/>
          <w:p>
            <w:pPr>
              <w:pStyle w:val="Compact"/>
            </w:pPr>
          </w:p>
        </w:tc>
        <w:tc>
          <w:tcPr>
            <w:tcW w:w="8846" w:type="dxa"/>
          </w:tcPr>
          <w:tcPr/>
          <w:p>
            <w:pPr>
              <w:pStyle w:val="Compact"/>
              <w:jc w:val="left"/>
            </w:pPr>
            <w:r>
              <w:t xml:space="preserve">+600 MW à Hwange (unités 7-8) en 2023</w:t>
            </w:r>
          </w:p>
        </w:tc>
        <w:tc>
          <w:tcPr>
            <w:tcW w:w="1437" w:type="dxa"/>
          </w:tcPr>
          <w:tcPr/>
          <w:p>
            <w:pPr>
              <w:pStyle w:val="Compact"/>
              <w:jc w:val="left"/>
            </w:pPr>
            <w:r>
              <w:t xml:space="preserve">2023</w:t>
            </w:r>
          </w:p>
        </w:tc>
        <w:tc>
          <w:tcPr>
            <w:tcW w:w="1548" w:type="dxa"/>
          </w:tcPr>
          <w:tcPr/>
          <w:p>
            <w:pPr>
              <w:pStyle w:val="Compact"/>
              <w:jc w:val="left"/>
            </w:pPr>
            <w:r>
              <w:t xml:space="preserve">[V]</w:t>
            </w:r>
          </w:p>
        </w:tc>
        <w:tc>
          <w:tcPr>
            <w:tcW w:w="1123" w:type="dxa"/>
          </w:tcPr>
          <w:tcPr/>
          <w:p>
            <w:pPr>
              <w:pStyle w:val="Compact"/>
              <w:jc w:val="left"/>
            </w:pPr>
            <w:r>
              <w:t xml:space="preserve">[3]</w:t>
            </w:r>
          </w:p>
        </w:tc>
      </w:tr>
      <w:tr>
        <w:tc>
          <w:tcPr>
            <w:tcW w:w="1615" w:type="dxa"/>
          </w:tcPr>
          <w:tcPr/>
          <w:p>
            <w:pPr>
              <w:pStyle w:val="Compact"/>
              <w:jc w:val="left"/>
            </w:pPr>
            <w:r>
              <w:t xml:space="preserve">Pertes totales</w:t>
            </w:r>
          </w:p>
        </w:tc>
        <w:tc>
          <w:tcPr>
            <w:tcW w:w="8846" w:type="dxa"/>
          </w:tcPr>
          <w:tcPr/>
          <w:p>
            <w:pPr>
              <w:pStyle w:val="Compact"/>
              <w:jc w:val="left"/>
            </w:pPr>
            <w:r>
              <w:t xml:space="preserve">Pertes ATCC de 60 % (annexe II du pacte, « ZESA financial diagnostic 2023 » ; lecture « 60⁵ ») ; réduction visée de 11 % par an</w:t>
            </w:r>
          </w:p>
        </w:tc>
        <w:tc>
          <w:tcPr>
            <w:tcW w:w="1437" w:type="dxa"/>
          </w:tcPr>
          <w:tcPr/>
          <w:p>
            <w:pPr>
              <w:pStyle w:val="Compact"/>
              <w:jc w:val="left"/>
            </w:pPr>
            <w:r>
              <w:t xml:space="preserve">2023</w:t>
            </w:r>
          </w:p>
        </w:tc>
        <w:tc>
          <w:tcPr>
            <w:tcW w:w="1548" w:type="dxa"/>
          </w:tcPr>
          <w:tcPr/>
          <w:p>
            <w:pPr>
              <w:pStyle w:val="Compact"/>
              <w:jc w:val="left"/>
            </w:pPr>
            <w:r>
              <w:t xml:space="preserve">(pacte) [E]</w:t>
            </w:r>
          </w:p>
        </w:tc>
        <w:tc>
          <w:tcPr>
            <w:tcW w:w="1123" w:type="dxa"/>
          </w:tcPr>
          <w:tcPr/>
          <w:p>
            <w:pPr>
              <w:pStyle w:val="Compact"/>
              <w:jc w:val="left"/>
            </w:pPr>
            <w:r>
              <w:t xml:space="preserve">[2]</w:t>
            </w:r>
          </w:p>
        </w:tc>
      </w:tr>
      <w:tr>
        <w:tc>
          <w:tcPr>
            <w:tcW w:w="1615" w:type="dxa"/>
          </w:tcPr>
          <w:tcPr/>
          <w:p>
            <w:pPr>
              <w:pStyle w:val="Compact"/>
            </w:pPr>
          </w:p>
        </w:tc>
        <w:tc>
          <w:tcPr>
            <w:tcW w:w="8846" w:type="dxa"/>
          </w:tcPr>
          <w:tcPr/>
          <w:p>
            <w:pPr>
              <w:pStyle w:val="Compact"/>
              <w:jc w:val="left"/>
            </w:pPr>
            <w:r>
              <w:t xml:space="preserve">Pertes techniques de 18 à 20 %, cible 14 % (2030)</w:t>
            </w:r>
          </w:p>
        </w:tc>
        <w:tc>
          <w:tcPr>
            <w:tcW w:w="1437" w:type="dxa"/>
          </w:tcPr>
          <w:tcPr/>
          <w:p>
            <w:pPr>
              <w:pStyle w:val="Compact"/>
              <w:jc w:val="left"/>
            </w:pPr>
            <w:r>
              <w:t xml:space="preserve">2024</w:t>
            </w:r>
          </w:p>
        </w:tc>
        <w:tc>
          <w:tcPr>
            <w:tcW w:w="1548" w:type="dxa"/>
          </w:tcPr>
          <w:tcPr/>
          <w:p>
            <w:pPr>
              <w:pStyle w:val="Compact"/>
              <w:jc w:val="left"/>
            </w:pPr>
            <w:r>
              <w:t xml:space="preserve">(pacte)</w:t>
            </w:r>
          </w:p>
        </w:tc>
        <w:tc>
          <w:tcPr>
            <w:tcW w:w="1123" w:type="dxa"/>
          </w:tcPr>
          <w:tcPr/>
          <w:p>
            <w:pPr>
              <w:pStyle w:val="Compact"/>
              <w:jc w:val="left"/>
            </w:pPr>
            <w:r>
              <w:t xml:space="preserve">[2]</w:t>
            </w:r>
          </w:p>
        </w:tc>
      </w:tr>
      <w:tr>
        <w:tc>
          <w:tcPr>
            <w:tcW w:w="1615" w:type="dxa"/>
          </w:tcPr>
          <w:tcPr/>
          <w:p>
            <w:pPr>
              <w:pStyle w:val="Compact"/>
            </w:pPr>
          </w:p>
        </w:tc>
        <w:tc>
          <w:tcPr>
            <w:tcW w:w="8846" w:type="dxa"/>
          </w:tcPr>
          <w:tcPr/>
          <w:p>
            <w:pPr>
              <w:pStyle w:val="Compact"/>
              <w:jc w:val="left"/>
            </w:pPr>
            <w:r>
              <w:t xml:space="preserve">Les pertes de transport et de distribution « se sont aggravées » depuis 2018</w:t>
            </w:r>
          </w:p>
        </w:tc>
        <w:tc>
          <w:tcPr>
            <w:tcW w:w="1437" w:type="dxa"/>
          </w:tcPr>
          <w:tcPr/>
          <w:p>
            <w:pPr>
              <w:pStyle w:val="Compact"/>
              <w:jc w:val="left"/>
            </w:pPr>
            <w:r>
              <w:t xml:space="preserve">2023</w:t>
            </w:r>
          </w:p>
        </w:tc>
        <w:tc>
          <w:tcPr>
            <w:tcW w:w="1548" w:type="dxa"/>
          </w:tcPr>
          <w:tcPr/>
          <w:p>
            <w:pPr>
              <w:pStyle w:val="Compact"/>
              <w:jc w:val="left"/>
            </w:pPr>
            <w:r>
              <w:t xml:space="preserve">[V]</w:t>
            </w:r>
          </w:p>
        </w:tc>
        <w:tc>
          <w:tcPr>
            <w:tcW w:w="1123" w:type="dxa"/>
          </w:tcPr>
          <w:tcPr/>
          <w:p>
            <w:pPr>
              <w:pStyle w:val="Compact"/>
              <w:jc w:val="left"/>
            </w:pPr>
            <w:r>
              <w:t xml:space="preserve">[3]</w:t>
            </w:r>
          </w:p>
        </w:tc>
      </w:tr>
      <w:tr>
        <w:tc>
          <w:tcPr>
            <w:tcW w:w="1615" w:type="dxa"/>
          </w:tcPr>
          <w:tcPr/>
          <w:p>
            <w:pPr>
              <w:pStyle w:val="Compact"/>
              <w:jc w:val="left"/>
            </w:pPr>
            <w:r>
              <w:t xml:space="preserve">Délestages</w:t>
            </w:r>
          </w:p>
        </w:tc>
        <w:tc>
          <w:tcPr>
            <w:tcW w:w="8846" w:type="dxa"/>
          </w:tcPr>
          <w:tcPr/>
          <w:p>
            <w:pPr>
              <w:pStyle w:val="Compact"/>
              <w:jc w:val="left"/>
            </w:pPr>
            <w:r>
              <w:t xml:space="preserve">12 à 14 heures par jour</w:t>
            </w:r>
          </w:p>
        </w:tc>
        <w:tc>
          <w:tcPr>
            <w:tcW w:w="1437" w:type="dxa"/>
          </w:tcPr>
          <w:tcPr/>
          <w:p>
            <w:pPr>
              <w:pStyle w:val="Compact"/>
              <w:jc w:val="left"/>
            </w:pPr>
            <w:r>
              <w:t xml:space="preserve">2020-23</w:t>
            </w:r>
          </w:p>
        </w:tc>
        <w:tc>
          <w:tcPr>
            <w:tcW w:w="1548" w:type="dxa"/>
          </w:tcPr>
          <w:tcPr/>
          <w:p>
            <w:pPr>
              <w:pStyle w:val="Compact"/>
              <w:jc w:val="left"/>
            </w:pPr>
            <w:r>
              <w:t xml:space="preserve">[V]</w:t>
            </w:r>
          </w:p>
        </w:tc>
        <w:tc>
          <w:tcPr>
            <w:tcW w:w="1123" w:type="dxa"/>
          </w:tcPr>
          <w:tcPr/>
          <w:p>
            <w:pPr>
              <w:pStyle w:val="Compact"/>
              <w:jc w:val="left"/>
            </w:pPr>
            <w:r>
              <w:t xml:space="preserve">[3]</w:t>
            </w:r>
          </w:p>
        </w:tc>
      </w:tr>
      <w:tr>
        <w:tc>
          <w:tcPr>
            <w:tcW w:w="1615" w:type="dxa"/>
          </w:tcPr>
          <w:tcPr/>
          <w:p>
            <w:pPr>
              <w:pStyle w:val="Compact"/>
            </w:pPr>
          </w:p>
        </w:tc>
        <w:tc>
          <w:tcPr>
            <w:tcW w:w="8846" w:type="dxa"/>
          </w:tcPr>
          <w:tcPr/>
          <w:p>
            <w:pPr>
              <w:pStyle w:val="Compact"/>
              <w:jc w:val="left"/>
            </w:pPr>
            <w:r>
              <w:t xml:space="preserve">La sécheresse de 2024 a fortement réduit l’hydroélectricité</w:t>
            </w:r>
          </w:p>
        </w:tc>
        <w:tc>
          <w:tcPr>
            <w:tcW w:w="1437" w:type="dxa"/>
          </w:tcPr>
          <w:tcPr/>
          <w:p>
            <w:pPr>
              <w:pStyle w:val="Compact"/>
              <w:jc w:val="left"/>
            </w:pPr>
            <w:r>
              <w:t xml:space="preserve">2024</w:t>
            </w:r>
          </w:p>
        </w:tc>
        <w:tc>
          <w:tcPr>
            <w:tcW w:w="1548" w:type="dxa"/>
          </w:tcPr>
          <w:tcPr/>
          <w:p>
            <w:pPr>
              <w:pStyle w:val="Compact"/>
              <w:jc w:val="left"/>
            </w:pPr>
            <w:r>
              <w:t xml:space="preserve">[V]</w:t>
            </w:r>
          </w:p>
        </w:tc>
        <w:tc>
          <w:tcPr>
            <w:tcW w:w="1123" w:type="dxa"/>
          </w:tcPr>
          <w:tcPr/>
          <w:p>
            <w:pPr>
              <w:pStyle w:val="Compact"/>
              <w:jc w:val="left"/>
            </w:pPr>
            <w:r>
              <w:t xml:space="preserve">[4]</w:t>
            </w:r>
          </w:p>
        </w:tc>
      </w:tr>
      <w:tr>
        <w:tc>
          <w:tcPr>
            <w:tcW w:w="1615" w:type="dxa"/>
          </w:tcPr>
          <w:tcPr/>
          <w:p>
            <w:pPr>
              <w:pStyle w:val="Compact"/>
              <w:jc w:val="left"/>
            </w:pPr>
            <w:r>
              <w:t xml:space="preserve">Clients ; prépaiement</w:t>
            </w:r>
          </w:p>
        </w:tc>
        <w:tc>
          <w:tcPr>
            <w:tcW w:w="8846" w:type="dxa"/>
          </w:tcPr>
          <w:tcPr/>
          <w:p>
            <w:pPr>
              <w:pStyle w:val="Compact"/>
              <w:jc w:val="left"/>
            </w:pPr>
            <w:r>
              <w:t xml:space="preserve">La plupart des clients domestiques sont en prépaiement ; au moins 50 % des clients éligibles ont un compteur intelligent</w:t>
            </w:r>
          </w:p>
        </w:tc>
        <w:tc>
          <w:tcPr>
            <w:tcW w:w="1437" w:type="dxa"/>
          </w:tcPr>
          <w:tcPr/>
          <w:p>
            <w:pPr>
              <w:pStyle w:val="Compact"/>
              <w:jc w:val="left"/>
            </w:pPr>
            <w:r>
              <w:t xml:space="preserve">2025</w:t>
            </w:r>
          </w:p>
        </w:tc>
        <w:tc>
          <w:tcPr>
            <w:tcW w:w="1548" w:type="dxa"/>
          </w:tcPr>
          <w:tcPr/>
          <w:p>
            <w:pPr>
              <w:pStyle w:val="Compact"/>
              <w:jc w:val="left"/>
            </w:pPr>
            <w:r>
              <w:t xml:space="preserve">(pacte)</w:t>
            </w:r>
          </w:p>
        </w:tc>
        <w:tc>
          <w:tcPr>
            <w:tcW w:w="1123" w:type="dxa"/>
          </w:tcPr>
          <w:tcPr/>
          <w:p>
            <w:pPr>
              <w:pStyle w:val="Compact"/>
              <w:jc w:val="left"/>
            </w:pPr>
            <w:r>
              <w:t xml:space="preserve">[2]</w:t>
            </w:r>
          </w:p>
        </w:tc>
      </w:tr>
      <w:tr>
        <w:tc>
          <w:tcPr>
            <w:tcW w:w="1615" w:type="dxa"/>
          </w:tcPr>
          <w:tcPr/>
          <w:p>
            <w:pPr>
              <w:pStyle w:val="Compact"/>
            </w:pPr>
          </w:p>
        </w:tc>
        <w:tc>
          <w:tcPr>
            <w:tcW w:w="8846" w:type="dxa"/>
          </w:tcPr>
          <w:tcPr/>
          <w:p>
            <w:pPr>
              <w:pStyle w:val="Compact"/>
              <w:jc w:val="left"/>
            </w:pPr>
            <w:r>
              <w:t xml:space="preserve">467 470 demandes de raccordement en attente (mai 2025)</w:t>
            </w:r>
          </w:p>
        </w:tc>
        <w:tc>
          <w:tcPr>
            <w:tcW w:w="1437" w:type="dxa"/>
          </w:tcPr>
          <w:tcPr/>
          <w:p>
            <w:pPr>
              <w:pStyle w:val="Compact"/>
              <w:jc w:val="left"/>
            </w:pPr>
            <w:r>
              <w:t xml:space="preserve">2025</w:t>
            </w:r>
          </w:p>
        </w:tc>
        <w:tc>
          <w:tcPr>
            <w:tcW w:w="1548" w:type="dxa"/>
          </w:tcPr>
          <w:tcPr/>
          <w:p>
            <w:pPr>
              <w:pStyle w:val="Compact"/>
              <w:jc w:val="left"/>
            </w:pPr>
            <w:r>
              <w:t xml:space="preserve">(pacte)</w:t>
            </w:r>
          </w:p>
        </w:tc>
        <w:tc>
          <w:tcPr>
            <w:tcW w:w="1123" w:type="dxa"/>
          </w:tcPr>
          <w:tcPr/>
          <w:p>
            <w:pPr>
              <w:pStyle w:val="Compact"/>
              <w:jc w:val="left"/>
            </w:pPr>
            <w:r>
              <w:t xml:space="preserve">[2]</w:t>
            </w:r>
          </w:p>
        </w:tc>
      </w:tr>
      <w:tr>
        <w:tc>
          <w:tcPr>
            <w:tcW w:w="1615" w:type="dxa"/>
          </w:tcPr>
          <w:tcPr/>
          <w:p>
            <w:pPr>
              <w:pStyle w:val="Compact"/>
            </w:pPr>
          </w:p>
        </w:tc>
        <w:tc>
          <w:tcPr>
            <w:tcW w:w="8846" w:type="dxa"/>
          </w:tcPr>
          <w:tcPr/>
          <w:p>
            <w:pPr>
              <w:pStyle w:val="Compact"/>
              <w:jc w:val="left"/>
            </w:pPr>
            <w:r>
              <w:t xml:space="preserve">Raccordements payés en attente depuis 2016 faute de matériel</w:t>
            </w:r>
          </w:p>
        </w:tc>
        <w:tc>
          <w:tcPr>
            <w:tcW w:w="1437" w:type="dxa"/>
          </w:tcPr>
          <w:tcPr/>
          <w:p>
            <w:pPr>
              <w:pStyle w:val="Compact"/>
              <w:jc w:val="left"/>
            </w:pPr>
            <w:r>
              <w:t xml:space="preserve">2026</w:t>
            </w:r>
          </w:p>
        </w:tc>
        <w:tc>
          <w:tcPr>
            <w:tcW w:w="1548" w:type="dxa"/>
          </w:tcPr>
          <w:tcPr/>
          <w:p>
            <w:pPr>
              <w:pStyle w:val="Compact"/>
              <w:jc w:val="left"/>
            </w:pPr>
            <w:r>
              <w:t xml:space="preserve">[S]</w:t>
            </w:r>
          </w:p>
        </w:tc>
        <w:tc>
          <w:tcPr>
            <w:tcW w:w="1123" w:type="dxa"/>
          </w:tcPr>
          <w:tcPr/>
          <w:p>
            <w:pPr>
              <w:pStyle w:val="Compact"/>
              <w:jc w:val="left"/>
            </w:pPr>
            <w:r>
              <w:t xml:space="preserve">[5]</w:t>
            </w:r>
          </w:p>
        </w:tc>
      </w:tr>
      <w:tr>
        <w:tc>
          <w:tcPr>
            <w:tcW w:w="1615" w:type="dxa"/>
          </w:tcPr>
          <w:tcPr/>
          <w:p>
            <w:pPr>
              <w:pStyle w:val="Compact"/>
              <w:jc w:val="left"/>
            </w:pPr>
            <w:r>
              <w:t xml:space="preserve">Mix et coût de production</w:t>
            </w:r>
          </w:p>
        </w:tc>
        <w:tc>
          <w:tcPr>
            <w:tcW w:w="8846" w:type="dxa"/>
          </w:tcPr>
          <w:tcPr/>
          <w:p>
            <w:pPr>
              <w:pStyle w:val="Compact"/>
              <w:jc w:val="left"/>
            </w:pPr>
            <w:r>
              <w:t xml:space="preserve">Coût variable ZPC d’environ 0,017 USD/kWh (thermique) et d’environ 0,003 USD/kWh (hydro), à comparer aux prix d’importation</w:t>
            </w:r>
          </w:p>
        </w:tc>
        <w:tc>
          <w:tcPr>
            <w:tcW w:w="1437" w:type="dxa"/>
          </w:tcPr>
          <w:tcPr/>
          <w:p>
            <w:pPr>
              <w:pStyle w:val="Compact"/>
              <w:jc w:val="left"/>
            </w:pPr>
            <w:r>
              <w:t xml:space="preserve">~2022</w:t>
            </w:r>
          </w:p>
        </w:tc>
        <w:tc>
          <w:tcPr>
            <w:tcW w:w="1548" w:type="dxa"/>
          </w:tcPr>
          <w:tcPr/>
          <w:p>
            <w:pPr>
              <w:pStyle w:val="Compact"/>
              <w:jc w:val="left"/>
            </w:pPr>
            <w:r>
              <w:t xml:space="preserve">[V]</w:t>
            </w:r>
          </w:p>
        </w:tc>
        <w:tc>
          <w:tcPr>
            <w:tcW w:w="1123" w:type="dxa"/>
          </w:tcPr>
          <w:tcPr/>
          <w:p>
            <w:pPr>
              <w:pStyle w:val="Compact"/>
              <w:jc w:val="left"/>
            </w:pPr>
            <w:r>
              <w:t xml:space="preserve">[3]</w:t>
            </w:r>
          </w:p>
        </w:tc>
      </w:tr>
      <w:tr>
        <w:tc>
          <w:tcPr>
            <w:tcW w:w="1615" w:type="dxa"/>
          </w:tcPr>
          <w:tcPr/>
          <w:p>
            <w:pPr>
              <w:pStyle w:val="Compact"/>
            </w:pPr>
          </w:p>
        </w:tc>
        <w:tc>
          <w:tcPr>
            <w:tcW w:w="8846" w:type="dxa"/>
          </w:tcPr>
          <w:tcPr/>
          <w:p>
            <w:pPr>
              <w:pStyle w:val="Compact"/>
              <w:jc w:val="left"/>
            </w:pPr>
            <w:r>
              <w:t xml:space="preserve">Importations jusqu’à 500 MW (Eskom, HCB, EDM)</w:t>
            </w:r>
          </w:p>
        </w:tc>
        <w:tc>
          <w:tcPr>
            <w:tcW w:w="1437" w:type="dxa"/>
          </w:tcPr>
          <w:tcPr/>
          <w:p>
            <w:pPr>
              <w:pStyle w:val="Compact"/>
              <w:jc w:val="left"/>
            </w:pPr>
            <w:r>
              <w:t xml:space="preserve">2025</w:t>
            </w:r>
          </w:p>
        </w:tc>
        <w:tc>
          <w:tcPr>
            <w:tcW w:w="1548" w:type="dxa"/>
          </w:tcPr>
          <w:tcPr/>
          <w:p>
            <w:pPr>
              <w:pStyle w:val="Compact"/>
              <w:jc w:val="left"/>
            </w:pPr>
            <w:r>
              <w:t xml:space="preserve">(pacte)</w:t>
            </w:r>
          </w:p>
        </w:tc>
        <w:tc>
          <w:tcPr>
            <w:tcW w:w="1123" w:type="dxa"/>
          </w:tcPr>
          <w:tcPr/>
          <w:p>
            <w:pPr>
              <w:pStyle w:val="Compact"/>
              <w:jc w:val="left"/>
            </w:pPr>
            <w:r>
              <w:t xml:space="preserve">[2]</w:t>
            </w:r>
          </w:p>
        </w:tc>
      </w:tr>
    </w:tbl>
    <w:bookmarkEnd w:id="395"/>
    <w:bookmarkStart w:id="396" w:name="situation-économique-et-gouvernance-35"/>
    <w:p>
      <w:pPr>
        <w:pStyle w:val="Heading3"/>
      </w:pPr>
      <w:r>
        <w:t xml:space="preserve">3. Situation économique et gouvernance</w:t>
      </w:r>
    </w:p>
    <w:p>
      <w:pPr>
        <w:numPr>
          <w:ilvl w:val="0"/>
          <w:numId w:val="1212"/>
        </w:numPr>
        <w:pStyle w:val="Compact"/>
      </w:pPr>
      <w:r>
        <w:rPr>
          <w:bCs/>
          <w:b/>
        </w:rPr>
        <w:t xml:space="preserve">PPA et IPP</w:t>
      </w:r>
      <w:r>
        <w:t xml:space="preserve"> </w:t>
      </w:r>
      <w:r>
        <w:t xml:space="preserve">: 7 130 MW de licences accordées à des projets non sollicités (pacte). Premier PPA du dispositif pilote GPSA : Vungu Solar, 30 MWac, 25 ans, avec ZETDC (janv. 2026) [S][9].</w:t>
      </w:r>
    </w:p>
    <w:p>
      <w:pPr>
        <w:numPr>
          <w:ilvl w:val="0"/>
          <w:numId w:val="1212"/>
        </w:numPr>
        <w:pStyle w:val="Compact"/>
      </w:pPr>
      <w:r>
        <w:rPr>
          <w:bCs/>
          <w:b/>
        </w:rPr>
        <w:t xml:space="preserve">Change</w:t>
      </w:r>
      <w:r>
        <w:t xml:space="preserve"> </w:t>
      </w:r>
      <w:r>
        <w:t xml:space="preserve">: régime multidevises jusqu’en 2030. ZETDC encaisse surtout en monnaie locale et paie la dette et les importations en USD. La dépréciation et la hausse des taux ont fait « exploser » le service de la dette historique [V][3]. Le pacte vise 100 % de recouvrement des coûts d’exploitation en monnaie locale et en devises (T4 2027) (pacte).</w:t>
      </w:r>
    </w:p>
    <w:p>
      <w:pPr>
        <w:numPr>
          <w:ilvl w:val="0"/>
          <w:numId w:val="1212"/>
        </w:numPr>
        <w:pStyle w:val="Compact"/>
      </w:pPr>
      <w:r>
        <w:rPr>
          <w:bCs/>
          <w:b/>
        </w:rPr>
        <w:t xml:space="preserve">Plan de redressement</w:t>
      </w:r>
      <w:r>
        <w:t xml:space="preserve"> </w:t>
      </w:r>
      <w:r>
        <w:t xml:space="preserve">: un Performance Improvement Plan ZPC/ZETDC a été élaboré en 2018 avec la BM ; sa révision est prévue au T1 2027 (pacte). La BM recommandait (2023) un mécanisme hors bilan de service de la dette historique et un ajustement tarifaire automatique dans des bandes [V][3]. Le règlement de la dette historique est rattaché au</w:t>
      </w:r>
      <w:r>
        <w:t xml:space="preserve"> </w:t>
      </w:r>
      <w:r>
        <w:rPr>
          <w:bCs/>
          <w:b/>
        </w:rPr>
        <w:t xml:space="preserve">processus national d’apurement des arriérés</w:t>
      </w:r>
      <w:r>
        <w:t xml:space="preserve"> </w:t>
      </w:r>
      <w:r>
        <w:t xml:space="preserve">(Structured Dialogue Platform) [V][3].</w:t>
      </w:r>
    </w:p>
    <w:p>
      <w:pPr>
        <w:numPr>
          <w:ilvl w:val="0"/>
          <w:numId w:val="1212"/>
        </w:numPr>
        <w:pStyle w:val="Compact"/>
      </w:pPr>
      <w:r>
        <w:rPr>
          <w:bCs/>
          <w:b/>
        </w:rPr>
        <w:t xml:space="preserve">Contexte macro</w:t>
      </w:r>
      <w:r>
        <w:t xml:space="preserve"> </w:t>
      </w:r>
      <w:r>
        <w:t xml:space="preserve">: le Zimbabwe est en arriérés envers la BM et la BAD (arriérés extérieurs de 6,6 Mds USD en 2022), d’où l’absence de prêts IDA souverains [V][3]. Le FMI a conclu l’article IV 2025 (CR 25/282, août 2025) ; un SMP a été demandé mais n’est pas conclu [V][4].</w:t>
      </w:r>
    </w:p>
    <w:bookmarkEnd w:id="396"/>
    <w:bookmarkStart w:id="397" w:name="X9339bedc76ea4ef0f50d6490499c5ff40751675"/>
    <w:p>
      <w:pPr>
        <w:pStyle w:val="Heading3"/>
      </w:pPr>
      <w:r>
        <w:t xml:space="preserve">4. Programmes Banque mondiale et BAD (et autres) visant l’opérateur</w:t>
      </w:r>
    </w:p>
    <w:tbl>
      <w:tblPr>
        <w:tblStyle w:val="Table"/>
        <w:tblW w:type="dxa" w:w="14570"/>
        <w:tblLook w:firstRow="1" w:lastRow="0" w:firstColumn="0" w:lastColumn="0" w:noHBand="0" w:noVBand="0" w:val="0020"/>
        <w:jc w:val="start"/>
      </w:tblPr>
      <w:tblGrid>
        <w:gridCol w:w="3376"/>
        <w:gridCol w:w="1171"/>
        <w:gridCol w:w="1963"/>
        <w:gridCol w:w="989"/>
        <w:gridCol w:w="3650"/>
        <w:gridCol w:w="689"/>
        <w:gridCol w:w="1836"/>
        <w:gridCol w:w="892"/>
      </w:tblGrid>
      <w:tr>
        <w:trPr>
          <w:tblHeader w:val="true"/>
        </w:trPr>
        <w:tc>
          <w:tcPr>
            <w:tcW w:w="3376" w:type="dxa"/>
          </w:tcPr>
          <w:tcPr/>
          <w:p>
            <w:pPr>
              <w:pStyle w:val="Compact"/>
              <w:jc w:val="left"/>
            </w:pPr>
            <w:r>
              <w:t xml:space="preserve">Programme / projet (nom exact, ID)</w:t>
            </w:r>
          </w:p>
        </w:tc>
        <w:tc>
          <w:tcPr>
            <w:tcW w:w="1171" w:type="dxa"/>
          </w:tcPr>
          <w:tcPr/>
          <w:p>
            <w:pPr>
              <w:pStyle w:val="Compact"/>
              <w:jc w:val="left"/>
            </w:pPr>
            <w:r>
              <w:t xml:space="preserve">Bailleur</w:t>
            </w:r>
          </w:p>
        </w:tc>
        <w:tc>
          <w:tcPr>
            <w:tcW w:w="1963" w:type="dxa"/>
          </w:tcPr>
          <w:tcPr/>
          <w:p>
            <w:pPr>
              <w:pStyle w:val="Compact"/>
              <w:jc w:val="left"/>
            </w:pPr>
            <w:r>
              <w:t xml:space="preserve">Montant</w:t>
            </w:r>
          </w:p>
        </w:tc>
        <w:tc>
          <w:tcPr>
            <w:tcW w:w="989" w:type="dxa"/>
          </w:tcPr>
          <w:tcPr/>
          <w:p>
            <w:pPr>
              <w:pStyle w:val="Compact"/>
              <w:jc w:val="left"/>
            </w:pPr>
            <w:r>
              <w:t xml:space="preserve">Années</w:t>
            </w:r>
          </w:p>
        </w:tc>
        <w:tc>
          <w:tcPr>
            <w:tcW w:w="3650" w:type="dxa"/>
          </w:tcPr>
          <w:tcPr/>
          <w:p>
            <w:pPr>
              <w:pStyle w:val="Compact"/>
              <w:jc w:val="left"/>
            </w:pPr>
            <w:r>
              <w:t xml:space="preserve">Objectifs liés à l’opérateur</w:t>
            </w:r>
          </w:p>
        </w:tc>
        <w:tc>
          <w:tcPr>
            <w:tcW w:w="689" w:type="dxa"/>
          </w:tcPr>
          <w:tcPr/>
          <w:p>
            <w:pPr>
              <w:pStyle w:val="Compact"/>
              <w:jc w:val="left"/>
            </w:pPr>
            <w:r>
              <w:t xml:space="preserve">Conditions/indicateurs</w:t>
            </w:r>
          </w:p>
        </w:tc>
        <w:tc>
          <w:tcPr>
            <w:tcW w:w="1836" w:type="dxa"/>
          </w:tcPr>
          <w:tcPr/>
          <w:p>
            <w:pPr>
              <w:pStyle w:val="Compact"/>
              <w:jc w:val="left"/>
            </w:pPr>
            <w:r>
              <w:t xml:space="preserve">Statut d’exécution</w:t>
            </w:r>
          </w:p>
        </w:tc>
        <w:tc>
          <w:tcPr>
            <w:tcW w:w="892" w:type="dxa"/>
          </w:tcPr>
          <w:tcPr/>
          <w:p>
            <w:pPr>
              <w:pStyle w:val="Compact"/>
              <w:jc w:val="left"/>
            </w:pPr>
            <w:r>
              <w:t xml:space="preserve">Source</w:t>
            </w:r>
          </w:p>
        </w:tc>
      </w:tr>
      <w:tr>
        <w:tc>
          <w:tcPr>
            <w:tcW w:w="3376" w:type="dxa"/>
          </w:tcPr>
          <w:tcPr/>
          <w:p>
            <w:pPr>
              <w:pStyle w:val="Compact"/>
              <w:jc w:val="left"/>
            </w:pPr>
            <w:r>
              <w:t xml:space="preserve">Solar Procurement and Electricity Access Recovery Project,</w:t>
            </w:r>
            <w:r>
              <w:t xml:space="preserve"> </w:t>
            </w:r>
            <w:r>
              <w:rPr>
                <w:bCs/>
                <w:b/>
              </w:rPr>
              <w:t xml:space="preserve">P500409</w:t>
            </w:r>
          </w:p>
        </w:tc>
        <w:tc>
          <w:tcPr>
            <w:tcW w:w="1171" w:type="dxa"/>
          </w:tcPr>
          <w:tcPr/>
          <w:p>
            <w:pPr>
              <w:pStyle w:val="Compact"/>
              <w:jc w:val="left"/>
            </w:pPr>
            <w:r>
              <w:t xml:space="preserve">BM (fonds fiduciaire, pas d’IDA)</w:t>
            </w:r>
          </w:p>
        </w:tc>
        <w:tc>
          <w:tcPr>
            <w:tcW w:w="1963" w:type="dxa"/>
          </w:tcPr>
          <w:tcPr/>
          <w:p>
            <w:pPr>
              <w:pStyle w:val="Compact"/>
              <w:jc w:val="left"/>
            </w:pPr>
            <w:r>
              <w:t xml:space="preserve">5 M USD (EWS) ; 5 à 10 M USD (« ZEAP » dans le pacte)</w:t>
            </w:r>
          </w:p>
        </w:tc>
        <w:tc>
          <w:tcPr>
            <w:tcW w:w="989" w:type="dxa"/>
          </w:tcPr>
          <w:tcPr/>
          <w:p>
            <w:pPr>
              <w:pStyle w:val="Compact"/>
              <w:jc w:val="left"/>
            </w:pPr>
            <w:r>
              <w:t xml:space="preserve">Vote prévu le 31/07/2024 (EWS)</w:t>
            </w:r>
          </w:p>
        </w:tc>
        <w:tc>
          <w:tcPr>
            <w:tcW w:w="3650" w:type="dxa"/>
          </w:tcPr>
          <w:tcPr/>
          <w:p>
            <w:pPr>
              <w:pStyle w:val="Compact"/>
              <w:jc w:val="left"/>
            </w:pPr>
            <w:r>
              <w:t xml:space="preserve">Achats concurrentiels d’IPP solaires ; ZETDC contact projet ; REF</w:t>
            </w:r>
          </w:p>
        </w:tc>
        <w:tc>
          <w:tcPr>
            <w:tcW w:w="689" w:type="dxa"/>
          </w:tcPr>
          <w:tcPr/>
          <w:p>
            <w:pPr>
              <w:pStyle w:val="Compact"/>
              <w:jc w:val="left"/>
            </w:pPr>
            <w:r>
              <w:t xml:space="preserve">[?]</w:t>
            </w:r>
          </w:p>
        </w:tc>
        <w:tc>
          <w:tcPr>
            <w:tcW w:w="1836" w:type="dxa"/>
          </w:tcPr>
          <w:tcPr/>
          <w:p>
            <w:pPr>
              <w:pStyle w:val="Compact"/>
              <w:jc w:val="left"/>
            </w:pPr>
            <w:r>
              <w:rPr>
                <w:bCs/>
                <w:b/>
              </w:rPr>
              <w:t xml:space="preserve">Pipeline</w:t>
            </w:r>
            <w:r>
              <w:t xml:space="preserve"> </w:t>
            </w:r>
            <w:r>
              <w:t xml:space="preserve">(API BM, oct. 2026)</w:t>
            </w:r>
          </w:p>
        </w:tc>
        <w:tc>
          <w:tcPr>
            <w:tcW w:w="892" w:type="dxa"/>
          </w:tcPr>
          <w:tcPr/>
          <w:p>
            <w:pPr>
              <w:pStyle w:val="Compact"/>
              <w:jc w:val="left"/>
            </w:pPr>
            <w:r>
              <w:t xml:space="preserve">[10][11][S]</w:t>
            </w:r>
          </w:p>
        </w:tc>
      </w:tr>
      <w:tr>
        <w:tc>
          <w:tcPr>
            <w:tcW w:w="3376" w:type="dxa"/>
          </w:tcPr>
          <w:tcPr/>
          <w:p>
            <w:pPr>
              <w:pStyle w:val="Compact"/>
              <w:jc w:val="left"/>
            </w:pPr>
            <w:r>
              <w:t xml:space="preserve">« ZEAP »,</w:t>
            </w:r>
            <w:r>
              <w:t xml:space="preserve"> </w:t>
            </w:r>
            <w:r>
              <w:rPr>
                <w:bCs/>
                <w:b/>
              </w:rPr>
              <w:t xml:space="preserve">P507318</w:t>
            </w:r>
          </w:p>
        </w:tc>
        <w:tc>
          <w:tcPr>
            <w:tcW w:w="1171" w:type="dxa"/>
          </w:tcPr>
          <w:tcPr/>
          <w:p>
            <w:pPr>
              <w:pStyle w:val="Compact"/>
              <w:jc w:val="left"/>
            </w:pPr>
            <w:r>
              <w:t xml:space="preserve">BM</w:t>
            </w:r>
          </w:p>
        </w:tc>
        <w:tc>
          <w:tcPr>
            <w:tcW w:w="1963" w:type="dxa"/>
          </w:tcPr>
          <w:tcPr/>
          <w:p>
            <w:pPr>
              <w:pStyle w:val="Compact"/>
              <w:jc w:val="left"/>
            </w:pPr>
            <w:r>
              <w:t xml:space="preserve">[?]</w:t>
            </w:r>
          </w:p>
        </w:tc>
        <w:tc>
          <w:tcPr>
            <w:tcW w:w="989" w:type="dxa"/>
          </w:tcPr>
          <w:tcPr/>
          <w:p>
            <w:pPr>
              <w:pStyle w:val="Compact"/>
              <w:jc w:val="left"/>
            </w:pPr>
            <w:r>
              <w:t xml:space="preserve">—</w:t>
            </w:r>
          </w:p>
        </w:tc>
        <w:tc>
          <w:tcPr>
            <w:tcW w:w="3650" w:type="dxa"/>
          </w:tcPr>
          <w:tcPr/>
          <w:p>
            <w:pPr>
              <w:pStyle w:val="Compact"/>
              <w:jc w:val="left"/>
            </w:pPr>
            <w:r>
              <w:t xml:space="preserve">[?] (vraisemblablement la suite de P500409) [E]</w:t>
            </w:r>
          </w:p>
        </w:tc>
        <w:tc>
          <w:tcPr>
            <w:tcW w:w="689" w:type="dxa"/>
          </w:tcPr>
          <w:tcPr/>
          <w:p>
            <w:pPr>
              <w:pStyle w:val="Compact"/>
              <w:jc w:val="left"/>
            </w:pPr>
            <w:r>
              <w:t xml:space="preserve">—</w:t>
            </w:r>
          </w:p>
        </w:tc>
        <w:tc>
          <w:tcPr>
            <w:tcW w:w="1836" w:type="dxa"/>
          </w:tcPr>
          <w:tcPr/>
          <w:p>
            <w:pPr>
              <w:pStyle w:val="Compact"/>
              <w:jc w:val="left"/>
            </w:pPr>
            <w:r>
              <w:t xml:space="preserve">Pipeline</w:t>
            </w:r>
          </w:p>
        </w:tc>
        <w:tc>
          <w:tcPr>
            <w:tcW w:w="892" w:type="dxa"/>
          </w:tcPr>
          <w:tcPr/>
          <w:p>
            <w:pPr>
              <w:pStyle w:val="Compact"/>
              <w:jc w:val="left"/>
            </w:pPr>
            <w:r>
              <w:t xml:space="preserve">[11]</w:t>
            </w:r>
          </w:p>
        </w:tc>
      </w:tr>
      <w:tr>
        <w:tc>
          <w:tcPr>
            <w:tcW w:w="3376" w:type="dxa"/>
          </w:tcPr>
          <w:tcPr/>
          <w:p>
            <w:pPr>
              <w:pStyle w:val="Compact"/>
              <w:jc w:val="left"/>
            </w:pPr>
            <w:r>
              <w:t xml:space="preserve">Zimbabwe Energy Sector Programmatic ASA (PASA)</w:t>
            </w:r>
          </w:p>
        </w:tc>
        <w:tc>
          <w:tcPr>
            <w:tcW w:w="1171" w:type="dxa"/>
          </w:tcPr>
          <w:tcPr/>
          <w:p>
            <w:pPr>
              <w:pStyle w:val="Compact"/>
              <w:jc w:val="left"/>
            </w:pPr>
            <w:r>
              <w:t xml:space="preserve">BM</w:t>
            </w:r>
          </w:p>
        </w:tc>
        <w:tc>
          <w:tcPr>
            <w:tcW w:w="1963" w:type="dxa"/>
          </w:tcPr>
          <w:tcPr/>
          <w:p>
            <w:pPr>
              <w:pStyle w:val="Compact"/>
              <w:jc w:val="left"/>
            </w:pPr>
            <w:r>
              <w:t xml:space="preserve">1 M USD</w:t>
            </w:r>
          </w:p>
        </w:tc>
        <w:tc>
          <w:tcPr>
            <w:tcW w:w="989" w:type="dxa"/>
          </w:tcPr>
          <w:tcPr/>
          <w:p>
            <w:pPr>
              <w:pStyle w:val="Compact"/>
              <w:jc w:val="left"/>
            </w:pPr>
            <w:r>
              <w:t xml:space="preserve">2024-26</w:t>
            </w:r>
          </w:p>
        </w:tc>
        <w:tc>
          <w:tcPr>
            <w:tcW w:w="3650" w:type="dxa"/>
          </w:tcPr>
          <w:tcPr/>
          <w:p>
            <w:pPr>
              <w:pStyle w:val="Compact"/>
              <w:jc w:val="left"/>
            </w:pPr>
            <w:r>
              <w:t xml:space="preserve">Appui aux transactions IPP solaires, cadre du secteur</w:t>
            </w:r>
          </w:p>
        </w:tc>
        <w:tc>
          <w:tcPr>
            <w:tcW w:w="689" w:type="dxa"/>
          </w:tcPr>
          <w:tcPr/>
          <w:p>
            <w:pPr>
              <w:pStyle w:val="Compact"/>
              <w:jc w:val="left"/>
            </w:pPr>
            <w:r>
              <w:t xml:space="preserve">—</w:t>
            </w:r>
          </w:p>
        </w:tc>
        <w:tc>
          <w:tcPr>
            <w:tcW w:w="1836" w:type="dxa"/>
          </w:tcPr>
          <w:tcPr/>
          <w:p>
            <w:pPr>
              <w:pStyle w:val="Compact"/>
              <w:jc w:val="left"/>
            </w:pPr>
            <w:r>
              <w:t xml:space="preserve">En cours (pacte)</w:t>
            </w:r>
          </w:p>
        </w:tc>
        <w:tc>
          <w:tcPr>
            <w:tcW w:w="892" w:type="dxa"/>
          </w:tcPr>
          <w:tcPr/>
          <w:p>
            <w:pPr>
              <w:pStyle w:val="Compact"/>
              <w:jc w:val="left"/>
            </w:pPr>
            <w:r>
              <w:t xml:space="preserve">[2]</w:t>
            </w:r>
          </w:p>
        </w:tc>
      </w:tr>
      <w:tr>
        <w:tc>
          <w:tcPr>
            <w:tcW w:w="3376" w:type="dxa"/>
          </w:tcPr>
          <w:tcPr/>
          <w:p>
            <w:pPr>
              <w:pStyle w:val="Compact"/>
              <w:jc w:val="left"/>
            </w:pPr>
            <w:r>
              <w:t xml:space="preserve">Kariba Dam Rehabilitation</w:t>
            </w:r>
          </w:p>
        </w:tc>
        <w:tc>
          <w:tcPr>
            <w:tcW w:w="1171" w:type="dxa"/>
          </w:tcPr>
          <w:tcPr/>
          <w:p>
            <w:pPr>
              <w:pStyle w:val="Compact"/>
              <w:jc w:val="left"/>
            </w:pPr>
            <w:r>
              <w:t xml:space="preserve">BM, UE, BAD, Suède, ZRA</w:t>
            </w:r>
          </w:p>
        </w:tc>
        <w:tc>
          <w:tcPr>
            <w:tcW w:w="1963" w:type="dxa"/>
          </w:tcPr>
          <w:tcPr/>
          <w:p>
            <w:pPr>
              <w:pStyle w:val="Compact"/>
              <w:jc w:val="left"/>
            </w:pPr>
            <w:r>
              <w:t xml:space="preserve">294 M USD</w:t>
            </w:r>
          </w:p>
        </w:tc>
        <w:tc>
          <w:tcPr>
            <w:tcW w:w="989" w:type="dxa"/>
          </w:tcPr>
          <w:tcPr/>
          <w:p>
            <w:pPr>
              <w:pStyle w:val="Compact"/>
              <w:jc w:val="left"/>
            </w:pPr>
            <w:r>
              <w:t xml:space="preserve">2014-2026</w:t>
            </w:r>
          </w:p>
        </w:tc>
        <w:tc>
          <w:tcPr>
            <w:tcW w:w="3650" w:type="dxa"/>
          </w:tcPr>
          <w:tcPr/>
          <w:p>
            <w:pPr>
              <w:pStyle w:val="Compact"/>
              <w:jc w:val="left"/>
            </w:pPr>
            <w:r>
              <w:t xml:space="preserve">Sécurité de Kariba (1 050 MW pour ZPC)</w:t>
            </w:r>
          </w:p>
        </w:tc>
        <w:tc>
          <w:tcPr>
            <w:tcW w:w="689" w:type="dxa"/>
          </w:tcPr>
          <w:tcPr/>
          <w:p>
            <w:pPr>
              <w:pStyle w:val="Compact"/>
              <w:jc w:val="left"/>
            </w:pPr>
            <w:r>
              <w:t xml:space="preserve">—</w:t>
            </w:r>
          </w:p>
        </w:tc>
        <w:tc>
          <w:tcPr>
            <w:tcW w:w="1836" w:type="dxa"/>
          </w:tcPr>
          <w:tcPr/>
          <w:p>
            <w:pPr>
              <w:pStyle w:val="Compact"/>
              <w:jc w:val="left"/>
            </w:pPr>
            <w:r>
              <w:t xml:space="preserve">En cours. ID BM non vérifié [?]</w:t>
            </w:r>
          </w:p>
        </w:tc>
        <w:tc>
          <w:tcPr>
            <w:tcW w:w="892" w:type="dxa"/>
          </w:tcPr>
          <w:tcPr/>
          <w:p>
            <w:pPr>
              <w:pStyle w:val="Compact"/>
              <w:jc w:val="left"/>
            </w:pPr>
            <w:r>
              <w:t xml:space="preserve">[2]</w:t>
            </w:r>
          </w:p>
        </w:tc>
      </w:tr>
      <w:tr>
        <w:tc>
          <w:tcPr>
            <w:tcW w:w="3376" w:type="dxa"/>
          </w:tcPr>
          <w:tcPr/>
          <w:p>
            <w:pPr>
              <w:pStyle w:val="Compact"/>
              <w:jc w:val="left"/>
            </w:pPr>
            <w:r>
              <w:t xml:space="preserve">Emergency Power Infrastructure Rehabilitation Programme Phase II Stage II, AFDB-P-ZW-FA0-014</w:t>
            </w:r>
          </w:p>
        </w:tc>
        <w:tc>
          <w:tcPr>
            <w:tcW w:w="1171" w:type="dxa"/>
          </w:tcPr>
          <w:tcPr/>
          <w:p>
            <w:pPr>
              <w:pStyle w:val="Compact"/>
              <w:jc w:val="left"/>
            </w:pPr>
            <w:r>
              <w:t xml:space="preserve">BAD (ZimFund, fonds multi-bailleurs)</w:t>
            </w:r>
          </w:p>
        </w:tc>
        <w:tc>
          <w:tcPr>
            <w:tcW w:w="1963" w:type="dxa"/>
          </w:tcPr>
          <w:tcPr/>
          <w:p>
            <w:pPr>
              <w:pStyle w:val="Compact"/>
              <w:jc w:val="left"/>
            </w:pPr>
            <w:r>
              <w:t xml:space="preserve">22,74 M USD (presse) ; 32,94 M USD (pacte)</w:t>
            </w:r>
          </w:p>
        </w:tc>
        <w:tc>
          <w:tcPr>
            <w:tcW w:w="989" w:type="dxa"/>
          </w:tcPr>
          <w:tcPr/>
          <w:p>
            <w:pPr>
              <w:pStyle w:val="Compact"/>
              <w:jc w:val="left"/>
            </w:pPr>
            <w:r>
              <w:t xml:space="preserve">2017-2025</w:t>
            </w:r>
          </w:p>
        </w:tc>
        <w:tc>
          <w:tcPr>
            <w:tcW w:w="3650" w:type="dxa"/>
          </w:tcPr>
          <w:tcPr/>
          <w:p>
            <w:pPr>
              <w:pStyle w:val="Compact"/>
              <w:jc w:val="left"/>
            </w:pPr>
            <w:r>
              <w:t xml:space="preserve">Réhabilitation de la production, du transport et de la distribution (ZPC, ZETDC)</w:t>
            </w:r>
          </w:p>
        </w:tc>
        <w:tc>
          <w:tcPr>
            <w:tcW w:w="689" w:type="dxa"/>
          </w:tcPr>
          <w:tcPr/>
          <w:p>
            <w:pPr>
              <w:pStyle w:val="Compact"/>
              <w:jc w:val="left"/>
            </w:pPr>
            <w:r>
              <w:t xml:space="preserve">—</w:t>
            </w:r>
          </w:p>
        </w:tc>
        <w:tc>
          <w:tcPr>
            <w:tcW w:w="1836" w:type="dxa"/>
          </w:tcPr>
          <w:tcPr/>
          <w:p>
            <w:pPr>
              <w:pStyle w:val="Compact"/>
              <w:jc w:val="left"/>
            </w:pPr>
            <w:r>
              <w:t xml:space="preserve">Rapport d’achèvement listé (23/02/2026)</w:t>
            </w:r>
          </w:p>
        </w:tc>
        <w:tc>
          <w:tcPr>
            <w:tcW w:w="892" w:type="dxa"/>
          </w:tcPr>
          <w:tcPr/>
          <w:p>
            <w:pPr>
              <w:pStyle w:val="Compact"/>
              <w:jc w:val="left"/>
            </w:pPr>
            <w:r>
              <w:t xml:space="preserve">[12][S]</w:t>
            </w:r>
          </w:p>
        </w:tc>
      </w:tr>
      <w:tr>
        <w:tc>
          <w:tcPr>
            <w:tcW w:w="3376" w:type="dxa"/>
          </w:tcPr>
          <w:tcPr/>
          <w:p>
            <w:pPr>
              <w:pStyle w:val="Compact"/>
              <w:jc w:val="left"/>
            </w:pPr>
            <w:r>
              <w:t xml:space="preserve">Zimbabwe – Energy Sector Reform Support Project</w:t>
            </w:r>
          </w:p>
        </w:tc>
        <w:tc>
          <w:tcPr>
            <w:tcW w:w="1171" w:type="dxa"/>
          </w:tcPr>
          <w:tcPr/>
          <w:p>
            <w:pPr>
              <w:pStyle w:val="Compact"/>
              <w:jc w:val="left"/>
            </w:pPr>
            <w:r>
              <w:t xml:space="preserve">BAD</w:t>
            </w:r>
          </w:p>
        </w:tc>
        <w:tc>
          <w:tcPr>
            <w:tcW w:w="1963" w:type="dxa"/>
          </w:tcPr>
          <w:tcPr/>
          <w:p>
            <w:pPr>
              <w:pStyle w:val="Compact"/>
              <w:jc w:val="left"/>
            </w:pPr>
            <w:r>
              <w:t xml:space="preserve">UA 2,5 M (environ 3,6 M USD)</w:t>
            </w:r>
          </w:p>
        </w:tc>
        <w:tc>
          <w:tcPr>
            <w:tcW w:w="989" w:type="dxa"/>
          </w:tcPr>
          <w:tcPr/>
          <w:p>
            <w:pPr>
              <w:pStyle w:val="Compact"/>
              <w:jc w:val="left"/>
            </w:pPr>
            <w:r>
              <w:t xml:space="preserve">2022-2026</w:t>
            </w:r>
          </w:p>
        </w:tc>
        <w:tc>
          <w:tcPr>
            <w:tcW w:w="3650" w:type="dxa"/>
          </w:tcPr>
          <w:tcPr/>
          <w:p>
            <w:pPr>
              <w:pStyle w:val="Compact"/>
              <w:jc w:val="left"/>
            </w:pPr>
            <w:r>
              <w:t xml:space="preserve">Cadre IPP et intégration des EnR variables</w:t>
            </w:r>
          </w:p>
        </w:tc>
        <w:tc>
          <w:tcPr>
            <w:tcW w:w="689" w:type="dxa"/>
          </w:tcPr>
          <w:tcPr/>
          <w:p>
            <w:pPr>
              <w:pStyle w:val="Compact"/>
              <w:jc w:val="left"/>
            </w:pPr>
            <w:r>
              <w:t xml:space="preserve">—</w:t>
            </w:r>
          </w:p>
        </w:tc>
        <w:tc>
          <w:tcPr>
            <w:tcW w:w="1836" w:type="dxa"/>
          </w:tcPr>
          <w:tcPr/>
          <w:p>
            <w:pPr>
              <w:pStyle w:val="Compact"/>
              <w:jc w:val="left"/>
            </w:pPr>
            <w:r>
              <w:t xml:space="preserve">(pacte)</w:t>
            </w:r>
          </w:p>
        </w:tc>
        <w:tc>
          <w:tcPr>
            <w:tcW w:w="892" w:type="dxa"/>
          </w:tcPr>
          <w:tcPr/>
          <w:p>
            <w:pPr>
              <w:pStyle w:val="Compact"/>
              <w:jc w:val="left"/>
            </w:pPr>
            <w:r>
              <w:t xml:space="preserve">[2]</w:t>
            </w:r>
          </w:p>
        </w:tc>
      </w:tr>
      <w:tr>
        <w:tc>
          <w:tcPr>
            <w:tcW w:w="3376" w:type="dxa"/>
          </w:tcPr>
          <w:tcPr/>
          <w:p>
            <w:pPr>
              <w:pStyle w:val="Compact"/>
              <w:jc w:val="left"/>
            </w:pPr>
            <w:r>
              <w:t xml:space="preserve">RETRADE-SA MPA (SAPP) — phase 1 Zambie–Tanzanie</w:t>
            </w:r>
            <w:r>
              <w:t xml:space="preserve"> </w:t>
            </w:r>
            <w:r>
              <w:rPr>
                <w:bCs/>
                <w:b/>
              </w:rPr>
              <w:t xml:space="preserve">P507033</w:t>
            </w:r>
            <w:r>
              <w:t xml:space="preserve"> </w:t>
            </w:r>
            <w:r>
              <w:t xml:space="preserve">; phase 2 AT SAPP</w:t>
            </w:r>
            <w:r>
              <w:t xml:space="preserve"> </w:t>
            </w:r>
            <w:r>
              <w:rPr>
                <w:bCs/>
                <w:b/>
              </w:rPr>
              <w:t xml:space="preserve">P512662</w:t>
            </w:r>
          </w:p>
        </w:tc>
        <w:tc>
          <w:tcPr>
            <w:tcW w:w="1171" w:type="dxa"/>
          </w:tcPr>
          <w:tcPr/>
          <w:p>
            <w:pPr>
              <w:pStyle w:val="Compact"/>
              <w:jc w:val="left"/>
            </w:pPr>
            <w:r>
              <w:t xml:space="preserve">BM</w:t>
            </w:r>
          </w:p>
        </w:tc>
        <w:tc>
          <w:tcPr>
            <w:tcW w:w="1963" w:type="dxa"/>
          </w:tcPr>
          <w:tcPr/>
          <w:p>
            <w:pPr>
              <w:pStyle w:val="Compact"/>
              <w:jc w:val="left"/>
            </w:pPr>
            <w:r>
              <w:t xml:space="preserve">245 M USD IDA + fonds fiduciaires (phase 1) ; jusqu’à environ 38 M USD (phase 2)</w:t>
            </w:r>
          </w:p>
        </w:tc>
        <w:tc>
          <w:tcPr>
            <w:tcW w:w="989" w:type="dxa"/>
          </w:tcPr>
          <w:tcPr/>
          <w:p>
            <w:pPr>
              <w:pStyle w:val="Compact"/>
              <w:jc w:val="left"/>
            </w:pPr>
            <w:r>
              <w:t xml:space="preserve">2025-</w:t>
            </w:r>
          </w:p>
        </w:tc>
        <w:tc>
          <w:tcPr>
            <w:tcW w:w="3650" w:type="dxa"/>
          </w:tcPr>
          <w:tcPr/>
          <w:p>
            <w:pPr>
              <w:pStyle w:val="Compact"/>
              <w:jc w:val="left"/>
            </w:pPr>
            <w:r>
              <w:t xml:space="preserve">Le Zimbabwe, membre du SAPP et siège de son secrétariat, n’est pas emprunteur</w:t>
            </w:r>
          </w:p>
        </w:tc>
        <w:tc>
          <w:tcPr>
            <w:tcW w:w="689" w:type="dxa"/>
          </w:tcPr>
          <w:tcPr/>
          <w:p>
            <w:pPr>
              <w:pStyle w:val="Compact"/>
              <w:jc w:val="left"/>
            </w:pPr>
            <w:r>
              <w:t xml:space="preserve">—</w:t>
            </w:r>
          </w:p>
        </w:tc>
        <w:tc>
          <w:tcPr>
            <w:tcW w:w="1836" w:type="dxa"/>
          </w:tcPr>
          <w:tcPr/>
          <w:p>
            <w:pPr>
              <w:pStyle w:val="Compact"/>
              <w:jc w:val="left"/>
            </w:pPr>
            <w:r>
              <w:t xml:space="preserve">En cours</w:t>
            </w:r>
          </w:p>
        </w:tc>
        <w:tc>
          <w:tcPr>
            <w:tcW w:w="892" w:type="dxa"/>
          </w:tcPr>
          <w:tcPr/>
          <w:p>
            <w:pPr>
              <w:pStyle w:val="Compact"/>
              <w:jc w:val="left"/>
            </w:pPr>
            <w:r>
              <w:t xml:space="preserve">voir 00_programmes_regionaux.md</w:t>
            </w:r>
          </w:p>
        </w:tc>
      </w:tr>
      <w:tr>
        <w:tc>
          <w:tcPr>
            <w:tcW w:w="3376" w:type="dxa"/>
          </w:tcPr>
          <w:tcPr/>
          <w:p>
            <w:pPr>
              <w:pStyle w:val="Compact"/>
              <w:jc w:val="left"/>
            </w:pPr>
            <w:r>
              <w:t xml:space="preserve">Article IV 2025 ; SMP demandé</w:t>
            </w:r>
          </w:p>
        </w:tc>
        <w:tc>
          <w:tcPr>
            <w:tcW w:w="1171" w:type="dxa"/>
          </w:tcPr>
          <w:tcPr/>
          <w:p>
            <w:pPr>
              <w:pStyle w:val="Compact"/>
              <w:jc w:val="left"/>
            </w:pPr>
            <w:r>
              <w:t xml:space="preserve">FMI</w:t>
            </w:r>
          </w:p>
        </w:tc>
        <w:tc>
          <w:tcPr>
            <w:tcW w:w="1963" w:type="dxa"/>
          </w:tcPr>
          <w:tcPr/>
          <w:p>
            <w:pPr>
              <w:pStyle w:val="Compact"/>
              <w:jc w:val="left"/>
            </w:pPr>
            <w:r>
              <w:t xml:space="preserve">—</w:t>
            </w:r>
          </w:p>
        </w:tc>
        <w:tc>
          <w:tcPr>
            <w:tcW w:w="989" w:type="dxa"/>
          </w:tcPr>
          <w:tcPr/>
          <w:p>
            <w:pPr>
              <w:pStyle w:val="Compact"/>
              <w:jc w:val="left"/>
            </w:pPr>
            <w:r>
              <w:t xml:space="preserve">2025</w:t>
            </w:r>
          </w:p>
        </w:tc>
        <w:tc>
          <w:tcPr>
            <w:tcW w:w="3650" w:type="dxa"/>
          </w:tcPr>
          <w:tcPr/>
          <w:p>
            <w:pPr>
              <w:pStyle w:val="Compact"/>
              <w:jc w:val="left"/>
            </w:pPr>
            <w:r>
              <w:t xml:space="preserve">Pas de mesure spécifique à ZESA dans le rapport</w:t>
            </w:r>
          </w:p>
        </w:tc>
        <w:tc>
          <w:tcPr>
            <w:tcW w:w="689" w:type="dxa"/>
          </w:tcPr>
          <w:tcPr/>
          <w:p>
            <w:pPr>
              <w:pStyle w:val="Compact"/>
              <w:jc w:val="left"/>
            </w:pPr>
            <w:r>
              <w:t xml:space="preserve">—</w:t>
            </w:r>
          </w:p>
        </w:tc>
        <w:tc>
          <w:tcPr>
            <w:tcW w:w="1836" w:type="dxa"/>
          </w:tcPr>
          <w:tcPr/>
          <w:p>
            <w:pPr>
              <w:pStyle w:val="Compact"/>
              <w:jc w:val="left"/>
            </w:pPr>
            <w:r>
              <w:t xml:space="preserve">Article IV conclu (27/08/2025)</w:t>
            </w:r>
          </w:p>
        </w:tc>
        <w:tc>
          <w:tcPr>
            <w:tcW w:w="892" w:type="dxa"/>
          </w:tcPr>
          <w:tcPr/>
          <w:p>
            <w:pPr>
              <w:pStyle w:val="Compact"/>
              <w:jc w:val="left"/>
            </w:pPr>
            <w:r>
              <w:t xml:space="preserve">[4]</w:t>
            </w:r>
          </w:p>
        </w:tc>
      </w:tr>
    </w:tbl>
    <w:bookmarkEnd w:id="397"/>
    <w:bookmarkStart w:id="398" w:name="écart-pacte-réalité-35"/>
    <w:p>
      <w:pPr>
        <w:pStyle w:val="Heading3"/>
      </w:pPr>
      <w:r>
        <w:t xml:space="preserve">5. Écart pacte ↔ réalité</w:t>
      </w:r>
    </w:p>
    <w:p>
      <w:pPr>
        <w:numPr>
          <w:ilvl w:val="0"/>
          <w:numId w:val="1213"/>
        </w:numPr>
        <w:pStyle w:val="Compact"/>
      </w:pPr>
      <w:r>
        <w:rPr>
          <w:bCs/>
          <w:b/>
        </w:rPr>
        <w:t xml:space="preserve">Compteurs « pour tous » au T4 2025</w:t>
      </w:r>
      <w:r>
        <w:t xml:space="preserve"> </w:t>
      </w:r>
      <w:r>
        <w:t xml:space="preserve">: non vérifié. La presse indique en 2026 que le comptage intelligent n’a recouvré qu’environ 20 % de la dette historique de 328 M USD [S][5].</w:t>
      </w:r>
    </w:p>
    <w:p>
      <w:pPr>
        <w:numPr>
          <w:ilvl w:val="0"/>
          <w:numId w:val="1213"/>
        </w:numPr>
        <w:pStyle w:val="Compact"/>
      </w:pPr>
      <w:r>
        <w:rPr>
          <w:bCs/>
          <w:b/>
        </w:rPr>
        <w:t xml:space="preserve">« La plupart des catégories sont déjà au tarif reflétant les coûts »</w:t>
      </w:r>
      <w:r>
        <w:t xml:space="preserve"> </w:t>
      </w:r>
      <w:r>
        <w:t xml:space="preserve">(pacte) : les seules analyses primaires (BM, 2023) montrent des tarifs inférieurs au coût de service efficient en USD, et un écart récurrent entre achat (environ 12 USc) et vente (environ 10 USc) [V][3]. La hausse de déc. 2023 (16,08 USc) a été absorbée par la dépréciation ; aucune étude coût de service après 2020 n’a été trouvée [?].</w:t>
      </w:r>
    </w:p>
    <w:p>
      <w:pPr>
        <w:numPr>
          <w:ilvl w:val="0"/>
          <w:numId w:val="1213"/>
        </w:numPr>
        <w:pStyle w:val="Compact"/>
      </w:pPr>
      <w:r>
        <w:rPr>
          <w:bCs/>
          <w:b/>
        </w:rPr>
        <w:t xml:space="preserve">Pertes</w:t>
      </w:r>
      <w:r>
        <w:t xml:space="preserve"> </w:t>
      </w:r>
      <w:r>
        <w:t xml:space="preserve">: le pacte ne met en avant que les pertes techniques (18-20 %). Sa propre annexe II affiche des</w:t>
      </w:r>
      <w:r>
        <w:t xml:space="preserve"> </w:t>
      </w:r>
      <w:r>
        <w:rPr>
          <w:bCs/>
          <w:b/>
        </w:rPr>
        <w:t xml:space="preserve">pertes ATCC d’environ 60 %</w:t>
      </w:r>
      <w:r>
        <w:t xml:space="preserve"> </w:t>
      </w:r>
      <w:r>
        <w:t xml:space="preserve">(diagnostic ZESA 2023) [(pacte)][E]. L’écart est majeur et non commenté dans le texte du pacte.</w:t>
      </w:r>
    </w:p>
    <w:p>
      <w:pPr>
        <w:numPr>
          <w:ilvl w:val="0"/>
          <w:numId w:val="1213"/>
        </w:numPr>
        <w:pStyle w:val="Compact"/>
      </w:pPr>
      <w:r>
        <w:rPr>
          <w:bCs/>
          <w:b/>
        </w:rPr>
        <w:t xml:space="preserve">Nouvelle structure de l’opérateur (T4 2025)</w:t>
      </w:r>
      <w:r>
        <w:t xml:space="preserve"> </w:t>
      </w:r>
      <w:r>
        <w:t xml:space="preserve">: décision du Cabinet seulement en août 2026 (re-bundling), à rebours de la logique de séparation et d’accès des tiers promue par le pacte (IPT, licences de distribution secondaires) [S][5][6][V][3].</w:t>
      </w:r>
    </w:p>
    <w:p>
      <w:pPr>
        <w:numPr>
          <w:ilvl w:val="0"/>
          <w:numId w:val="1213"/>
        </w:numPr>
        <w:pStyle w:val="Compact"/>
      </w:pPr>
      <w:r>
        <w:rPr>
          <w:bCs/>
          <w:b/>
        </w:rPr>
        <w:t xml:space="preserve">Comptes</w:t>
      </w:r>
      <w:r>
        <w:t xml:space="preserve"> </w:t>
      </w:r>
      <w:r>
        <w:t xml:space="preserve">: le pacte parle de comptes « audités et déposés au Parlement ». C’est cohérent avec les rapports de l’Auditor-General, mais ceux-ci signalent une continuité d’exploitation incertaine (2021, 2025) [S][5][8].</w:t>
      </w:r>
    </w:p>
    <w:bookmarkEnd w:id="398"/>
    <w:bookmarkStart w:id="399" w:name="diagnostic-synthétique-35"/>
    <w:p>
      <w:pPr>
        <w:pStyle w:val="Heading3"/>
      </w:pPr>
      <w:r>
        <w:t xml:space="preserve">6. Diagnostic synthétique</w:t>
      </w:r>
    </w:p>
    <w:p>
      <w:pPr>
        <w:numPr>
          <w:ilvl w:val="0"/>
          <w:numId w:val="1214"/>
        </w:numPr>
        <w:pStyle w:val="Compact"/>
      </w:pPr>
      <w:r>
        <w:rPr>
          <w:bCs/>
          <w:b/>
        </w:rPr>
        <w:t xml:space="preserve">Financière : faible.</w:t>
      </w:r>
      <w:r>
        <w:t xml:space="preserve"> </w:t>
      </w:r>
      <w:r>
        <w:t xml:space="preserve">Fonds de roulement négatif, dette en devises en défaut, écart recettes-coûts, monnaie instable [V][3][S][5].</w:t>
      </w:r>
    </w:p>
    <w:p>
      <w:pPr>
        <w:numPr>
          <w:ilvl w:val="0"/>
          <w:numId w:val="1214"/>
        </w:numPr>
        <w:pStyle w:val="Compact"/>
      </w:pPr>
      <w:r>
        <w:rPr>
          <w:bCs/>
          <w:b/>
        </w:rPr>
        <w:t xml:space="preserve">Technique : moyenne à faible.</w:t>
      </w:r>
      <w:r>
        <w:t xml:space="preserve"> </w:t>
      </w:r>
      <w:r>
        <w:t xml:space="preserve">Capacité fiable inférieure à la pointe, délestages de 12-14 h, pertes ATCC élevées, mais réseau étendu et Hwange 7-8 neuf [V][3].</w:t>
      </w:r>
    </w:p>
    <w:p>
      <w:pPr>
        <w:numPr>
          <w:ilvl w:val="0"/>
          <w:numId w:val="1214"/>
        </w:numPr>
        <w:pStyle w:val="Compact"/>
      </w:pPr>
      <w:r>
        <w:rPr>
          <w:bCs/>
          <w:b/>
        </w:rPr>
        <w:t xml:space="preserve">Gouvernance : faible.</w:t>
      </w:r>
      <w:r>
        <w:t xml:space="preserve"> </w:t>
      </w:r>
      <w:r>
        <w:t xml:space="preserve">Re-bundling décidé politiquement, régulateur contraint, aucune donnée de recouvrement publiée [V][3].</w:t>
      </w:r>
    </w:p>
    <w:p>
      <w:pPr>
        <w:numPr>
          <w:ilvl w:val="0"/>
          <w:numId w:val="1214"/>
        </w:numPr>
        <w:pStyle w:val="Compact"/>
      </w:pPr>
      <w:r>
        <w:rPr>
          <w:bCs/>
          <w:b/>
        </w:rPr>
        <w:t xml:space="preserve">Trois causes racines</w:t>
      </w:r>
      <w:r>
        <w:t xml:space="preserve"> </w:t>
      </w:r>
      <w:r>
        <w:t xml:space="preserve">:</w:t>
      </w:r>
    </w:p>
    <w:p>
      <w:pPr>
        <w:numPr>
          <w:ilvl w:val="1"/>
          <w:numId w:val="1215"/>
        </w:numPr>
        <w:pStyle w:val="Compact"/>
      </w:pPr>
      <w:r>
        <w:t xml:space="preserve">Instabilité monétaire : tarif en monnaie locale, coûts et dette en USD [V][3].</w:t>
      </w:r>
    </w:p>
    <w:p>
      <w:pPr>
        <w:numPr>
          <w:ilvl w:val="1"/>
          <w:numId w:val="1215"/>
        </w:numPr>
        <w:pStyle w:val="Compact"/>
      </w:pPr>
      <w:r>
        <w:t xml:space="preserve">Dette historique et arriérés souverains bloquant le financement concessionnel [V][3].</w:t>
      </w:r>
    </w:p>
    <w:p>
      <w:pPr>
        <w:numPr>
          <w:ilvl w:val="1"/>
          <w:numId w:val="1215"/>
        </w:numPr>
        <w:pStyle w:val="Compact"/>
      </w:pPr>
      <w:r>
        <w:t xml:space="preserve">Parc vieillissant, dépendance à l’hydrologie de Kariba et pertes élevées [V][3][4].</w:t>
      </w:r>
    </w:p>
    <w:p>
      <w:pPr>
        <w:numPr>
          <w:ilvl w:val="0"/>
          <w:numId w:val="1214"/>
        </w:numPr>
        <w:pStyle w:val="Compact"/>
      </w:pPr>
      <w:r>
        <w:rPr>
          <w:bCs/>
          <w:b/>
        </w:rPr>
        <w:t xml:space="preserve">À approfondir en phase 3</w:t>
      </w:r>
      <w:r>
        <w:t xml:space="preserve"> </w:t>
      </w:r>
      <w:r>
        <w:t xml:space="preserve">: grille ZERA 2025-2026 en ZWG et en USD ; part des recettes en devises ; étude coût de service 2020 ; frais TUoS/DUoS ; impact tarifaire du re-bundling.</w:t>
      </w:r>
    </w:p>
    <w:bookmarkEnd w:id="399"/>
    <w:bookmarkStart w:id="400" w:name="inconnus-35"/>
    <w:p>
      <w:pPr>
        <w:pStyle w:val="Heading3"/>
      </w:pPr>
      <w:r>
        <w:t xml:space="preserve">7. Inconnus</w:t>
      </w:r>
    </w:p>
    <w:p>
      <w:pPr>
        <w:numPr>
          <w:ilvl w:val="0"/>
          <w:numId w:val="1216"/>
        </w:numPr>
        <w:pStyle w:val="Compact"/>
      </w:pPr>
      <w:r>
        <w:t xml:space="preserve">Chiffre d’affaires, EBITDA, recouvrement 2024-2025 de ZETDC et ZPC : [?]. Le rapport de l’AG 2025 n’a pas été consulté en source primaire.</w:t>
      </w:r>
    </w:p>
    <w:p>
      <w:pPr>
        <w:numPr>
          <w:ilvl w:val="0"/>
          <w:numId w:val="1216"/>
        </w:numPr>
        <w:pStyle w:val="Compact"/>
      </w:pPr>
      <w:r>
        <w:t xml:space="preserve">Montant des subventions de l’État : [?] (« No data » dans le pacte).</w:t>
      </w:r>
    </w:p>
    <w:p>
      <w:pPr>
        <w:numPr>
          <w:ilvl w:val="0"/>
          <w:numId w:val="1216"/>
        </w:numPr>
        <w:pStyle w:val="Compact"/>
      </w:pPr>
      <w:r>
        <w:t xml:space="preserve">Arriérés de l’État et des municipalités envers ZETDC en 2025-2026 : [?]. Un chiffre de presse de 1,5 Md USD de dette des consommateurs (non daté) n’a pas été retenu.</w:t>
      </w:r>
    </w:p>
    <w:p>
      <w:pPr>
        <w:numPr>
          <w:ilvl w:val="0"/>
          <w:numId w:val="1216"/>
        </w:numPr>
        <w:pStyle w:val="Compact"/>
      </w:pPr>
      <w:r>
        <w:t xml:space="preserve">Statut réel de P500409 / P507318 : [?].</w:t>
      </w:r>
    </w:p>
    <w:p>
      <w:pPr>
        <w:numPr>
          <w:ilvl w:val="0"/>
          <w:numId w:val="1216"/>
        </w:numPr>
        <w:pStyle w:val="Compact"/>
      </w:pPr>
      <w:r>
        <w:t xml:space="preserve">ID BM du projet Kariba : [?].</w:t>
      </w:r>
    </w:p>
    <w:bookmarkEnd w:id="400"/>
    <w:bookmarkStart w:id="401" w:name="sources-36"/>
    <w:p>
      <w:pPr>
        <w:pStyle w:val="Heading3"/>
      </w:pPr>
      <w:r>
        <w:t xml:space="preserve">Sources</w:t>
      </w:r>
    </w:p>
    <w:p>
      <w:pPr>
        <w:pStyle w:val="FirstParagraph"/>
      </w:pPr>
      <w:r>
        <w:t xml:space="preserve">[1] Fiche phase 1 ZWE. ../../phase1/fiches/ZWE_zimbabwe.md</w:t>
      </w:r>
      <w:r>
        <w:t xml:space="preserve"> </w:t>
      </w:r>
      <w:r>
        <w:t xml:space="preserve">[2] Government of Zimbabwe, « National Energy Compact for the Republic of Zimbabwe », oct. 2025 (annexes II et 5 relues sur le PDF en mise en page). https://www.worldbank.org/content/dam/theworldbankgroupasset/document/2026/m300-energy-compacts/Zimbabwe-National-Energy-Compact-Mission-300.pdf (pacte)</w:t>
      </w:r>
      <w:r>
        <w:t xml:space="preserve"> </w:t>
      </w:r>
      <w:r>
        <w:t xml:space="preserve">[3] Banque mondiale, « Zimbabwe Economic Update Issue 4: Electrifying Growth through Reliable and Universal Energy Access », déc. 2023. http://documents.worldbank.org/curated/en/099818112072317606/pdf/IDU03baab0e8085cb04e19095810ac60d2fdbfa0.pdf</w:t>
      </w:r>
      <w:r>
        <w:t xml:space="preserve"> </w:t>
      </w:r>
      <w:r>
        <w:t xml:space="preserve">[4] FMI, Country Report No. 25/282, « Zimbabwe – 2025 Article IV Consultation », oct. 2025 ; communiqué 25/35 (mission SMP, 13/02/2025). https://www.imf.org/-/media/files/publications/cr/2025/english/1zweea2025001-source-pdf.pdf</w:t>
      </w:r>
      <w:r>
        <w:t xml:space="preserve"> </w:t>
      </w:r>
      <w:r>
        <w:t xml:space="preserve">[5] Equity Axis (B. Kanyemba), « ZETDC carries ZWG29.9bn working capital hole into ZESA rebundling », 24/08/2026, citant le rapport de l’Auditor-General sur les états financiers 2025 de ZETDC. https://equityaxis.net/post/19373/2026/8/zetdc-carries-zwg29-9bn-working-capital-hole-into-zesa-rebundling [S]</w:t>
      </w:r>
      <w:r>
        <w:t xml:space="preserve"> </w:t>
      </w:r>
      <w:r>
        <w:t xml:space="preserve">[6] The Herald, « Mutapa gets approval to rebundle Zesa Holdings » ; Equity Axis (août 2026). https://www.heraldonline.co.zw/mutapa-gets-approval-to-rebundle-zesa-holdings-2/ [S]</w:t>
      </w:r>
      <w:r>
        <w:t xml:space="preserve"> </w:t>
      </w:r>
      <w:r>
        <w:t xml:space="preserve">[7] Office of the Auditor-General, « Report … for the Financial Year ended December 31 2023 on State Owned Enterprises », juin 2024. https://www.auditorgeneral.gov.zw/ (non dépouillé)</w:t>
      </w:r>
      <w:r>
        <w:t xml:space="preserve"> </w:t>
      </w:r>
      <w:r>
        <w:t xml:space="preserve">[8] NewsDay, « ZETDC in the red: AG » (exercice 2021). https://newsday.co.zw/local-news/article/200018834/zetdc-in-the-red-ag [S]</w:t>
      </w:r>
      <w:r>
        <w:t xml:space="preserve"> </w:t>
      </w:r>
      <w:r>
        <w:t xml:space="preserve">[9] Ecofin Agency, « Zimbabwe secures 25-year deal for 30 MW solar plant », janv. 2026. https://www.ecofinagency.com/news-industry/2801-52350-zimbabwe-secures-25-year-deal-for-30-mw-solar-plant [S]</w:t>
      </w:r>
      <w:r>
        <w:t xml:space="preserve"> </w:t>
      </w:r>
      <w:r>
        <w:t xml:space="preserve">[10] Early Warning System, « Solar Procurement and Electricity Access Recovery Project (WB-P500409) ». https://ewsdata.rightsindevelopment.org/projects/WB-P500409/ [S]</w:t>
      </w:r>
      <w:r>
        <w:t xml:space="preserve"> </w:t>
      </w:r>
      <w:r>
        <w:t xml:space="preserve">[11] Banque mondiale, API Projects (P500409, P507318 : statut « Pipeline »), consultée le 18/10/2026.</w:t>
      </w:r>
      <w:r>
        <w:t xml:space="preserve"> </w:t>
      </w:r>
      <w:r>
        <w:t xml:space="preserve">[12] Africa-newsroom / Guardian NG ; liste de documents BAD (« Phase II Stage II project completion report », 23/02/2026) ; EWS AFDB-P-ZW-FA0-014. https://ewsdata.rightsindevelopment.org/projects/p-zw-fa0-014-emergency-power-infrastructure-rehabilitation-prog [S]</w:t>
      </w:r>
    </w:p>
    <w:p>
      <w:r>
        <w:br w:type="page"/>
      </w:r>
    </w:p>
    <w:bookmarkEnd w:id="401"/>
    <w:bookmarkEnd w:id="402"/>
    <w:bookmarkEnd w:id="403"/>
    <w:sectPr/>
    <w:sectPr>
      <w:pgSz w:w="16838" w:h="11906" w:orient="landscape"/>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3864"/>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CellMar>
        <w:top w:type="dxa" w:w="0"/>
        <w:left w:type="dxa" w:w="108"/>
        <w:bottom w:type="dxa" w:w="0"/>
        <w:right w:type="dxa" w:w="108"/>
      </w:tblCellMar>
    </w:tblPr>
    <w:rPr>
      <w:sz w:val="16"/>
      <w:szCs w:val="16"/>
    </w:rPr>
    <w:tblStylePr w:type="firstRow">
      <w:tblPr>
        <w:jc w:val="left"/>
        <w:tblInd w:type="dxa" w:w="0"/>
      </w:tblPr>
      <w:trPr>
        <w:jc w:val="left"/>
      </w:trPr>
      <w:tcPr>
        <w:tcBorders>
          <w:bottom w:val="single"/>
        </w:tcBorders>
        <w:shd w:color="auto" w:fill="D9E2F3"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300 — Diagnostic des sociétés d’électricité</dc:title>
  <dc:creator/>
  <dc:language>fr-FR</dc:language>
  <cp:keywords/>
  <dcterms:created xsi:type="dcterms:W3CDTF">2026-10-18T15:33:44Z</dcterms:created>
  <dcterms:modified xsi:type="dcterms:W3CDTF">2026-10-18T15:33:44Z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octobre 2026</vt:lpwstr>
  </property>
  <property fmtid="{D5CDD505-2E9C-101B-9397-08002B2CF9AE}" pid="3" name="subtitle">
    <vt:lpwstr>Phase 2 : situation financière, technique et économique des opérateurs et programmes BM / BAD</vt:lpwstr>
  </property>
  <property fmtid="{D5CDD505-2E9C-101B-9397-08002B2CF9AE}" pid="4" name="toc-title">
    <vt:lpwstr>Table des matières</vt:lpwstr>
  </property>
</Properties>
</file>