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0B3020"/>
          </w:tcPr>
          <w:p>
            <w:r>
              <w:rPr>
                <w:b/>
                <w:color w:val="E3C27A"/>
                <w:sz w:val="18"/>
              </w:rPr>
              <w:t>BOOK 2  |  TEMPLATE T01</w:t>
            </w:r>
          </w:p>
          <w:p>
            <w:r>
              <w:rPr>
                <w:b/>
                <w:color w:val="FFFFFF"/>
                <w:sz w:val="44"/>
              </w:rPr>
              <w:t>Investment committee memorandum</w:t>
            </w:r>
          </w:p>
          <w:p>
            <w:r>
              <w:rPr>
                <w:color w:val="E8E8E8"/>
                <w:sz w:val="24"/>
              </w:rPr>
              <w:t>PAYGo solar company: equity or debt investment</w:t>
            </w:r>
          </w:p>
          <w:p>
            <w:r>
              <w:rPr>
                <w:b/>
                <w:color w:val="E3C27A"/>
                <w:sz w:val="16"/>
              </w:rPr>
              <w:t xml:space="preserve">AUTHOR &amp; IDEATION   </w:t>
            </w:r>
            <w:r>
              <w:rPr>
                <w:b/>
                <w:color w:val="FFFFFF"/>
                <w:sz w:val="20"/>
              </w:rPr>
              <w:t>Emmanuel Boujieka Kamga</w:t>
            </w:r>
          </w:p>
        </w:tc>
      </w:tr>
    </w:tbl>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val="clear" w:color="auto" w:fill="0B3020"/>
          </w:tcPr>
          <w:p>
            <w:r/>
            <w:r>
              <w:rPr>
                <w:b/>
                <w:color w:val="FFFFFF"/>
                <w:sz w:val="18"/>
              </w:rPr>
              <w:t>Item</w:t>
            </w:r>
          </w:p>
        </w:tc>
        <w:tc>
          <w:tcPr>
            <w:tcW w:type="dxa" w:w="6236"/>
            <w:shd w:val="clear" w:color="auto" w:fill="0B3020"/>
          </w:tcPr>
          <w:p>
            <w:r/>
            <w:r>
              <w:rPr>
                <w:b/>
                <w:color w:val="FFFFFF"/>
                <w:sz w:val="18"/>
              </w:rPr>
              <w:t>Entry</w:t>
            </w:r>
          </w:p>
        </w:tc>
      </w:tr>
      <w:tr>
        <w:tc>
          <w:tcPr>
            <w:tcW w:type="dxa" w:w="3118"/>
          </w:tcPr>
          <w:p>
            <w:r/>
            <w:r>
              <w:rPr>
                <w:b/>
                <w:sz w:val="18"/>
              </w:rPr>
              <w:t>Company</w:t>
            </w:r>
          </w:p>
        </w:tc>
        <w:tc>
          <w:tcPr>
            <w:tcW w:type="dxa" w:w="6236"/>
          </w:tcPr>
          <w:p>
            <w:r/>
            <w:r>
              <w:rPr>
                <w:color w:val="0000FF"/>
                <w:sz w:val="18"/>
              </w:rPr>
              <w:t>[Company name, country]</w:t>
            </w:r>
          </w:p>
        </w:tc>
      </w:tr>
      <w:tr>
        <w:tc>
          <w:tcPr>
            <w:tcW w:type="dxa" w:w="3118"/>
          </w:tcPr>
          <w:p>
            <w:r/>
            <w:r>
              <w:rPr>
                <w:b/>
                <w:sz w:val="18"/>
              </w:rPr>
              <w:t>Transaction</w:t>
            </w:r>
          </w:p>
        </w:tc>
        <w:tc>
          <w:tcPr>
            <w:tcW w:type="dxa" w:w="6236"/>
          </w:tcPr>
          <w:p>
            <w:r/>
            <w:r>
              <w:rPr>
                <w:color w:val="0000FF"/>
                <w:sz w:val="18"/>
              </w:rPr>
              <w:t>[Instrument, amount, currency]</w:t>
            </w:r>
          </w:p>
        </w:tc>
      </w:tr>
      <w:tr>
        <w:tc>
          <w:tcPr>
            <w:tcW w:type="dxa" w:w="3118"/>
          </w:tcPr>
          <w:p>
            <w:r/>
            <w:r>
              <w:rPr>
                <w:b/>
                <w:sz w:val="18"/>
              </w:rPr>
              <w:t>Valuation and stake</w:t>
            </w:r>
          </w:p>
        </w:tc>
        <w:tc>
          <w:tcPr>
            <w:tcW w:type="dxa" w:w="6236"/>
          </w:tcPr>
          <w:p>
            <w:r/>
            <w:r>
              <w:rPr>
                <w:color w:val="0000FF"/>
                <w:sz w:val="18"/>
              </w:rPr>
              <w:t>[Pre money valuation; stake]</w:t>
            </w:r>
          </w:p>
        </w:tc>
      </w:tr>
      <w:tr>
        <w:tc>
          <w:tcPr>
            <w:tcW w:type="dxa" w:w="3118"/>
          </w:tcPr>
          <w:p>
            <w:r/>
            <w:r>
              <w:rPr>
                <w:b/>
                <w:sz w:val="18"/>
              </w:rPr>
              <w:t>Investment committee date</w:t>
            </w:r>
          </w:p>
        </w:tc>
        <w:tc>
          <w:tcPr>
            <w:tcW w:type="dxa" w:w="6236"/>
          </w:tcPr>
          <w:p>
            <w:r/>
            <w:r>
              <w:rPr>
                <w:color w:val="0000FF"/>
                <w:sz w:val="18"/>
              </w:rPr>
              <w:t>[Date]</w:t>
            </w:r>
          </w:p>
        </w:tc>
      </w:tr>
      <w:tr>
        <w:tc>
          <w:tcPr>
            <w:tcW w:type="dxa" w:w="3118"/>
          </w:tcPr>
          <w:p>
            <w:r/>
            <w:r>
              <w:rPr>
                <w:b/>
                <w:sz w:val="18"/>
              </w:rPr>
              <w:t>Deal team</w:t>
            </w:r>
          </w:p>
        </w:tc>
        <w:tc>
          <w:tcPr>
            <w:tcW w:type="dxa" w:w="6236"/>
          </w:tcPr>
          <w:p>
            <w:r/>
            <w:r>
              <w:rPr>
                <w:color w:val="0000FF"/>
                <w:sz w:val="18"/>
              </w:rPr>
              <w:t>[Names]</w:t>
            </w:r>
          </w:p>
        </w:tc>
      </w:tr>
      <w:tr>
        <w:tc>
          <w:tcPr>
            <w:tcW w:type="dxa" w:w="3118"/>
          </w:tcPr>
          <w:p>
            <w:r/>
            <w:r>
              <w:rPr>
                <w:b/>
                <w:sz w:val="18"/>
              </w:rPr>
              <w:t>Recommendation</w:t>
            </w:r>
          </w:p>
        </w:tc>
        <w:tc>
          <w:tcPr>
            <w:tcW w:type="dxa" w:w="6236"/>
          </w:tcPr>
          <w:p>
            <w:r/>
            <w:r>
              <w:rPr>
                <w:color w:val="0000FF"/>
                <w:sz w:val="18"/>
              </w:rPr>
              <w:t>[Go / Conditional Go / Stop]</w:t>
            </w:r>
          </w:p>
        </w:tc>
      </w:tr>
      <w:tr>
        <w:tc>
          <w:tcPr>
            <w:tcW w:type="dxa" w:w="3118"/>
          </w:tcPr>
          <w:p>
            <w:r/>
            <w:r>
              <w:rPr>
                <w:b/>
                <w:sz w:val="18"/>
              </w:rPr>
              <w:t>Model and version</w:t>
            </w:r>
          </w:p>
        </w:tc>
        <w:tc>
          <w:tcPr>
            <w:tcW w:type="dxa" w:w="6236"/>
          </w:tcPr>
          <w:p>
            <w:r/>
            <w:r>
              <w:rPr>
                <w:color w:val="0000FF"/>
                <w:sz w:val="18"/>
              </w:rPr>
              <w:t>[MODEL 2, PAYGo Company Financial and Investment Model: version, file name]</w:t>
            </w:r>
          </w:p>
        </w:tc>
      </w:tr>
      <w:tr>
        <w:tc>
          <w:tcPr>
            <w:tcW w:type="dxa" w:w="3118"/>
          </w:tcPr>
          <w:p>
            <w:r/>
            <w:r>
              <w:rPr>
                <w:b/>
                <w:sz w:val="18"/>
              </w:rPr>
              <w:t>Investment readiness</w:t>
            </w:r>
          </w:p>
        </w:tc>
        <w:tc>
          <w:tcPr>
            <w:tcW w:type="dxa" w:w="6236"/>
          </w:tcPr>
          <w:p>
            <w:r/>
            <w:r>
              <w:rPr>
                <w:color w:val="0000FF"/>
                <w:sz w:val="18"/>
              </w:rPr>
              <w:t>[x of 23 gates met, y of 13 critical; workbook decision GO / CONDITIONAL GO / STOP]</w:t>
            </w:r>
          </w:p>
        </w:tc>
      </w:tr>
    </w:tbl>
    <w:p/>
    <w:p/>
    <w:p>
      <w:r>
        <w:rPr>
          <w:i/>
          <w:color w:val="666666"/>
          <w:sz w:val="18"/>
        </w:rPr>
        <w:t>Text in square brackets is to be replaced. Grey italic paragraphs are guidance and should be deleted before the document is issued. The contents list and page numbers refresh when the document is opened in Word; if they do not, select the contents and press F9.</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8"/>
              </w:rPr>
              <w:t>Version</w:t>
            </w:r>
          </w:p>
        </w:tc>
        <w:tc>
          <w:tcPr>
            <w:tcW w:type="dxa" w:w="1928"/>
            <w:shd w:val="clear" w:color="auto" w:fill="0B3020"/>
          </w:tcPr>
          <w:p>
            <w:r/>
            <w:r>
              <w:rPr>
                <w:b/>
                <w:color w:val="FFFFFF"/>
                <w:sz w:val="18"/>
              </w:rPr>
              <w:t>Date</w:t>
            </w:r>
          </w:p>
        </w:tc>
        <w:tc>
          <w:tcPr>
            <w:tcW w:type="dxa" w:w="1928"/>
            <w:shd w:val="clear" w:color="auto" w:fill="0B3020"/>
          </w:tcPr>
          <w:p>
            <w:r/>
            <w:r>
              <w:rPr>
                <w:b/>
                <w:color w:val="FFFFFF"/>
                <w:sz w:val="18"/>
              </w:rPr>
              <w:t>Author</w:t>
            </w:r>
          </w:p>
        </w:tc>
        <w:tc>
          <w:tcPr>
            <w:tcW w:type="dxa" w:w="1928"/>
            <w:shd w:val="clear" w:color="auto" w:fill="0B3020"/>
          </w:tcPr>
          <w:p>
            <w:r/>
            <w:r>
              <w:rPr>
                <w:b/>
                <w:color w:val="FFFFFF"/>
                <w:sz w:val="18"/>
              </w:rPr>
              <w:t>Reviewer</w:t>
            </w:r>
          </w:p>
        </w:tc>
        <w:tc>
          <w:tcPr>
            <w:tcW w:type="dxa" w:w="1928"/>
            <w:shd w:val="clear" w:color="auto" w:fill="0B3020"/>
          </w:tcPr>
          <w:p>
            <w:r/>
            <w:r>
              <w:rPr>
                <w:b/>
                <w:color w:val="FFFFFF"/>
                <w:sz w:val="18"/>
              </w:rPr>
              <w:t>Changes</w:t>
            </w:r>
          </w:p>
        </w:tc>
      </w:tr>
      <w:tr>
        <w:tc>
          <w:tcPr>
            <w:tcW w:type="dxa" w:w="1928"/>
          </w:tcPr>
          <w:p>
            <w:r/>
            <w:r>
              <w:rPr>
                <w:color w:val="0000FF"/>
                <w:sz w:val="18"/>
              </w:rPr>
              <w:t>[0.1]</w:t>
            </w:r>
          </w:p>
        </w:tc>
        <w:tc>
          <w:tcPr>
            <w:tcW w:type="dxa" w:w="1928"/>
          </w:tcPr>
          <w:p>
            <w:r/>
            <w:r>
              <w:rPr>
                <w:color w:val="0000FF"/>
                <w:sz w:val="18"/>
              </w:rPr>
              <w:t>[date]</w:t>
            </w:r>
          </w:p>
        </w:tc>
        <w:tc>
          <w:tcPr>
            <w:tcW w:type="dxa" w:w="1928"/>
          </w:tcPr>
          <w:p>
            <w:r/>
            <w:r>
              <w:rPr>
                <w:color w:val="0000FF"/>
                <w:sz w:val="18"/>
              </w:rPr>
              <w:t>[name]</w:t>
            </w:r>
          </w:p>
        </w:tc>
        <w:tc>
          <w:tcPr>
            <w:tcW w:type="dxa" w:w="1928"/>
          </w:tcPr>
          <w:p>
            <w:r/>
            <w:r>
              <w:rPr>
                <w:color w:val="0000FF"/>
                <w:sz w:val="18"/>
              </w:rPr>
              <w:t>[name]</w:t>
            </w:r>
          </w:p>
        </w:tc>
        <w:tc>
          <w:tcPr>
            <w:tcW w:type="dxa" w:w="1928"/>
          </w:tcPr>
          <w:p>
            <w:r/>
            <w:r>
              <w:rPr>
                <w:color w:val="0000FF"/>
                <w:sz w:val="18"/>
              </w:rPr>
              <w:t>[first draft]</w:t>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bl>
    <w:p/>
    <w:p>
      <w:r>
        <w:br w:type="page"/>
      </w:r>
    </w:p>
    <w:p>
      <w:r>
        <w:rPr>
          <w:b/>
          <w:color w:val="0B3020"/>
          <w:sz w:val="30"/>
        </w:rPr>
        <w:t>Contents</w:t>
      </w:r>
    </w:p>
    <w:p>
      <w:r>
        <w:fldChar w:fldCharType="begin"/>
      </w:r>
      <w:r>
        <w:instrText xml:space="preserve"> TOC \o "1-2" \h \z \u </w:instrText>
      </w:r>
      <w:r>
        <w:fldChar w:fldCharType="separate"/>
      </w:r>
      <w:r>
        <w:rPr>
          <w:i/>
        </w:rPr>
        <w:t>Word builds the contents list with page numbers when the document is opened.</w:t>
      </w:r>
      <w:r>
        <w:fldChar w:fldCharType="end"/>
      </w:r>
    </w:p>
    <w:p>
      <w:r>
        <w:br w:type="page"/>
      </w:r>
    </w:p>
    <w:p>
      <w:pPr>
        <w:pStyle w:val="Heading1"/>
      </w:pPr>
      <w:r>
        <w:t>1. Recommendation and conditions</w:t>
      </w:r>
    </w:p>
    <w:p>
      <w:r>
        <w:rPr>
          <w:i/>
          <w:color w:val="666666"/>
          <w:sz w:val="18"/>
        </w:rPr>
        <w:t>State the recommendation in one sentence, then the conditions. Every later section is evidence for or against them. Write each condition as a condition precedent, a covenant or a structural feature, never as a hope.</w:t>
      </w:r>
    </w:p>
    <w:p>
      <w:pPr>
        <w:jc w:val="both"/>
      </w:pPr>
      <w:r>
        <w:t>[The deal team recommends a Go / Conditional Go / Stop on an investment of USD x in Company, subject to the conditions below.]</w:t>
      </w:r>
    </w:p>
    <w:p>
      <w:pPr>
        <w:pStyle w:val="Heading2"/>
      </w:pPr>
      <w:r>
        <w:t>Conditions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567"/>
            <w:shd w:val="clear" w:color="auto" w:fill="0B3020"/>
          </w:tcPr>
          <w:p>
            <w:r/>
            <w:r>
              <w:rPr>
                <w:b/>
                <w:color w:val="FFFFFF"/>
                <w:sz w:val="18"/>
              </w:rPr>
              <w:t>No.</w:t>
            </w:r>
          </w:p>
        </w:tc>
        <w:tc>
          <w:tcPr>
            <w:tcW w:type="dxa" w:w="2835"/>
            <w:shd w:val="clear" w:color="auto" w:fill="0B3020"/>
          </w:tcPr>
          <w:p>
            <w:r/>
            <w:r>
              <w:rPr>
                <w:b/>
                <w:color w:val="FFFFFF"/>
                <w:sz w:val="18"/>
              </w:rPr>
              <w:t>Condition</w:t>
            </w:r>
          </w:p>
        </w:tc>
        <w:tc>
          <w:tcPr>
            <w:tcW w:type="dxa" w:w="1474"/>
            <w:shd w:val="clear" w:color="auto" w:fill="0B3020"/>
          </w:tcPr>
          <w:p>
            <w:r/>
            <w:r>
              <w:rPr>
                <w:b/>
                <w:color w:val="FFFFFF"/>
                <w:sz w:val="18"/>
              </w:rPr>
              <w:t>Type</w:t>
            </w:r>
          </w:p>
        </w:tc>
        <w:tc>
          <w:tcPr>
            <w:tcW w:type="dxa" w:w="1928"/>
            <w:shd w:val="clear" w:color="auto" w:fill="0B3020"/>
          </w:tcPr>
          <w:p>
            <w:r/>
            <w:r>
              <w:rPr>
                <w:b/>
                <w:color w:val="FFFFFF"/>
                <w:sz w:val="18"/>
              </w:rPr>
              <w:t>Evidence required</w:t>
            </w:r>
          </w:p>
        </w:tc>
        <w:tc>
          <w:tcPr>
            <w:tcW w:type="dxa" w:w="1474"/>
            <w:shd w:val="clear" w:color="auto" w:fill="0B3020"/>
          </w:tcPr>
          <w:p>
            <w:r/>
            <w:r>
              <w:rPr>
                <w:b/>
                <w:color w:val="FFFFFF"/>
                <w:sz w:val="18"/>
              </w:rPr>
              <w:t>Linked gate or risk</w:t>
            </w:r>
          </w:p>
        </w:tc>
        <w:tc>
          <w:tcPr>
            <w:tcW w:type="dxa" w:w="1134"/>
            <w:shd w:val="clear" w:color="auto" w:fill="0B3020"/>
          </w:tcPr>
          <w:p>
            <w:r/>
            <w:r>
              <w:rPr>
                <w:b/>
                <w:color w:val="FFFFFF"/>
                <w:sz w:val="18"/>
              </w:rPr>
              <w:t>Owner</w:t>
            </w:r>
          </w:p>
        </w:tc>
      </w:tr>
      <w:tr>
        <w:tc>
          <w:tcPr>
            <w:tcW w:type="dxa" w:w="567"/>
          </w:tcPr>
          <w:p>
            <w:r/>
            <w:r>
              <w:rPr>
                <w:sz w:val="18"/>
              </w:rPr>
              <w:t>1</w:t>
            </w:r>
          </w:p>
        </w:tc>
        <w:tc>
          <w:tcPr>
            <w:tcW w:type="dxa" w:w="2835"/>
          </w:tcPr>
          <w:p>
            <w:r/>
            <w:r>
              <w:rPr>
                <w:color w:val="0000FF"/>
                <w:sz w:val="18"/>
              </w:rPr>
              <w:t>[Pricing policy: indexation of new contract prices]</w:t>
            </w:r>
          </w:p>
        </w:tc>
        <w:tc>
          <w:tcPr>
            <w:tcW w:type="dxa" w:w="1474"/>
          </w:tcPr>
          <w:p>
            <w:r/>
            <w:r>
              <w:rPr>
                <w:color w:val="0000FF"/>
                <w:sz w:val="18"/>
              </w:rPr>
              <w:t>[Condition precedent]</w:t>
            </w:r>
          </w:p>
        </w:tc>
        <w:tc>
          <w:tcPr>
            <w:tcW w:type="dxa" w:w="1928"/>
          </w:tcPr>
          <w:p>
            <w:r/>
            <w:r>
              <w:rPr>
                <w:color w:val="0000FF"/>
                <w:sz w:val="18"/>
              </w:rPr>
              <w:t>[Board resolution]</w:t>
            </w:r>
          </w:p>
        </w:tc>
        <w:tc>
          <w:tcPr>
            <w:tcW w:type="dxa" w:w="1474"/>
          </w:tcPr>
          <w:p>
            <w:r/>
            <w:r>
              <w:rPr>
                <w:color w:val="0000FF"/>
                <w:sz w:val="18"/>
              </w:rPr>
              <w:t>[Risk R2]</w:t>
            </w:r>
          </w:p>
        </w:tc>
        <w:tc>
          <w:tcPr>
            <w:tcW w:type="dxa" w:w="1134"/>
          </w:tcPr>
          <w:p>
            <w:r/>
            <w:r>
              <w:rPr>
                <w:color w:val="0000FF"/>
                <w:sz w:val="18"/>
              </w:rPr>
              <w:t>[Name]</w:t>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r>
        <w:tc>
          <w:tcPr>
            <w:tcW w:type="dxa" w:w="567"/>
          </w:tcPr>
          <w:p>
            <w:r/>
            <w:r>
              <w:rPr>
                <w:sz w:val="18"/>
              </w:rPr>
            </w:r>
          </w:p>
        </w:tc>
        <w:tc>
          <w:tcPr>
            <w:tcW w:type="dxa" w:w="2835"/>
          </w:tcPr>
          <w:p>
            <w:r/>
            <w:r>
              <w:rPr>
                <w:sz w:val="18"/>
              </w:rPr>
            </w:r>
          </w:p>
        </w:tc>
        <w:tc>
          <w:tcPr>
            <w:tcW w:type="dxa" w:w="1474"/>
          </w:tcPr>
          <w:p>
            <w:r/>
            <w:r>
              <w:rPr>
                <w:sz w:val="18"/>
              </w:rPr>
            </w:r>
          </w:p>
        </w:tc>
        <w:tc>
          <w:tcPr>
            <w:tcW w:type="dxa" w:w="1928"/>
          </w:tcPr>
          <w:p>
            <w:r/>
            <w:r>
              <w:rPr>
                <w:sz w:val="18"/>
              </w:rPr>
            </w:r>
          </w:p>
        </w:tc>
        <w:tc>
          <w:tcPr>
            <w:tcW w:type="dxa" w:w="1474"/>
          </w:tcPr>
          <w:p>
            <w:r/>
            <w:r>
              <w:rPr>
                <w:sz w:val="18"/>
              </w:rPr>
            </w:r>
          </w:p>
        </w:tc>
        <w:tc>
          <w:tcPr>
            <w:tcW w:type="dxa" w:w="1134"/>
          </w:tcPr>
          <w:p>
            <w:r/>
            <w:r>
              <w:rPr>
                <w:sz w:val="18"/>
              </w:rPr>
            </w:r>
          </w:p>
        </w:tc>
      </w:tr>
    </w:tbl>
    <w:p/>
    <w:p>
      <w:pPr>
        <w:pStyle w:val="Heading2"/>
      </w:pPr>
      <w:r>
        <w:t>Key figures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3969"/>
            <w:shd w:val="clear" w:color="auto" w:fill="0B3020"/>
          </w:tcPr>
          <w:p>
            <w:r/>
            <w:r>
              <w:rPr>
                <w:b/>
                <w:color w:val="FFFFFF"/>
                <w:sz w:val="18"/>
              </w:rPr>
              <w:t>Metric</w:t>
            </w:r>
          </w:p>
        </w:tc>
        <w:tc>
          <w:tcPr>
            <w:tcW w:type="dxa" w:w="1417"/>
            <w:shd w:val="clear" w:color="auto" w:fill="0B3020"/>
          </w:tcPr>
          <w:p>
            <w:r/>
            <w:r>
              <w:rPr>
                <w:b/>
                <w:color w:val="FFFFFF"/>
                <w:sz w:val="18"/>
              </w:rPr>
              <w:t>Base</w:t>
            </w:r>
          </w:p>
        </w:tc>
        <w:tc>
          <w:tcPr>
            <w:tcW w:type="dxa" w:w="1417"/>
            <w:shd w:val="clear" w:color="auto" w:fill="0B3020"/>
          </w:tcPr>
          <w:p>
            <w:r/>
            <w:r>
              <w:rPr>
                <w:b/>
                <w:color w:val="FFFFFF"/>
                <w:sz w:val="18"/>
              </w:rPr>
              <w:t>Downside</w:t>
            </w:r>
          </w:p>
        </w:tc>
        <w:tc>
          <w:tcPr>
            <w:tcW w:type="dxa" w:w="2551"/>
            <w:shd w:val="clear" w:color="auto" w:fill="0B3020"/>
          </w:tcPr>
          <w:p>
            <w:r/>
            <w:r>
              <w:rPr>
                <w:b/>
                <w:color w:val="FFFFFF"/>
                <w:sz w:val="18"/>
              </w:rPr>
              <w:t>Source in the model</w:t>
            </w:r>
          </w:p>
        </w:tc>
      </w:tr>
      <w:tr>
        <w:tc>
          <w:tcPr>
            <w:tcW w:type="dxa" w:w="3969"/>
          </w:tcPr>
          <w:p>
            <w:r/>
            <w:r>
              <w:rPr>
                <w:b/>
                <w:sz w:val="18"/>
              </w:rPr>
              <w:t>Revenue, Year 1 and Year 5 (USD)</w:t>
            </w:r>
          </w:p>
        </w:tc>
        <w:tc>
          <w:tcPr>
            <w:tcW w:type="dxa" w:w="1417"/>
          </w:tcPr>
          <w:p>
            <w:r/>
            <w:r>
              <w:rPr>
                <w:sz w:val="18"/>
              </w:rPr>
            </w:r>
          </w:p>
        </w:tc>
        <w:tc>
          <w:tcPr>
            <w:tcW w:type="dxa" w:w="1417"/>
          </w:tcPr>
          <w:p>
            <w:r/>
            <w:r>
              <w:rPr>
                <w:sz w:val="18"/>
              </w:rPr>
            </w:r>
          </w:p>
        </w:tc>
        <w:tc>
          <w:tcPr>
            <w:tcW w:type="dxa" w:w="2551"/>
          </w:tcPr>
          <w:p>
            <w:r/>
            <w:r>
              <w:rPr>
                <w:sz w:val="18"/>
              </w:rPr>
              <w:t>KPIs; Investment_Summary</w:t>
            </w:r>
          </w:p>
        </w:tc>
      </w:tr>
      <w:tr>
        <w:tc>
          <w:tcPr>
            <w:tcW w:type="dxa" w:w="3969"/>
          </w:tcPr>
          <w:p>
            <w:r/>
            <w:r>
              <w:rPr>
                <w:b/>
                <w:sz w:val="18"/>
              </w:rPr>
              <w:t>EBITDA margin, Year 5</w:t>
            </w:r>
          </w:p>
        </w:tc>
        <w:tc>
          <w:tcPr>
            <w:tcW w:type="dxa" w:w="1417"/>
          </w:tcPr>
          <w:p>
            <w:r/>
            <w:r>
              <w:rPr>
                <w:sz w:val="18"/>
              </w:rPr>
            </w:r>
          </w:p>
        </w:tc>
        <w:tc>
          <w:tcPr>
            <w:tcW w:type="dxa" w:w="1417"/>
          </w:tcPr>
          <w:p>
            <w:r/>
            <w:r>
              <w:rPr>
                <w:sz w:val="18"/>
              </w:rPr>
            </w:r>
          </w:p>
        </w:tc>
        <w:tc>
          <w:tcPr>
            <w:tcW w:type="dxa" w:w="2551"/>
          </w:tcPr>
          <w:p>
            <w:r/>
            <w:r>
              <w:rPr>
                <w:sz w:val="18"/>
              </w:rPr>
              <w:t>KPIs</w:t>
            </w:r>
          </w:p>
        </w:tc>
      </w:tr>
      <w:tr>
        <w:tc>
          <w:tcPr>
            <w:tcW w:type="dxa" w:w="3969"/>
          </w:tcPr>
          <w:p>
            <w:r/>
            <w:r>
              <w:rPr>
                <w:b/>
                <w:sz w:val="18"/>
              </w:rPr>
              <w:t>Peak equity requirement (USD)</w:t>
            </w:r>
          </w:p>
        </w:tc>
        <w:tc>
          <w:tcPr>
            <w:tcW w:type="dxa" w:w="1417"/>
          </w:tcPr>
          <w:p>
            <w:r/>
            <w:r>
              <w:rPr>
                <w:sz w:val="18"/>
              </w:rPr>
            </w:r>
          </w:p>
        </w:tc>
        <w:tc>
          <w:tcPr>
            <w:tcW w:type="dxa" w:w="1417"/>
          </w:tcPr>
          <w:p>
            <w:r/>
            <w:r>
              <w:rPr>
                <w:sz w:val="18"/>
              </w:rPr>
            </w:r>
          </w:p>
        </w:tc>
        <w:tc>
          <w:tcPr>
            <w:tcW w:type="dxa" w:w="2551"/>
          </w:tcPr>
          <w:p>
            <w:r/>
            <w:r>
              <w:rPr>
                <w:sz w:val="18"/>
              </w:rPr>
              <w:t>Investment_Summary</w:t>
            </w:r>
          </w:p>
        </w:tc>
      </w:tr>
      <w:tr>
        <w:tc>
          <w:tcPr>
            <w:tcW w:type="dxa" w:w="3969"/>
          </w:tcPr>
          <w:p>
            <w:r/>
            <w:r>
              <w:rPr>
                <w:b/>
                <w:sz w:val="18"/>
              </w:rPr>
              <w:t>Investor IRR and multiple (USD)</w:t>
            </w:r>
          </w:p>
        </w:tc>
        <w:tc>
          <w:tcPr>
            <w:tcW w:type="dxa" w:w="1417"/>
          </w:tcPr>
          <w:p>
            <w:r/>
            <w:r>
              <w:rPr>
                <w:sz w:val="18"/>
              </w:rPr>
            </w:r>
          </w:p>
        </w:tc>
        <w:tc>
          <w:tcPr>
            <w:tcW w:type="dxa" w:w="1417"/>
          </w:tcPr>
          <w:p>
            <w:r/>
            <w:r>
              <w:rPr>
                <w:sz w:val="18"/>
              </w:rPr>
            </w:r>
          </w:p>
        </w:tc>
        <w:tc>
          <w:tcPr>
            <w:tcW w:type="dxa" w:w="2551"/>
          </w:tcPr>
          <w:p>
            <w:r/>
            <w:r>
              <w:rPr>
                <w:sz w:val="18"/>
              </w:rPr>
              <w:t>Valuation</w:t>
            </w:r>
          </w:p>
        </w:tc>
      </w:tr>
      <w:tr>
        <w:tc>
          <w:tcPr>
            <w:tcW w:type="dxa" w:w="3969"/>
          </w:tcPr>
          <w:p>
            <w:r/>
            <w:r>
              <w:rPr>
                <w:b/>
                <w:sz w:val="18"/>
              </w:rPr>
              <w:t>Lowest trailing 3 month operational collection rate against covenant</w:t>
            </w:r>
          </w:p>
        </w:tc>
        <w:tc>
          <w:tcPr>
            <w:tcW w:type="dxa" w:w="1417"/>
          </w:tcPr>
          <w:p>
            <w:r/>
            <w:r>
              <w:rPr>
                <w:sz w:val="18"/>
              </w:rPr>
            </w:r>
          </w:p>
        </w:tc>
        <w:tc>
          <w:tcPr>
            <w:tcW w:type="dxa" w:w="1417"/>
          </w:tcPr>
          <w:p>
            <w:r/>
            <w:r>
              <w:rPr>
                <w:sz w:val="18"/>
              </w:rPr>
            </w:r>
          </w:p>
        </w:tc>
        <w:tc>
          <w:tcPr>
            <w:tcW w:type="dxa" w:w="2551"/>
          </w:tcPr>
          <w:p>
            <w:r/>
            <w:r>
              <w:rPr>
                <w:sz w:val="18"/>
              </w:rPr>
              <w:t>Covenants</w:t>
            </w:r>
          </w:p>
        </w:tc>
      </w:tr>
      <w:tr>
        <w:tc>
          <w:tcPr>
            <w:tcW w:type="dxa" w:w="3969"/>
          </w:tcPr>
          <w:p>
            <w:r/>
            <w:r>
              <w:rPr>
                <w:b/>
                <w:sz w:val="18"/>
              </w:rPr>
              <w:t>Observed operational collection rate, last 12 months of history</w:t>
            </w:r>
          </w:p>
        </w:tc>
        <w:tc>
          <w:tcPr>
            <w:tcW w:type="dxa" w:w="1417"/>
          </w:tcPr>
          <w:p>
            <w:r/>
            <w:r>
              <w:rPr>
                <w:sz w:val="18"/>
              </w:rPr>
            </w:r>
          </w:p>
        </w:tc>
        <w:tc>
          <w:tcPr>
            <w:tcW w:type="dxa" w:w="1417"/>
          </w:tcPr>
          <w:p>
            <w:r/>
            <w:r>
              <w:rPr>
                <w:sz w:val="18"/>
              </w:rPr>
            </w:r>
          </w:p>
        </w:tc>
        <w:tc>
          <w:tcPr>
            <w:tcW w:type="dxa" w:w="2551"/>
          </w:tcPr>
          <w:p>
            <w:r/>
            <w:r>
              <w:rPr>
                <w:sz w:val="18"/>
              </w:rPr>
              <w:t>Credit_Portfolio (history summary)</w:t>
            </w:r>
          </w:p>
        </w:tc>
      </w:tr>
      <w:tr>
        <w:tc>
          <w:tcPr>
            <w:tcW w:type="dxa" w:w="3969"/>
          </w:tcPr>
          <w:p>
            <w:r/>
            <w:r>
              <w:rPr>
                <w:b/>
                <w:sz w:val="18"/>
              </w:rPr>
              <w:t>PAYGo PERFORM 2026 KPIs, company reported (RR PvP, OR @2x)</w:t>
            </w:r>
          </w:p>
        </w:tc>
        <w:tc>
          <w:tcPr>
            <w:tcW w:type="dxa" w:w="1417"/>
          </w:tcPr>
          <w:p>
            <w:r/>
            <w:r>
              <w:rPr>
                <w:sz w:val="18"/>
              </w:rPr>
            </w:r>
          </w:p>
        </w:tc>
        <w:tc>
          <w:tcPr>
            <w:tcW w:type="dxa" w:w="1417"/>
          </w:tcPr>
          <w:p>
            <w:r/>
            <w:r>
              <w:rPr>
                <w:sz w:val="18"/>
              </w:rPr>
            </w:r>
          </w:p>
        </w:tc>
        <w:tc>
          <w:tcPr>
            <w:tcW w:type="dxa" w:w="2551"/>
          </w:tcPr>
          <w:p>
            <w:r/>
            <w:r>
              <w:rPr>
                <w:sz w:val="18"/>
              </w:rPr>
              <w:t>PERFORM_2026</w:t>
            </w:r>
          </w:p>
        </w:tc>
      </w:tr>
      <w:tr>
        <w:tc>
          <w:tcPr>
            <w:tcW w:type="dxa" w:w="3969"/>
          </w:tcPr>
          <w:p>
            <w:r/>
            <w:r>
              <w:rPr>
                <w:b/>
                <w:sz w:val="18"/>
              </w:rPr>
              <w:t>Readiness gates met (critical gates met) and workbook decision</w:t>
            </w:r>
          </w:p>
        </w:tc>
        <w:tc>
          <w:tcPr>
            <w:tcW w:type="dxa" w:w="1417"/>
          </w:tcPr>
          <w:p>
            <w:r/>
            <w:r>
              <w:rPr>
                <w:sz w:val="18"/>
              </w:rPr>
            </w:r>
          </w:p>
        </w:tc>
        <w:tc>
          <w:tcPr>
            <w:tcW w:type="dxa" w:w="1417"/>
          </w:tcPr>
          <w:p>
            <w:r/>
            <w:r>
              <w:rPr>
                <w:sz w:val="18"/>
              </w:rPr>
            </w:r>
          </w:p>
        </w:tc>
        <w:tc>
          <w:tcPr>
            <w:tcW w:type="dxa" w:w="2551"/>
          </w:tcPr>
          <w:p>
            <w:r/>
            <w:r>
              <w:rPr>
                <w:sz w:val="18"/>
              </w:rPr>
              <w:t>Investment_Readiness</w:t>
            </w:r>
          </w:p>
        </w:tc>
      </w:tr>
    </w:tbl>
    <w:p/>
    <w:p>
      <w:pPr>
        <w:pStyle w:val="Heading1"/>
      </w:pPr>
      <w:r>
        <w:t>2. Company, market and product range</w:t>
      </w:r>
    </w:p>
    <w:p>
      <w:r>
        <w:rPr>
          <w:i/>
          <w:color w:val="666666"/>
          <w:sz w:val="18"/>
        </w:rPr>
        <w:t>Describe the company as three businesses: retailer, service provider and consumer lender. Who are the customers by tier, what do they pay, and what alternatives do they have?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0B3020"/>
          </w:tcPr>
          <w:p>
            <w:r/>
            <w:r>
              <w:rPr>
                <w:b/>
                <w:color w:val="FFFFFF"/>
                <w:sz w:val="17"/>
              </w:rPr>
              <w:t>Tier</w:t>
            </w:r>
          </w:p>
        </w:tc>
        <w:tc>
          <w:tcPr>
            <w:tcW w:type="dxa" w:w="1205"/>
            <w:shd w:val="clear" w:color="auto" w:fill="0B3020"/>
          </w:tcPr>
          <w:p>
            <w:r/>
            <w:r>
              <w:rPr>
                <w:b/>
                <w:color w:val="FFFFFF"/>
                <w:sz w:val="17"/>
              </w:rPr>
              <w:t>Product</w:t>
            </w:r>
          </w:p>
        </w:tc>
        <w:tc>
          <w:tcPr>
            <w:tcW w:type="dxa" w:w="1205"/>
            <w:shd w:val="clear" w:color="auto" w:fill="0B3020"/>
          </w:tcPr>
          <w:p>
            <w:r/>
            <w:r>
              <w:rPr>
                <w:b/>
                <w:color w:val="FFFFFF"/>
                <w:sz w:val="17"/>
              </w:rPr>
              <w:t>Cash price</w:t>
            </w:r>
          </w:p>
        </w:tc>
        <w:tc>
          <w:tcPr>
            <w:tcW w:type="dxa" w:w="1205"/>
            <w:shd w:val="clear" w:color="auto" w:fill="0B3020"/>
          </w:tcPr>
          <w:p>
            <w:r/>
            <w:r>
              <w:rPr>
                <w:b/>
                <w:color w:val="FFFFFF"/>
                <w:sz w:val="17"/>
              </w:rPr>
              <w:t>Deposit</w:t>
            </w:r>
          </w:p>
        </w:tc>
        <w:tc>
          <w:tcPr>
            <w:tcW w:type="dxa" w:w="1205"/>
            <w:shd w:val="clear" w:color="auto" w:fill="0B3020"/>
          </w:tcPr>
          <w:p>
            <w:r/>
            <w:r>
              <w:rPr>
                <w:b/>
                <w:color w:val="FFFFFF"/>
                <w:sz w:val="17"/>
              </w:rPr>
              <w:t>Daily rate</w:t>
            </w:r>
          </w:p>
        </w:tc>
        <w:tc>
          <w:tcPr>
            <w:tcW w:type="dxa" w:w="1205"/>
            <w:shd w:val="clear" w:color="auto" w:fill="0B3020"/>
          </w:tcPr>
          <w:p>
            <w:r/>
            <w:r>
              <w:rPr>
                <w:b/>
                <w:color w:val="FFFFFF"/>
                <w:sz w:val="17"/>
              </w:rPr>
              <w:t>Tenor</w:t>
            </w:r>
          </w:p>
        </w:tc>
        <w:tc>
          <w:tcPr>
            <w:tcW w:type="dxa" w:w="1205"/>
            <w:shd w:val="clear" w:color="auto" w:fill="0B3020"/>
          </w:tcPr>
          <w:p>
            <w:r/>
            <w:r>
              <w:rPr>
                <w:b/>
                <w:color w:val="FFFFFF"/>
                <w:sz w:val="17"/>
              </w:rPr>
              <w:t>Implied APR</w:t>
            </w:r>
          </w:p>
        </w:tc>
        <w:tc>
          <w:tcPr>
            <w:tcW w:type="dxa" w:w="1205"/>
            <w:shd w:val="clear" w:color="auto" w:fill="0B3020"/>
          </w:tcPr>
          <w:p>
            <w:r/>
            <w:r>
              <w:rPr>
                <w:b/>
                <w:color w:val="FFFFFF"/>
                <w:sz w:val="17"/>
              </w:rPr>
              <w:t>Planned mix</w:t>
            </w:r>
          </w:p>
        </w:tc>
      </w:tr>
      <w:tr>
        <w:tc>
          <w:tcPr>
            <w:tcW w:type="dxa" w:w="1205"/>
          </w:tcPr>
          <w:p>
            <w:r/>
            <w:r>
              <w:rPr>
                <w:sz w:val="17"/>
              </w:rPr>
              <w:t>1</w:t>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r>
      <w:tr>
        <w:tc>
          <w:tcPr>
            <w:tcW w:type="dxa" w:w="1205"/>
          </w:tcPr>
          <w:p>
            <w:r/>
            <w:r>
              <w:rPr>
                <w:sz w:val="17"/>
              </w:rPr>
              <w:t>2</w:t>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r>
      <w:tr>
        <w:tc>
          <w:tcPr>
            <w:tcW w:type="dxa" w:w="1205"/>
          </w:tcPr>
          <w:p>
            <w:r/>
            <w:r>
              <w:rPr>
                <w:sz w:val="17"/>
              </w:rPr>
              <w:t>3</w:t>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r>
      <w:tr>
        <w:tc>
          <w:tcPr>
            <w:tcW w:type="dxa" w:w="1205"/>
          </w:tcPr>
          <w:p>
            <w:r/>
            <w:r>
              <w:rPr>
                <w:sz w:val="17"/>
              </w:rPr>
              <w:t>4</w:t>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r>
      <w:tr>
        <w:tc>
          <w:tcPr>
            <w:tcW w:type="dxa" w:w="1205"/>
          </w:tcPr>
          <w:p>
            <w:r/>
            <w:r>
              <w:rPr>
                <w:sz w:val="17"/>
              </w:rPr>
              <w:t>5</w:t>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c>
          <w:tcPr>
            <w:tcW w:type="dxa" w:w="1205"/>
          </w:tcPr>
          <w:p>
            <w:r/>
            <w:r>
              <w:rPr>
                <w:sz w:val="17"/>
              </w:rPr>
            </w:r>
          </w:p>
        </w:tc>
      </w:tr>
    </w:tbl>
    <w:p/>
    <w:p>
      <w:pPr>
        <w:jc w:val="both"/>
      </w:pPr>
      <w:r>
        <w:t>[Market, competition, distribution footprint, management team.]</w:t>
      </w:r>
    </w:p>
    <w:p>
      <w:pPr>
        <w:pStyle w:val="Heading1"/>
      </w:pPr>
      <w:r>
        <w:t>3. Unit economics by tier</w:t>
      </w:r>
    </w:p>
    <w:p>
      <w:r>
        <w:rPr>
          <w:i/>
          <w:color w:val="666666"/>
          <w:sz w:val="18"/>
        </w:rPr>
        <w:t>Use the calibrated curves, not the management plan. Read LTV to CAC with payback and unit IRR, and state which tiers rest on proxy credit assumptions without history.</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B3020"/>
          </w:tcPr>
          <w:p>
            <w:r/>
            <w:r>
              <w:rPr>
                <w:b/>
                <w:color w:val="FFFFFF"/>
                <w:sz w:val="17"/>
              </w:rPr>
              <w:t>Tier</w:t>
            </w:r>
          </w:p>
        </w:tc>
        <w:tc>
          <w:tcPr>
            <w:tcW w:type="dxa" w:w="1377"/>
            <w:shd w:val="clear" w:color="auto" w:fill="0B3020"/>
          </w:tcPr>
          <w:p>
            <w:r/>
            <w:r>
              <w:rPr>
                <w:b/>
                <w:color w:val="FFFFFF"/>
                <w:sz w:val="17"/>
              </w:rPr>
              <w:t>Expected loss</w:t>
            </w:r>
          </w:p>
        </w:tc>
        <w:tc>
          <w:tcPr>
            <w:tcW w:type="dxa" w:w="1377"/>
            <w:shd w:val="clear" w:color="auto" w:fill="0B3020"/>
          </w:tcPr>
          <w:p>
            <w:r/>
            <w:r>
              <w:rPr>
                <w:b/>
                <w:color w:val="FFFFFF"/>
                <w:sz w:val="17"/>
              </w:rPr>
              <w:t>Lifetime contribution</w:t>
            </w:r>
          </w:p>
        </w:tc>
        <w:tc>
          <w:tcPr>
            <w:tcW w:type="dxa" w:w="1377"/>
            <w:shd w:val="clear" w:color="auto" w:fill="0B3020"/>
          </w:tcPr>
          <w:p>
            <w:r/>
            <w:r>
              <w:rPr>
                <w:b/>
                <w:color w:val="FFFFFF"/>
                <w:sz w:val="17"/>
              </w:rPr>
              <w:t>LTV to CAC</w:t>
            </w:r>
          </w:p>
        </w:tc>
        <w:tc>
          <w:tcPr>
            <w:tcW w:type="dxa" w:w="1377"/>
            <w:shd w:val="clear" w:color="auto" w:fill="0B3020"/>
          </w:tcPr>
          <w:p>
            <w:r/>
            <w:r>
              <w:rPr>
                <w:b/>
                <w:color w:val="FFFFFF"/>
                <w:sz w:val="17"/>
              </w:rPr>
              <w:t>Cash payback</w:t>
            </w:r>
          </w:p>
        </w:tc>
        <w:tc>
          <w:tcPr>
            <w:tcW w:type="dxa" w:w="1377"/>
            <w:shd w:val="clear" w:color="auto" w:fill="0B3020"/>
          </w:tcPr>
          <w:p>
            <w:r/>
            <w:r>
              <w:rPr>
                <w:b/>
                <w:color w:val="FFFFFF"/>
                <w:sz w:val="17"/>
              </w:rPr>
              <w:t>Unit IRR</w:t>
            </w:r>
          </w:p>
        </w:tc>
        <w:tc>
          <w:tcPr>
            <w:tcW w:type="dxa" w:w="1377"/>
            <w:shd w:val="clear" w:color="auto" w:fill="0B3020"/>
          </w:tcPr>
          <w:p>
            <w:r/>
            <w:r>
              <w:rPr>
                <w:b/>
                <w:color w:val="FFFFFF"/>
                <w:sz w:val="17"/>
              </w:rPr>
              <w:t>Credit evidence</w:t>
            </w:r>
          </w:p>
        </w:tc>
      </w:tr>
      <w:tr>
        <w:tc>
          <w:tcPr>
            <w:tcW w:type="dxa" w:w="1377"/>
          </w:tcPr>
          <w:p>
            <w:r/>
            <w:r>
              <w:rPr>
                <w:sz w:val="17"/>
              </w:rPr>
              <w:t>1</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color w:val="0000FF"/>
                <w:sz w:val="17"/>
              </w:rPr>
              <w:t>[Observed / proxy]</w:t>
            </w:r>
          </w:p>
        </w:tc>
      </w:tr>
      <w:tr>
        <w:tc>
          <w:tcPr>
            <w:tcW w:type="dxa" w:w="1377"/>
          </w:tcPr>
          <w:p>
            <w:r/>
            <w:r>
              <w:rPr>
                <w:sz w:val="17"/>
              </w:rPr>
              <w:t>2</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color w:val="0000FF"/>
                <w:sz w:val="17"/>
              </w:rPr>
              <w:t>[Observed / proxy]</w:t>
            </w:r>
          </w:p>
        </w:tc>
      </w:tr>
      <w:tr>
        <w:tc>
          <w:tcPr>
            <w:tcW w:type="dxa" w:w="1377"/>
          </w:tcPr>
          <w:p>
            <w:r/>
            <w:r>
              <w:rPr>
                <w:sz w:val="17"/>
              </w:rPr>
              <w:t>3</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color w:val="0000FF"/>
                <w:sz w:val="17"/>
              </w:rPr>
              <w:t>[Observed / proxy]</w:t>
            </w:r>
          </w:p>
        </w:tc>
      </w:tr>
      <w:tr>
        <w:tc>
          <w:tcPr>
            <w:tcW w:type="dxa" w:w="1377"/>
          </w:tcPr>
          <w:p>
            <w:r/>
            <w:r>
              <w:rPr>
                <w:sz w:val="17"/>
              </w:rPr>
              <w:t>4</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color w:val="0000FF"/>
                <w:sz w:val="17"/>
              </w:rPr>
              <w:t>[Observed / proxy]</w:t>
            </w:r>
          </w:p>
        </w:tc>
      </w:tr>
      <w:tr>
        <w:tc>
          <w:tcPr>
            <w:tcW w:type="dxa" w:w="1377"/>
          </w:tcPr>
          <w:p>
            <w:r/>
            <w:r>
              <w:rPr>
                <w:sz w:val="17"/>
              </w:rPr>
              <w:t>5</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color w:val="0000FF"/>
                <w:sz w:val="17"/>
              </w:rPr>
              <w:t>[Observed / proxy]</w:t>
            </w:r>
          </w:p>
        </w:tc>
      </w:tr>
    </w:tbl>
    <w:p/>
    <w:p>
      <w:pPr>
        <w:pStyle w:val="Heading1"/>
      </w:pPr>
      <w:r>
        <w:t>4. Portfolio quality and data</w:t>
      </w:r>
    </w:p>
    <w:p>
      <w:r>
        <w:rPr>
          <w:i/>
          <w:color w:val="666666"/>
          <w:sz w:val="18"/>
        </w:rPr>
        <w:t>Load the company history before any projection. Compare cohort repayment with plan at the same age; state whether the DPD buckets reconcile to the ledger and how DPD is measured. Report the five PAYGo PERFORM 2026 KPIs only as computed by the company on contract data (GOGLA Technical Guide, June 2026), with their numerators and denominators; write "not provided" otherwise. The collection rate is an operational metric, not a PERFORM KPI, and never stands in for the repayment rate.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B3020"/>
          </w:tcPr>
          <w:p>
            <w:r/>
            <w:r>
              <w:rPr>
                <w:b/>
                <w:color w:val="FFFFFF"/>
                <w:sz w:val="17"/>
              </w:rPr>
              <w:t>Tier</w:t>
            </w:r>
          </w:p>
        </w:tc>
        <w:tc>
          <w:tcPr>
            <w:tcW w:type="dxa" w:w="1606"/>
            <w:shd w:val="clear" w:color="auto" w:fill="0B3020"/>
          </w:tcPr>
          <w:p>
            <w:r/>
            <w:r>
              <w:rPr>
                <w:b/>
                <w:color w:val="FFFFFF"/>
                <w:sz w:val="17"/>
              </w:rPr>
              <w:t>Cohort repayment ratio at M12, observed</w:t>
            </w:r>
          </w:p>
        </w:tc>
        <w:tc>
          <w:tcPr>
            <w:tcW w:type="dxa" w:w="1606"/>
            <w:shd w:val="clear" w:color="auto" w:fill="0B3020"/>
          </w:tcPr>
          <w:p>
            <w:r/>
            <w:r>
              <w:rPr>
                <w:b/>
                <w:color w:val="FFFFFF"/>
                <w:sz w:val="17"/>
              </w:rPr>
              <w:t>Plan</w:t>
            </w:r>
          </w:p>
        </w:tc>
        <w:tc>
          <w:tcPr>
            <w:tcW w:type="dxa" w:w="1606"/>
            <w:shd w:val="clear" w:color="auto" w:fill="0B3020"/>
          </w:tcPr>
          <w:p>
            <w:r/>
            <w:r>
              <w:rPr>
                <w:b/>
                <w:color w:val="FFFFFF"/>
                <w:sz w:val="17"/>
              </w:rPr>
              <w:t>Gap (points)</w:t>
            </w:r>
          </w:p>
        </w:tc>
        <w:tc>
          <w:tcPr>
            <w:tcW w:type="dxa" w:w="1606"/>
            <w:shd w:val="clear" w:color="auto" w:fill="0B3020"/>
          </w:tcPr>
          <w:p>
            <w:r/>
            <w:r>
              <w:rPr>
                <w:b/>
                <w:color w:val="FFFFFF"/>
                <w:sz w:val="17"/>
              </w:rPr>
              <w:t>Calibrated hazard</w:t>
            </w:r>
          </w:p>
        </w:tc>
        <w:tc>
          <w:tcPr>
            <w:tcW w:type="dxa" w:w="1606"/>
            <w:shd w:val="clear" w:color="auto" w:fill="0B3020"/>
          </w:tcPr>
          <w:p>
            <w:r/>
            <w:r>
              <w:rPr>
                <w:b/>
                <w:color w:val="FFFFFF"/>
                <w:sz w:val="17"/>
              </w:rPr>
              <w:t>Plan hazard</w:t>
            </w:r>
          </w:p>
        </w:tc>
      </w:tr>
      <w:tr>
        <w:tc>
          <w:tcPr>
            <w:tcW w:type="dxa" w:w="1606"/>
          </w:tcPr>
          <w:p>
            <w:r/>
            <w:r>
              <w:rPr>
                <w:sz w:val="17"/>
              </w:rPr>
              <w:t>1</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t>2</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t>3</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t>4</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t>5</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bl>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8"/>
              </w:rPr>
              <w:t>Portfolio KPI (latest month)</w:t>
            </w:r>
          </w:p>
        </w:tc>
        <w:tc>
          <w:tcPr>
            <w:tcW w:type="dxa" w:w="2409"/>
            <w:shd w:val="clear" w:color="auto" w:fill="0B3020"/>
          </w:tcPr>
          <w:p>
            <w:r/>
            <w:r>
              <w:rPr>
                <w:b/>
                <w:color w:val="FFFFFF"/>
                <w:sz w:val="18"/>
              </w:rPr>
              <w:t>Value</w:t>
            </w:r>
          </w:p>
        </w:tc>
        <w:tc>
          <w:tcPr>
            <w:tcW w:type="dxa" w:w="2409"/>
            <w:shd w:val="clear" w:color="auto" w:fill="0B3020"/>
          </w:tcPr>
          <w:p>
            <w:r/>
            <w:r>
              <w:rPr>
                <w:b/>
                <w:color w:val="FFFFFF"/>
                <w:sz w:val="18"/>
              </w:rPr>
              <w:t>Twelve months earlier</w:t>
            </w:r>
          </w:p>
        </w:tc>
        <w:tc>
          <w:tcPr>
            <w:tcW w:type="dxa" w:w="2409"/>
            <w:shd w:val="clear" w:color="auto" w:fill="0B3020"/>
          </w:tcPr>
          <w:p>
            <w:r/>
            <w:r>
              <w:rPr>
                <w:b/>
                <w:color w:val="FFFFFF"/>
                <w:sz w:val="18"/>
              </w:rPr>
              <w:t>Comment</w:t>
            </w:r>
          </w:p>
        </w:tc>
      </w:tr>
      <w:tr>
        <w:tc>
          <w:tcPr>
            <w:tcW w:type="dxa" w:w="2409"/>
          </w:tcPr>
          <w:p>
            <w:r/>
            <w:r>
              <w:rPr>
                <w:b/>
                <w:sz w:val="18"/>
              </w:rPr>
              <w:t>Operational collection rate (trailing 3 months)</w:t>
            </w:r>
          </w:p>
        </w:tc>
        <w:tc>
          <w:tcPr>
            <w:tcW w:type="dxa" w:w="2409"/>
          </w:tcPr>
          <w:p>
            <w:r/>
            <w:r>
              <w:rPr>
                <w:sz w:val="18"/>
              </w:rPr>
            </w:r>
          </w:p>
        </w:tc>
        <w:tc>
          <w:tcPr>
            <w:tcW w:type="dxa" w:w="2409"/>
          </w:tcPr>
          <w:p>
            <w:r/>
            <w:r>
              <w:rPr>
                <w:sz w:val="18"/>
              </w:rPr>
            </w:r>
          </w:p>
        </w:tc>
        <w:tc>
          <w:tcPr>
            <w:tcW w:type="dxa" w:w="2409"/>
          </w:tcPr>
          <w:p>
            <w:r/>
            <w:r>
              <w:rPr>
                <w:sz w:val="18"/>
              </w:rPr>
            </w:r>
          </w:p>
        </w:tc>
      </w:tr>
      <w:tr>
        <w:tc>
          <w:tcPr>
            <w:tcW w:type="dxa" w:w="2409"/>
          </w:tcPr>
          <w:p>
            <w:r/>
            <w:r>
              <w:rPr>
                <w:b/>
                <w:sz w:val="18"/>
              </w:rPr>
              <w:t>PAR30</w:t>
            </w:r>
          </w:p>
        </w:tc>
        <w:tc>
          <w:tcPr>
            <w:tcW w:type="dxa" w:w="2409"/>
          </w:tcPr>
          <w:p>
            <w:r/>
            <w:r>
              <w:rPr>
                <w:sz w:val="18"/>
              </w:rPr>
            </w:r>
          </w:p>
        </w:tc>
        <w:tc>
          <w:tcPr>
            <w:tcW w:type="dxa" w:w="2409"/>
          </w:tcPr>
          <w:p>
            <w:r/>
            <w:r>
              <w:rPr>
                <w:sz w:val="18"/>
              </w:rPr>
            </w:r>
          </w:p>
        </w:tc>
        <w:tc>
          <w:tcPr>
            <w:tcW w:type="dxa" w:w="2409"/>
          </w:tcPr>
          <w:p>
            <w:r/>
            <w:r>
              <w:rPr>
                <w:sz w:val="18"/>
              </w:rPr>
            </w:r>
          </w:p>
        </w:tc>
      </w:tr>
      <w:tr>
        <w:tc>
          <w:tcPr>
            <w:tcW w:type="dxa" w:w="2409"/>
          </w:tcPr>
          <w:p>
            <w:r/>
            <w:r>
              <w:rPr>
                <w:b/>
                <w:sz w:val="18"/>
              </w:rPr>
              <w:t>PAR90</w:t>
            </w:r>
          </w:p>
        </w:tc>
        <w:tc>
          <w:tcPr>
            <w:tcW w:type="dxa" w:w="2409"/>
          </w:tcPr>
          <w:p>
            <w:r/>
            <w:r>
              <w:rPr>
                <w:sz w:val="18"/>
              </w:rPr>
            </w:r>
          </w:p>
        </w:tc>
        <w:tc>
          <w:tcPr>
            <w:tcW w:type="dxa" w:w="2409"/>
          </w:tcPr>
          <w:p>
            <w:r/>
            <w:r>
              <w:rPr>
                <w:sz w:val="18"/>
              </w:rPr>
            </w:r>
          </w:p>
        </w:tc>
        <w:tc>
          <w:tcPr>
            <w:tcW w:type="dxa" w:w="2409"/>
          </w:tcPr>
          <w:p>
            <w:r/>
            <w:r>
              <w:rPr>
                <w:sz w:val="18"/>
              </w:rPr>
            </w:r>
          </w:p>
        </w:tc>
      </w:tr>
      <w:tr>
        <w:tc>
          <w:tcPr>
            <w:tcW w:type="dxa" w:w="2409"/>
          </w:tcPr>
          <w:p>
            <w:r/>
            <w:r>
              <w:rPr>
                <w:b/>
                <w:sz w:val="18"/>
              </w:rPr>
              <w:t>Write off ratio (trailing 12 months)</w:t>
            </w:r>
          </w:p>
        </w:tc>
        <w:tc>
          <w:tcPr>
            <w:tcW w:type="dxa" w:w="2409"/>
          </w:tcPr>
          <w:p>
            <w:r/>
            <w:r>
              <w:rPr>
                <w:sz w:val="18"/>
              </w:rPr>
            </w:r>
          </w:p>
        </w:tc>
        <w:tc>
          <w:tcPr>
            <w:tcW w:type="dxa" w:w="2409"/>
          </w:tcPr>
          <w:p>
            <w:r/>
            <w:r>
              <w:rPr>
                <w:sz w:val="18"/>
              </w:rPr>
            </w:r>
          </w:p>
        </w:tc>
        <w:tc>
          <w:tcPr>
            <w:tcW w:type="dxa" w:w="2409"/>
          </w:tcPr>
          <w:p>
            <w:r/>
            <w:r>
              <w:rPr>
                <w:sz w:val="18"/>
              </w:rPr>
            </w:r>
          </w:p>
        </w:tc>
      </w:tr>
      <w:tr>
        <w:tc>
          <w:tcPr>
            <w:tcW w:type="dxa" w:w="2409"/>
          </w:tcPr>
          <w:p>
            <w:r/>
            <w:r>
              <w:rPr>
                <w:b/>
                <w:sz w:val="18"/>
              </w:rPr>
              <w:t>Recovery rate</w:t>
            </w:r>
          </w:p>
        </w:tc>
        <w:tc>
          <w:tcPr>
            <w:tcW w:type="dxa" w:w="2409"/>
          </w:tcPr>
          <w:p>
            <w:r/>
            <w:r>
              <w:rPr>
                <w:sz w:val="18"/>
              </w:rPr>
            </w:r>
          </w:p>
        </w:tc>
        <w:tc>
          <w:tcPr>
            <w:tcW w:type="dxa" w:w="2409"/>
          </w:tcPr>
          <w:p>
            <w:r/>
            <w:r>
              <w:rPr>
                <w:sz w:val="18"/>
              </w:rPr>
            </w:r>
          </w:p>
        </w:tc>
        <w:tc>
          <w:tcPr>
            <w:tcW w:type="dxa" w:w="2409"/>
          </w:tcPr>
          <w:p>
            <w:r/>
            <w:r>
              <w:rPr>
                <w:sz w:val="18"/>
              </w:rPr>
            </w:r>
          </w:p>
        </w:tc>
      </w:tr>
    </w:tbl>
    <w:p/>
    <w:p>
      <w:pPr>
        <w:jc w:val="both"/>
      </w:pPr>
      <w:r>
        <w:t>[Data quality statement: period covered, reconciliation, definitions, independent review.]</w:t>
      </w:r>
    </w:p>
    <w:p>
      <w:pPr>
        <w:pStyle w:val="Heading1"/>
      </w:pPr>
      <w:r>
        <w:t>5. Financial projections and funding requirement</w:t>
      </w:r>
    </w:p>
    <w:p>
      <w:r>
        <w:rPr>
          <w:i/>
          <w:color w:val="666666"/>
          <w:sz w:val="18"/>
        </w:rPr>
        <w:t>Present the calibrated case. Explain why EBITDA turns positive before operating cash flow does, and show the funding requirement by source.</w:t>
      </w:r>
    </w:p>
    <w:p>
      <w:r>
        <w:rPr>
          <w:i/>
          <w:color w:val="666666"/>
          <w:sz w:val="18"/>
        </w:rPr>
        <w:t>State the provenance of the inputs behind the case, as counted on the Start sheet of the model: model assumptions, company data, external evidence, calibrated assumptions and unverified inputs. Where revenue or credit losses are discussed, add: "This is an analytical modelling treatment and does not constitute a determination of the applicable accounting treatment under IFRS."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3020"/>
          </w:tcPr>
          <w:p>
            <w:r/>
            <w:r>
              <w:rPr>
                <w:b/>
                <w:color w:val="FFFFFF"/>
                <w:sz w:val="17"/>
              </w:rPr>
              <w:t>Input provenance</w:t>
            </w:r>
          </w:p>
        </w:tc>
        <w:tc>
          <w:tcPr>
            <w:tcW w:type="dxa" w:w="3213"/>
            <w:shd w:val="clear" w:color="auto" w:fill="0B3020"/>
          </w:tcPr>
          <w:p>
            <w:r/>
            <w:r>
              <w:rPr>
                <w:b/>
                <w:color w:val="FFFFFF"/>
                <w:sz w:val="17"/>
              </w:rPr>
              <w:t>Number of inputs</w:t>
            </w:r>
          </w:p>
        </w:tc>
        <w:tc>
          <w:tcPr>
            <w:tcW w:type="dxa" w:w="3213"/>
            <w:shd w:val="clear" w:color="auto" w:fill="0B3020"/>
          </w:tcPr>
          <w:p>
            <w:r/>
            <w:r>
              <w:rPr>
                <w:b/>
                <w:color w:val="FFFFFF"/>
                <w:sz w:val="17"/>
              </w:rPr>
              <w:t>Main items</w:t>
            </w:r>
          </w:p>
        </w:tc>
      </w:tr>
      <w:tr>
        <w:tc>
          <w:tcPr>
            <w:tcW w:type="dxa" w:w="3213"/>
          </w:tcPr>
          <w:p>
            <w:r/>
            <w:r>
              <w:rPr>
                <w:b/>
                <w:sz w:val="17"/>
              </w:rPr>
              <w:t>MODEL ASSUMPTION</w:t>
            </w:r>
          </w:p>
        </w:tc>
        <w:tc>
          <w:tcPr>
            <w:tcW w:type="dxa" w:w="3213"/>
          </w:tcPr>
          <w:p>
            <w:r/>
            <w:r>
              <w:rPr>
                <w:sz w:val="17"/>
              </w:rPr>
            </w:r>
          </w:p>
        </w:tc>
        <w:tc>
          <w:tcPr>
            <w:tcW w:type="dxa" w:w="3213"/>
          </w:tcPr>
          <w:p>
            <w:r/>
            <w:r>
              <w:rPr>
                <w:sz w:val="17"/>
              </w:rPr>
            </w:r>
          </w:p>
        </w:tc>
      </w:tr>
      <w:tr>
        <w:tc>
          <w:tcPr>
            <w:tcW w:type="dxa" w:w="3213"/>
          </w:tcPr>
          <w:p>
            <w:r/>
            <w:r>
              <w:rPr>
                <w:b/>
                <w:sz w:val="17"/>
              </w:rPr>
              <w:t>COMPANY DATA</w:t>
            </w:r>
          </w:p>
        </w:tc>
        <w:tc>
          <w:tcPr>
            <w:tcW w:type="dxa" w:w="3213"/>
          </w:tcPr>
          <w:p>
            <w:r/>
            <w:r>
              <w:rPr>
                <w:sz w:val="17"/>
              </w:rPr>
            </w:r>
          </w:p>
        </w:tc>
        <w:tc>
          <w:tcPr>
            <w:tcW w:type="dxa" w:w="3213"/>
          </w:tcPr>
          <w:p>
            <w:r/>
            <w:r>
              <w:rPr>
                <w:sz w:val="17"/>
              </w:rPr>
            </w:r>
          </w:p>
        </w:tc>
      </w:tr>
      <w:tr>
        <w:tc>
          <w:tcPr>
            <w:tcW w:type="dxa" w:w="3213"/>
          </w:tcPr>
          <w:p>
            <w:r/>
            <w:r>
              <w:rPr>
                <w:b/>
                <w:sz w:val="17"/>
              </w:rPr>
              <w:t>EXTERNAL EVIDENCE</w:t>
            </w:r>
          </w:p>
        </w:tc>
        <w:tc>
          <w:tcPr>
            <w:tcW w:type="dxa" w:w="3213"/>
          </w:tcPr>
          <w:p>
            <w:r/>
            <w:r>
              <w:rPr>
                <w:sz w:val="17"/>
              </w:rPr>
            </w:r>
          </w:p>
        </w:tc>
        <w:tc>
          <w:tcPr>
            <w:tcW w:type="dxa" w:w="3213"/>
          </w:tcPr>
          <w:p>
            <w:r/>
            <w:r>
              <w:rPr>
                <w:sz w:val="17"/>
              </w:rPr>
            </w:r>
          </w:p>
        </w:tc>
      </w:tr>
      <w:tr>
        <w:tc>
          <w:tcPr>
            <w:tcW w:type="dxa" w:w="3213"/>
          </w:tcPr>
          <w:p>
            <w:r/>
            <w:r>
              <w:rPr>
                <w:b/>
                <w:sz w:val="17"/>
              </w:rPr>
              <w:t>CALIBRATED ASSUMPTION</w:t>
            </w:r>
          </w:p>
        </w:tc>
        <w:tc>
          <w:tcPr>
            <w:tcW w:type="dxa" w:w="3213"/>
          </w:tcPr>
          <w:p>
            <w:r/>
            <w:r>
              <w:rPr>
                <w:sz w:val="17"/>
              </w:rPr>
            </w:r>
          </w:p>
        </w:tc>
        <w:tc>
          <w:tcPr>
            <w:tcW w:type="dxa" w:w="3213"/>
          </w:tcPr>
          <w:p>
            <w:r/>
            <w:r>
              <w:rPr>
                <w:sz w:val="17"/>
              </w:rPr>
            </w:r>
          </w:p>
        </w:tc>
      </w:tr>
      <w:tr>
        <w:tc>
          <w:tcPr>
            <w:tcW w:type="dxa" w:w="3213"/>
          </w:tcPr>
          <w:p>
            <w:r/>
            <w:r>
              <w:rPr>
                <w:b/>
                <w:sz w:val="17"/>
              </w:rPr>
              <w:t>UNVERIFIED</w:t>
            </w:r>
          </w:p>
        </w:tc>
        <w:tc>
          <w:tcPr>
            <w:tcW w:type="dxa" w:w="3213"/>
          </w:tcPr>
          <w:p>
            <w:r/>
            <w:r>
              <w:rPr>
                <w:sz w:val="17"/>
              </w:rPr>
            </w:r>
          </w:p>
        </w:tc>
        <w:tc>
          <w:tcPr>
            <w:tcW w:type="dxa" w:w="3213"/>
          </w:tcPr>
          <w:p>
            <w:r/>
            <w:r>
              <w:rPr>
                <w:sz w:val="17"/>
              </w:rPr>
            </w:r>
          </w:p>
        </w:tc>
      </w:tr>
    </w:tbl>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B3020"/>
          </w:tcPr>
          <w:p>
            <w:r/>
            <w:r>
              <w:rPr>
                <w:b/>
                <w:color w:val="FFFFFF"/>
                <w:sz w:val="17"/>
              </w:rPr>
              <w:t>Calibrated Base</w:t>
            </w:r>
          </w:p>
        </w:tc>
        <w:tc>
          <w:tcPr>
            <w:tcW w:type="dxa" w:w="1606"/>
            <w:shd w:val="clear" w:color="auto" w:fill="0B3020"/>
          </w:tcPr>
          <w:p>
            <w:r/>
            <w:r>
              <w:rPr>
                <w:b/>
                <w:color w:val="FFFFFF"/>
                <w:sz w:val="17"/>
              </w:rPr>
              <w:t>Y1</w:t>
            </w:r>
          </w:p>
        </w:tc>
        <w:tc>
          <w:tcPr>
            <w:tcW w:type="dxa" w:w="1606"/>
            <w:shd w:val="clear" w:color="auto" w:fill="0B3020"/>
          </w:tcPr>
          <w:p>
            <w:r/>
            <w:r>
              <w:rPr>
                <w:b/>
                <w:color w:val="FFFFFF"/>
                <w:sz w:val="17"/>
              </w:rPr>
              <w:t>Y2</w:t>
            </w:r>
          </w:p>
        </w:tc>
        <w:tc>
          <w:tcPr>
            <w:tcW w:type="dxa" w:w="1606"/>
            <w:shd w:val="clear" w:color="auto" w:fill="0B3020"/>
          </w:tcPr>
          <w:p>
            <w:r/>
            <w:r>
              <w:rPr>
                <w:b/>
                <w:color w:val="FFFFFF"/>
                <w:sz w:val="17"/>
              </w:rPr>
              <w:t>Y3</w:t>
            </w:r>
          </w:p>
        </w:tc>
        <w:tc>
          <w:tcPr>
            <w:tcW w:type="dxa" w:w="1606"/>
            <w:shd w:val="clear" w:color="auto" w:fill="0B3020"/>
          </w:tcPr>
          <w:p>
            <w:r/>
            <w:r>
              <w:rPr>
                <w:b/>
                <w:color w:val="FFFFFF"/>
                <w:sz w:val="17"/>
              </w:rPr>
              <w:t>Y4</w:t>
            </w:r>
          </w:p>
        </w:tc>
        <w:tc>
          <w:tcPr>
            <w:tcW w:type="dxa" w:w="1606"/>
            <w:shd w:val="clear" w:color="auto" w:fill="0B3020"/>
          </w:tcPr>
          <w:p>
            <w:r/>
            <w:r>
              <w:rPr>
                <w:b/>
                <w:color w:val="FFFFFF"/>
                <w:sz w:val="17"/>
              </w:rPr>
              <w:t>Y5</w:t>
            </w:r>
          </w:p>
        </w:tc>
      </w:tr>
      <w:tr>
        <w:tc>
          <w:tcPr>
            <w:tcW w:type="dxa" w:w="1606"/>
          </w:tcPr>
          <w:p>
            <w:r/>
            <w:r>
              <w:rPr>
                <w:b/>
                <w:sz w:val="17"/>
              </w:rPr>
              <w:t>Revenue</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Gross margin</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EBITDA margin</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Net income</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Net credit losses to revenue</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Operational collection rate</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30+ DPD to gross receivables</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Debt to book equity (year end)</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Cash flow from operations</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bl>
    <w:p/>
    <w:p>
      <w:pPr>
        <w:pStyle w:val="Heading1"/>
      </w:pPr>
      <w:r>
        <w:t>6. Scenarios and stress tests</w:t>
      </w:r>
    </w:p>
    <w:p>
      <w:r>
        <w:rPr>
          <w:i/>
          <w:color w:val="666666"/>
          <w:sz w:val="18"/>
        </w:rPr>
        <w:t>Run Base, Downside and Severe, then targeted cases: pricing response, untested tiers, funding drought. Read the multiple, peak equity and breach months together; IRR alone misleads in the tails.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B3020"/>
          </w:tcPr>
          <w:p>
            <w:r/>
            <w:r>
              <w:rPr>
                <w:b/>
                <w:color w:val="FFFFFF"/>
                <w:sz w:val="17"/>
              </w:rPr>
              <w:t>Case</w:t>
            </w:r>
          </w:p>
        </w:tc>
        <w:tc>
          <w:tcPr>
            <w:tcW w:type="dxa" w:w="1377"/>
            <w:shd w:val="clear" w:color="auto" w:fill="0B3020"/>
          </w:tcPr>
          <w:p>
            <w:r/>
            <w:r>
              <w:rPr>
                <w:b/>
                <w:color w:val="FFFFFF"/>
                <w:sz w:val="17"/>
              </w:rPr>
              <w:t>Peak equity</w:t>
            </w:r>
          </w:p>
        </w:tc>
        <w:tc>
          <w:tcPr>
            <w:tcW w:type="dxa" w:w="1377"/>
            <w:shd w:val="clear" w:color="auto" w:fill="0B3020"/>
          </w:tcPr>
          <w:p>
            <w:r/>
            <w:r>
              <w:rPr>
                <w:b/>
                <w:color w:val="FFFFFF"/>
                <w:sz w:val="17"/>
              </w:rPr>
              <w:t>Y5 EBITDA margin</w:t>
            </w:r>
          </w:p>
        </w:tc>
        <w:tc>
          <w:tcPr>
            <w:tcW w:type="dxa" w:w="1377"/>
            <w:shd w:val="clear" w:color="auto" w:fill="0B3020"/>
          </w:tcPr>
          <w:p>
            <w:r/>
            <w:r>
              <w:rPr>
                <w:b/>
                <w:color w:val="FFFFFF"/>
                <w:sz w:val="17"/>
              </w:rPr>
              <w:t>Y5 operational collection rate</w:t>
            </w:r>
          </w:p>
        </w:tc>
        <w:tc>
          <w:tcPr>
            <w:tcW w:type="dxa" w:w="1377"/>
            <w:shd w:val="clear" w:color="auto" w:fill="0B3020"/>
          </w:tcPr>
          <w:p>
            <w:r/>
            <w:r>
              <w:rPr>
                <w:b/>
                <w:color w:val="FFFFFF"/>
                <w:sz w:val="17"/>
              </w:rPr>
              <w:t>Investor IRR</w:t>
            </w:r>
          </w:p>
        </w:tc>
        <w:tc>
          <w:tcPr>
            <w:tcW w:type="dxa" w:w="1377"/>
            <w:shd w:val="clear" w:color="auto" w:fill="0B3020"/>
          </w:tcPr>
          <w:p>
            <w:r/>
            <w:r>
              <w:rPr>
                <w:b/>
                <w:color w:val="FFFFFF"/>
                <w:sz w:val="17"/>
              </w:rPr>
              <w:t>Multiple</w:t>
            </w:r>
          </w:p>
        </w:tc>
        <w:tc>
          <w:tcPr>
            <w:tcW w:type="dxa" w:w="1377"/>
            <w:shd w:val="clear" w:color="auto" w:fill="0B3020"/>
          </w:tcPr>
          <w:p>
            <w:r/>
            <w:r>
              <w:rPr>
                <w:b/>
                <w:color w:val="FFFFFF"/>
                <w:sz w:val="17"/>
              </w:rPr>
              <w:t>Breach months</w:t>
            </w:r>
          </w:p>
        </w:tc>
      </w:tr>
      <w:tr>
        <w:tc>
          <w:tcPr>
            <w:tcW w:type="dxa" w:w="1377"/>
          </w:tcPr>
          <w:p>
            <w:r/>
            <w:r>
              <w:rPr>
                <w:sz w:val="17"/>
              </w:rPr>
              <w:t>Management plan, Base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t>Calibrated, Base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t>Calibrated, Downside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t>Calibrated, Severe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color w:val="0000FF"/>
                <w:sz w:val="17"/>
              </w:rPr>
              <w:t>[Targeted case]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color w:val="0000FF"/>
                <w:sz w:val="17"/>
              </w:rPr>
              <w:t>[Targeted case]</w:t>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bl>
    <w:p/>
    <w:p>
      <w:pPr>
        <w:jc w:val="both"/>
      </w:pPr>
      <w:r>
        <w:t>[Reverse stress: the change in collections or default hazard that breaches the collection covenant, and the fall in EBITDA that eliminates exit equity.]</w:t>
      </w:r>
    </w:p>
    <w:p>
      <w:pPr>
        <w:pStyle w:val="Heading1"/>
      </w:pPr>
      <w:r>
        <w:t>7. Financing structure, borrowing base and covenants</w:t>
      </w:r>
    </w:p>
    <w:p>
      <w:r>
        <w:rPr>
          <w:i/>
          <w:color w:val="666666"/>
          <w:sz w:val="18"/>
        </w:rPr>
        <w:t>Match each funding layer to the asset it finances by size, tenor and currency. Set covenants at levels the company's own history supports, with cure periods.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B3020"/>
          </w:tcPr>
          <w:p>
            <w:r/>
            <w:r>
              <w:rPr>
                <w:b/>
                <w:color w:val="FFFFFF"/>
                <w:sz w:val="17"/>
              </w:rPr>
              <w:t>Covenant</w:t>
            </w:r>
          </w:p>
        </w:tc>
        <w:tc>
          <w:tcPr>
            <w:tcW w:type="dxa" w:w="1606"/>
            <w:shd w:val="clear" w:color="auto" w:fill="0B3020"/>
          </w:tcPr>
          <w:p>
            <w:r/>
            <w:r>
              <w:rPr>
                <w:b/>
                <w:color w:val="FFFFFF"/>
                <w:sz w:val="17"/>
              </w:rPr>
              <w:t>Threshold</w:t>
            </w:r>
          </w:p>
        </w:tc>
        <w:tc>
          <w:tcPr>
            <w:tcW w:type="dxa" w:w="1606"/>
            <w:shd w:val="clear" w:color="auto" w:fill="0B3020"/>
          </w:tcPr>
          <w:p>
            <w:r/>
            <w:r>
              <w:rPr>
                <w:b/>
                <w:color w:val="FFFFFF"/>
                <w:sz w:val="17"/>
              </w:rPr>
              <w:t>Projected worst</w:t>
            </w:r>
          </w:p>
        </w:tc>
        <w:tc>
          <w:tcPr>
            <w:tcW w:type="dxa" w:w="1606"/>
            <w:shd w:val="clear" w:color="auto" w:fill="0B3020"/>
          </w:tcPr>
          <w:p>
            <w:r/>
            <w:r>
              <w:rPr>
                <w:b/>
                <w:color w:val="FFFFFF"/>
                <w:sz w:val="17"/>
              </w:rPr>
              <w:t>Headroom</w:t>
            </w:r>
          </w:p>
        </w:tc>
        <w:tc>
          <w:tcPr>
            <w:tcW w:type="dxa" w:w="1606"/>
            <w:shd w:val="clear" w:color="auto" w:fill="0B3020"/>
          </w:tcPr>
          <w:p>
            <w:r/>
            <w:r>
              <w:rPr>
                <w:b/>
                <w:color w:val="FFFFFF"/>
                <w:sz w:val="17"/>
              </w:rPr>
              <w:t>Latest actual</w:t>
            </w:r>
          </w:p>
        </w:tc>
        <w:tc>
          <w:tcPr>
            <w:tcW w:type="dxa" w:w="1606"/>
            <w:shd w:val="clear" w:color="auto" w:fill="0B3020"/>
          </w:tcPr>
          <w:p>
            <w:r/>
            <w:r>
              <w:rPr>
                <w:b/>
                <w:color w:val="FFFFFF"/>
                <w:sz w:val="17"/>
              </w:rPr>
              <w:t>Comment</w:t>
            </w:r>
          </w:p>
        </w:tc>
      </w:tr>
      <w:tr>
        <w:tc>
          <w:tcPr>
            <w:tcW w:type="dxa" w:w="1606"/>
          </w:tcPr>
          <w:p>
            <w:r/>
            <w:r>
              <w:rPr>
                <w:b/>
                <w:sz w:val="17"/>
              </w:rPr>
              <w:t>Trailing 3 month operational collection rate</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Receivables at risk</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30+ DPD</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90+ DPD</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Borrowing base headroom</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b/>
                <w:sz w:val="17"/>
              </w:rPr>
              <w:t>Debt to book equity</w:t>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bl>
    <w:p/>
    <w:p>
      <w:pPr>
        <w:pStyle w:val="Heading1"/>
      </w:pPr>
      <w:r>
        <w:t>8. Valuation and returns</w:t>
      </w:r>
    </w:p>
    <w:p>
      <w:r>
        <w:rPr>
          <w:i/>
          <w:color w:val="666666"/>
          <w:sz w:val="18"/>
        </w:rPr>
        <w:t>Present the DCF and the exit based value side by side and explain the gap. State the exit multiple and the credit performance the entry price assumes, and the effect of currency depreciation on USD returns.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213"/>
            <w:shd w:val="clear" w:color="auto" w:fill="0B3020"/>
          </w:tcPr>
          <w:p>
            <w:r/>
            <w:r>
              <w:rPr>
                <w:b/>
                <w:color w:val="FFFFFF"/>
                <w:sz w:val="18"/>
              </w:rPr>
              <w:t>Metric</w:t>
            </w:r>
          </w:p>
        </w:tc>
        <w:tc>
          <w:tcPr>
            <w:tcW w:type="dxa" w:w="3213"/>
            <w:shd w:val="clear" w:color="auto" w:fill="0B3020"/>
          </w:tcPr>
          <w:p>
            <w:r/>
            <w:r>
              <w:rPr>
                <w:b/>
                <w:color w:val="FFFFFF"/>
                <w:sz w:val="18"/>
              </w:rPr>
              <w:t>Value</w:t>
            </w:r>
          </w:p>
        </w:tc>
        <w:tc>
          <w:tcPr>
            <w:tcW w:type="dxa" w:w="3213"/>
            <w:shd w:val="clear" w:color="auto" w:fill="0B3020"/>
          </w:tcPr>
          <w:p>
            <w:r/>
            <w:r>
              <w:rPr>
                <w:b/>
                <w:color w:val="FFFFFF"/>
                <w:sz w:val="18"/>
              </w:rPr>
              <w:t>Comment</w:t>
            </w:r>
          </w:p>
        </w:tc>
      </w:tr>
      <w:tr>
        <w:tc>
          <w:tcPr>
            <w:tcW w:type="dxa" w:w="3213"/>
          </w:tcPr>
          <w:p>
            <w:r/>
            <w:r>
              <w:rPr>
                <w:b/>
                <w:sz w:val="18"/>
              </w:rPr>
              <w:t>DCF enterprise value at entry (discount rate)</w:t>
            </w:r>
          </w:p>
        </w:tc>
        <w:tc>
          <w:tcPr>
            <w:tcW w:type="dxa" w:w="3213"/>
          </w:tcPr>
          <w:p>
            <w:r/>
            <w:r>
              <w:rPr>
                <w:sz w:val="18"/>
              </w:rPr>
            </w:r>
          </w:p>
        </w:tc>
        <w:tc>
          <w:tcPr>
            <w:tcW w:type="dxa" w:w="3213"/>
          </w:tcPr>
          <w:p>
            <w:r/>
            <w:r>
              <w:rPr>
                <w:sz w:val="18"/>
              </w:rPr>
            </w:r>
          </w:p>
        </w:tc>
      </w:tr>
      <w:tr>
        <w:tc>
          <w:tcPr>
            <w:tcW w:type="dxa" w:w="3213"/>
          </w:tcPr>
          <w:p>
            <w:r/>
            <w:r>
              <w:rPr>
                <w:b/>
                <w:sz w:val="18"/>
              </w:rPr>
              <w:t>Exit equity value, 100%, end of Year 5</w:t>
            </w:r>
          </w:p>
        </w:tc>
        <w:tc>
          <w:tcPr>
            <w:tcW w:type="dxa" w:w="3213"/>
          </w:tcPr>
          <w:p>
            <w:r/>
            <w:r>
              <w:rPr>
                <w:sz w:val="18"/>
              </w:rPr>
            </w:r>
          </w:p>
        </w:tc>
        <w:tc>
          <w:tcPr>
            <w:tcW w:type="dxa" w:w="3213"/>
          </w:tcPr>
          <w:p>
            <w:r/>
            <w:r>
              <w:rPr>
                <w:sz w:val="18"/>
              </w:rPr>
            </w:r>
          </w:p>
        </w:tc>
      </w:tr>
      <w:tr>
        <w:tc>
          <w:tcPr>
            <w:tcW w:type="dxa" w:w="3213"/>
          </w:tcPr>
          <w:p>
            <w:r/>
            <w:r>
              <w:rPr>
                <w:b/>
                <w:sz w:val="18"/>
              </w:rPr>
              <w:t>Stake</w:t>
            </w:r>
          </w:p>
        </w:tc>
        <w:tc>
          <w:tcPr>
            <w:tcW w:type="dxa" w:w="3213"/>
          </w:tcPr>
          <w:p>
            <w:r/>
            <w:r>
              <w:rPr>
                <w:sz w:val="18"/>
              </w:rPr>
            </w:r>
          </w:p>
        </w:tc>
        <w:tc>
          <w:tcPr>
            <w:tcW w:type="dxa" w:w="3213"/>
          </w:tcPr>
          <w:p>
            <w:r/>
            <w:r>
              <w:rPr>
                <w:sz w:val="18"/>
              </w:rPr>
            </w:r>
          </w:p>
        </w:tc>
      </w:tr>
      <w:tr>
        <w:tc>
          <w:tcPr>
            <w:tcW w:type="dxa" w:w="3213"/>
          </w:tcPr>
          <w:p>
            <w:r/>
            <w:r>
              <w:rPr>
                <w:b/>
                <w:sz w:val="18"/>
              </w:rPr>
              <w:t>Investor IRR and multiple (USD)</w:t>
            </w:r>
          </w:p>
        </w:tc>
        <w:tc>
          <w:tcPr>
            <w:tcW w:type="dxa" w:w="3213"/>
          </w:tcPr>
          <w:p>
            <w:r/>
            <w:r>
              <w:rPr>
                <w:sz w:val="18"/>
              </w:rPr>
            </w:r>
          </w:p>
        </w:tc>
        <w:tc>
          <w:tcPr>
            <w:tcW w:type="dxa" w:w="3213"/>
          </w:tcPr>
          <w:p>
            <w:r/>
            <w:r>
              <w:rPr>
                <w:sz w:val="18"/>
              </w:rPr>
            </w:r>
          </w:p>
        </w:tc>
      </w:tr>
      <w:tr>
        <w:tc>
          <w:tcPr>
            <w:tcW w:type="dxa" w:w="3213"/>
          </w:tcPr>
          <w:p>
            <w:r/>
            <w:r>
              <w:rPr>
                <w:b/>
                <w:sz w:val="18"/>
              </w:rPr>
              <w:t>Value retained in USD after 5 years of depreciation</w:t>
            </w:r>
          </w:p>
        </w:tc>
        <w:tc>
          <w:tcPr>
            <w:tcW w:type="dxa" w:w="3213"/>
          </w:tcPr>
          <w:p>
            <w:r/>
            <w:r>
              <w:rPr>
                <w:sz w:val="18"/>
              </w:rPr>
            </w:r>
          </w:p>
        </w:tc>
        <w:tc>
          <w:tcPr>
            <w:tcW w:type="dxa" w:w="3213"/>
          </w:tcPr>
          <w:p>
            <w:r/>
            <w:r>
              <w:rPr>
                <w:sz w:val="18"/>
              </w:rPr>
            </w:r>
          </w:p>
        </w:tc>
      </w:tr>
    </w:tbl>
    <w:p/>
    <w:p>
      <w:pPr>
        <w:pStyle w:val="Heading1"/>
      </w:pPr>
      <w:r>
        <w:t>9. Benchmarking and calibration</w:t>
      </w:r>
    </w:p>
    <w:p>
      <w:r>
        <w:rPr>
          <w:i/>
          <w:color w:val="666666"/>
          <w:sz w:val="18"/>
        </w:rPr>
        <w:t>Use a reference as a test only when its source status is VERIFIED or VERIFIED (HISTORICAL). Show the grade (A to D) and the status separately, with the period and the definition, and say whether the reference is comparable with the company's figure. Pending, unverified or conflicting figures are context only; a sector collection rate is not a PERFORM repayment rate. Ranges built on one or two peers are anecdotal.</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shd w:val="clear" w:color="auto" w:fill="0B3020"/>
          </w:tcPr>
          <w:p>
            <w:r/>
            <w:r>
              <w:rPr>
                <w:b/>
                <w:color w:val="FFFFFF"/>
                <w:sz w:val="17"/>
              </w:rPr>
              <w:t>Ratio</w:t>
            </w:r>
          </w:p>
        </w:tc>
        <w:tc>
          <w:tcPr>
            <w:tcW w:type="dxa" w:w="1377"/>
            <w:shd w:val="clear" w:color="auto" w:fill="0B3020"/>
          </w:tcPr>
          <w:p>
            <w:r/>
            <w:r>
              <w:rPr>
                <w:b/>
                <w:color w:val="FFFFFF"/>
                <w:sz w:val="17"/>
              </w:rPr>
              <w:t>Company</w:t>
            </w:r>
          </w:p>
        </w:tc>
        <w:tc>
          <w:tcPr>
            <w:tcW w:type="dxa" w:w="1377"/>
            <w:shd w:val="clear" w:color="auto" w:fill="0B3020"/>
          </w:tcPr>
          <w:p>
            <w:r/>
            <w:r>
              <w:rPr>
                <w:b/>
                <w:color w:val="FFFFFF"/>
                <w:sz w:val="17"/>
              </w:rPr>
              <w:t>Reference, period and definition</w:t>
            </w:r>
          </w:p>
        </w:tc>
        <w:tc>
          <w:tcPr>
            <w:tcW w:type="dxa" w:w="1377"/>
            <w:shd w:val="clear" w:color="auto" w:fill="0B3020"/>
          </w:tcPr>
          <w:p>
            <w:r/>
            <w:r>
              <w:rPr>
                <w:b/>
                <w:color w:val="FFFFFF"/>
                <w:sz w:val="17"/>
              </w:rPr>
              <w:t>Grade</w:t>
            </w:r>
          </w:p>
        </w:tc>
        <w:tc>
          <w:tcPr>
            <w:tcW w:type="dxa" w:w="1377"/>
            <w:shd w:val="clear" w:color="auto" w:fill="0B3020"/>
          </w:tcPr>
          <w:p>
            <w:r/>
            <w:r>
              <w:rPr>
                <w:b/>
                <w:color w:val="FFFFFF"/>
                <w:sz w:val="17"/>
              </w:rPr>
              <w:t>Status</w:t>
            </w:r>
          </w:p>
        </w:tc>
        <w:tc>
          <w:tcPr>
            <w:tcW w:type="dxa" w:w="1377"/>
            <w:shd w:val="clear" w:color="auto" w:fill="0B3020"/>
          </w:tcPr>
          <w:p>
            <w:r/>
            <w:r>
              <w:rPr>
                <w:b/>
                <w:color w:val="FFFFFF"/>
                <w:sz w:val="17"/>
              </w:rPr>
              <w:t>Comparable?</w:t>
            </w:r>
          </w:p>
        </w:tc>
        <w:tc>
          <w:tcPr>
            <w:tcW w:type="dxa" w:w="1377"/>
            <w:shd w:val="clear" w:color="auto" w:fill="0B3020"/>
          </w:tcPr>
          <w:p>
            <w:r/>
            <w:r>
              <w:rPr>
                <w:b/>
                <w:color w:val="FFFFFF"/>
                <w:sz w:val="17"/>
              </w:rPr>
              <w:t>Reading</w:t>
            </w:r>
          </w:p>
        </w:tc>
      </w:tr>
      <w:tr>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r>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c>
          <w:tcPr>
            <w:tcW w:type="dxa" w:w="1377"/>
          </w:tcPr>
          <w:p>
            <w:r/>
            <w:r>
              <w:rPr>
                <w:sz w:val="17"/>
              </w:rPr>
            </w:r>
          </w:p>
        </w:tc>
      </w:tr>
    </w:tbl>
    <w:p/>
    <w:p>
      <w:pPr>
        <w:pStyle w:val="Heading1"/>
      </w:pPr>
      <w:r>
        <w:t>10. Consumer protection and impact</w:t>
      </w:r>
    </w:p>
    <w:p>
      <w:r>
        <w:rPr>
          <w:i/>
          <w:color w:val="666666"/>
          <w:sz w:val="18"/>
        </w:rPr>
        <w:t>Payment burden by tier on surveyed incomes, implied APR and its disclosure, collection conduct, complaints, and evidence of ownership at the end of the plan.</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7"/>
              </w:rPr>
              <w:t>Tier</w:t>
            </w:r>
          </w:p>
        </w:tc>
        <w:tc>
          <w:tcPr>
            <w:tcW w:type="dxa" w:w="1928"/>
            <w:shd w:val="clear" w:color="auto" w:fill="0B3020"/>
          </w:tcPr>
          <w:p>
            <w:r/>
            <w:r>
              <w:rPr>
                <w:b/>
                <w:color w:val="FFFFFF"/>
                <w:sz w:val="17"/>
              </w:rPr>
              <w:t>Payment burden</w:t>
            </w:r>
          </w:p>
        </w:tc>
        <w:tc>
          <w:tcPr>
            <w:tcW w:type="dxa" w:w="1928"/>
            <w:shd w:val="clear" w:color="auto" w:fill="0B3020"/>
          </w:tcPr>
          <w:p>
            <w:r/>
            <w:r>
              <w:rPr>
                <w:b/>
                <w:color w:val="FFFFFF"/>
                <w:sz w:val="17"/>
              </w:rPr>
              <w:t>Implied APR</w:t>
            </w:r>
          </w:p>
        </w:tc>
        <w:tc>
          <w:tcPr>
            <w:tcW w:type="dxa" w:w="1928"/>
            <w:shd w:val="clear" w:color="auto" w:fill="0B3020"/>
          </w:tcPr>
          <w:p>
            <w:r/>
            <w:r>
              <w:rPr>
                <w:b/>
                <w:color w:val="FFFFFF"/>
                <w:sz w:val="17"/>
              </w:rPr>
              <w:t>Evidence status</w:t>
            </w:r>
          </w:p>
        </w:tc>
        <w:tc>
          <w:tcPr>
            <w:tcW w:type="dxa" w:w="1928"/>
            <w:shd w:val="clear" w:color="auto" w:fill="0B3020"/>
          </w:tcPr>
          <w:p>
            <w:r/>
            <w:r>
              <w:rPr>
                <w:b/>
                <w:color w:val="FFFFFF"/>
                <w:sz w:val="17"/>
              </w:rPr>
              <w:t>Action</w:t>
            </w:r>
          </w:p>
        </w:tc>
      </w:tr>
      <w:tr>
        <w:tc>
          <w:tcPr>
            <w:tcW w:type="dxa" w:w="1928"/>
          </w:tcPr>
          <w:p>
            <w:r/>
            <w:r>
              <w:rPr>
                <w:sz w:val="17"/>
              </w:rPr>
              <w:t>1</w:t>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r>
        <w:tc>
          <w:tcPr>
            <w:tcW w:type="dxa" w:w="1928"/>
          </w:tcPr>
          <w:p>
            <w:r/>
            <w:r>
              <w:rPr>
                <w:sz w:val="17"/>
              </w:rPr>
              <w:t>2</w:t>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r>
        <w:tc>
          <w:tcPr>
            <w:tcW w:type="dxa" w:w="1928"/>
          </w:tcPr>
          <w:p>
            <w:r/>
            <w:r>
              <w:rPr>
                <w:sz w:val="17"/>
              </w:rPr>
              <w:t>3</w:t>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r>
        <w:tc>
          <w:tcPr>
            <w:tcW w:type="dxa" w:w="1928"/>
          </w:tcPr>
          <w:p>
            <w:r/>
            <w:r>
              <w:rPr>
                <w:sz w:val="17"/>
              </w:rPr>
              <w:t>4</w:t>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r>
        <w:tc>
          <w:tcPr>
            <w:tcW w:type="dxa" w:w="1928"/>
          </w:tcPr>
          <w:p>
            <w:r/>
            <w:r>
              <w:rPr>
                <w:sz w:val="17"/>
              </w:rPr>
              <w:t>5</w:t>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bl>
    <w:p/>
    <w:p>
      <w:pPr>
        <w:pStyle w:val="Heading1"/>
      </w:pPr>
      <w:r>
        <w:t>11. Readiness gates and outstanding diligence</w:t>
      </w:r>
    </w:p>
    <w:p>
      <w:r>
        <w:rPr>
          <w:i/>
          <w:color w:val="666666"/>
          <w:sz w:val="18"/>
        </w:rPr>
        <w:t>Report the workbook's decision as the Investment_Readiness sheet computes it, on evidence only: STOP when a test fails (master check, covenant breach in a month or a year with DSCR below the minimum, negative contribution); GO when all 23 gates are met; CONDITIONAL GO when all 13 critical gates are met; otherwise STOP, evidence incomplete. A manual gate counts only when the sheet records where the evidence is held and who signed it off. A STOP on a failed test is a finding against the plan as modelled; a STOP on incomplete evidence measures the file. the recommendation in section 1 is the deal team's judgement. Where the two differ, say why, and write the conditions so that disbursement waits until the critical gates they address are evidenced.</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7"/>
              </w:rPr>
              <w:t>Gates met (of 23)</w:t>
            </w:r>
          </w:p>
        </w:tc>
        <w:tc>
          <w:tcPr>
            <w:tcW w:type="dxa" w:w="1928"/>
            <w:shd w:val="clear" w:color="auto" w:fill="0B3020"/>
          </w:tcPr>
          <w:p>
            <w:r/>
            <w:r>
              <w:rPr>
                <w:b/>
                <w:color w:val="FFFFFF"/>
                <w:sz w:val="17"/>
              </w:rPr>
              <w:t>Critical gates met (of 13)</w:t>
            </w:r>
          </w:p>
        </w:tc>
        <w:tc>
          <w:tcPr>
            <w:tcW w:type="dxa" w:w="1928"/>
            <w:shd w:val="clear" w:color="auto" w:fill="0B3020"/>
          </w:tcPr>
          <w:p>
            <w:r/>
            <w:r>
              <w:rPr>
                <w:b/>
                <w:color w:val="FFFFFF"/>
                <w:sz w:val="17"/>
              </w:rPr>
              <w:t>Failed tests</w:t>
            </w:r>
          </w:p>
        </w:tc>
        <w:tc>
          <w:tcPr>
            <w:tcW w:type="dxa" w:w="1928"/>
            <w:shd w:val="clear" w:color="auto" w:fill="0B3020"/>
          </w:tcPr>
          <w:p>
            <w:r/>
            <w:r>
              <w:rPr>
                <w:b/>
                <w:color w:val="FFFFFF"/>
                <w:sz w:val="17"/>
              </w:rPr>
              <w:t>Workbook decision</w:t>
            </w:r>
          </w:p>
        </w:tc>
        <w:tc>
          <w:tcPr>
            <w:tcW w:type="dxa" w:w="1928"/>
            <w:shd w:val="clear" w:color="auto" w:fill="0B3020"/>
          </w:tcPr>
          <w:p>
            <w:r/>
            <w:r>
              <w:rPr>
                <w:b/>
                <w:color w:val="FFFFFF"/>
                <w:sz w:val="17"/>
              </w:rPr>
              <w:t>Deal team recommendation</w:t>
            </w:r>
          </w:p>
        </w:tc>
      </w:tr>
      <w:tr>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c>
          <w:tcPr>
            <w:tcW w:type="dxa" w:w="1928"/>
          </w:tcPr>
          <w:p>
            <w:r/>
            <w:r>
              <w:rPr>
                <w:sz w:val="17"/>
              </w:rPr>
            </w:r>
          </w:p>
        </w:tc>
      </w:tr>
    </w:tbl>
    <w:p/>
    <w:p>
      <w:r>
        <w:rPr>
          <w:i/>
          <w:color w:val="666666"/>
          <w:sz w:val="18"/>
        </w:rPr>
        <w:t>Translate every open gate into a condition precedent, a covenant or an accepted risk. Copy open items from the diligence checklist (Template T02).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shd w:val="clear" w:color="auto" w:fill="0B3020"/>
          </w:tcPr>
          <w:p>
            <w:r/>
            <w:r>
              <w:rPr>
                <w:b/>
                <w:color w:val="FFFFFF"/>
                <w:sz w:val="17"/>
              </w:rPr>
              <w:t>Gate or diligence item</w:t>
            </w:r>
          </w:p>
        </w:tc>
        <w:tc>
          <w:tcPr>
            <w:tcW w:type="dxa" w:w="1606"/>
            <w:shd w:val="clear" w:color="auto" w:fill="0B3020"/>
          </w:tcPr>
          <w:p>
            <w:r/>
            <w:r>
              <w:rPr>
                <w:b/>
                <w:color w:val="FFFFFF"/>
                <w:sz w:val="17"/>
              </w:rPr>
              <w:t>Critical</w:t>
            </w:r>
          </w:p>
        </w:tc>
        <w:tc>
          <w:tcPr>
            <w:tcW w:type="dxa" w:w="1606"/>
            <w:shd w:val="clear" w:color="auto" w:fill="0B3020"/>
          </w:tcPr>
          <w:p>
            <w:r/>
            <w:r>
              <w:rPr>
                <w:b/>
                <w:color w:val="FFFFFF"/>
                <w:sz w:val="17"/>
              </w:rPr>
              <w:t>Status</w:t>
            </w:r>
          </w:p>
        </w:tc>
        <w:tc>
          <w:tcPr>
            <w:tcW w:type="dxa" w:w="1606"/>
            <w:shd w:val="clear" w:color="auto" w:fill="0B3020"/>
          </w:tcPr>
          <w:p>
            <w:r/>
            <w:r>
              <w:rPr>
                <w:b/>
                <w:color w:val="FFFFFF"/>
                <w:sz w:val="17"/>
              </w:rPr>
              <w:t>Evidence held at</w:t>
            </w:r>
          </w:p>
        </w:tc>
        <w:tc>
          <w:tcPr>
            <w:tcW w:type="dxa" w:w="1606"/>
            <w:shd w:val="clear" w:color="auto" w:fill="0B3020"/>
          </w:tcPr>
          <w:p>
            <w:r/>
            <w:r>
              <w:rPr>
                <w:b/>
                <w:color w:val="FFFFFF"/>
                <w:sz w:val="17"/>
              </w:rPr>
              <w:t>Signed off by</w:t>
            </w:r>
          </w:p>
        </w:tc>
        <w:tc>
          <w:tcPr>
            <w:tcW w:type="dxa" w:w="1606"/>
            <w:shd w:val="clear" w:color="auto" w:fill="0B3020"/>
          </w:tcPr>
          <w:p>
            <w:r/>
            <w:r>
              <w:rPr>
                <w:b/>
                <w:color w:val="FFFFFF"/>
                <w:sz w:val="17"/>
              </w:rPr>
              <w:t>Treatment</w:t>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r>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c>
          <w:tcPr>
            <w:tcW w:type="dxa" w:w="1606"/>
          </w:tcPr>
          <w:p>
            <w:r/>
            <w:r>
              <w:rPr>
                <w:sz w:val="17"/>
              </w:rPr>
            </w:r>
          </w:p>
        </w:tc>
      </w:tr>
    </w:tbl>
    <w:p/>
    <w:p>
      <w:pPr>
        <w:pStyle w:val="Heading1"/>
      </w:pPr>
      <w:r>
        <w:t>12. Risks and mitigants</w:t>
      </w:r>
    </w:p>
    <w:p>
      <w:r>
        <w:rPr>
          <w:i/>
          <w:color w:val="666666"/>
          <w:sz w:val="18"/>
        </w:rPr>
        <w:t>Rate likelihood and impact as High, Medium or Low before and after mitigation. Keep the list to the risks that could change the decision.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567"/>
            <w:shd w:val="clear" w:color="auto" w:fill="0B3020"/>
          </w:tcPr>
          <w:p>
            <w:r/>
            <w:r>
              <w:rPr>
                <w:b/>
                <w:color w:val="FFFFFF"/>
                <w:sz w:val="17"/>
              </w:rPr>
              <w:t>No.</w:t>
            </w:r>
          </w:p>
        </w:tc>
        <w:tc>
          <w:tcPr>
            <w:tcW w:type="dxa" w:w="2608"/>
            <w:shd w:val="clear" w:color="auto" w:fill="0B3020"/>
          </w:tcPr>
          <w:p>
            <w:r/>
            <w:r>
              <w:rPr>
                <w:b/>
                <w:color w:val="FFFFFF"/>
                <w:sz w:val="17"/>
              </w:rPr>
              <w:t>Risk</w:t>
            </w:r>
          </w:p>
        </w:tc>
        <w:tc>
          <w:tcPr>
            <w:tcW w:type="dxa" w:w="1020"/>
            <w:shd w:val="clear" w:color="auto" w:fill="0B3020"/>
          </w:tcPr>
          <w:p>
            <w:r/>
            <w:r>
              <w:rPr>
                <w:b/>
                <w:color w:val="FFFFFF"/>
                <w:sz w:val="17"/>
              </w:rPr>
              <w:t>Likelihood</w:t>
            </w:r>
          </w:p>
        </w:tc>
        <w:tc>
          <w:tcPr>
            <w:tcW w:type="dxa" w:w="907"/>
            <w:shd w:val="clear" w:color="auto" w:fill="0B3020"/>
          </w:tcPr>
          <w:p>
            <w:r/>
            <w:r>
              <w:rPr>
                <w:b/>
                <w:color w:val="FFFFFF"/>
                <w:sz w:val="17"/>
              </w:rPr>
              <w:t>Impact</w:t>
            </w:r>
          </w:p>
        </w:tc>
        <w:tc>
          <w:tcPr>
            <w:tcW w:type="dxa" w:w="2381"/>
            <w:shd w:val="clear" w:color="auto" w:fill="0B3020"/>
          </w:tcPr>
          <w:p>
            <w:r/>
            <w:r>
              <w:rPr>
                <w:b/>
                <w:color w:val="FFFFFF"/>
                <w:sz w:val="17"/>
              </w:rPr>
              <w:t>Mitigant</w:t>
            </w:r>
          </w:p>
        </w:tc>
        <w:tc>
          <w:tcPr>
            <w:tcW w:type="dxa" w:w="1020"/>
            <w:shd w:val="clear" w:color="auto" w:fill="0B3020"/>
          </w:tcPr>
          <w:p>
            <w:r/>
            <w:r>
              <w:rPr>
                <w:b/>
                <w:color w:val="FFFFFF"/>
                <w:sz w:val="17"/>
              </w:rPr>
              <w:t>Residual</w:t>
            </w:r>
          </w:p>
        </w:tc>
        <w:tc>
          <w:tcPr>
            <w:tcW w:type="dxa" w:w="907"/>
            <w:shd w:val="clear" w:color="auto" w:fill="0B3020"/>
          </w:tcPr>
          <w:p>
            <w:r/>
            <w:r>
              <w:rPr>
                <w:b/>
                <w:color w:val="FFFFFF"/>
                <w:sz w:val="17"/>
              </w:rPr>
              <w:t>Owner</w:t>
            </w:r>
          </w:p>
        </w:tc>
      </w:tr>
      <w:tr>
        <w:tc>
          <w:tcPr>
            <w:tcW w:type="dxa" w:w="567"/>
          </w:tcPr>
          <w:p>
            <w:r/>
            <w:r>
              <w:rPr>
                <w:sz w:val="17"/>
              </w:rPr>
              <w:t>R1</w:t>
            </w:r>
          </w:p>
        </w:tc>
        <w:tc>
          <w:tcPr>
            <w:tcW w:type="dxa" w:w="2608"/>
          </w:tcPr>
          <w:p>
            <w:r/>
            <w:r>
              <w:rPr>
                <w:sz w:val="17"/>
              </w:rPr>
              <w:t>Credit deterioration in existing tiers</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R2</w:t>
            </w:r>
          </w:p>
        </w:tc>
        <w:tc>
          <w:tcPr>
            <w:tcW w:type="dxa" w:w="2608"/>
          </w:tcPr>
          <w:p>
            <w:r/>
            <w:r>
              <w:rPr>
                <w:sz w:val="17"/>
              </w:rPr>
              <w:t>Untested credit on new tiers</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R3</w:t>
            </w:r>
          </w:p>
        </w:tc>
        <w:tc>
          <w:tcPr>
            <w:tcW w:type="dxa" w:w="2608"/>
          </w:tcPr>
          <w:p>
            <w:r/>
            <w:r>
              <w:rPr>
                <w:sz w:val="17"/>
              </w:rPr>
              <w:t>Currency depreciation and pricing power</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R4</w:t>
            </w:r>
          </w:p>
        </w:tc>
        <w:tc>
          <w:tcPr>
            <w:tcW w:type="dxa" w:w="2608"/>
          </w:tcPr>
          <w:p>
            <w:r/>
            <w:r>
              <w:rPr>
                <w:sz w:val="17"/>
              </w:rPr>
              <w:t>Funding drought or facility delay</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R5</w:t>
            </w:r>
          </w:p>
        </w:tc>
        <w:tc>
          <w:tcPr>
            <w:tcW w:type="dxa" w:w="2608"/>
          </w:tcPr>
          <w:p>
            <w:r/>
            <w:r>
              <w:rPr>
                <w:sz w:val="17"/>
              </w:rPr>
              <w:t>Regulatory change on lockout, APR or data</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R6</w:t>
            </w:r>
          </w:p>
        </w:tc>
        <w:tc>
          <w:tcPr>
            <w:tcW w:type="dxa" w:w="2608"/>
          </w:tcPr>
          <w:p>
            <w:r/>
            <w:r>
              <w:rPr>
                <w:sz w:val="17"/>
              </w:rPr>
              <w:t>Fraud and ghost sales</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R7</w:t>
            </w:r>
          </w:p>
        </w:tc>
        <w:tc>
          <w:tcPr>
            <w:tcW w:type="dxa" w:w="2608"/>
          </w:tcPr>
          <w:p>
            <w:r/>
            <w:r>
              <w:rPr>
                <w:sz w:val="17"/>
              </w:rPr>
              <w:t>Platform or payment channel failure</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r>
        <w:tc>
          <w:tcPr>
            <w:tcW w:type="dxa" w:w="567"/>
          </w:tcPr>
          <w:p>
            <w:r/>
            <w:r>
              <w:rPr>
                <w:sz w:val="17"/>
              </w:rPr>
              <w:t>R8</w:t>
            </w:r>
          </w:p>
        </w:tc>
        <w:tc>
          <w:tcPr>
            <w:tcW w:type="dxa" w:w="2608"/>
          </w:tcPr>
          <w:p>
            <w:r/>
            <w:r>
              <w:rPr>
                <w:sz w:val="17"/>
              </w:rPr>
              <w:t>Key person and governance</w:t>
            </w:r>
          </w:p>
        </w:tc>
        <w:tc>
          <w:tcPr>
            <w:tcW w:type="dxa" w:w="1020"/>
          </w:tcPr>
          <w:p>
            <w:r/>
            <w:r>
              <w:rPr>
                <w:sz w:val="17"/>
              </w:rPr>
            </w:r>
          </w:p>
        </w:tc>
        <w:tc>
          <w:tcPr>
            <w:tcW w:type="dxa" w:w="907"/>
          </w:tcPr>
          <w:p>
            <w:r/>
            <w:r>
              <w:rPr>
                <w:sz w:val="17"/>
              </w:rPr>
            </w:r>
          </w:p>
        </w:tc>
        <w:tc>
          <w:tcPr>
            <w:tcW w:type="dxa" w:w="2381"/>
          </w:tcPr>
          <w:p>
            <w:r/>
            <w:r>
              <w:rPr>
                <w:sz w:val="17"/>
              </w:rPr>
            </w:r>
          </w:p>
        </w:tc>
        <w:tc>
          <w:tcPr>
            <w:tcW w:type="dxa" w:w="1020"/>
          </w:tcPr>
          <w:p>
            <w:r/>
            <w:r>
              <w:rPr>
                <w:sz w:val="17"/>
              </w:rPr>
            </w:r>
          </w:p>
        </w:tc>
        <w:tc>
          <w:tcPr>
            <w:tcW w:type="dxa" w:w="907"/>
          </w:tcPr>
          <w:p>
            <w:r/>
            <w:r>
              <w:rPr>
                <w:sz w:val="17"/>
              </w:rPr>
            </w:r>
          </w:p>
        </w:tc>
      </w:tr>
    </w:tbl>
    <w:p/>
    <w:p>
      <w:pPr>
        <w:pStyle w:val="Heading1"/>
      </w:pPr>
      <w:r>
        <w:t>Annex A. Sources and verification status</w:t>
      </w:r>
    </w:p>
    <w:p>
      <w:r>
        <w:rPr>
          <w:i/>
          <w:color w:val="666666"/>
          <w:sz w:val="18"/>
        </w:rPr>
        <w:t>List every external figure quoted in the memo with its source, the page read, its grade (A to D) and its status (VERIFIED, VERIFIED (HISTORICAL), PENDING PRIMARY DOCUMENT, UNVERIFIED, CONFLICTING SOURCES, NOT USED).</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8"/>
              </w:rPr>
              <w:t>Ref.</w:t>
            </w:r>
          </w:p>
        </w:tc>
        <w:tc>
          <w:tcPr>
            <w:tcW w:type="dxa" w:w="1928"/>
            <w:shd w:val="clear" w:color="auto" w:fill="0B3020"/>
          </w:tcPr>
          <w:p>
            <w:r/>
            <w:r>
              <w:rPr>
                <w:b/>
                <w:color w:val="FFFFFF"/>
                <w:sz w:val="18"/>
              </w:rPr>
              <w:t>Figure as used</w:t>
            </w:r>
          </w:p>
        </w:tc>
        <w:tc>
          <w:tcPr>
            <w:tcW w:type="dxa" w:w="1928"/>
            <w:shd w:val="clear" w:color="auto" w:fill="0B3020"/>
          </w:tcPr>
          <w:p>
            <w:r/>
            <w:r>
              <w:rPr>
                <w:b/>
                <w:color w:val="FFFFFF"/>
                <w:sz w:val="18"/>
              </w:rPr>
              <w:t>Source and page</w:t>
            </w:r>
          </w:p>
        </w:tc>
        <w:tc>
          <w:tcPr>
            <w:tcW w:type="dxa" w:w="1928"/>
            <w:shd w:val="clear" w:color="auto" w:fill="0B3020"/>
          </w:tcPr>
          <w:p>
            <w:r/>
            <w:r>
              <w:rPr>
                <w:b/>
                <w:color w:val="FFFFFF"/>
                <w:sz w:val="18"/>
              </w:rPr>
              <w:t>Grade</w:t>
            </w:r>
          </w:p>
        </w:tc>
        <w:tc>
          <w:tcPr>
            <w:tcW w:type="dxa" w:w="1928"/>
            <w:shd w:val="clear" w:color="auto" w:fill="0B3020"/>
          </w:tcPr>
          <w:p>
            <w:r/>
            <w:r>
              <w:rPr>
                <w:b/>
                <w:color w:val="FFFFFF"/>
                <w:sz w:val="18"/>
              </w:rPr>
              <w:t>Status</w:t>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bl>
    <w:p/>
    <w:p>
      <w:pPr>
        <w:pStyle w:val="Heading1"/>
      </w:pPr>
      <w:r>
        <w:t>Annex B. Approvals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8"/>
              </w:rPr>
              <w:t>Role</w:t>
            </w:r>
          </w:p>
        </w:tc>
        <w:tc>
          <w:tcPr>
            <w:tcW w:type="dxa" w:w="1928"/>
            <w:shd w:val="clear" w:color="auto" w:fill="0B3020"/>
          </w:tcPr>
          <w:p>
            <w:r/>
            <w:r>
              <w:rPr>
                <w:b/>
                <w:color w:val="FFFFFF"/>
                <w:sz w:val="18"/>
              </w:rPr>
              <w:t>Name</w:t>
            </w:r>
          </w:p>
        </w:tc>
        <w:tc>
          <w:tcPr>
            <w:tcW w:type="dxa" w:w="1928"/>
            <w:shd w:val="clear" w:color="auto" w:fill="0B3020"/>
          </w:tcPr>
          <w:p>
            <w:r/>
            <w:r>
              <w:rPr>
                <w:b/>
                <w:color w:val="FFFFFF"/>
                <w:sz w:val="18"/>
              </w:rPr>
              <w:t>Decision</w:t>
            </w:r>
          </w:p>
        </w:tc>
        <w:tc>
          <w:tcPr>
            <w:tcW w:type="dxa" w:w="1928"/>
            <w:shd w:val="clear" w:color="auto" w:fill="0B3020"/>
          </w:tcPr>
          <w:p>
            <w:r/>
            <w:r>
              <w:rPr>
                <w:b/>
                <w:color w:val="FFFFFF"/>
                <w:sz w:val="18"/>
              </w:rPr>
              <w:t>Date</w:t>
            </w:r>
          </w:p>
        </w:tc>
        <w:tc>
          <w:tcPr>
            <w:tcW w:type="dxa" w:w="1928"/>
            <w:shd w:val="clear" w:color="auto" w:fill="0B3020"/>
          </w:tcPr>
          <w:p>
            <w:r/>
            <w:r>
              <w:rPr>
                <w:b/>
                <w:color w:val="FFFFFF"/>
                <w:sz w:val="18"/>
              </w:rPr>
              <w:t>Signature</w:t>
            </w:r>
          </w:p>
        </w:tc>
      </w:tr>
      <w:tr>
        <w:tc>
          <w:tcPr>
            <w:tcW w:type="dxa" w:w="1928"/>
          </w:tcPr>
          <w:p>
            <w:r/>
            <w:r>
              <w:rPr>
                <w:b/>
                <w:sz w:val="18"/>
              </w:rPr>
              <w:t>Investment committee chair</w:t>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b/>
                <w:sz w:val="18"/>
              </w:rPr>
              <w:t>Member</w:t>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b/>
                <w:sz w:val="18"/>
              </w:rPr>
              <w:t>Member</w:t>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r>
        <w:tc>
          <w:tcPr>
            <w:tcW w:type="dxa" w:w="1928"/>
          </w:tcPr>
          <w:p>
            <w:r/>
            <w:r>
              <w:rPr>
                <w:b/>
                <w:sz w:val="18"/>
              </w:rPr>
              <w:t>Risk</w:t>
            </w:r>
          </w:p>
        </w:tc>
        <w:tc>
          <w:tcPr>
            <w:tcW w:type="dxa" w:w="1928"/>
          </w:tcPr>
          <w:p>
            <w:r/>
            <w:r>
              <w:rPr>
                <w:sz w:val="18"/>
              </w:rPr>
            </w:r>
          </w:p>
        </w:tc>
        <w:tc>
          <w:tcPr>
            <w:tcW w:type="dxa" w:w="1928"/>
          </w:tcPr>
          <w:p>
            <w:r/>
            <w:r>
              <w:rPr>
                <w:sz w:val="18"/>
              </w:rPr>
            </w:r>
          </w:p>
        </w:tc>
        <w:tc>
          <w:tcPr>
            <w:tcW w:type="dxa" w:w="1928"/>
          </w:tcPr>
          <w:p>
            <w:r/>
            <w:r>
              <w:rPr>
                <w:sz w:val="18"/>
              </w:rPr>
            </w:r>
          </w:p>
        </w:tc>
        <w:tc>
          <w:tcPr>
            <w:tcW w:type="dxa" w:w="1928"/>
          </w:tcPr>
          <w:p>
            <w:r/>
            <w:r>
              <w:rPr>
                <w:sz w:val="18"/>
              </w:rPr>
            </w:r>
          </w:p>
        </w:tc>
      </w:tr>
    </w:tbl>
    <w:p/>
    <w:p>
      <w:r>
        <w:rPr>
          <w:i/>
          <w:color w:val="666666"/>
          <w:sz w:val="18"/>
        </w:rPr>
        <w:t>Decision support template from the Africa Energy Finance Book 2 Templates Pack. It does not constitute investment, legal, tax or accounting advice.</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color w:val="666666"/>
        <w:sz w:val="15"/>
      </w:rPr>
      <w:t>Africa Energy Finance | Book 2 Template T01 | Version 0.9 (pre-release)</w:t>
      <w:tab/>
      <w:tab/>
      <w:t xml:space="preserve">Page </w:t>
    </w:r>
    <w:r>
      <w:rPr>
        <w:sz w:val="15"/>
      </w:rPr>
      <w:fldChar w:fldCharType="begin"/>
    </w:r>
    <w:r>
      <w:rPr>
        <w:sz w:val="15"/>
      </w:rPr>
      <w:instrText xml:space="preserve"> PAGE </w:instrText>
    </w:r>
    <w:r>
      <w:fldChar w:fldCharType="separate"/>
    </w:r>
    <w:r>
      <w:rPr>
        <w:sz w:val="15"/>
      </w:rPr>
      <w:t>1</w:t>
    </w:r>
    <w:r>
      <w:fldChar w:fldCharType="end"/>
    </w:r>
    <w:r>
      <w:rPr>
        <w:color w:val="666666"/>
        <w:sz w:val="15"/>
      </w:rPr>
      <w:t xml:space="preserve"> of </w:t>
    </w:r>
    <w:r>
      <w:rPr>
        <w:sz w:val="15"/>
      </w:rPr>
      <w:fldChar w:fldCharType="begin"/>
    </w:r>
    <w:r>
      <w:rPr>
        <w:sz w:val="15"/>
      </w:rPr>
      <w:instrText xml:space="preserve"> NUMPAGES </w:instrText>
    </w:r>
    <w:r>
      <w:fldChar w:fldCharType="separate"/>
    </w:r>
    <w:r>
      <w:rPr>
        <w:sz w:val="15"/>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
      <w:rPr>
        <w:b/>
        <w:color w:val="0B3020"/>
        <w:sz w:val="15"/>
      </w:rPr>
      <w:t>AFRICA ENERGY FINANCE  |  BOOK 2  |  TEMPLATE T01</w:t>
    </w:r>
    <w:r>
      <w:rPr>
        <w:color w:val="666666"/>
        <w:sz w:val="15"/>
      </w:rPr>
      <w:tab/>
      <w:tab/>
      <w:t>Investment committee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color w:val="0B302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color w:val="0B302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cs="Arial" w:eastAsia="Arial"/>
      <w:b/>
      <w:bCs/>
      <w:color w:val="B07C0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Africa Energy Finance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AEF Book 2 Template T01: Investment committee memorandum</dc:title>
  <dc:subject>Africa Energy Finance, Book 2 Templates Pack</dc:subject>
  <dc:creator>Emmanuel Boujieka Kamga</dc:creator>
  <cp:keywords>Africa Energy Finance; Book 2; PAYGo Solar Finance; template</cp:keywords>
  <dc:description>Decision support material; not investment, legal, tax or accounting advice.</dc:description>
  <cp:lastModifiedBy>Emmanuel Boujieka Kamga</cp:lastModifiedBy>
  <cp:revision>1</cp:revision>
  <dcterms:created xsi:type="dcterms:W3CDTF">2026-10-03T15:51:01Z</dcterms:created>
  <dcterms:modified xsi:type="dcterms:W3CDTF">2026-10-03T15:51:01Z</dcterms:modified>
  <cp:category/>
</cp:coreProperties>
</file>