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3020"/>
          <w:sz w:val="36"/>
        </w:rPr>
        <w:t>PAYGo business model canvas</w:t>
      </w:r>
    </w:p>
    <w:p>
      <w:r>
        <w:rPr>
          <w:i/>
          <w:color w:val="666666"/>
          <w:sz w:val="18"/>
        </w:rPr>
        <w:t>Nine classic blocks plus four PAYGo blocks (shaded): the credit engine, the funding stack, impact and consumer protection, and the metrics that tell management whether the model works. Replace the grey questions with the company's answers; keep each block to a few lines.</w:t>
      </w:r>
    </w:p>
    <w:p>
      <w:pPr>
        <w:jc w:val="both"/>
      </w:pPr>
      <w:r>
        <w:t>[Company name]  |  [Date]  |  Prepared by [name]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rHeight w:val="2381"/>
        </w:trPr>
        <w:tc>
          <w:tcPr>
            <w:tcW w:type="dxa" w:w="3028"/>
            <w:vMerge w:val="restart"/>
          </w:tcPr>
          <w:p>
            <w:r/>
            <w:r>
              <w:rPr>
                <w:b/>
                <w:color w:val="0B3020"/>
                <w:sz w:val="16"/>
              </w:rPr>
              <w:t>KEY PARTNERS</w:t>
            </w:r>
          </w:p>
          <w:p>
            <w:r>
              <w:rPr>
                <w:i/>
                <w:color w:val="666666"/>
                <w:sz w:val="17"/>
              </w:rPr>
              <w:t>Hardware suppliers, mobile money operators, lenders, RBF programmes, retail partners. Which partner could stop the business?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0B3020"/>
                <w:sz w:val="16"/>
              </w:rPr>
              <w:t>KEY ACTIVITIES</w:t>
            </w:r>
          </w:p>
          <w:p>
            <w:r>
              <w:rPr>
                <w:i/>
                <w:color w:val="666666"/>
                <w:sz w:val="17"/>
              </w:rPr>
              <w:t>Underwriting, logistics, installation, servicing, collections, repossession, data and reporting.</w:t>
            </w:r>
          </w:p>
        </w:tc>
        <w:tc>
          <w:tcPr>
            <w:tcW w:type="dxa" w:w="3028"/>
            <w:vMerge w:val="restart"/>
          </w:tcPr>
          <w:p>
            <w:r/>
            <w:r>
              <w:rPr>
                <w:b/>
                <w:color w:val="0B3020"/>
                <w:sz w:val="16"/>
              </w:rPr>
              <w:t>VALUE PROPOSITION</w:t>
            </w:r>
          </w:p>
          <w:p>
            <w:r>
              <w:rPr>
                <w:i/>
                <w:color w:val="666666"/>
                <w:sz w:val="17"/>
              </w:rPr>
              <w:t>What the household gets per day of payment compared with kerosene, batteries and phone charging; ownership at the end.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0B3020"/>
                <w:sz w:val="16"/>
              </w:rPr>
              <w:t>CUSTOMER RELATIONSHIPS</w:t>
            </w:r>
          </w:p>
          <w:p>
            <w:r>
              <w:rPr>
                <w:i/>
                <w:color w:val="666666"/>
                <w:sz w:val="17"/>
              </w:rPr>
              <w:t>Daily payments, lockout, reminders, service visits, upgrades after ownership.</w:t>
            </w:r>
          </w:p>
        </w:tc>
        <w:tc>
          <w:tcPr>
            <w:tcW w:type="dxa" w:w="3028"/>
            <w:vMerge w:val="restart"/>
          </w:tcPr>
          <w:p>
            <w:r/>
            <w:r>
              <w:rPr>
                <w:b/>
                <w:color w:val="0B3020"/>
                <w:sz w:val="16"/>
              </w:rPr>
              <w:t>CUSTOMER SEGMENTS</w:t>
            </w:r>
          </w:p>
          <w:p>
            <w:r>
              <w:rPr>
                <w:i/>
                <w:color w:val="666666"/>
                <w:sz w:val="17"/>
              </w:rPr>
              <w:t>Segments by tier and income type; seasonality; first time or repeat customers.</w:t>
            </w:r>
          </w:p>
        </w:tc>
      </w:tr>
      <w:tr>
        <w:trPr>
          <w:trHeight w:val="2381"/>
        </w:trPr>
        <w:tc>
          <w:tcPr>
            <w:tcW w:type="dxa" w:w="3028"/>
            <w:vMerge/>
          </w:tcPr>
          <w:p/>
        </w:tc>
        <w:tc>
          <w:tcPr>
            <w:tcW w:type="dxa" w:w="3028"/>
          </w:tcPr>
          <w:p>
            <w:r/>
            <w:r>
              <w:rPr>
                <w:b/>
                <w:color w:val="0B3020"/>
                <w:sz w:val="16"/>
              </w:rPr>
              <w:t>KEY RESOURCES</w:t>
            </w:r>
          </w:p>
          <w:p>
            <w:r>
              <w:rPr>
                <w:i/>
                <w:color w:val="666666"/>
                <w:sz w:val="17"/>
              </w:rPr>
              <w:t>Lockout platform, customer data, agent network, receivables book, funding lines.</w:t>
            </w:r>
          </w:p>
        </w:tc>
        <w:tc>
          <w:tcPr>
            <w:tcW w:type="dxa" w:w="3028"/>
            <w:vMerge/>
          </w:tcPr>
          <w:p/>
        </w:tc>
        <w:tc>
          <w:tcPr>
            <w:tcW w:type="dxa" w:w="3028"/>
          </w:tcPr>
          <w:p>
            <w:r/>
            <w:r>
              <w:rPr>
                <w:b/>
                <w:color w:val="0B3020"/>
                <w:sz w:val="16"/>
              </w:rPr>
              <w:t>CHANNELS</w:t>
            </w:r>
          </w:p>
          <w:p>
            <w:r>
              <w:rPr>
                <w:i/>
                <w:color w:val="666666"/>
                <w:sz w:val="17"/>
              </w:rPr>
              <w:t>Direct agents, retail partners, installers. Who selects the customer, and how are they paid?</w:t>
            </w:r>
          </w:p>
        </w:tc>
        <w:tc>
          <w:tcPr>
            <w:tcW w:type="dxa" w:w="3028"/>
            <w:vMerge/>
          </w:tcPr>
          <w:p/>
        </w:tc>
      </w:tr>
      <w:tr>
        <w:trPr>
          <w:trHeight w:val="1701"/>
        </w:trPr>
        <w:tc>
          <w:tcPr>
            <w:tcW w:type="dxa" w:w="6056"/>
            <w:gridSpan w:val="2"/>
          </w:tcPr>
          <w:p>
            <w:r/>
            <w:r>
              <w:rPr>
                <w:b/>
                <w:color w:val="0B3020"/>
                <w:sz w:val="16"/>
              </w:rPr>
              <w:t>COST STRUCTURE</w:t>
            </w:r>
          </w:p>
          <w:p>
            <w:r>
              <w:rPr>
                <w:i/>
                <w:color w:val="666666"/>
                <w:sz w:val="17"/>
              </w:rPr>
              <w:t>Landed hardware, installation, warranty, CAC (narrow and fully loaded), servicing, central costs, funding cost.</w:t>
            </w:r>
          </w:p>
        </w:tc>
        <w:tc>
          <w:tcPr>
            <w:tcW w:type="dxa" w:w="3028"/>
            <w:shd w:val="clear" w:color="auto" w:fill="F2EEE3"/>
          </w:tcPr>
          <w:p>
            <w:r/>
            <w:r>
              <w:rPr>
                <w:b/>
                <w:color w:val="0B3020"/>
                <w:sz w:val="16"/>
              </w:rPr>
              <w:t>CREDIT ENGINE</w:t>
            </w:r>
          </w:p>
          <w:p>
            <w:r>
              <w:rPr>
                <w:i/>
                <w:color w:val="666666"/>
                <w:sz w:val="17"/>
              </w:rPr>
              <w:t>Default hazard and collection rate by tier, observed or proxy; DPD definition; recoveries.</w:t>
            </w:r>
          </w:p>
        </w:tc>
        <w:tc>
          <w:tcPr>
            <w:tcW w:type="dxa" w:w="6056"/>
            <w:gridSpan w:val="2"/>
          </w:tcPr>
          <w:p>
            <w:r/>
            <w:r>
              <w:rPr>
                <w:b/>
                <w:color w:val="0B3020"/>
                <w:sz w:val="16"/>
              </w:rPr>
              <w:t>REVENUE STREAMS</w:t>
            </w:r>
          </w:p>
          <w:p>
            <w:r>
              <w:rPr>
                <w:i/>
                <w:color w:val="666666"/>
                <w:sz w:val="17"/>
              </w:rPr>
              <w:t>Hardware at cash price, financing income over the tenor, RBF, add on services.</w:t>
            </w:r>
          </w:p>
        </w:tc>
      </w:tr>
      <w:tr>
        <w:trPr>
          <w:trHeight w:val="1701"/>
        </w:trPr>
        <w:tc>
          <w:tcPr>
            <w:tcW w:type="dxa" w:w="6056"/>
            <w:gridSpan w:val="2"/>
            <w:shd w:val="clear" w:color="auto" w:fill="F2EEE3"/>
          </w:tcPr>
          <w:p>
            <w:r/>
            <w:r>
              <w:rPr>
                <w:b/>
                <w:color w:val="0B3020"/>
                <w:sz w:val="16"/>
              </w:rPr>
              <w:t>FUNDING STACK</w:t>
            </w:r>
          </w:p>
          <w:p>
            <w:r>
              <w:rPr>
                <w:i/>
                <w:color w:val="666666"/>
                <w:sz w:val="17"/>
              </w:rPr>
              <w:t>Equity, hard currency term debt, local currency receivables facility, securitisation; currency match.</w:t>
            </w:r>
          </w:p>
        </w:tc>
        <w:tc>
          <w:tcPr>
            <w:tcW w:type="dxa" w:w="3028"/>
            <w:shd w:val="clear" w:color="auto" w:fill="F2EEE3"/>
          </w:tcPr>
          <w:p>
            <w:r/>
            <w:r>
              <w:rPr>
                <w:b/>
                <w:color w:val="0B3020"/>
                <w:sz w:val="16"/>
              </w:rPr>
              <w:t>IMPACT AND CONSUMER PROTECTION</w:t>
            </w:r>
          </w:p>
          <w:p>
            <w:r>
              <w:rPr>
                <w:i/>
                <w:color w:val="666666"/>
                <w:sz w:val="17"/>
              </w:rPr>
              <w:t>Payment burden, APR and disclosure, complaints, ownership evidence.</w:t>
            </w:r>
          </w:p>
        </w:tc>
        <w:tc>
          <w:tcPr>
            <w:tcW w:type="dxa" w:w="6056"/>
            <w:gridSpan w:val="2"/>
            <w:shd w:val="clear" w:color="auto" w:fill="F2EEE3"/>
          </w:tcPr>
          <w:p>
            <w:r/>
            <w:r>
              <w:rPr>
                <w:b/>
                <w:color w:val="0B3020"/>
                <w:sz w:val="16"/>
              </w:rPr>
              <w:t>KEY METRICS</w:t>
            </w:r>
          </w:p>
          <w:p>
            <w:r>
              <w:rPr>
                <w:i/>
                <w:color w:val="666666"/>
                <w:sz w:val="17"/>
              </w:rPr>
              <w:t>PAYGo PERFORM 2026 KPIs (company reported); operational collection rate; PAR30; cohort repayment against plan; LTV to CAC; payback; peak equity.</w:t>
            </w:r>
          </w:p>
        </w:tc>
      </w:tr>
    </w:tbl>
    <w:p>
      <w:r>
        <w:br w:type="page"/>
      </w:r>
    </w:p>
    <w:p>
      <w:r>
        <w:rPr>
          <w:b/>
          <w:color w:val="0B3020"/>
          <w:sz w:val="32"/>
        </w:rPr>
        <w:t>Worked example: SolaraPay Ltd (fictional)</w:t>
      </w:r>
    </w:p>
    <w:p>
      <w:r>
        <w:rPr>
          <w:i/>
          <w:color w:val="666666"/>
          <w:sz w:val="18"/>
        </w:rPr>
        <w:t>Filled from CASE 2, the SolaraPay case study of Book 2. SolaraPay and the Republic of Kivara are fictional; figures come from the case workbook.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rHeight w:val="2381"/>
        </w:trPr>
        <w:tc>
          <w:tcPr>
            <w:tcW w:type="dxa" w:w="3028"/>
            <w:vMerge w:val="restart"/>
          </w:tcPr>
          <w:p>
            <w:r/>
            <w:r>
              <w:rPr>
                <w:b/>
                <w:color w:val="0B3020"/>
                <w:sz w:val="16"/>
              </w:rPr>
              <w:t>KEY PARTNERS</w:t>
            </w:r>
          </w:p>
          <w:p>
            <w:r>
              <w:rPr>
                <w:sz w:val="17"/>
              </w:rPr>
              <w:t>USD hardware suppliers; two mobile money operators; local bank (proposed KVS 4.5bn facility); USD 3.0m term lender; impact fund.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0B3020"/>
                <w:sz w:val="16"/>
              </w:rPr>
              <w:t>KEY ACTIVITIES</w:t>
            </w:r>
          </w:p>
          <w:p>
            <w:r>
              <w:rPr>
                <w:sz w:val="17"/>
              </w:rPr>
              <w:t>Agent sales and installation; collections through lockout; repossession not yet operating (observed LGD proxy about 99%).</w:t>
            </w:r>
          </w:p>
        </w:tc>
        <w:tc>
          <w:tcPr>
            <w:tcW w:type="dxa" w:w="3028"/>
            <w:vMerge w:val="restart"/>
          </w:tcPr>
          <w:p>
            <w:r/>
            <w:r>
              <w:rPr>
                <w:b/>
                <w:color w:val="0B3020"/>
                <w:sz w:val="16"/>
              </w:rPr>
              <w:t>VALUE PROPOSITION</w:t>
            </w:r>
          </w:p>
          <w:p>
            <w:r>
              <w:rPr>
                <w:sz w:val="17"/>
              </w:rPr>
              <w:t>Light, TV and refrigeration paid by the day; ownership after 12 to 48 months.</w:t>
            </w:r>
          </w:p>
        </w:tc>
        <w:tc>
          <w:tcPr>
            <w:tcW w:type="dxa" w:w="3028"/>
          </w:tcPr>
          <w:p>
            <w:r/>
            <w:r>
              <w:rPr>
                <w:b/>
                <w:color w:val="0B3020"/>
                <w:sz w:val="16"/>
              </w:rPr>
              <w:t>CUSTOMER RELATIONSHIPS</w:t>
            </w:r>
          </w:p>
          <w:p>
            <w:r>
              <w:rPr>
                <w:sz w:val="17"/>
              </w:rPr>
              <w:t>Daily mobile money payments; reminders; lockout on expiry; permanent unlock at the end of the plan.</w:t>
            </w:r>
          </w:p>
        </w:tc>
        <w:tc>
          <w:tcPr>
            <w:tcW w:type="dxa" w:w="3028"/>
            <w:vMerge w:val="restart"/>
          </w:tcPr>
          <w:p>
            <w:r/>
            <w:r>
              <w:rPr>
                <w:b/>
                <w:color w:val="0B3020"/>
                <w:sz w:val="16"/>
              </w:rPr>
              <w:t>CUSTOMER SEGMENTS</w:t>
            </w:r>
          </w:p>
          <w:p>
            <w:r>
              <w:rPr>
                <w:sz w:val="17"/>
              </w:rPr>
              <w:t>Rural first time buyers (Tier 1), rural and peri urban households (Tiers 2 and 3), urban households and small businesses on a weak grid (Tiers 4 and 5, new).</w:t>
            </w:r>
          </w:p>
        </w:tc>
      </w:tr>
      <w:tr>
        <w:trPr>
          <w:trHeight w:val="2381"/>
        </w:trPr>
        <w:tc>
          <w:tcPr>
            <w:tcW w:type="dxa" w:w="3028"/>
            <w:vMerge/>
          </w:tcPr>
          <w:p/>
        </w:tc>
        <w:tc>
          <w:tcPr>
            <w:tcW w:type="dxa" w:w="3028"/>
          </w:tcPr>
          <w:p>
            <w:r/>
            <w:r>
              <w:rPr>
                <w:b/>
                <w:color w:val="0B3020"/>
                <w:sz w:val="16"/>
              </w:rPr>
              <w:t>KEY RESOURCES</w:t>
            </w:r>
          </w:p>
          <w:p>
            <w:r>
              <w:rPr>
                <w:sz w:val="17"/>
              </w:rPr>
              <w:t>Lockout platform; 24 months of portfolio history; agent network; receivables book.</w:t>
            </w:r>
          </w:p>
        </w:tc>
        <w:tc>
          <w:tcPr>
            <w:tcW w:type="dxa" w:w="3028"/>
            <w:vMerge/>
          </w:tcPr>
          <w:p/>
        </w:tc>
        <w:tc>
          <w:tcPr>
            <w:tcW w:type="dxa" w:w="3028"/>
          </w:tcPr>
          <w:p>
            <w:r/>
            <w:r>
              <w:rPr>
                <w:b/>
                <w:color w:val="0B3020"/>
                <w:sz w:val="16"/>
              </w:rPr>
              <w:t>CHANNELS</w:t>
            </w:r>
          </w:p>
          <w:p>
            <w:r>
              <w:rPr>
                <w:sz w:val="17"/>
              </w:rPr>
              <w:t>Direct agents paid by commission; installers for Tiers 3 to 5.</w:t>
            </w:r>
          </w:p>
        </w:tc>
        <w:tc>
          <w:tcPr>
            <w:tcW w:type="dxa" w:w="3028"/>
            <w:vMerge/>
          </w:tcPr>
          <w:p/>
        </w:tc>
      </w:tr>
      <w:tr>
        <w:trPr>
          <w:trHeight w:val="1701"/>
        </w:trPr>
        <w:tc>
          <w:tcPr>
            <w:tcW w:type="dxa" w:w="6056"/>
            <w:gridSpan w:val="2"/>
          </w:tcPr>
          <w:p>
            <w:r/>
            <w:r>
              <w:rPr>
                <w:b/>
                <w:color w:val="0B3020"/>
                <w:sz w:val="16"/>
              </w:rPr>
              <w:t>COST STRUCTURE</w:t>
            </w:r>
          </w:p>
          <w:p>
            <w:r>
              <w:rPr>
                <w:sz w:val="17"/>
              </w:rPr>
              <w:t>USD hardware; installation; warranty; commission and marketing; central costs; facility at 16% and term debt at 10%.</w:t>
            </w:r>
          </w:p>
        </w:tc>
        <w:tc>
          <w:tcPr>
            <w:tcW w:type="dxa" w:w="3028"/>
            <w:shd w:val="clear" w:color="auto" w:fill="F2EEE3"/>
          </w:tcPr>
          <w:p>
            <w:r/>
            <w:r>
              <w:rPr>
                <w:b/>
                <w:color w:val="0B3020"/>
                <w:sz w:val="16"/>
              </w:rPr>
              <w:t>CREDIT ENGINE</w:t>
            </w:r>
          </w:p>
          <w:p>
            <w:r>
              <w:rPr>
                <w:sz w:val="17"/>
              </w:rPr>
              <w:t>Calibrated hazards 4.55%, 3.38% and 2.47% a month for Tiers 1 to 3; Tiers 4 and 5 on proxy values without history.</w:t>
            </w:r>
          </w:p>
        </w:tc>
        <w:tc>
          <w:tcPr>
            <w:tcW w:type="dxa" w:w="6056"/>
            <w:gridSpan w:val="2"/>
          </w:tcPr>
          <w:p>
            <w:r/>
            <w:r>
              <w:rPr>
                <w:b/>
                <w:color w:val="0B3020"/>
                <w:sz w:val="16"/>
              </w:rPr>
              <w:t>REVENUE STREAMS</w:t>
            </w:r>
          </w:p>
          <w:p>
            <w:r>
              <w:rPr>
                <w:sz w:val="17"/>
              </w:rPr>
              <w:t>Hardware revenue at cash price; PAYGo financing income; sales based RBF.</w:t>
            </w:r>
          </w:p>
        </w:tc>
      </w:tr>
      <w:tr>
        <w:trPr>
          <w:trHeight w:val="1701"/>
        </w:trPr>
        <w:tc>
          <w:tcPr>
            <w:tcW w:type="dxa" w:w="6056"/>
            <w:gridSpan w:val="2"/>
            <w:shd w:val="clear" w:color="auto" w:fill="F2EEE3"/>
          </w:tcPr>
          <w:p>
            <w:r/>
            <w:r>
              <w:rPr>
                <w:b/>
                <w:color w:val="0B3020"/>
                <w:sz w:val="16"/>
              </w:rPr>
              <w:t>FUNDING STACK</w:t>
            </w:r>
          </w:p>
          <w:p>
            <w:r>
              <w:rPr>
                <w:sz w:val="17"/>
              </w:rPr>
              <w:t>USD 9.0m equity; USD 3.0m term loan; KVS 4.5bn local currency facility (proposed).</w:t>
            </w:r>
          </w:p>
        </w:tc>
        <w:tc>
          <w:tcPr>
            <w:tcW w:type="dxa" w:w="3028"/>
            <w:shd w:val="clear" w:color="auto" w:fill="F2EEE3"/>
          </w:tcPr>
          <w:p>
            <w:r/>
            <w:r>
              <w:rPr>
                <w:b/>
                <w:color w:val="0B3020"/>
                <w:sz w:val="16"/>
              </w:rPr>
              <w:t>IMPACT AND CONSUMER PROTECTION</w:t>
            </w:r>
          </w:p>
          <w:p>
            <w:r>
              <w:rPr>
                <w:sz w:val="17"/>
              </w:rPr>
              <w:t>Payment burden above the model's 10% policy threshold for Tiers 2 to 4; Tier 1 implied APR 106%; no ownership evidence yet.</w:t>
            </w:r>
          </w:p>
        </w:tc>
        <w:tc>
          <w:tcPr>
            <w:tcW w:type="dxa" w:w="6056"/>
            <w:gridSpan w:val="2"/>
            <w:shd w:val="clear" w:color="auto" w:fill="F2EEE3"/>
          </w:tcPr>
          <w:p>
            <w:r/>
            <w:r>
              <w:rPr>
                <w:b/>
                <w:color w:val="0B3020"/>
                <w:sz w:val="16"/>
              </w:rPr>
              <w:t>KEY METRICS</w:t>
            </w:r>
          </w:p>
          <w:p>
            <w:r>
              <w:rPr>
                <w:sz w:val="17"/>
              </w:rPr>
              <w:t>Operational collection rate 69.3% over the last twelve months (not a PERFORM KPI); PAR30 17.0%; calibrated investor IRR 29.0%; readiness 4 of 23 gates, workbook decision STOP on a failed test (annual DSCR below 1.20x in Years 1 to 4; 9 of 13 critical gates open).</w:t>
            </w:r>
          </w:p>
        </w:tc>
      </w:tr>
    </w:tbl>
    <w:p>
      <w:r>
        <w:br w:type="page"/>
      </w:r>
    </w:p>
    <w:p>
      <w:pPr>
        <w:pStyle w:val="Heading1"/>
      </w:pPr>
      <w:r>
        <w:t>Three tests before the canvas is final</w:t>
      </w:r>
    </w:p>
    <w:p>
      <w:pPr>
        <w:pStyle w:val="ListNumber"/>
      </w:pPr>
      <w:r>
        <w:t>Cash test: does the cost structure, read with the funding stack, show where the cash for the receivables book comes from in each of the next three years?</w:t>
      </w:r>
    </w:p>
    <w:p>
      <w:pPr>
        <w:pStyle w:val="ListNumber"/>
      </w:pPr>
      <w:r>
        <w:t>Credit test: is every number in the credit engine block observed in company data, and if not, is it labelled as a proxy?</w:t>
      </w:r>
    </w:p>
    <w:p>
      <w:pPr>
        <w:pStyle w:val="ListNumber"/>
      </w:pPr>
      <w:r>
        <w:t>Customer test: does the value proposition hold at the payment burden shown in the impact block, in a lean month?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5138" w:val="right"/>
      </w:tabs>
    </w:pPr>
    <w:r/>
    <w:r>
      <w:rPr>
        <w:color w:val="666666"/>
        <w:sz w:val="15"/>
      </w:rPr>
      <w:t>Africa Energy Finance | Book 2 Template T08 | Version 0.9 (pre-release)</w:t>
      <w:tab/>
      <w:tab/>
      <w:t xml:space="preserve">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fldChar w:fldCharType="separate"/>
    </w:r>
    <w:r>
      <w:rPr>
        <w:sz w:val="15"/>
      </w:rPr>
      <w:t>1</w:t>
    </w:r>
    <w:r>
      <w:fldChar w:fldCharType="end"/>
    </w:r>
    <w:r>
      <w:rPr>
        <w:color w:val="666666"/>
        <w:sz w:val="15"/>
      </w:rPr>
      <w:t xml:space="preserve"> of </w:t>
    </w:r>
    <w:r>
      <w:rPr>
        <w:sz w:val="15"/>
      </w:rPr>
      <w:fldChar w:fldCharType="begin"/>
    </w:r>
    <w:r>
      <w:rPr>
        <w:sz w:val="15"/>
      </w:rPr>
      <w:instrText xml:space="preserve"> NUMPAGES </w:instrText>
    </w:r>
    <w:r>
      <w:fldChar w:fldCharType="separate"/>
    </w:r>
    <w:r>
      <w:rPr>
        <w:sz w:val="15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5138" w:val="right"/>
      </w:tabs>
    </w:pPr>
    <w:r/>
    <w:r>
      <w:rPr>
        <w:b/>
        <w:color w:val="0B3020"/>
        <w:sz w:val="15"/>
      </w:rPr>
      <w:t>AFRICA ENERGY FINANCE  |  BOOK 2  |  TEMPLATE T08</w:t>
    </w:r>
    <w:r>
      <w:rPr>
        <w:color w:val="666666"/>
        <w:sz w:val="15"/>
      </w:rPr>
      <w:tab/>
      <w:tab/>
      <w:t>PAYGo business model canvas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 w:cs="Arial" w:eastAsia="Arial"/>
      <w:b/>
      <w:bCs/>
      <w:color w:val="0B30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 w:eastAsia="Arial"/>
      <w:b/>
      <w:bCs/>
      <w:color w:val="0B30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 w:cs="Arial" w:eastAsia="Arial"/>
      <w:b/>
      <w:bCs/>
      <w:color w:val="B07C0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Africa Energy Finance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AEF Book 2 Template T08: PAYGo business model canvas</dc:title>
  <dc:subject>Africa Energy Finance, Book 2 Templates Pack</dc:subject>
  <dc:creator>Emmanuel Boujieka Kamga</dc:creator>
  <cp:keywords>Africa Energy Finance; Book 2; PAYGo Solar Finance; template</cp:keywords>
  <dc:description>Decision support material; not investment, legal, tax or accounting advice.</dc:description>
  <cp:lastModifiedBy>Emmanuel Boujieka Kamga</cp:lastModifiedBy>
  <cp:revision>1</cp:revision>
  <dcterms:created xsi:type="dcterms:W3CDTF">2026-10-03T15:51:02Z</dcterms:created>
  <dcterms:modified xsi:type="dcterms:W3CDTF">2026-10-03T15:51:02Z</dcterms:modified>
  <cp:category/>
</cp:coreProperties>
</file>